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Research Protocol</w:t>
      </w:r>
    </w:p>
    <w:p>
      <w:r>
        <w:rPr>
          <w:rFonts w:ascii="Aptos" w:hAnsi="Aptos"/>
          <w:b/>
          <w:i w:val="0"/>
        </w:rPr>
        <w:t>Unscheduled 72-hour Return Visits to the Pediatric Emergency Department</w:t>
      </w:r>
    </w:p>
    <w:p>
      <w:r>
        <w:rPr>
          <w:rFonts w:ascii="Aptos" w:hAnsi="Aptos"/>
          <w:b w:val="0"/>
          <w:i/>
        </w:rPr>
        <w:t>Rate, Reasons, and Predictors at a Palestinian Governmental Hospital</w:t>
      </w:r>
    </w:p>
    <w:p>
      <w:r>
        <w:rPr>
          <w:rFonts w:ascii="Aptos" w:hAnsi="Aptos"/>
          <w:b/>
          <w:i w:val="0"/>
        </w:rPr>
        <w:t>SUBMISSION FOR ETHICAL APPROVAL</w:t>
      </w:r>
    </w:p>
    <w:p>
      <w:r>
        <w:rPr>
          <w:rFonts w:ascii="Aptos" w:hAnsi="Aptos"/>
          <w:b/>
          <w:i w:val="0"/>
        </w:rPr>
        <w:t>Title:</w:t>
      </w:r>
      <w:r>
        <w:rPr>
          <w:rFonts w:ascii="Aptos" w:hAnsi="Aptos"/>
          <w:b w:val="0"/>
          <w:i w:val="0"/>
        </w:rPr>
        <w:t xml:space="preserve"> Unscheduled 72-hour return visits to the pediatric emergency department of a Palestinian governmental hospital: rate, reasons, and predictors</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Principal Investigator</w:t>
            </w:r>
          </w:p>
        </w:tc>
        <w:tc>
          <w:tcPr>
            <w:tcW w:type="dxa" w:w="4968"/>
          </w:tcPr>
          <w:p>
            <w:pPr>
              <w:spacing w:after="20"/>
            </w:pPr>
            <w:r/>
            <w:r>
              <w:rPr>
                <w:rFonts w:ascii="Aptos" w:hAnsi="Aptos"/>
                <w:b w:val="0"/>
                <w:i w:val="0"/>
                <w:sz w:val="20"/>
              </w:rPr>
              <w:t>Dr Lami Qurt, Department of Pediatrics, Palestine Medical Complex, Ramallah</w:t>
            </w:r>
          </w:p>
        </w:tc>
      </w:tr>
      <w:tr>
        <w:tc>
          <w:tcPr>
            <w:tcW w:type="dxa" w:w="3024"/>
          </w:tcPr>
          <w:p>
            <w:pPr>
              <w:spacing w:after="20"/>
            </w:pPr>
            <w:r/>
            <w:r>
              <w:rPr>
                <w:rFonts w:ascii="Aptos" w:hAnsi="Aptos"/>
                <w:b/>
                <w:i w:val="0"/>
                <w:sz w:val="20"/>
              </w:rPr>
              <w:t>Co-investigators</w:t>
            </w:r>
          </w:p>
        </w:tc>
        <w:tc>
          <w:tcPr>
            <w:tcW w:type="dxa" w:w="4968"/>
          </w:tcPr>
          <w:p>
            <w:pPr>
              <w:spacing w:after="20"/>
            </w:pPr>
            <w:r/>
          </w:p>
        </w:tc>
      </w:tr>
    </w:tbl>
    <w:p>
      <w:pPr>
        <w:spacing w:after="80"/>
      </w:pPr>
    </w:p>
    <w:p>
      <w:r>
        <w:rPr>
          <w:rFonts w:ascii="Aptos" w:hAnsi="Aptos"/>
          <w:b w:val="0"/>
          <w:i w:val="0"/>
        </w:rPr>
        <w:t xml:space="preserve">Dr Samer Dahdoul, Senior Pediatrician, Department of Pediatrics — senior author, clinical oversight, independent verification review Dr Amani Salman, Senior Pediatrician, Department of Pediatrics — adjudicator for reviewer disagreements Dr Waad </w:t>
      </w:r>
      <w:r>
        <w:rPr>
          <w:rFonts w:ascii="Consolas" w:hAnsi="Consolas"/>
          <w:b w:val="0"/>
          <w:i w:val="0"/>
          <w:color w:val="444444"/>
          <w:sz w:val="19"/>
        </w:rPr>
        <w:t>[full name to be completed]</w:t>
      </w:r>
      <w:r>
        <w:rPr>
          <w:rFonts w:ascii="Aptos" w:hAnsi="Aptos"/>
          <w:b w:val="0"/>
          <w:i w:val="0"/>
        </w:rPr>
        <w:t xml:space="preserve">, Resident, Department of Pediatrics — Reviewer 1 Dr Ainaa </w:t>
      </w:r>
      <w:r>
        <w:rPr>
          <w:rFonts w:ascii="Consolas" w:hAnsi="Consolas"/>
          <w:b w:val="0"/>
          <w:i w:val="0"/>
          <w:color w:val="444444"/>
          <w:sz w:val="19"/>
        </w:rPr>
        <w:t>[full name to be completed]</w:t>
      </w:r>
      <w:r>
        <w:rPr>
          <w:rFonts w:ascii="Aptos" w:hAnsi="Aptos"/>
          <w:b w:val="0"/>
          <w:i w:val="0"/>
        </w:rPr>
        <w:t xml:space="preserve">, Resident, Department of Pediatrics — Reviewer 2 </w:t>
      </w:r>
      <w:r>
        <w:rPr>
          <w:rFonts w:ascii="Aptos" w:hAnsi="Aptos"/>
          <w:b/>
          <w:i w:val="0"/>
        </w:rPr>
        <w:t>Institution:</w:t>
      </w:r>
      <w:r>
        <w:rPr>
          <w:rFonts w:ascii="Aptos" w:hAnsi="Aptos"/>
          <w:b w:val="0"/>
          <w:i w:val="0"/>
        </w:rPr>
        <w:t xml:space="preserve"> Palestine Medical Complex (PMC), Palestinian Ministry of Health, Ramallah </w:t>
      </w:r>
      <w:r>
        <w:rPr>
          <w:rFonts w:ascii="Aptos" w:hAnsi="Aptos"/>
          <w:b/>
          <w:i w:val="0"/>
        </w:rPr>
        <w:t>Study design:</w:t>
      </w:r>
      <w:r>
        <w:rPr>
          <w:rFonts w:ascii="Aptos" w:hAnsi="Aptos"/>
          <w:b w:val="0"/>
          <w:i w:val="0"/>
        </w:rPr>
        <w:t xml:space="preserve"> Retrospective observational cohort study </w:t>
      </w:r>
      <w:r>
        <w:rPr>
          <w:rFonts w:ascii="Aptos" w:hAnsi="Aptos"/>
          <w:b/>
          <w:i w:val="0"/>
        </w:rPr>
        <w:t>Proposed study period (data):</w:t>
      </w:r>
      <w:r>
        <w:rPr>
          <w:rFonts w:ascii="Aptos" w:hAnsi="Aptos"/>
          <w:b w:val="0"/>
          <w:i w:val="0"/>
        </w:rPr>
        <w:t xml:space="preserve"> 1 January 2024 – 31 December 2025 </w:t>
      </w:r>
      <w:r>
        <w:rPr>
          <w:rFonts w:ascii="Aptos" w:hAnsi="Aptos"/>
          <w:b/>
          <w:i w:val="0"/>
        </w:rPr>
        <w:t>Funding:</w:t>
      </w:r>
      <w:r>
        <w:rPr>
          <w:rFonts w:ascii="Aptos" w:hAnsi="Aptos"/>
          <w:b w:val="0"/>
          <w:i w:val="0"/>
        </w:rPr>
        <w:t xml:space="preserve"> None. The study requires no funding. </w:t>
      </w:r>
      <w:r>
        <w:rPr>
          <w:rFonts w:ascii="Aptos" w:hAnsi="Aptos"/>
          <w:b/>
          <w:i w:val="0"/>
        </w:rPr>
        <w:t>Conflicts of interest:</w:t>
      </w:r>
      <w:r>
        <w:rPr>
          <w:rFonts w:ascii="Aptos" w:hAnsi="Aptos"/>
          <w:b w:val="0"/>
          <w:i w:val="0"/>
        </w:rPr>
        <w:t xml:space="preserve"> None declared. </w:t>
      </w:r>
      <w:r>
        <w:rPr>
          <w:rFonts w:ascii="Aptos" w:hAnsi="Aptos"/>
          <w:b/>
          <w:i w:val="0"/>
        </w:rPr>
        <w:t>Date of submission:</w:t>
      </w:r>
      <w:r>
        <w:rPr>
          <w:rFonts w:ascii="Aptos" w:hAnsi="Aptos"/>
          <w:b w:val="0"/>
          <w:i w:val="0"/>
        </w:rPr>
        <w:t xml:space="preserve"> ____________</w:t>
      </w:r>
    </w:p>
    <w:p>
      <w:pPr>
        <w:pStyle w:val="Heading2"/>
      </w:pPr>
      <w:r>
        <w:rPr>
          <w:rFonts w:ascii="Aptos" w:hAnsi="Aptos"/>
          <w:b w:val="0"/>
          <w:i w:val="0"/>
        </w:rPr>
        <w:t>1. Summary</w:t>
      </w:r>
    </w:p>
    <w:p>
      <w:r>
        <w:rPr>
          <w:rFonts w:ascii="Aptos" w:hAnsi="Aptos"/>
          <w:b w:val="0"/>
          <w:i w:val="0"/>
        </w:rPr>
        <w:t>This study will measure how often children discharged from the pediatric emergency department of Palestine Medical Complex return unexpectedly to the same department within 72 hours, why they return, what happens to them when they do, and which characteristics of the first visit predict a return.</w:t>
      </w:r>
    </w:p>
    <w:p>
      <w:r>
        <w:rPr>
          <w:rFonts w:ascii="Aptos" w:hAnsi="Aptos"/>
          <w:b w:val="0"/>
          <w:i w:val="0"/>
        </w:rPr>
        <w:t>Early unplanned return to an emergency department is an internationally recognised indicator of the quality and safety of emergency care. It asks, in effect, whether the decision that a child was well enough to go home was correct.</w:t>
      </w:r>
    </w:p>
    <w:p>
      <w:r>
        <w:rPr>
          <w:rFonts w:ascii="Aptos" w:hAnsi="Aptos"/>
          <w:b w:val="0"/>
          <w:i w:val="0"/>
        </w:rPr>
        <w:t xml:space="preserve">The study uses </w:t>
      </w:r>
      <w:r>
        <w:rPr>
          <w:rFonts w:ascii="Aptos" w:hAnsi="Aptos"/>
          <w:b/>
          <w:i w:val="0"/>
        </w:rPr>
        <w:t>only routinely collected electronic records</w:t>
      </w:r>
      <w:r>
        <w:rPr>
          <w:rFonts w:ascii="Aptos" w:hAnsi="Aptos"/>
          <w:b w:val="0"/>
          <w:i w:val="0"/>
        </w:rPr>
        <w:t>. There is no contact with patients or families, no intervention, no change to any child's care, and no additional risk of any kind. No such study has ever been published from Palestine.</w:t>
      </w:r>
    </w:p>
    <w:p>
      <w:pPr>
        <w:pStyle w:val="Heading2"/>
      </w:pPr>
      <w:r>
        <w:rPr>
          <w:rFonts w:ascii="Aptos" w:hAnsi="Aptos"/>
          <w:b w:val="0"/>
          <w:i w:val="0"/>
        </w:rPr>
        <w:t>2. Background and justification</w:t>
      </w:r>
    </w:p>
    <w:p>
      <w:pPr>
        <w:pStyle w:val="Heading3"/>
      </w:pPr>
      <w:r>
        <w:rPr>
          <w:rFonts w:ascii="Aptos" w:hAnsi="Aptos"/>
          <w:b w:val="0"/>
          <w:i w:val="0"/>
        </w:rPr>
        <w:t>2.1 Why this measure matters</w:t>
      </w:r>
    </w:p>
    <w:p>
      <w:r>
        <w:rPr>
          <w:rFonts w:ascii="Aptos" w:hAnsi="Aptos"/>
          <w:b w:val="0"/>
          <w:i w:val="0"/>
        </w:rPr>
        <w:t>When a child is discharged from an emergency department and returns unexpectedly within a short period, it may indicate that the illness progressed naturally, that the family did not understand or could not follow the advice given, or that something at the first visit was missed or inadequately treated. Distinguishing between these possibilities is how emergency departments identify where care can be improved.</w:t>
      </w:r>
    </w:p>
    <w:p>
      <w:r>
        <w:rPr>
          <w:rFonts w:ascii="Aptos" w:hAnsi="Aptos"/>
          <w:b w:val="0"/>
          <w:i w:val="0"/>
        </w:rPr>
        <w:t>A 72-hour window is the international standard: long enough to capture deterioration plausibly connected to the first visit, short enough to exclude unrelated new illness. Published rates in children range from approximately 2% to 7%.</w:t>
      </w:r>
    </w:p>
    <w:p>
      <w:pPr>
        <w:pStyle w:val="Heading3"/>
      </w:pPr>
      <w:r>
        <w:rPr>
          <w:rFonts w:ascii="Aptos" w:hAnsi="Aptos"/>
          <w:b w:val="0"/>
          <w:i w:val="0"/>
        </w:rPr>
        <w:t>2.2 The gap this study fills</w:t>
      </w:r>
    </w:p>
    <w:p>
      <w:r>
        <w:rPr>
          <w:rFonts w:ascii="Aptos" w:hAnsi="Aptos"/>
          <w:b w:val="0"/>
          <w:i w:val="0"/>
        </w:rPr>
        <w:t>A systematic search of the PubMed database conducted on 16 August 2026 established that:</w:t>
      </w:r>
    </w:p>
    <w:p>
      <w:pPr>
        <w:pStyle w:val="ListBullet"/>
        <w:spacing w:after="60"/>
        <w:ind w:left="403"/>
      </w:pPr>
      <w:r>
        <w:rPr>
          <w:rFonts w:ascii="Aptos" w:hAnsi="Aptos"/>
          <w:b/>
          <w:i w:val="0"/>
        </w:rPr>
        <w:t>No patient-level study of pediatric emergency care has ever been published from Palestine.</w:t>
      </w:r>
      <w:r>
        <w:rPr>
          <w:rFonts w:ascii="Aptos" w:hAnsi="Aptos"/>
          <w:b w:val="0"/>
          <w:i w:val="0"/>
        </w:rPr>
        <w:t xml:space="preserve"> The only Palestinian pediatric emergency medicine publication is a survey of equipment availability across 30 West Bank emergency departments (Shawahna et al., </w:t>
      </w:r>
      <w:r>
        <w:rPr>
          <w:rFonts w:ascii="Aptos" w:hAnsi="Aptos"/>
          <w:b w:val="0"/>
          <w:i/>
        </w:rPr>
        <w:t>Pediatric Emergency Care</w:t>
      </w:r>
      <w:r>
        <w:rPr>
          <w:rFonts w:ascii="Aptos" w:hAnsi="Aptos"/>
          <w:b w:val="0"/>
          <w:i w:val="0"/>
        </w:rPr>
        <w:t>, 2024) — a study of facilities, not of patients.</w:t>
      </w:r>
    </w:p>
    <w:p>
      <w:pPr>
        <w:pStyle w:val="ListBullet"/>
        <w:spacing w:after="60"/>
        <w:ind w:left="403"/>
      </w:pPr>
      <w:r>
        <w:rPr>
          <w:rFonts w:ascii="Aptos" w:hAnsi="Aptos"/>
          <w:b w:val="0"/>
          <w:i w:val="0"/>
        </w:rPr>
        <w:t xml:space="preserve">Of </w:t>
      </w:r>
      <w:r>
        <w:rPr>
          <w:rFonts w:ascii="Aptos" w:hAnsi="Aptos"/>
          <w:b/>
          <w:i w:val="0"/>
        </w:rPr>
        <w:t>769</w:t>
      </w:r>
      <w:r>
        <w:rPr>
          <w:rFonts w:ascii="Aptos" w:hAnsi="Aptos"/>
          <w:b w:val="0"/>
          <w:i w:val="0"/>
        </w:rPr>
        <w:t xml:space="preserve"> international publications on pediatric emergency department return visits, only </w:t>
      </w:r>
      <w:r>
        <w:rPr>
          <w:rFonts w:ascii="Aptos" w:hAnsi="Aptos"/>
          <w:b/>
          <w:i w:val="0"/>
        </w:rPr>
        <w:t>two</w:t>
      </w:r>
      <w:r>
        <w:rPr>
          <w:rFonts w:ascii="Aptos" w:hAnsi="Aptos"/>
          <w:b w:val="0"/>
          <w:i w:val="0"/>
        </w:rPr>
        <w:t xml:space="preserve"> come from the Arab world, and both are from Saudi tertiary children's hospitals: AlAteeq et al. (</w:t>
      </w:r>
      <w:r>
        <w:rPr>
          <w:rFonts w:ascii="Aptos" w:hAnsi="Aptos"/>
          <w:b w:val="0"/>
          <w:i/>
        </w:rPr>
        <w:t>International Journal of Pediatrics</w:t>
      </w:r>
      <w:r>
        <w:rPr>
          <w:rFonts w:ascii="Aptos" w:hAnsi="Aptos"/>
          <w:b w:val="0"/>
          <w:i w:val="0"/>
        </w:rPr>
        <w:t xml:space="preserve">, 2026, Riyadh), which reported 300 return visits but </w:t>
      </w:r>
      <w:r>
        <w:rPr>
          <w:rFonts w:ascii="Aptos" w:hAnsi="Aptos"/>
          <w:b/>
          <w:i w:val="0"/>
        </w:rPr>
        <w:t>no denominator</w:t>
      </w:r>
      <w:r>
        <w:rPr>
          <w:rFonts w:ascii="Aptos" w:hAnsi="Aptos"/>
          <w:b w:val="0"/>
          <w:i w:val="0"/>
        </w:rPr>
        <w:t>, so no rate can be derived from it; and Ahmed et al. (</w:t>
      </w:r>
      <w:r>
        <w:rPr>
          <w:rFonts w:ascii="Aptos" w:hAnsi="Aptos"/>
          <w:b w:val="0"/>
          <w:i/>
        </w:rPr>
        <w:t>BMC Pediatrics</w:t>
      </w:r>
      <w:r>
        <w:rPr>
          <w:rFonts w:ascii="Aptos" w:hAnsi="Aptos"/>
          <w:b w:val="0"/>
          <w:i w:val="0"/>
        </w:rPr>
        <w:t xml:space="preserve">, 2018), which enrolled </w:t>
      </w:r>
      <w:r>
        <w:rPr>
          <w:rFonts w:ascii="Aptos" w:hAnsi="Aptos"/>
          <w:b/>
          <w:i w:val="0"/>
        </w:rPr>
        <w:t>only children with chronic diseases</w:t>
      </w:r>
      <w:r>
        <w:rPr>
          <w:rFonts w:ascii="Aptos" w:hAnsi="Aptos"/>
          <w:b w:val="0"/>
          <w:i w:val="0"/>
        </w:rPr>
        <w:t xml:space="preserve"> and so does not describe a general emergency population. </w:t>
      </w:r>
      <w:r>
        <w:rPr>
          <w:rFonts w:ascii="Aptos" w:hAnsi="Aptos"/>
          <w:b/>
          <w:i w:val="0"/>
        </w:rPr>
        <w:t>None</w:t>
      </w:r>
      <w:r>
        <w:rPr>
          <w:rFonts w:ascii="Aptos" w:hAnsi="Aptos"/>
          <w:b w:val="0"/>
          <w:i w:val="0"/>
        </w:rPr>
        <w:t xml:space="preserve"> comes from Palestine, Jordan or Lebanon, and none from a conflict-affected setting.</w:t>
      </w:r>
    </w:p>
    <w:p>
      <w:pPr>
        <w:pStyle w:val="ListBullet"/>
        <w:spacing w:after="60"/>
        <w:ind w:left="403"/>
      </w:pPr>
      <w:r>
        <w:rPr>
          <w:rFonts w:ascii="Aptos" w:hAnsi="Aptos"/>
          <w:b w:val="0"/>
          <w:i w:val="0"/>
        </w:rPr>
        <w:t xml:space="preserve">Only </w:t>
      </w:r>
      <w:r>
        <w:rPr>
          <w:rFonts w:ascii="Aptos" w:hAnsi="Aptos"/>
          <w:b/>
          <w:i w:val="0"/>
        </w:rPr>
        <w:t>9</w:t>
      </w:r>
      <w:r>
        <w:rPr>
          <w:rFonts w:ascii="Aptos" w:hAnsi="Aptos"/>
          <w:b w:val="0"/>
          <w:i w:val="0"/>
        </w:rPr>
        <w:t xml:space="preserve"> of those 769 publications concern a low- or middle-income setting, and only one of those is a comparable cohort study (Okeke et al., </w:t>
      </w:r>
      <w:r>
        <w:rPr>
          <w:rFonts w:ascii="Aptos" w:hAnsi="Aptos"/>
          <w:b w:val="0"/>
          <w:i/>
        </w:rPr>
        <w:t>Nigerian Medical Journal</w:t>
      </w:r>
      <w:r>
        <w:rPr>
          <w:rFonts w:ascii="Aptos" w:hAnsi="Aptos"/>
          <w:b w:val="0"/>
          <w:i w:val="0"/>
        </w:rPr>
        <w:t>, 2025).</w:t>
      </w:r>
    </w:p>
    <w:p>
      <w:r>
        <w:rPr>
          <w:rFonts w:ascii="Aptos" w:hAnsi="Aptos"/>
          <w:b w:val="0"/>
          <w:i w:val="0"/>
        </w:rPr>
        <w:t>Palestinian children are therefore entirely absent from this literature.</w:t>
      </w:r>
    </w:p>
    <w:p>
      <w:pPr>
        <w:pStyle w:val="Heading3"/>
      </w:pPr>
      <w:r>
        <w:rPr>
          <w:rFonts w:ascii="Aptos" w:hAnsi="Aptos"/>
          <w:b w:val="0"/>
          <w:i w:val="0"/>
        </w:rPr>
        <w:t>2.3 Why findings from elsewhere do not apply here</w:t>
      </w:r>
    </w:p>
    <w:p>
      <w:r>
        <w:rPr>
          <w:rFonts w:ascii="Aptos" w:hAnsi="Aptos"/>
          <w:b w:val="0"/>
          <w:i w:val="0"/>
        </w:rPr>
        <w:t>Published rates come almost entirely from high-income health systems with formal triage and functioning primary care. Emergency care at PMC differs structurally:</w:t>
      </w:r>
    </w:p>
    <w:p>
      <w:pPr>
        <w:pStyle w:val="ListBullet"/>
        <w:spacing w:after="60"/>
        <w:ind w:left="403"/>
      </w:pPr>
      <w:r>
        <w:rPr>
          <w:rFonts w:ascii="Aptos" w:hAnsi="Aptos"/>
          <w:b w:val="0"/>
          <w:i w:val="0"/>
        </w:rPr>
        <w:t xml:space="preserve">there is </w:t>
      </w:r>
      <w:r>
        <w:rPr>
          <w:rFonts w:ascii="Aptos" w:hAnsi="Aptos"/>
          <w:b/>
          <w:i w:val="0"/>
        </w:rPr>
        <w:t>no formal triage system</w:t>
      </w:r>
      <w:r>
        <w:rPr>
          <w:rFonts w:ascii="Aptos" w:hAnsi="Aptos"/>
          <w:b w:val="0"/>
          <w:i w:val="0"/>
        </w:rPr>
        <w:t>;</w:t>
      </w:r>
    </w:p>
    <w:p>
      <w:pPr>
        <w:pStyle w:val="ListBullet"/>
        <w:spacing w:after="60"/>
        <w:ind w:left="403"/>
      </w:pPr>
      <w:r>
        <w:rPr>
          <w:rFonts w:ascii="Aptos" w:hAnsi="Aptos"/>
          <w:b/>
          <w:i w:val="0"/>
        </w:rPr>
        <w:t>after-hours primary care is largely unavailable</w:t>
      </w:r>
      <w:r>
        <w:rPr>
          <w:rFonts w:ascii="Aptos" w:hAnsi="Aptos"/>
          <w:b w:val="0"/>
          <w:i w:val="0"/>
        </w:rPr>
        <w:t>, so the emergency department serves as the default first point of contact rather than a safety net;</w:t>
      </w:r>
    </w:p>
    <w:p>
      <w:pPr>
        <w:pStyle w:val="ListBullet"/>
        <w:spacing w:after="60"/>
        <w:ind w:left="403"/>
      </w:pPr>
      <w:r>
        <w:rPr>
          <w:rFonts w:ascii="Aptos" w:hAnsi="Aptos"/>
          <w:b/>
          <w:i w:val="0"/>
        </w:rPr>
        <w:t>movement restrictions</w:t>
      </w:r>
      <w:r>
        <w:rPr>
          <w:rFonts w:ascii="Aptos" w:hAnsi="Aptos"/>
          <w:b w:val="0"/>
          <w:i w:val="0"/>
        </w:rPr>
        <w:t xml:space="preserve"> affect whether and when a family is able to return, or to reach an outpatient clinic at all.</w:t>
      </w:r>
    </w:p>
    <w:p>
      <w:r>
        <w:rPr>
          <w:rFonts w:ascii="Aptos" w:hAnsi="Aptos"/>
          <w:b w:val="0"/>
          <w:i w:val="0"/>
        </w:rPr>
        <w:t>A return-visit rate measured here therefore reflects the structure of the health system as much as clinical decision-making. Establishing this locally, rather than assuming figures from other countries apply, is the central justification for the study.</w:t>
      </w:r>
    </w:p>
    <w:p>
      <w:r>
        <w:rPr>
          <w:rFonts w:ascii="Aptos" w:hAnsi="Aptos"/>
          <w:b w:val="0"/>
          <w:i w:val="0"/>
        </w:rPr>
        <w:t xml:space="preserve">This also has a scientific consequence beyond the local one. Almost every published method for predicting which children will return relies on a triage severity score as its main input. A study that must identify children at risk </w:t>
      </w:r>
      <w:r>
        <w:rPr>
          <w:rFonts w:ascii="Aptos" w:hAnsi="Aptos"/>
          <w:b/>
          <w:i w:val="0"/>
        </w:rPr>
        <w:t>without any severity score available</w:t>
      </w:r>
      <w:r>
        <w:rPr>
          <w:rFonts w:ascii="Aptos" w:hAnsi="Aptos"/>
          <w:b w:val="0"/>
          <w:i w:val="0"/>
        </w:rPr>
        <w:t xml:space="preserve"> is answering a different question — and it is the question that applies to most emergency departments in the world, where formal triage does not exist. We are not aware of any published pediatric return-visit study carried out in a department without a triage system.</w:t>
      </w:r>
    </w:p>
    <w:p>
      <w:pPr>
        <w:pStyle w:val="Heading3"/>
      </w:pPr>
      <w:r>
        <w:rPr>
          <w:rFonts w:ascii="Aptos" w:hAnsi="Aptos"/>
          <w:b w:val="0"/>
          <w:i w:val="0"/>
        </w:rPr>
        <w:t>2.4 What the study does and does not claim</w:t>
      </w:r>
    </w:p>
    <w:p>
      <w:r>
        <w:rPr>
          <w:rFonts w:ascii="Aptos" w:hAnsi="Aptos"/>
          <w:b w:val="0"/>
          <w:i w:val="0"/>
        </w:rPr>
        <w:t xml:space="preserve">The research question itself is not new: early return to an emergency department is a well-established international indicator, with 769 published pediatric studies behind it. This proposal does not claim to ask it first. What the study adds is specific and limited: the first measurement in a Palestinian population; a rate reported </w:t>
      </w:r>
      <w:r>
        <w:rPr>
          <w:rFonts w:ascii="Aptos" w:hAnsi="Aptos"/>
          <w:b/>
          <w:i w:val="0"/>
        </w:rPr>
        <w:t>with its denominator</w:t>
      </w:r>
      <w:r>
        <w:rPr>
          <w:rFonts w:ascii="Aptos" w:hAnsi="Aptos"/>
          <w:b w:val="0"/>
          <w:i w:val="0"/>
        </w:rPr>
        <w:t>, which the closest regional study did not provide; identification of risk factors in a department with no triage system; classification of each return by two independent physicians rather than one, with the judgement on the first visit recorded and signed before the return visit is read; and a separately recorded flag for families who returned because they could not reach the follow-up route they were given.</w:t>
      </w:r>
    </w:p>
    <w:p>
      <w:pPr>
        <w:pStyle w:val="Heading3"/>
      </w:pPr>
      <w:r>
        <w:rPr>
          <w:rFonts w:ascii="Aptos" w:hAnsi="Aptos"/>
          <w:b w:val="0"/>
          <w:i w:val="0"/>
        </w:rPr>
        <w:t>2.5 Expected benefit</w:t>
      </w:r>
    </w:p>
    <w:p>
      <w:r>
        <w:rPr>
          <w:rFonts w:ascii="Aptos" w:hAnsi="Aptos"/>
          <w:b w:val="0"/>
          <w:i w:val="0"/>
        </w:rPr>
        <w:t>The results will identify which children are most likely to return, which presenting conditions carry the greatest risk, and how often returns are associated with barriers to accessing follow-up care. These findings are directly actionable by the Department of Pediatrics and by the Ministry of Health: they can inform discharge advice, follow-up arrangements, and decisions about which conditions warrant planned review.</w:t>
      </w:r>
    </w:p>
    <w:p>
      <w:r>
        <w:rPr>
          <w:rFonts w:ascii="Aptos" w:hAnsi="Aptos"/>
          <w:b w:val="0"/>
          <w:i w:val="0"/>
        </w:rPr>
        <w:t>The study is designed to lead to a subsequent quality-improvement intervention targeting whichever modifiable factor it identifies.</w:t>
      </w:r>
    </w:p>
    <w:p>
      <w:pPr>
        <w:pStyle w:val="Heading2"/>
      </w:pPr>
      <w:r>
        <w:rPr>
          <w:rFonts w:ascii="Aptos" w:hAnsi="Aptos"/>
          <w:b w:val="0"/>
          <w:i w:val="0"/>
        </w:rPr>
        <w:t>3. Objectives</w:t>
      </w:r>
    </w:p>
    <w:p>
      <w:r>
        <w:rPr>
          <w:rFonts w:ascii="Aptos" w:hAnsi="Aptos"/>
          <w:b/>
          <w:i w:val="0"/>
        </w:rPr>
        <w:t>Primary objective</w:t>
      </w:r>
      <w:r>
        <w:rPr>
          <w:rFonts w:ascii="Aptos" w:hAnsi="Aptos"/>
          <w:b w:val="0"/>
          <w:i w:val="0"/>
        </w:rPr>
        <w:t xml:space="preserve"> To determine the proportion of children discharged from the PMC pediatric emergency department who return unexpectedly to the same department within 72 hours.</w:t>
      </w:r>
    </w:p>
    <w:p>
      <w:r>
        <w:rPr>
          <w:rFonts w:ascii="Aptos" w:hAnsi="Aptos"/>
          <w:b/>
          <w:i w:val="0"/>
        </w:rPr>
        <w:t>Secondary objectives</w:t>
      </w:r>
    </w:p>
    <w:p>
      <w:pPr>
        <w:pStyle w:val="ListNumber"/>
        <w:spacing w:after="60"/>
        <w:ind w:left="403"/>
      </w:pPr>
      <w:r>
        <w:rPr>
          <w:rFonts w:ascii="Aptos" w:hAnsi="Aptos"/>
          <w:b w:val="0"/>
          <w:i w:val="0"/>
        </w:rPr>
        <w:t>To describe the clinical reasons for return.</w:t>
      </w:r>
    </w:p>
    <w:p>
      <w:pPr>
        <w:pStyle w:val="ListNumber"/>
        <w:spacing w:after="60"/>
        <w:ind w:left="403"/>
      </w:pPr>
      <w:r>
        <w:rPr>
          <w:rFonts w:ascii="Aptos" w:hAnsi="Aptos"/>
          <w:b w:val="0"/>
          <w:i w:val="0"/>
        </w:rPr>
        <w:t>To determine the proportion of return visits resulting in hospital admission.</w:t>
      </w:r>
    </w:p>
    <w:p>
      <w:pPr>
        <w:pStyle w:val="ListNumber"/>
        <w:spacing w:after="60"/>
        <w:ind w:left="403"/>
      </w:pPr>
      <w:r>
        <w:rPr>
          <w:rFonts w:ascii="Aptos" w:hAnsi="Aptos"/>
          <w:b w:val="0"/>
          <w:i w:val="0"/>
        </w:rPr>
        <w:t>To classify each return as related or unrelated to the first visit, and by its most likely cause.</w:t>
      </w:r>
    </w:p>
    <w:p>
      <w:pPr>
        <w:pStyle w:val="ListNumber"/>
        <w:spacing w:after="60"/>
        <w:ind w:left="403"/>
      </w:pPr>
      <w:r>
        <w:rPr>
          <w:rFonts w:ascii="Aptos" w:hAnsi="Aptos"/>
          <w:b w:val="0"/>
          <w:i w:val="0"/>
        </w:rPr>
        <w:t>To determine how often returns are associated with documented barriers to accessing follow-up care.</w:t>
      </w:r>
    </w:p>
    <w:p>
      <w:pPr>
        <w:pStyle w:val="ListNumber"/>
        <w:spacing w:after="60"/>
        <w:ind w:left="403"/>
      </w:pPr>
      <w:r>
        <w:rPr>
          <w:rFonts w:ascii="Aptos" w:hAnsi="Aptos"/>
          <w:b w:val="0"/>
          <w:i w:val="0"/>
        </w:rPr>
        <w:t>To identify characteristics of the first visit that independently predict a return.</w:t>
      </w:r>
    </w:p>
    <w:p>
      <w:pPr>
        <w:pStyle w:val="Heading2"/>
      </w:pPr>
      <w:r>
        <w:rPr>
          <w:rFonts w:ascii="Aptos" w:hAnsi="Aptos"/>
          <w:b w:val="0"/>
          <w:i w:val="0"/>
        </w:rPr>
        <w:t>4. Methods</w:t>
      </w:r>
    </w:p>
    <w:p>
      <w:pPr>
        <w:pStyle w:val="Heading3"/>
      </w:pPr>
      <w:r>
        <w:rPr>
          <w:rFonts w:ascii="Aptos" w:hAnsi="Aptos"/>
          <w:b w:val="0"/>
          <w:i w:val="0"/>
        </w:rPr>
        <w:t>4.1 Design and setting</w:t>
      </w:r>
    </w:p>
    <w:p>
      <w:r>
        <w:rPr>
          <w:rFonts w:ascii="Aptos" w:hAnsi="Aptos"/>
          <w:b w:val="0"/>
          <w:i w:val="0"/>
        </w:rPr>
        <w:t>Retrospective observational cohort study using routinely collected electronic emergency department records at Palestine Medical Complex, Ramallah — a Ministry of Health governmental hospital that serves both as a first-contact hospital for its catchment population and as a referral centre, and whose pediatric emergency department receives approximately 80–100 visits per day.</w:t>
      </w:r>
    </w:p>
    <w:p>
      <w:pPr>
        <w:pStyle w:val="Heading3"/>
      </w:pPr>
      <w:r>
        <w:rPr>
          <w:rFonts w:ascii="Aptos" w:hAnsi="Aptos"/>
          <w:b w:val="0"/>
          <w:i w:val="0"/>
        </w:rPr>
        <w:t>4.2 Participants</w:t>
      </w:r>
    </w:p>
    <w:p>
      <w:r>
        <w:rPr>
          <w:rFonts w:ascii="Aptos" w:hAnsi="Aptos"/>
          <w:b/>
          <w:i w:val="0"/>
        </w:rPr>
        <w:t>Included:</w:t>
      </w:r>
      <w:r>
        <w:rPr>
          <w:rFonts w:ascii="Aptos" w:hAnsi="Aptos"/>
          <w:b w:val="0"/>
          <w:i w:val="0"/>
        </w:rPr>
        <w:t xml:space="preserve"> all emergency department visits by children aged under 13 years during the study period which ended in discharge home. This age range is not a study-specific restriction: under Ministry of Health rules, pediatric care at PMC covers ages 0 to under 13, and patients aged 13 and over are seen in the adult emergency department. The cohort is therefore the complete pediatric emergency department population.</w:t>
      </w:r>
    </w:p>
    <w:p>
      <w:r>
        <w:rPr>
          <w:rFonts w:ascii="Aptos" w:hAnsi="Aptos"/>
          <w:b/>
          <w:i w:val="0"/>
        </w:rPr>
        <w:t>Excluded:</w:t>
      </w:r>
      <w:r>
        <w:rPr>
          <w:rFonts w:ascii="Aptos" w:hAnsi="Aptos"/>
          <w:b w:val="0"/>
          <w:i w:val="0"/>
        </w:rPr>
        <w:t xml:space="preserve"> visits ending in admission, transfer, or death; patients who left against medical advice or without being seen; and records in which discharge cannot be confirmed.</w:t>
      </w:r>
    </w:p>
    <w:p>
      <w:r>
        <w:rPr>
          <w:rFonts w:ascii="Aptos" w:hAnsi="Aptos"/>
          <w:b/>
          <w:i w:val="0"/>
        </w:rPr>
        <w:t>Outcome event:</w:t>
      </w:r>
      <w:r>
        <w:rPr>
          <w:rFonts w:ascii="Aptos" w:hAnsi="Aptos"/>
          <w:b w:val="0"/>
          <w:i w:val="0"/>
        </w:rPr>
        <w:t xml:space="preserve"> an unscheduled return by the same child to the same emergency department within 72 hours of discharge.</w:t>
      </w:r>
    </w:p>
    <w:p>
      <w:pPr>
        <w:pStyle w:val="Heading3"/>
      </w:pPr>
      <w:r>
        <w:rPr>
          <w:rFonts w:ascii="Aptos" w:hAnsi="Aptos"/>
          <w:b w:val="0"/>
          <w:i w:val="0"/>
        </w:rPr>
        <w:t>4.3 Data sources and collection</w:t>
      </w:r>
    </w:p>
    <w:p>
      <w:r>
        <w:rPr>
          <w:rFonts w:ascii="Aptos" w:hAnsi="Aptos"/>
          <w:b/>
          <w:i w:val="0"/>
        </w:rPr>
        <w:t>Stage 1 — Electronic data.</w:t>
      </w:r>
      <w:r>
        <w:rPr>
          <w:rFonts w:ascii="Aptos" w:hAnsi="Aptos"/>
          <w:b w:val="0"/>
          <w:i w:val="0"/>
        </w:rPr>
        <w:t xml:space="preserve"> A single dataset covering all pediatric emergency department visits in the study period will be provided by the PMC IT department, containing: a patient identifier, visit identifier, arrival and discharge date and time, age, sex, diagnosis, disposition, medications given, and investigations performed.</w:t>
      </w:r>
    </w:p>
    <w:p>
      <w:r>
        <w:rPr>
          <w:rFonts w:ascii="Aptos" w:hAnsi="Aptos"/>
          <w:b w:val="0"/>
          <w:i w:val="0"/>
        </w:rPr>
        <w:t xml:space="preserve">Return visits will be identified </w:t>
      </w:r>
      <w:r>
        <w:rPr>
          <w:rFonts w:ascii="Aptos" w:hAnsi="Aptos"/>
          <w:b/>
          <w:i w:val="0"/>
        </w:rPr>
        <w:t>automatically</w:t>
      </w:r>
      <w:r>
        <w:rPr>
          <w:rFonts w:ascii="Aptos" w:hAnsi="Aptos"/>
          <w:b w:val="0"/>
          <w:i w:val="0"/>
        </w:rPr>
        <w:t>, by matching visits belonging to the same patient and calculating the interval between them. No manual searching of records is involved at this stage.</w:t>
      </w:r>
    </w:p>
    <w:p>
      <w:r>
        <w:rPr>
          <w:rFonts w:ascii="Aptos" w:hAnsi="Aptos"/>
          <w:b/>
          <w:i w:val="0"/>
        </w:rPr>
        <w:t>Stage 2 — Record review.</w:t>
      </w:r>
      <w:r>
        <w:rPr>
          <w:rFonts w:ascii="Aptos" w:hAnsi="Aptos"/>
          <w:b w:val="0"/>
          <w:i w:val="0"/>
        </w:rPr>
        <w:t xml:space="preserve"> A </w:t>
      </w:r>
      <w:r>
        <w:rPr>
          <w:rFonts w:ascii="Aptos" w:hAnsi="Aptos"/>
          <w:b/>
          <w:i w:val="0"/>
        </w:rPr>
        <w:t>random sample of 400 return visits</w:t>
      </w:r>
      <w:r>
        <w:rPr>
          <w:rFonts w:ascii="Aptos" w:hAnsi="Aptos"/>
          <w:b w:val="0"/>
          <w:i w:val="0"/>
        </w:rPr>
        <w:t xml:space="preserve"> will be reviewed by physician members of the research team in order to classify each return. Each is reviewed independently by two physicians, with a third senior physician resolving disagreements, and the level of agreement between reviewers reported.</w:t>
      </w:r>
    </w:p>
    <w:p>
      <w:r>
        <w:rPr>
          <w:rFonts w:ascii="Aptos" w:hAnsi="Aptos"/>
          <w:b/>
          <w:i w:val="0"/>
        </w:rPr>
        <w:t>The name of the treating doctor will be removed</w:t>
      </w:r>
      <w:r>
        <w:rPr>
          <w:rFonts w:ascii="Aptos" w:hAnsi="Aptos"/>
          <w:b w:val="0"/>
          <w:i w:val="0"/>
        </w:rPr>
        <w:t xml:space="preserve"> from the records before they reach the reviewers. Two of the reviewers are residents who work alongside the doctors whose discharge decisions they are assessing, and one of the classifications asks whether care at the first visit was adequate. Removing the name protects both the reviewer and the treating clinician, and removes a source of bias that would otherwise only be possible to describe rather than prevent.</w:t>
      </w:r>
    </w:p>
    <w:p>
      <w:r>
        <w:rPr>
          <w:rFonts w:ascii="Aptos" w:hAnsi="Aptos"/>
          <w:b/>
          <w:i w:val="0"/>
        </w:rPr>
        <w:t>A verification review is built into the design.</w:t>
      </w:r>
      <w:r>
        <w:rPr>
          <w:rFonts w:ascii="Aptos" w:hAnsi="Aptos"/>
          <w:b w:val="0"/>
          <w:i w:val="0"/>
        </w:rPr>
        <w:t xml:space="preserve"> A senior pediatrician independently re-reviews a random 20% of the sampled pairs (80 of 400), without access to the residents' classifications. This measures whether classification by residents differs systematically from classification by a senior physician — a published study of this exact task found that trainees identified a possible medical deficiency less often than senior physicians (9% against 13%). The comparison is reported alongside the main results and does not alter the primary classifications.</w:t>
      </w:r>
    </w:p>
    <w:p>
      <w:r>
        <w:rPr>
          <w:rFonts w:ascii="Aptos" w:hAnsi="Aptos"/>
          <w:b w:val="0"/>
          <w:i w:val="0"/>
        </w:rPr>
        <w:t>Record review is limited to these sampled return visits. No other records are examined.</w:t>
      </w:r>
    </w:p>
    <w:p>
      <w:pPr>
        <w:pStyle w:val="Heading3"/>
      </w:pPr>
      <w:r>
        <w:rPr>
          <w:rFonts w:ascii="Aptos" w:hAnsi="Aptos"/>
          <w:b w:val="0"/>
          <w:i w:val="0"/>
        </w:rPr>
        <w:t>4.4 Analysis</w:t>
      </w:r>
    </w:p>
    <w:p>
      <w:r>
        <w:rPr>
          <w:rFonts w:ascii="Aptos" w:hAnsi="Aptos"/>
          <w:b w:val="0"/>
          <w:i w:val="0"/>
        </w:rPr>
        <w:t>Descriptive statistics for the return rate, reasons for return, and outcomes. Multivariable logistic regression to identify independent predictors of return. The full statistical analysis plan is written and fixed before any data is examined.</w:t>
      </w:r>
    </w:p>
    <w:p>
      <w:pPr>
        <w:pStyle w:val="Heading3"/>
      </w:pPr>
      <w:r>
        <w:rPr>
          <w:rFonts w:ascii="Aptos" w:hAnsi="Aptos"/>
          <w:b w:val="0"/>
          <w:i w:val="0"/>
        </w:rPr>
        <w:t>4.5 Sample size</w:t>
      </w:r>
    </w:p>
    <w:p>
      <w:r>
        <w:rPr>
          <w:rFonts w:ascii="Aptos" w:hAnsi="Aptos"/>
          <w:b w:val="0"/>
          <w:i w:val="0"/>
        </w:rPr>
        <w:t>No sample size calculation is required, as the study includes every eligible visit in a fixed 24-month period — an expected 55,000–58,000 discharged visits and 1,100–2,900 return visits. The 400-visit review sample provides approximately ±5% precision at 95% confidence for the classification proportions.</w:t>
      </w:r>
    </w:p>
    <w:p>
      <w:pPr>
        <w:pStyle w:val="Heading2"/>
      </w:pPr>
      <w:r>
        <w:rPr>
          <w:rFonts w:ascii="Aptos" w:hAnsi="Aptos"/>
          <w:b w:val="0"/>
          <w:i w:val="0"/>
        </w:rPr>
        <w:t>5. Ethical considerations</w:t>
      </w:r>
    </w:p>
    <w:p>
      <w:pPr>
        <w:pStyle w:val="Heading3"/>
      </w:pPr>
      <w:r>
        <w:rPr>
          <w:rFonts w:ascii="Aptos" w:hAnsi="Aptos"/>
          <w:b w:val="0"/>
          <w:i w:val="0"/>
        </w:rPr>
        <w:t>5.1 Risk to participants</w:t>
      </w:r>
    </w:p>
    <w:p>
      <w:r>
        <w:rPr>
          <w:rFonts w:ascii="Aptos" w:hAnsi="Aptos"/>
          <w:b/>
          <w:i w:val="0"/>
        </w:rPr>
        <w:t>There is no risk to any patient.</w:t>
      </w:r>
      <w:r>
        <w:rPr>
          <w:rFonts w:ascii="Aptos" w:hAnsi="Aptos"/>
          <w:b w:val="0"/>
          <w:i w:val="0"/>
        </w:rPr>
        <w:t xml:space="preserve"> The study involves no contact with patients or families, no intervention, no procedure, no change to clinical care, and no alteration to any treatment decision. It examines records of care that has already been delivered.</w:t>
      </w:r>
    </w:p>
    <w:p>
      <w:pPr>
        <w:pStyle w:val="Heading3"/>
      </w:pPr>
      <w:r>
        <w:rPr>
          <w:rFonts w:ascii="Aptos" w:hAnsi="Aptos"/>
          <w:b w:val="0"/>
          <w:i w:val="0"/>
        </w:rPr>
        <w:t>5.2 Request for waiver of informed consent</w:t>
      </w:r>
    </w:p>
    <w:p>
      <w:r>
        <w:rPr>
          <w:rFonts w:ascii="Aptos" w:hAnsi="Aptos"/>
          <w:b w:val="0"/>
          <w:i w:val="0"/>
        </w:rPr>
        <w:t>A waiver of individual informed consent is requested, on the following grounds:</w:t>
      </w:r>
    </w:p>
    <w:p>
      <w:pPr>
        <w:pStyle w:val="ListNumber"/>
        <w:spacing w:after="60"/>
        <w:ind w:left="403"/>
      </w:pPr>
      <w:r>
        <w:rPr>
          <w:rFonts w:ascii="Aptos" w:hAnsi="Aptos"/>
          <w:b w:val="0"/>
          <w:i w:val="0"/>
        </w:rPr>
        <w:t xml:space="preserve">The research involves </w:t>
      </w:r>
      <w:r>
        <w:rPr>
          <w:rFonts w:ascii="Aptos" w:hAnsi="Aptos"/>
          <w:b/>
          <w:i w:val="0"/>
        </w:rPr>
        <w:t>no more than minimal risk</w:t>
      </w:r>
      <w:r>
        <w:rPr>
          <w:rFonts w:ascii="Aptos" w:hAnsi="Aptos"/>
          <w:b w:val="0"/>
          <w:i w:val="0"/>
        </w:rPr>
        <w:t xml:space="preserve"> — it is a review of existing records with no patient contact.</w:t>
      </w:r>
    </w:p>
    <w:p>
      <w:pPr>
        <w:pStyle w:val="ListNumber"/>
        <w:spacing w:after="60"/>
        <w:ind w:left="403"/>
      </w:pPr>
      <w:r>
        <w:rPr>
          <w:rFonts w:ascii="Aptos" w:hAnsi="Aptos"/>
          <w:b w:val="0"/>
          <w:i w:val="0"/>
        </w:rPr>
        <w:t xml:space="preserve">It would be </w:t>
      </w:r>
      <w:r>
        <w:rPr>
          <w:rFonts w:ascii="Aptos" w:hAnsi="Aptos"/>
          <w:b/>
          <w:i w:val="0"/>
        </w:rPr>
        <w:t>impracticable to obtain consent</w:t>
      </w:r>
      <w:r>
        <w:rPr>
          <w:rFonts w:ascii="Aptos" w:hAnsi="Aptos"/>
          <w:b w:val="0"/>
          <w:i w:val="0"/>
        </w:rPr>
        <w:t xml:space="preserve"> from the families of an expected 55,000–58,000 historical visits over a two-year period, many of whom cannot be traced.</w:t>
      </w:r>
    </w:p>
    <w:p>
      <w:pPr>
        <w:pStyle w:val="ListNumber"/>
        <w:spacing w:after="60"/>
        <w:ind w:left="403"/>
      </w:pPr>
      <w:r>
        <w:rPr>
          <w:rFonts w:ascii="Aptos" w:hAnsi="Aptos"/>
          <w:b/>
          <w:i w:val="0"/>
        </w:rPr>
        <w:t>The waiver will not adversely affect the rights or welfare of any patient.</w:t>
      </w:r>
      <w:r>
        <w:rPr>
          <w:rFonts w:ascii="Aptos" w:hAnsi="Aptos"/>
          <w:b w:val="0"/>
          <w:i w:val="0"/>
        </w:rPr>
        <w:t xml:space="preserve"> No individual is identified, contacted, or affected in any way.</w:t>
      </w:r>
    </w:p>
    <w:p>
      <w:pPr>
        <w:pStyle w:val="ListNumber"/>
        <w:spacing w:after="60"/>
        <w:ind w:left="403"/>
      </w:pPr>
      <w:r>
        <w:rPr>
          <w:rFonts w:ascii="Aptos" w:hAnsi="Aptos"/>
          <w:b w:val="0"/>
          <w:i w:val="0"/>
        </w:rPr>
        <w:t xml:space="preserve">Requiring consent would make the research </w:t>
      </w:r>
      <w:r>
        <w:rPr>
          <w:rFonts w:ascii="Aptos" w:hAnsi="Aptos"/>
          <w:b/>
          <w:i w:val="0"/>
        </w:rPr>
        <w:t>impossible to conduct</w:t>
      </w:r>
      <w:r>
        <w:rPr>
          <w:rFonts w:ascii="Aptos" w:hAnsi="Aptos"/>
          <w:b w:val="0"/>
          <w:i w:val="0"/>
        </w:rPr>
        <w:t>, and would introduce serious selection bias if only traceable families could be included — the results would then not represent the population the study exists to describe.</w:t>
      </w:r>
    </w:p>
    <w:p>
      <w:pPr>
        <w:pStyle w:val="ListNumber"/>
        <w:spacing w:after="60"/>
        <w:ind w:left="403"/>
      </w:pPr>
      <w:r>
        <w:rPr>
          <w:rFonts w:ascii="Aptos" w:hAnsi="Aptos"/>
          <w:b w:val="0"/>
          <w:i w:val="0"/>
        </w:rPr>
        <w:t xml:space="preserve">The research </w:t>
      </w:r>
      <w:r>
        <w:rPr>
          <w:rFonts w:ascii="Aptos" w:hAnsi="Aptos"/>
          <w:b/>
          <w:i w:val="0"/>
        </w:rPr>
        <w:t>could not practicably be carried out without the waiver</w:t>
      </w:r>
      <w:r>
        <w:rPr>
          <w:rFonts w:ascii="Aptos" w:hAnsi="Aptos"/>
          <w:b w:val="0"/>
          <w:i w:val="0"/>
        </w:rPr>
        <w:t>, and it addresses a question of direct relevance to the safety of the children served by this hospital.</w:t>
      </w:r>
    </w:p>
    <w:p>
      <w:pPr>
        <w:pStyle w:val="Heading3"/>
      </w:pPr>
      <w:r>
        <w:rPr>
          <w:rFonts w:ascii="Aptos" w:hAnsi="Aptos"/>
          <w:b w:val="0"/>
          <w:i w:val="0"/>
        </w:rPr>
        <w:t>5.3 Confidentiality and data protection</w:t>
      </w:r>
    </w:p>
    <w:p>
      <w:pPr>
        <w:pStyle w:val="ListBullet"/>
        <w:spacing w:after="60"/>
        <w:ind w:left="403"/>
      </w:pPr>
      <w:r>
        <w:rPr>
          <w:rFonts w:ascii="Aptos" w:hAnsi="Aptos"/>
          <w:b w:val="0"/>
          <w:i w:val="0"/>
        </w:rPr>
        <w:t xml:space="preserve">The patient identifier is required </w:t>
      </w:r>
      <w:r>
        <w:rPr>
          <w:rFonts w:ascii="Aptos" w:hAnsi="Aptos"/>
          <w:b/>
          <w:i w:val="0"/>
        </w:rPr>
        <w:t>only</w:t>
      </w:r>
      <w:r>
        <w:rPr>
          <w:rFonts w:ascii="Aptos" w:hAnsi="Aptos"/>
          <w:b w:val="0"/>
          <w:i w:val="0"/>
        </w:rPr>
        <w:t xml:space="preserve"> to link a return visit to an earlier visit by the same child. It serves no other purpose.</w:t>
      </w:r>
    </w:p>
    <w:p>
      <w:pPr>
        <w:pStyle w:val="ListBullet"/>
        <w:spacing w:after="60"/>
        <w:ind w:left="403"/>
      </w:pPr>
      <w:r>
        <w:rPr>
          <w:rFonts w:ascii="Aptos" w:hAnsi="Aptos"/>
          <w:b w:val="0"/>
          <w:i w:val="0"/>
        </w:rPr>
        <w:t xml:space="preserve">Once this linkage is complete, the identifier will be </w:t>
      </w:r>
      <w:r>
        <w:rPr>
          <w:rFonts w:ascii="Aptos" w:hAnsi="Aptos"/>
          <w:b/>
          <w:i w:val="0"/>
        </w:rPr>
        <w:t>replaced by a study number</w:t>
      </w:r>
      <w:r>
        <w:rPr>
          <w:rFonts w:ascii="Aptos" w:hAnsi="Aptos"/>
          <w:b w:val="0"/>
          <w:i w:val="0"/>
        </w:rPr>
        <w:t xml:space="preserve">. The key linking the two will be stored separately, accessible only to the Principal Investigator, and </w:t>
      </w:r>
      <w:r>
        <w:rPr>
          <w:rFonts w:ascii="Aptos" w:hAnsi="Aptos"/>
          <w:b/>
          <w:i w:val="0"/>
        </w:rPr>
        <w:t>destroyed at the end of the study</w:t>
      </w:r>
      <w:r>
        <w:rPr>
          <w:rFonts w:ascii="Aptos" w:hAnsi="Aptos"/>
          <w:b w:val="0"/>
          <w:i w:val="0"/>
        </w:rPr>
        <w:t>.</w:t>
      </w:r>
    </w:p>
    <w:p>
      <w:pPr>
        <w:pStyle w:val="ListBullet"/>
        <w:spacing w:after="60"/>
        <w:ind w:left="403"/>
      </w:pPr>
      <w:r>
        <w:rPr>
          <w:rFonts w:ascii="Aptos" w:hAnsi="Aptos"/>
          <w:b w:val="0"/>
          <w:i w:val="0"/>
        </w:rPr>
        <w:t>Where the electronic system is able to supply a pseudonymised code that is consistent across visits, this will be used instead and the real identifier will not be requested at all.</w:t>
      </w:r>
    </w:p>
    <w:p>
      <w:pPr>
        <w:pStyle w:val="ListBullet"/>
        <w:spacing w:after="60"/>
        <w:ind w:left="403"/>
      </w:pPr>
      <w:r>
        <w:rPr>
          <w:rFonts w:ascii="Aptos" w:hAnsi="Aptos"/>
          <w:b w:val="0"/>
          <w:i w:val="0"/>
        </w:rPr>
        <w:t xml:space="preserve">All data will be stored on </w:t>
      </w:r>
      <w:r>
        <w:rPr>
          <w:rFonts w:ascii="Aptos" w:hAnsi="Aptos"/>
          <w:b/>
          <w:i w:val="0"/>
        </w:rPr>
        <w:t>password-protected institutional equipment</w:t>
      </w:r>
      <w:r>
        <w:rPr>
          <w:rFonts w:ascii="Aptos" w:hAnsi="Aptos"/>
          <w:b w:val="0"/>
          <w:i w:val="0"/>
        </w:rPr>
        <w:t>. No data will be stored on personal devices or transferred outside the institution.</w:t>
      </w:r>
    </w:p>
    <w:p>
      <w:pPr>
        <w:pStyle w:val="ListBullet"/>
        <w:spacing w:after="60"/>
        <w:ind w:left="403"/>
      </w:pPr>
      <w:r>
        <w:rPr>
          <w:rFonts w:ascii="Aptos" w:hAnsi="Aptos"/>
          <w:b w:val="0"/>
          <w:i w:val="0"/>
        </w:rPr>
        <w:t>Access is restricted to the named research team, all of whom are bound by professional confidentiality obligations.</w:t>
      </w:r>
    </w:p>
    <w:p>
      <w:pPr>
        <w:pStyle w:val="ListBullet"/>
        <w:spacing w:after="60"/>
        <w:ind w:left="403"/>
      </w:pPr>
      <w:r>
        <w:rPr>
          <w:rFonts w:ascii="Aptos" w:hAnsi="Aptos"/>
          <w:b/>
          <w:i w:val="0"/>
        </w:rPr>
        <w:t>No identifiable information will appear in any analysis, presentation, report or publication.</w:t>
      </w:r>
      <w:r>
        <w:rPr>
          <w:rFonts w:ascii="Aptos" w:hAnsi="Aptos"/>
          <w:b w:val="0"/>
          <w:i w:val="0"/>
        </w:rPr>
        <w:t xml:space="preserve"> All results will be reported as aggregate statistics.</w:t>
      </w:r>
    </w:p>
    <w:p>
      <w:pPr>
        <w:pStyle w:val="ListBullet"/>
        <w:spacing w:after="60"/>
        <w:ind w:left="403"/>
      </w:pPr>
      <w:r>
        <w:rPr>
          <w:rFonts w:ascii="Aptos" w:hAnsi="Aptos"/>
          <w:b w:val="0"/>
          <w:i w:val="0"/>
        </w:rPr>
        <w:t>Record review will be conducted by physicians who already have legitimate professional access to clinical records at this institution.</w:t>
      </w:r>
    </w:p>
    <w:p>
      <w:pPr>
        <w:pStyle w:val="Heading3"/>
      </w:pPr>
      <w:r>
        <w:rPr>
          <w:rFonts w:ascii="Aptos" w:hAnsi="Aptos"/>
          <w:b w:val="0"/>
          <w:i w:val="0"/>
        </w:rPr>
        <w:t>5.4 Benefits</w:t>
      </w:r>
    </w:p>
    <w:p>
      <w:r>
        <w:rPr>
          <w:rFonts w:ascii="Aptos" w:hAnsi="Aptos"/>
          <w:b w:val="0"/>
          <w:i w:val="0"/>
        </w:rPr>
        <w:t>There is no direct benefit to individual patients. The benefit is to the department and to future patients: identification of where emergency care can be improved, and the first data of its kind describing pediatric emergency care in Palestine.</w:t>
      </w:r>
    </w:p>
    <w:p>
      <w:pPr>
        <w:pStyle w:val="Heading3"/>
      </w:pPr>
      <w:r>
        <w:rPr>
          <w:rFonts w:ascii="Aptos" w:hAnsi="Aptos"/>
          <w:b w:val="0"/>
          <w:i w:val="0"/>
        </w:rPr>
        <w:t>5.5 Publication and use of assistance</w:t>
      </w:r>
    </w:p>
    <w:p>
      <w:r>
        <w:rPr>
          <w:rFonts w:ascii="Aptos" w:hAnsi="Aptos"/>
          <w:b w:val="0"/>
          <w:i w:val="0"/>
        </w:rPr>
        <w:t>Findings will be submitted to a peer-reviewed indexed international journal, and reported to the Department of Pediatrics and the Ministry of Health regardless of the results.</w:t>
      </w:r>
    </w:p>
    <w:p>
      <w:r>
        <w:rPr>
          <w:rFonts w:ascii="Aptos" w:hAnsi="Aptos"/>
          <w:b w:val="0"/>
          <w:i w:val="0"/>
        </w:rPr>
        <w:t xml:space="preserve">The research team includes no statistician. Statistical analysis and manuscript preparation will be supported by an artificial intelligence assistant (Claude, Anthropic). In accordance with international authorship standards, </w:t>
      </w:r>
      <w:r>
        <w:rPr>
          <w:rFonts w:ascii="Aptos" w:hAnsi="Aptos"/>
          <w:b/>
          <w:i w:val="0"/>
        </w:rPr>
        <w:t>this assistance will be explicitly disclosed in any publication, artificial intelligence will not be listed as an author, and the named human authors take full responsibility for the accuracy and integrity of all analysis and content.</w:t>
      </w:r>
    </w:p>
    <w:p>
      <w:pPr>
        <w:pStyle w:val="Heading2"/>
      </w:pPr>
      <w:r>
        <w:rPr>
          <w:rFonts w:ascii="Aptos" w:hAnsi="Aptos"/>
          <w:b w:val="0"/>
          <w:i w:val="0"/>
        </w:rPr>
        <w:t>6. Timeline</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Phase</w:t>
            </w:r>
          </w:p>
        </w:tc>
        <w:tc>
          <w:tcPr>
            <w:tcW w:type="dxa" w:w="4968"/>
            <w:shd w:val="clear" w:fill="DEE7F0"/>
          </w:tcPr>
          <w:p>
            <w:pPr>
              <w:spacing w:after="40"/>
            </w:pPr>
            <w:r/>
            <w:r>
              <w:rPr>
                <w:rFonts w:ascii="Aptos" w:hAnsi="Aptos"/>
                <w:b/>
                <w:i w:val="0"/>
                <w:sz w:val="19"/>
              </w:rPr>
              <w:t>Duration</w:t>
            </w:r>
          </w:p>
        </w:tc>
      </w:tr>
      <w:tr>
        <w:tc>
          <w:tcPr>
            <w:tcW w:type="dxa" w:w="4968"/>
          </w:tcPr>
          <w:p>
            <w:pPr>
              <w:spacing w:after="40"/>
            </w:pPr>
            <w:r/>
            <w:r>
              <w:rPr>
                <w:rFonts w:ascii="Aptos" w:hAnsi="Aptos"/>
                <w:b w:val="0"/>
                <w:i w:val="0"/>
                <w:sz w:val="19"/>
              </w:rPr>
              <w:t>Ethical approval</w:t>
            </w:r>
          </w:p>
        </w:tc>
        <w:tc>
          <w:tcPr>
            <w:tcW w:type="dxa" w:w="4968"/>
          </w:tcPr>
          <w:p>
            <w:pPr>
              <w:spacing w:after="40"/>
            </w:pPr>
            <w:r/>
            <w:r>
              <w:rPr>
                <w:rFonts w:ascii="Aptos" w:hAnsi="Aptos"/>
                <w:b w:val="0"/>
                <w:i w:val="0"/>
                <w:sz w:val="19"/>
              </w:rPr>
              <w:t>_pending_</w:t>
            </w:r>
          </w:p>
        </w:tc>
      </w:tr>
      <w:tr>
        <w:tc>
          <w:tcPr>
            <w:tcW w:type="dxa" w:w="4968"/>
          </w:tcPr>
          <w:p>
            <w:pPr>
              <w:spacing w:after="40"/>
            </w:pPr>
            <w:r/>
            <w:r>
              <w:rPr>
                <w:rFonts w:ascii="Aptos" w:hAnsi="Aptos"/>
                <w:b w:val="0"/>
                <w:i w:val="0"/>
                <w:sz w:val="19"/>
              </w:rPr>
              <w:t>Data export from IT department</w:t>
            </w:r>
          </w:p>
        </w:tc>
        <w:tc>
          <w:tcPr>
            <w:tcW w:type="dxa" w:w="4968"/>
          </w:tcPr>
          <w:p>
            <w:pPr>
              <w:spacing w:after="40"/>
            </w:pPr>
            <w:r/>
            <w:r>
              <w:rPr>
                <w:rFonts w:ascii="Aptos" w:hAnsi="Aptos"/>
                <w:b w:val="0"/>
                <w:i w:val="0"/>
                <w:sz w:val="19"/>
              </w:rPr>
              <w:t>2 weeks</w:t>
            </w:r>
          </w:p>
        </w:tc>
      </w:tr>
      <w:tr>
        <w:tc>
          <w:tcPr>
            <w:tcW w:type="dxa" w:w="4968"/>
          </w:tcPr>
          <w:p>
            <w:pPr>
              <w:spacing w:after="40"/>
            </w:pPr>
            <w:r/>
            <w:r>
              <w:rPr>
                <w:rFonts w:ascii="Aptos" w:hAnsi="Aptos"/>
                <w:b w:val="0"/>
                <w:i w:val="0"/>
                <w:sz w:val="19"/>
              </w:rPr>
              <w:t>Dataset construction and verification</w:t>
            </w:r>
          </w:p>
        </w:tc>
        <w:tc>
          <w:tcPr>
            <w:tcW w:type="dxa" w:w="4968"/>
          </w:tcPr>
          <w:p>
            <w:pPr>
              <w:spacing w:after="40"/>
            </w:pPr>
            <w:r/>
            <w:r>
              <w:rPr>
                <w:rFonts w:ascii="Aptos" w:hAnsi="Aptos"/>
                <w:b w:val="0"/>
                <w:i w:val="0"/>
                <w:sz w:val="19"/>
              </w:rPr>
              <w:t>4 weeks</w:t>
            </w:r>
          </w:p>
        </w:tc>
      </w:tr>
      <w:tr>
        <w:tc>
          <w:tcPr>
            <w:tcW w:type="dxa" w:w="4968"/>
          </w:tcPr>
          <w:p>
            <w:pPr>
              <w:spacing w:after="40"/>
            </w:pPr>
            <w:r/>
            <w:r>
              <w:rPr>
                <w:rFonts w:ascii="Aptos" w:hAnsi="Aptos"/>
                <w:b w:val="0"/>
                <w:i w:val="0"/>
                <w:sz w:val="19"/>
              </w:rPr>
              <w:t>Pilot review of 40 return visits, refinement of review criteria</w:t>
            </w:r>
          </w:p>
        </w:tc>
        <w:tc>
          <w:tcPr>
            <w:tcW w:type="dxa" w:w="4968"/>
          </w:tcPr>
          <w:p>
            <w:pPr>
              <w:spacing w:after="40"/>
            </w:pPr>
            <w:r/>
            <w:r>
              <w:rPr>
                <w:rFonts w:ascii="Aptos" w:hAnsi="Aptos"/>
                <w:b w:val="0"/>
                <w:i w:val="0"/>
                <w:sz w:val="19"/>
              </w:rPr>
              <w:t>3 weeks</w:t>
            </w:r>
          </w:p>
        </w:tc>
      </w:tr>
      <w:tr>
        <w:tc>
          <w:tcPr>
            <w:tcW w:type="dxa" w:w="4968"/>
          </w:tcPr>
          <w:p>
            <w:pPr>
              <w:spacing w:after="40"/>
            </w:pPr>
            <w:r/>
            <w:r>
              <w:rPr>
                <w:rFonts w:ascii="Aptos" w:hAnsi="Aptos"/>
                <w:b w:val="0"/>
                <w:i w:val="0"/>
                <w:sz w:val="19"/>
              </w:rPr>
              <w:t>Review of the 400-visit sample</w:t>
            </w:r>
          </w:p>
        </w:tc>
        <w:tc>
          <w:tcPr>
            <w:tcW w:type="dxa" w:w="4968"/>
          </w:tcPr>
          <w:p>
            <w:pPr>
              <w:spacing w:after="40"/>
            </w:pPr>
            <w:r/>
            <w:r>
              <w:rPr>
                <w:rFonts w:ascii="Aptos" w:hAnsi="Aptos"/>
                <w:b w:val="0"/>
                <w:i w:val="0"/>
                <w:sz w:val="19"/>
              </w:rPr>
              <w:t>10 weeks</w:t>
            </w:r>
          </w:p>
        </w:tc>
      </w:tr>
      <w:tr>
        <w:tc>
          <w:tcPr>
            <w:tcW w:type="dxa" w:w="4968"/>
          </w:tcPr>
          <w:p>
            <w:pPr>
              <w:spacing w:after="40"/>
            </w:pPr>
            <w:r/>
            <w:r>
              <w:rPr>
                <w:rFonts w:ascii="Aptos" w:hAnsi="Aptos"/>
                <w:b w:val="0"/>
                <w:i w:val="0"/>
                <w:sz w:val="19"/>
              </w:rPr>
              <w:t>Analysis</w:t>
            </w:r>
          </w:p>
        </w:tc>
        <w:tc>
          <w:tcPr>
            <w:tcW w:type="dxa" w:w="4968"/>
          </w:tcPr>
          <w:p>
            <w:pPr>
              <w:spacing w:after="40"/>
            </w:pPr>
            <w:r/>
            <w:r>
              <w:rPr>
                <w:rFonts w:ascii="Aptos" w:hAnsi="Aptos"/>
                <w:b w:val="0"/>
                <w:i w:val="0"/>
                <w:sz w:val="19"/>
              </w:rPr>
              <w:t>4 weeks</w:t>
            </w:r>
          </w:p>
        </w:tc>
      </w:tr>
      <w:tr>
        <w:tc>
          <w:tcPr>
            <w:tcW w:type="dxa" w:w="4968"/>
          </w:tcPr>
          <w:p>
            <w:pPr>
              <w:spacing w:after="40"/>
            </w:pPr>
            <w:r/>
            <w:r>
              <w:rPr>
                <w:rFonts w:ascii="Aptos" w:hAnsi="Aptos"/>
                <w:b w:val="0"/>
                <w:i w:val="0"/>
                <w:sz w:val="19"/>
              </w:rPr>
              <w:t>Manuscript preparation and submission</w:t>
            </w:r>
          </w:p>
        </w:tc>
        <w:tc>
          <w:tcPr>
            <w:tcW w:type="dxa" w:w="4968"/>
          </w:tcPr>
          <w:p>
            <w:pPr>
              <w:spacing w:after="40"/>
            </w:pPr>
            <w:r/>
            <w:r>
              <w:rPr>
                <w:rFonts w:ascii="Aptos" w:hAnsi="Aptos"/>
                <w:b w:val="0"/>
                <w:i w:val="0"/>
                <w:sz w:val="19"/>
              </w:rPr>
              <w:t>8 weeks</w:t>
            </w:r>
          </w:p>
        </w:tc>
      </w:tr>
    </w:tbl>
    <w:p>
      <w:pPr>
        <w:spacing w:after="80"/>
      </w:pPr>
    </w:p>
    <w:p>
      <w:pPr>
        <w:pStyle w:val="Heading2"/>
      </w:pPr>
      <w:r>
        <w:rPr>
          <w:rFonts w:ascii="Aptos" w:hAnsi="Aptos"/>
          <w:b w:val="0"/>
          <w:i w:val="0"/>
        </w:rPr>
        <w:t>7. Research team and responsibilities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Name</w:t>
            </w:r>
          </w:p>
        </w:tc>
        <w:tc>
          <w:tcPr>
            <w:tcW w:type="dxa" w:w="3312"/>
            <w:shd w:val="clear" w:fill="DEE7F0"/>
          </w:tcPr>
          <w:p>
            <w:pPr>
              <w:spacing w:after="40"/>
            </w:pPr>
            <w:r/>
            <w:r>
              <w:rPr>
                <w:rFonts w:ascii="Aptos" w:hAnsi="Aptos"/>
                <w:b/>
                <w:i w:val="0"/>
                <w:sz w:val="19"/>
              </w:rPr>
              <w:t>Role</w:t>
            </w:r>
          </w:p>
        </w:tc>
        <w:tc>
          <w:tcPr>
            <w:tcW w:type="dxa" w:w="3312"/>
            <w:shd w:val="clear" w:fill="DEE7F0"/>
          </w:tcPr>
          <w:p>
            <w:pPr>
              <w:spacing w:after="40"/>
            </w:pPr>
            <w:r/>
            <w:r>
              <w:rPr>
                <w:rFonts w:ascii="Aptos" w:hAnsi="Aptos"/>
                <w:b/>
                <w:i w:val="0"/>
                <w:sz w:val="19"/>
              </w:rPr>
              <w:t>Responsibility</w:t>
            </w:r>
          </w:p>
        </w:tc>
      </w:tr>
      <w:tr>
        <w:tc>
          <w:tcPr>
            <w:tcW w:type="dxa" w:w="3312"/>
          </w:tcPr>
          <w:p>
            <w:pPr>
              <w:spacing w:after="40"/>
            </w:pPr>
            <w:r/>
            <w:r>
              <w:rPr>
                <w:rFonts w:ascii="Aptos" w:hAnsi="Aptos"/>
                <w:b w:val="0"/>
                <w:i w:val="0"/>
                <w:sz w:val="19"/>
              </w:rPr>
              <w:t>Dr Lami Qurt</w:t>
            </w:r>
          </w:p>
        </w:tc>
        <w:tc>
          <w:tcPr>
            <w:tcW w:type="dxa" w:w="3312"/>
          </w:tcPr>
          <w:p>
            <w:pPr>
              <w:spacing w:after="40"/>
            </w:pPr>
            <w:r/>
            <w:r>
              <w:rPr>
                <w:rFonts w:ascii="Aptos" w:hAnsi="Aptos"/>
                <w:b w:val="0"/>
                <w:i w:val="0"/>
                <w:sz w:val="19"/>
              </w:rPr>
              <w:t>Principal Investigator, first author</w:t>
            </w:r>
          </w:p>
        </w:tc>
        <w:tc>
          <w:tcPr>
            <w:tcW w:type="dxa" w:w="3312"/>
          </w:tcPr>
          <w:p>
            <w:pPr>
              <w:spacing w:after="40"/>
            </w:pPr>
            <w:r/>
            <w:r>
              <w:rPr>
                <w:rFonts w:ascii="Aptos" w:hAnsi="Aptos"/>
                <w:b w:val="0"/>
                <w:i w:val="0"/>
                <w:sz w:val="19"/>
              </w:rPr>
              <w:t>Study design, data management, statistical analysis, manuscript. Makes no classification judgements</w:t>
            </w:r>
          </w:p>
        </w:tc>
      </w:tr>
      <w:tr>
        <w:tc>
          <w:tcPr>
            <w:tcW w:type="dxa" w:w="3312"/>
          </w:tcPr>
          <w:p>
            <w:pPr>
              <w:spacing w:after="40"/>
            </w:pPr>
            <w:r/>
            <w:r>
              <w:rPr>
                <w:rFonts w:ascii="Aptos" w:hAnsi="Aptos"/>
                <w:b w:val="0"/>
                <w:i w:val="0"/>
                <w:sz w:val="19"/>
              </w:rPr>
              <w:t>Dr Samer Dahdoul</w:t>
            </w:r>
          </w:p>
        </w:tc>
        <w:tc>
          <w:tcPr>
            <w:tcW w:type="dxa" w:w="3312"/>
          </w:tcPr>
          <w:p>
            <w:pPr>
              <w:spacing w:after="40"/>
            </w:pPr>
            <w:r/>
            <w:r>
              <w:rPr>
                <w:rFonts w:ascii="Aptos" w:hAnsi="Aptos"/>
                <w:b w:val="0"/>
                <w:i w:val="0"/>
                <w:sz w:val="19"/>
              </w:rPr>
              <w:t>Senior Pediatrician, senior author</w:t>
            </w:r>
          </w:p>
        </w:tc>
        <w:tc>
          <w:tcPr>
            <w:tcW w:type="dxa" w:w="3312"/>
          </w:tcPr>
          <w:p>
            <w:pPr>
              <w:spacing w:after="40"/>
            </w:pPr>
            <w:r/>
            <w:r>
              <w:rPr>
                <w:rFonts w:ascii="Aptos" w:hAnsi="Aptos"/>
                <w:b w:val="0"/>
                <w:i w:val="0"/>
                <w:sz w:val="19"/>
              </w:rPr>
              <w:t>Clinical oversight, final approval, and the independent verification review of 80 sampled pairs</w:t>
            </w:r>
          </w:p>
        </w:tc>
      </w:tr>
      <w:tr>
        <w:tc>
          <w:tcPr>
            <w:tcW w:type="dxa" w:w="3312"/>
          </w:tcPr>
          <w:p>
            <w:pPr>
              <w:spacing w:after="40"/>
            </w:pPr>
            <w:r/>
            <w:r>
              <w:rPr>
                <w:rFonts w:ascii="Aptos" w:hAnsi="Aptos"/>
                <w:b w:val="0"/>
                <w:i w:val="0"/>
                <w:sz w:val="19"/>
              </w:rPr>
              <w:t>Dr Amani Salman</w:t>
            </w:r>
          </w:p>
        </w:tc>
        <w:tc>
          <w:tcPr>
            <w:tcW w:type="dxa" w:w="3312"/>
          </w:tcPr>
          <w:p>
            <w:pPr>
              <w:spacing w:after="40"/>
            </w:pPr>
            <w:r/>
            <w:r>
              <w:rPr>
                <w:rFonts w:ascii="Aptos" w:hAnsi="Aptos"/>
                <w:b w:val="0"/>
                <w:i w:val="0"/>
                <w:sz w:val="19"/>
              </w:rPr>
              <w:t>Senior Pediatrician, adjudicator</w:t>
            </w:r>
          </w:p>
        </w:tc>
        <w:tc>
          <w:tcPr>
            <w:tcW w:type="dxa" w:w="3312"/>
          </w:tcPr>
          <w:p>
            <w:pPr>
              <w:spacing w:after="40"/>
            </w:pPr>
            <w:r/>
            <w:r>
              <w:rPr>
                <w:rFonts w:ascii="Aptos" w:hAnsi="Aptos"/>
                <w:b w:val="0"/>
                <w:i w:val="0"/>
                <w:sz w:val="19"/>
              </w:rPr>
              <w:t>Resolves disagreements between the two reviewers and decides the final classification</w:t>
            </w:r>
          </w:p>
        </w:tc>
      </w:tr>
      <w:tr>
        <w:tc>
          <w:tcPr>
            <w:tcW w:type="dxa" w:w="3312"/>
          </w:tcPr>
          <w:p>
            <w:pPr>
              <w:spacing w:after="40"/>
            </w:pPr>
            <w:r/>
            <w:r>
              <w:rPr>
                <w:rFonts w:ascii="Aptos" w:hAnsi="Aptos"/>
                <w:b w:val="0"/>
                <w:i w:val="0"/>
                <w:sz w:val="19"/>
              </w:rPr>
              <w:t xml:space="preserve">Dr Waad </w:t>
            </w:r>
            <w:r>
              <w:rPr>
                <w:rFonts w:ascii="Consolas" w:hAnsi="Consolas"/>
                <w:b w:val="0"/>
                <w:i w:val="0"/>
                <w:color w:val="444444"/>
                <w:sz w:val="19"/>
              </w:rPr>
              <w:t>[full name]</w:t>
            </w:r>
          </w:p>
        </w:tc>
        <w:tc>
          <w:tcPr>
            <w:tcW w:type="dxa" w:w="3312"/>
          </w:tcPr>
          <w:p>
            <w:pPr>
              <w:spacing w:after="40"/>
            </w:pPr>
            <w:r/>
            <w:r>
              <w:rPr>
                <w:rFonts w:ascii="Aptos" w:hAnsi="Aptos"/>
                <w:b w:val="0"/>
                <w:i w:val="0"/>
                <w:sz w:val="19"/>
              </w:rPr>
              <w:t>Resident, Reviewer 1</w:t>
            </w:r>
          </w:p>
        </w:tc>
        <w:tc>
          <w:tcPr>
            <w:tcW w:type="dxa" w:w="3312"/>
          </w:tcPr>
          <w:p>
            <w:pPr>
              <w:spacing w:after="40"/>
            </w:pPr>
            <w:r/>
            <w:r>
              <w:rPr>
                <w:rFonts w:ascii="Aptos" w:hAnsi="Aptos"/>
                <w:b w:val="0"/>
                <w:i w:val="0"/>
                <w:sz w:val="19"/>
              </w:rPr>
              <w:t>Independent classification of all 400 sampled pairs, interpretation, manuscript drafting</w:t>
            </w:r>
          </w:p>
        </w:tc>
      </w:tr>
      <w:tr>
        <w:tc>
          <w:tcPr>
            <w:tcW w:type="dxa" w:w="3312"/>
          </w:tcPr>
          <w:p>
            <w:pPr>
              <w:spacing w:after="40"/>
            </w:pPr>
            <w:r/>
            <w:r>
              <w:rPr>
                <w:rFonts w:ascii="Aptos" w:hAnsi="Aptos"/>
                <w:b w:val="0"/>
                <w:i w:val="0"/>
                <w:sz w:val="19"/>
              </w:rPr>
              <w:t xml:space="preserve">Dr Ainaa </w:t>
            </w:r>
            <w:r>
              <w:rPr>
                <w:rFonts w:ascii="Consolas" w:hAnsi="Consolas"/>
                <w:b w:val="0"/>
                <w:i w:val="0"/>
                <w:color w:val="444444"/>
                <w:sz w:val="19"/>
              </w:rPr>
              <w:t>[full name]</w:t>
            </w:r>
          </w:p>
        </w:tc>
        <w:tc>
          <w:tcPr>
            <w:tcW w:type="dxa" w:w="3312"/>
          </w:tcPr>
          <w:p>
            <w:pPr>
              <w:spacing w:after="40"/>
            </w:pPr>
            <w:r/>
            <w:r>
              <w:rPr>
                <w:rFonts w:ascii="Aptos" w:hAnsi="Aptos"/>
                <w:b w:val="0"/>
                <w:i w:val="0"/>
                <w:sz w:val="19"/>
              </w:rPr>
              <w:t>Resident, Reviewer 2</w:t>
            </w:r>
          </w:p>
        </w:tc>
        <w:tc>
          <w:tcPr>
            <w:tcW w:type="dxa" w:w="3312"/>
          </w:tcPr>
          <w:p>
            <w:pPr>
              <w:spacing w:after="40"/>
            </w:pPr>
            <w:r/>
            <w:r>
              <w:rPr>
                <w:rFonts w:ascii="Aptos" w:hAnsi="Aptos"/>
                <w:b w:val="0"/>
                <w:i w:val="0"/>
                <w:sz w:val="19"/>
              </w:rPr>
              <w:t>Independent classification of all 400 sampled pairs, interpretation, manuscript drafting</w:t>
            </w:r>
          </w:p>
        </w:tc>
      </w:tr>
    </w:tbl>
    <w:p>
      <w:pPr>
        <w:spacing w:after="80"/>
      </w:pPr>
    </w:p>
    <w:p>
      <w:r>
        <w:rPr>
          <w:rFonts w:ascii="Aptos" w:hAnsi="Aptos"/>
          <w:b w:val="0"/>
          <w:i w:val="0"/>
        </w:rPr>
        <w:t>All team members will meet international authorship criteria through substantial contribution to design or analysis, drafting or critical revision, final approval, and accountability for the work.</w:t>
      </w:r>
    </w:p>
    <w:p>
      <w:pPr>
        <w:pStyle w:val="Heading2"/>
      </w:pPr>
      <w:r>
        <w:rPr>
          <w:rFonts w:ascii="Aptos" w:hAnsi="Aptos"/>
          <w:b w:val="0"/>
          <w:i w:val="0"/>
        </w:rPr>
        <w:t>8. References</w:t>
      </w:r>
    </w:p>
    <w:p>
      <w:pPr>
        <w:pStyle w:val="ListNumber"/>
        <w:spacing w:after="60"/>
        <w:ind w:left="403"/>
      </w:pPr>
      <w:r>
        <w:rPr>
          <w:rFonts w:ascii="Aptos" w:hAnsi="Aptos"/>
          <w:b w:val="0"/>
          <w:i w:val="0"/>
        </w:rPr>
        <w:t xml:space="preserve">Libov D, Zocchi M, Venkat A, Ruttan T, Allen C, Wilkinson M. Comparing Pediatric 72-Hour Emergency Department Returns: General vs Pediatric Emergency Departments. </w:t>
      </w:r>
      <w:r>
        <w:rPr>
          <w:rFonts w:ascii="Aptos" w:hAnsi="Aptos"/>
          <w:b w:val="0"/>
          <w:i/>
        </w:rPr>
        <w:t>West J Emerg Med.</w:t>
      </w:r>
      <w:r>
        <w:rPr>
          <w:rFonts w:ascii="Aptos" w:hAnsi="Aptos"/>
          <w:b w:val="0"/>
          <w:i w:val="0"/>
        </w:rPr>
        <w:t xml:space="preserve"> 2025. PMID 41192994.</w:t>
      </w:r>
    </w:p>
    <w:p>
      <w:pPr>
        <w:pStyle w:val="ListNumber"/>
        <w:spacing w:after="60"/>
        <w:ind w:left="403"/>
      </w:pPr>
      <w:r>
        <w:rPr>
          <w:rFonts w:ascii="Aptos" w:hAnsi="Aptos"/>
          <w:b w:val="0"/>
          <w:i w:val="0"/>
        </w:rPr>
        <w:t xml:space="preserve">AlAteeq M, Althuwaini S, Alsubaie H, et al. Seventy-Two-Hour Emergency Department Revisits in the Pediatric Population at King Abdullah Specialist Children's Hospital, Riyadh, Saudi Arabia: A Morbidity Analysis. </w:t>
      </w:r>
      <w:r>
        <w:rPr>
          <w:rFonts w:ascii="Aptos" w:hAnsi="Aptos"/>
          <w:b w:val="0"/>
          <w:i/>
        </w:rPr>
        <w:t>Int J Pediatr.</w:t>
      </w:r>
      <w:r>
        <w:rPr>
          <w:rFonts w:ascii="Aptos" w:hAnsi="Aptos"/>
          <w:b w:val="0"/>
          <w:i w:val="0"/>
        </w:rPr>
        <w:t xml:space="preserve"> 2026. PMID 42328418.</w:t>
      </w:r>
    </w:p>
    <w:p>
      <w:pPr>
        <w:pStyle w:val="ListNumber"/>
        <w:spacing w:after="60"/>
        <w:ind w:left="403"/>
      </w:pPr>
      <w:r>
        <w:rPr>
          <w:rFonts w:ascii="Aptos" w:hAnsi="Aptos"/>
          <w:b w:val="0"/>
          <w:i w:val="0"/>
        </w:rPr>
        <w:t xml:space="preserve">Jamjoom M, Milibari BB, Altirkistani BA, et al. Factors Associated With 72-Hour Emergency Department Revisits at a Tertiary Care Hospital in Saudi Arabia. </w:t>
      </w:r>
      <w:r>
        <w:rPr>
          <w:rFonts w:ascii="Aptos" w:hAnsi="Aptos"/>
          <w:b w:val="0"/>
          <w:i/>
        </w:rPr>
        <w:t>Cureus.</w:t>
      </w:r>
      <w:r>
        <w:rPr>
          <w:rFonts w:ascii="Aptos" w:hAnsi="Aptos"/>
          <w:b w:val="0"/>
          <w:i w:val="0"/>
        </w:rPr>
        <w:t xml:space="preserve"> 2026. PMID 42037826.</w:t>
      </w:r>
    </w:p>
    <w:p>
      <w:pPr>
        <w:pStyle w:val="ListNumber"/>
        <w:spacing w:after="60"/>
        <w:ind w:left="403"/>
      </w:pPr>
      <w:r>
        <w:rPr>
          <w:rFonts w:ascii="Aptos" w:hAnsi="Aptos"/>
          <w:b w:val="0"/>
          <w:i w:val="0"/>
        </w:rPr>
        <w:t xml:space="preserve">Emergency Department Return Visits Resulting in Admission: Do They Reflect Quality of Care? </w:t>
      </w:r>
      <w:r>
        <w:rPr>
          <w:rFonts w:ascii="Aptos" w:hAnsi="Aptos"/>
          <w:b w:val="0"/>
          <w:i/>
        </w:rPr>
        <w:t>Am J Med Qual.</w:t>
      </w:r>
      <w:r>
        <w:rPr>
          <w:rFonts w:ascii="Aptos" w:hAnsi="Aptos"/>
          <w:b w:val="0"/>
          <w:i w:val="0"/>
        </w:rPr>
        <w:t xml:space="preserve"> 2016. PMID 26160967.</w:t>
      </w:r>
    </w:p>
    <w:p>
      <w:pPr>
        <w:pStyle w:val="ListNumber"/>
        <w:spacing w:after="60"/>
        <w:ind w:left="403"/>
      </w:pPr>
      <w:r>
        <w:rPr>
          <w:rFonts w:ascii="Aptos" w:hAnsi="Aptos"/>
          <w:b w:val="0"/>
          <w:i w:val="0"/>
        </w:rPr>
        <w:t xml:space="preserve">Bouncing Back Elsewhere: Multilevel Analysis of Return Visits to the Same or a Different Hospital After Initial Emergency Department Presentation. </w:t>
      </w:r>
      <w:r>
        <w:rPr>
          <w:rFonts w:ascii="Aptos" w:hAnsi="Aptos"/>
          <w:b w:val="0"/>
          <w:i/>
        </w:rPr>
        <w:t>Ann Emerg Med.</w:t>
      </w:r>
      <w:r>
        <w:rPr>
          <w:rFonts w:ascii="Aptos" w:hAnsi="Aptos"/>
          <w:b w:val="0"/>
          <w:i w:val="0"/>
        </w:rPr>
        <w:t xml:space="preserve"> 2018. PMID 28967514.</w:t>
      </w:r>
    </w:p>
    <w:p>
      <w:pPr>
        <w:pStyle w:val="ListNumber"/>
        <w:spacing w:after="60"/>
        <w:ind w:left="403"/>
      </w:pPr>
      <w:r>
        <w:rPr>
          <w:rFonts w:ascii="Aptos" w:hAnsi="Aptos"/>
          <w:b w:val="0"/>
          <w:i w:val="0"/>
        </w:rPr>
        <w:t xml:space="preserve">Identifying discordance between senior physicians and trainees on the root cause of ED revisits. </w:t>
      </w:r>
      <w:r>
        <w:rPr>
          <w:rFonts w:ascii="Aptos" w:hAnsi="Aptos"/>
          <w:b w:val="0"/>
          <w:i/>
        </w:rPr>
        <w:t>Emerg Med J.</w:t>
      </w:r>
      <w:r>
        <w:rPr>
          <w:rFonts w:ascii="Aptos" w:hAnsi="Aptos"/>
          <w:b w:val="0"/>
          <w:i w:val="0"/>
        </w:rPr>
        <w:t xml:space="preserve"> 2017. PMID 28801485.</w:t>
      </w:r>
    </w:p>
    <w:p>
      <w:pPr>
        <w:pStyle w:val="ListNumber"/>
        <w:spacing w:after="60"/>
        <w:ind w:left="403"/>
      </w:pPr>
      <w:r>
        <w:rPr>
          <w:rFonts w:ascii="Aptos" w:hAnsi="Aptos"/>
          <w:b w:val="0"/>
          <w:i w:val="0"/>
        </w:rPr>
        <w:t xml:space="preserve">Shawahna R, et al. Availability of Pediatric Services and Equipment in Emergency Departments: A Multicenter Study in Resource-Limited Settings. </w:t>
      </w:r>
      <w:r>
        <w:rPr>
          <w:rFonts w:ascii="Aptos" w:hAnsi="Aptos"/>
          <w:b w:val="0"/>
          <w:i/>
        </w:rPr>
        <w:t>Pediatr Emerg Care.</w:t>
      </w:r>
      <w:r>
        <w:rPr>
          <w:rFonts w:ascii="Aptos" w:hAnsi="Aptos"/>
          <w:b w:val="0"/>
          <w:i w:val="0"/>
        </w:rPr>
        <w:t xml:space="preserve"> 2024.</w:t>
      </w:r>
    </w:p>
    <w:p>
      <w:pPr>
        <w:pStyle w:val="ListNumber"/>
        <w:spacing w:after="60"/>
        <w:ind w:left="403"/>
      </w:pPr>
      <w:r>
        <w:rPr>
          <w:rFonts w:ascii="Aptos" w:hAnsi="Aptos"/>
          <w:b w:val="0"/>
          <w:i w:val="0"/>
        </w:rPr>
        <w:t xml:space="preserve">Ahmed AE, ALMuqbil BI, Alrajhi MN, et al. Emergency department 72-hour revisits among children with chronic diseases: a Saudi Arabian study. </w:t>
      </w:r>
      <w:r>
        <w:rPr>
          <w:rFonts w:ascii="Aptos" w:hAnsi="Aptos"/>
          <w:b w:val="0"/>
          <w:i/>
        </w:rPr>
        <w:t>BMC Pediatr.</w:t>
      </w:r>
      <w:r>
        <w:rPr>
          <w:rFonts w:ascii="Aptos" w:hAnsi="Aptos"/>
          <w:b w:val="0"/>
          <w:i w:val="0"/>
        </w:rPr>
        <w:t xml:space="preserve"> 2018;18(1):205. PMID 29945589.</w:t>
      </w:r>
    </w:p>
    <w:p>
      <w:pPr>
        <w:pStyle w:val="ListNumber"/>
        <w:spacing w:after="60"/>
        <w:ind w:left="403"/>
      </w:pPr>
      <w:r>
        <w:rPr>
          <w:rFonts w:ascii="Aptos" w:hAnsi="Aptos"/>
          <w:b w:val="0"/>
          <w:i w:val="0"/>
        </w:rPr>
        <w:t xml:space="preserve">Okeke CV, Obaji OV, Ogeh CO, et al. Determinants and Prevalence of Paediatrics Return Visits to the Emergency Department in a Tertiary Hospital in Southeast Nigeria: A Retrospective Study. </w:t>
      </w:r>
      <w:r>
        <w:rPr>
          <w:rFonts w:ascii="Aptos" w:hAnsi="Aptos"/>
          <w:b w:val="0"/>
          <w:i/>
        </w:rPr>
        <w:t>Niger Med J.</w:t>
      </w:r>
      <w:r>
        <w:rPr>
          <w:rFonts w:ascii="Aptos" w:hAnsi="Aptos"/>
          <w:b w:val="0"/>
          <w:i w:val="0"/>
        </w:rPr>
        <w:t xml:space="preserve"> 2025;66(1):174-186. PMID 40309556.</w:t>
      </w:r>
    </w:p>
    <w:p>
      <w:pPr>
        <w:pStyle w:val="Heading2"/>
      </w:pPr>
      <w:r>
        <w:rPr>
          <w:rFonts w:ascii="Aptos" w:hAnsi="Aptos"/>
          <w:b w:val="0"/>
          <w:i w:val="0"/>
        </w:rPr>
        <w:t>Declaration</w:t>
      </w:r>
    </w:p>
    <w:p>
      <w:r>
        <w:rPr>
          <w:rFonts w:ascii="Aptos" w:hAnsi="Aptos"/>
          <w:b w:val="0"/>
          <w:i w:val="0"/>
        </w:rPr>
        <w:t>I confirm that this study will be conducted in accordance with the Declaration of Helsinki and applicable Palestinian Ministry of Health regulations; that no patient will be contacted or affected; that patient confidentiality will be protected as described above; and that any amendment to this protocol will be submitted for approval before implementation.</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Principal Investigator</w:t>
            </w:r>
          </w:p>
        </w:tc>
        <w:tc>
          <w:tcPr>
            <w:tcW w:type="dxa" w:w="4968"/>
          </w:tcPr>
          <w:p>
            <w:pPr>
              <w:spacing w:after="20"/>
            </w:pPr>
            <w:r/>
            <w:r>
              <w:rPr>
                <w:rFonts w:ascii="Aptos" w:hAnsi="Aptos"/>
                <w:b w:val="0"/>
                <w:i w:val="0"/>
                <w:sz w:val="20"/>
              </w:rPr>
              <w:t>Dr Lami Qurt</w:t>
            </w:r>
          </w:p>
        </w:tc>
      </w:tr>
      <w:tr>
        <w:tc>
          <w:tcPr>
            <w:tcW w:type="dxa" w:w="3024"/>
          </w:tcPr>
          <w:p>
            <w:pPr>
              <w:spacing w:after="20"/>
            </w:pPr>
            <w:r/>
            <w:r>
              <w:rPr>
                <w:rFonts w:ascii="Aptos" w:hAnsi="Aptos"/>
                <w:b/>
                <w:i w:val="0"/>
                <w:sz w:val="20"/>
              </w:rPr>
              <w:t>Signature</w:t>
            </w:r>
          </w:p>
        </w:tc>
        <w:tc>
          <w:tcPr>
            <w:tcW w:type="dxa" w:w="4968"/>
          </w:tcPr>
          <w:p>
            <w:pPr>
              <w:spacing w:after="20"/>
            </w:pPr>
            <w:r/>
            <w:r>
              <w:rPr>
                <w:rFonts w:ascii="Aptos" w:hAnsi="Aptos"/>
                <w:b w:val="0"/>
                <w:i w:val="0"/>
                <w:sz w:val="20"/>
              </w:rPr>
              <w:t xml:space="preserve">____________________  </w:t>
            </w:r>
            <w:r>
              <w:rPr>
                <w:rFonts w:ascii="Aptos" w:hAnsi="Aptos"/>
                <w:b/>
                <w:i w:val="0"/>
                <w:sz w:val="20"/>
              </w:rPr>
              <w:t>Date:</w:t>
            </w:r>
            <w:r>
              <w:rPr>
                <w:rFonts w:ascii="Aptos" w:hAnsi="Aptos"/>
                <w:b w:val="0"/>
                <w:i w:val="0"/>
                <w:sz w:val="20"/>
              </w:rPr>
              <w:t xml:space="preserve"> ____________</w:t>
            </w:r>
          </w:p>
        </w:tc>
      </w:tr>
    </w:tbl>
    <w:p>
      <w:pPr>
        <w:spacing w:after="8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