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ptos" w:hAnsi="Aptos"/>
          <w:b w:val="0"/>
          <w:i w:val="0"/>
        </w:rPr>
        <w:t>Data Export Request — IT Department</w:t>
      </w:r>
    </w:p>
    <w:tbl>
      <w:tblPr>
        <w:tblW w:type="auto" w:w="0"/>
        <w:jc w:val="left"/>
        <w:tblLook w:firstColumn="1" w:firstRow="1" w:lastColumn="0" w:lastRow="0" w:noHBand="0" w:noVBand="1" w:val="04A0"/>
      </w:tblPr>
      <w:tblGrid>
        <w:gridCol w:w="4968"/>
        <w:gridCol w:w="4968"/>
      </w:tblGrid>
      <w:tr>
        <w:tc>
          <w:tcPr>
            <w:tcW w:type="dxa" w:w="3024"/>
          </w:tcPr>
          <w:p>
            <w:pPr>
              <w:spacing w:after="20"/>
            </w:pPr>
            <w:r/>
            <w:r>
              <w:rPr>
                <w:rFonts w:ascii="Aptos" w:hAnsi="Aptos"/>
                <w:b/>
                <w:i w:val="0"/>
                <w:sz w:val="20"/>
              </w:rPr>
              <w:t>To</w:t>
            </w:r>
          </w:p>
        </w:tc>
        <w:tc>
          <w:tcPr>
            <w:tcW w:type="dxa" w:w="4968"/>
          </w:tcPr>
          <w:p>
            <w:pPr>
              <w:spacing w:after="20"/>
            </w:pPr>
            <w:r/>
            <w:r>
              <w:rPr>
                <w:rFonts w:ascii="Aptos" w:hAnsi="Aptos"/>
                <w:b w:val="0"/>
                <w:i w:val="0"/>
                <w:sz w:val="20"/>
              </w:rPr>
              <w:t>IT Department, Palestine Medical Complex</w:t>
            </w:r>
          </w:p>
        </w:tc>
      </w:tr>
      <w:tr>
        <w:tc>
          <w:tcPr>
            <w:tcW w:type="dxa" w:w="3024"/>
          </w:tcPr>
          <w:p>
            <w:pPr>
              <w:spacing w:after="20"/>
            </w:pPr>
            <w:r/>
            <w:r>
              <w:rPr>
                <w:rFonts w:ascii="Aptos" w:hAnsi="Aptos"/>
                <w:b/>
                <w:i w:val="0"/>
                <w:sz w:val="20"/>
              </w:rPr>
              <w:t>From</w:t>
            </w:r>
          </w:p>
        </w:tc>
        <w:tc>
          <w:tcPr>
            <w:tcW w:type="dxa" w:w="4968"/>
          </w:tcPr>
          <w:p>
            <w:pPr>
              <w:spacing w:after="20"/>
            </w:pPr>
            <w:r/>
            <w:r>
              <w:rPr>
                <w:rFonts w:ascii="Aptos" w:hAnsi="Aptos"/>
                <w:b w:val="0"/>
                <w:i w:val="0"/>
                <w:sz w:val="20"/>
              </w:rPr>
              <w:t>Dr Lami Qurt, Department of Pediatrics</w:t>
            </w:r>
          </w:p>
        </w:tc>
      </w:tr>
      <w:tr>
        <w:tc>
          <w:tcPr>
            <w:tcW w:type="dxa" w:w="3024"/>
          </w:tcPr>
          <w:p>
            <w:pPr>
              <w:spacing w:after="20"/>
            </w:pPr>
            <w:r/>
            <w:r>
              <w:rPr>
                <w:rFonts w:ascii="Aptos" w:hAnsi="Aptos"/>
                <w:b/>
                <w:i w:val="0"/>
                <w:sz w:val="20"/>
              </w:rPr>
              <w:t>Re</w:t>
            </w:r>
          </w:p>
        </w:tc>
        <w:tc>
          <w:tcPr>
            <w:tcW w:type="dxa" w:w="4968"/>
          </w:tcPr>
          <w:p>
            <w:pPr>
              <w:spacing w:after="20"/>
            </w:pPr>
            <w:r/>
            <w:r>
              <w:rPr>
                <w:rFonts w:ascii="Aptos" w:hAnsi="Aptos"/>
                <w:b w:val="0"/>
                <w:i w:val="0"/>
                <w:sz w:val="20"/>
              </w:rPr>
              <w:t>Data export for an approved research study on pediatric emergency department return visits</w:t>
            </w:r>
          </w:p>
        </w:tc>
      </w:tr>
      <w:tr>
        <w:tc>
          <w:tcPr>
            <w:tcW w:type="dxa" w:w="3024"/>
          </w:tcPr>
          <w:p>
            <w:pPr>
              <w:spacing w:after="20"/>
            </w:pPr>
            <w:r/>
            <w:r>
              <w:rPr>
                <w:rFonts w:ascii="Aptos" w:hAnsi="Aptos"/>
                <w:b/>
                <w:i w:val="0"/>
                <w:sz w:val="20"/>
              </w:rPr>
              <w:t>Date</w:t>
            </w:r>
          </w:p>
        </w:tc>
        <w:tc>
          <w:tcPr>
            <w:tcW w:type="dxa" w:w="4968"/>
          </w:tcPr>
          <w:p>
            <w:pPr>
              <w:spacing w:after="20"/>
            </w:pPr>
            <w:r/>
            <w:r>
              <w:rPr>
                <w:rFonts w:ascii="Aptos" w:hAnsi="Aptos"/>
                <w:b w:val="0"/>
                <w:i w:val="0"/>
                <w:sz w:val="20"/>
              </w:rPr>
              <w:t>____________</w:t>
            </w:r>
          </w:p>
        </w:tc>
      </w:tr>
    </w:tbl>
    <w:p>
      <w:pPr>
        <w:spacing w:after="80"/>
      </w:pPr>
    </w:p>
    <w:p>
      <w:pPr>
        <w:spacing w:before="80" w:after="160"/>
        <w:ind w:left="317" w:right="173"/>
        <w:shd w:val="clear" w:fill="F2F2F2"/>
      </w:pPr>
      <w:r>
        <w:rPr>
          <w:rFonts w:ascii="Aptos" w:hAnsi="Aptos"/>
          <w:b/>
          <w:i w:val="0"/>
        </w:rPr>
        <w:t>Do not send this until MoH ethics approval has been granted.</w:t>
      </w:r>
      <w:r>
        <w:rPr>
          <w:rFonts w:ascii="Aptos" w:hAnsi="Aptos"/>
          <w:b w:val="0"/>
          <w:i w:val="0"/>
        </w:rPr>
        <w:t xml:space="preserve"> Confirmed with the MoH research office on 2026-08-17: </w:t>
      </w:r>
      <w:r>
        <w:rPr>
          <w:rFonts w:ascii="Aptos" w:hAnsi="Aptos"/>
          <w:b/>
          <w:i w:val="0"/>
        </w:rPr>
        <w:t>IT will not produce the export before approval.</w:t>
      </w:r>
      <w:r>
        <w:rPr>
          <w:rFonts w:ascii="Aptos" w:hAnsi="Aptos"/>
          <w:b w:val="0"/>
          <w:i w:val="0"/>
        </w:rPr>
        <w:t xml:space="preserve"> Attach the approval letter when you send this request.</w:t>
      </w:r>
    </w:p>
    <w:p>
      <w:pPr>
        <w:spacing w:before="80" w:after="160"/>
        <w:ind w:left="317" w:right="173"/>
        <w:shd w:val="clear" w:fill="F2F2F2"/>
      </w:pPr>
      <w:r>
        <w:rPr>
          <w:rFonts w:ascii="Aptos" w:hAnsi="Aptos"/>
          <w:b/>
          <w:i w:val="0"/>
        </w:rPr>
        <w:t>The questions in the final section are a separate matter and can be asked now.</w:t>
      </w:r>
      <w:r>
        <w:rPr>
          <w:rFonts w:ascii="Aptos" w:hAnsi="Aptos"/>
          <w:b w:val="0"/>
          <w:i w:val="0"/>
        </w:rPr>
        <w:t xml:space="preserve"> They ask how the system behaves, not for any patient data, so they should not require approval.</w:t>
      </w:r>
    </w:p>
    <w:p>
      <w:pPr>
        <w:spacing w:before="80" w:after="160"/>
        <w:ind w:left="317" w:right="173"/>
        <w:shd w:val="clear" w:fill="F2F2F2"/>
      </w:pPr>
      <w:r>
        <w:rPr>
          <w:rFonts w:ascii="Aptos" w:hAnsi="Aptos"/>
          <w:b/>
          <w:i w:val="0"/>
        </w:rPr>
        <w:t>Confirmed 2026-08-19:</w:t>
      </w:r>
      <w:r>
        <w:rPr>
          <w:rFonts w:ascii="Aptos" w:hAnsi="Aptos"/>
          <w:b w:val="0"/>
          <w:i w:val="0"/>
        </w:rPr>
        <w:t xml:space="preserve"> the patient identifier </w:t>
      </w:r>
      <w:r>
        <w:rPr>
          <w:rFonts w:ascii="Aptos" w:hAnsi="Aptos"/>
          <w:b/>
          <w:i w:val="0"/>
        </w:rPr>
        <w:t>is present in the HIS and is stable across visits</w:t>
      </w:r>
      <w:r>
        <w:rPr>
          <w:rFonts w:ascii="Aptos" w:hAnsi="Aptos"/>
          <w:b w:val="0"/>
          <w:i w:val="0"/>
        </w:rPr>
        <w:t xml:space="preserve">, and the treating doctor's name </w:t>
      </w:r>
      <w:r>
        <w:rPr>
          <w:rFonts w:ascii="Aptos" w:hAnsi="Aptos"/>
          <w:b/>
          <w:i w:val="0"/>
        </w:rPr>
        <w:t>can be withheld</w:t>
      </w:r>
      <w:r>
        <w:rPr>
          <w:rFonts w:ascii="Aptos" w:hAnsi="Aptos"/>
          <w:b w:val="0"/>
          <w:i w:val="0"/>
        </w:rPr>
        <w:t xml:space="preserve"> from the review extract. Both were previously open questions and both are now settled, so the study is feasible as designed. The remaining question below is about cohort size only.</w:t>
      </w:r>
    </w:p>
    <w:p>
      <w:pPr>
        <w:pStyle w:val="Heading2"/>
      </w:pPr>
      <w:r>
        <w:rPr>
          <w:rFonts w:ascii="Aptos" w:hAnsi="Aptos"/>
          <w:b w:val="0"/>
          <w:i w:val="0"/>
        </w:rPr>
        <w:t>What is requested</w:t>
      </w:r>
    </w:p>
    <w:p>
      <w:r>
        <w:rPr>
          <w:rFonts w:ascii="Aptos" w:hAnsi="Aptos"/>
          <w:b/>
          <w:i w:val="0"/>
        </w:rPr>
        <w:t>One Excel file</w:t>
      </w:r>
      <w:r>
        <w:rPr>
          <w:rFonts w:ascii="Aptos" w:hAnsi="Aptos"/>
          <w:b w:val="0"/>
          <w:i w:val="0"/>
        </w:rPr>
        <w:t xml:space="preserve"> containing </w:t>
      </w:r>
      <w:r>
        <w:rPr>
          <w:rFonts w:ascii="Aptos" w:hAnsi="Aptos"/>
          <w:b/>
          <w:i w:val="0"/>
        </w:rPr>
        <w:t>one row per pediatric emergency department visit</w:t>
      </w:r>
      <w:r>
        <w:rPr>
          <w:rFonts w:ascii="Aptos" w:hAnsi="Aptos"/>
          <w:b w:val="0"/>
          <w:i w:val="0"/>
        </w:rPr>
        <w:t xml:space="preserve"> for the period:</w:t>
      </w:r>
    </w:p>
    <w:p>
      <w:r>
        <w:rPr>
          <w:rFonts w:ascii="Aptos" w:hAnsi="Aptos"/>
          <w:b/>
          <w:i w:val="0"/>
        </w:rPr>
        <w:t>1 January 2024 – 31 December 2025</w:t>
      </w:r>
    </w:p>
    <w:p>
      <w:r>
        <w:rPr>
          <w:rFonts w:ascii="Aptos" w:hAnsi="Aptos"/>
          <w:b w:val="0"/>
          <w:i w:val="0"/>
        </w:rPr>
        <w:t xml:space="preserve">Filter: patients aged </w:t>
      </w:r>
      <w:r>
        <w:rPr>
          <w:rFonts w:ascii="Aptos" w:hAnsi="Aptos"/>
          <w:b/>
          <w:i w:val="0"/>
        </w:rPr>
        <w:t>under 13 years</w:t>
      </w:r>
      <w:r>
        <w:rPr>
          <w:rFonts w:ascii="Aptos" w:hAnsi="Aptos"/>
          <w:b w:val="0"/>
          <w:i w:val="0"/>
        </w:rPr>
        <w:t xml:space="preserve"> at the time of the visit, presenting to the </w:t>
      </w:r>
      <w:r>
        <w:rPr>
          <w:rFonts w:ascii="Aptos" w:hAnsi="Aptos"/>
          <w:b/>
          <w:i w:val="0"/>
        </w:rPr>
        <w:t>pediatric emergency department</w:t>
      </w:r>
      <w:r>
        <w:rPr>
          <w:rFonts w:ascii="Aptos" w:hAnsi="Aptos"/>
          <w:b w:val="0"/>
          <w:i w:val="0"/>
        </w:rPr>
        <w:t>. Per Ministry of Health rules, pediatrics at PMC covers ages 0 to under 13 and older patients attend the adult emergency department, so this filter should describe the whole pediatric ED rather than restrict it. Please confirm that is how the system classifies these visits.</w:t>
      </w:r>
    </w:p>
    <w:p>
      <w:r>
        <w:rPr>
          <w:rFonts w:ascii="Aptos" w:hAnsi="Aptos"/>
          <w:b w:val="0"/>
          <w:i w:val="0"/>
        </w:rPr>
        <w:t xml:space="preserve">Please include </w:t>
      </w:r>
      <w:r>
        <w:rPr>
          <w:rFonts w:ascii="Aptos" w:hAnsi="Aptos"/>
          <w:b/>
          <w:i w:val="0"/>
        </w:rPr>
        <w:t>all</w:t>
      </w:r>
      <w:r>
        <w:rPr>
          <w:rFonts w:ascii="Aptos" w:hAnsi="Aptos"/>
          <w:b w:val="0"/>
          <w:i w:val="0"/>
        </w:rPr>
        <w:t xml:space="preserve"> such visits — those admitted and those discharged. The study needs both in order to calculate the denominator correctly.</w:t>
      </w:r>
    </w:p>
    <w:p>
      <w:pPr>
        <w:pStyle w:val="Heading2"/>
      </w:pPr>
      <w:r>
        <w:rPr>
          <w:rFonts w:ascii="Aptos" w:hAnsi="Aptos"/>
          <w:b w:val="0"/>
          <w:i w:val="0"/>
        </w:rPr>
        <w:t>Fields required</w:t>
      </w:r>
    </w:p>
    <w:p>
      <w:pPr>
        <w:pStyle w:val="Heading3"/>
      </w:pPr>
      <w:r>
        <w:rPr>
          <w:rFonts w:ascii="Aptos" w:hAnsi="Aptos"/>
          <w:b w:val="0"/>
          <w:i w:val="0"/>
        </w:rPr>
        <w:t>Essential — the study cannot proceed without these</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fill="DEE7F0"/>
          </w:tcPr>
          <w:p>
            <w:pPr>
              <w:spacing w:after="40"/>
            </w:pPr>
            <w:r/>
            <w:r>
              <w:rPr>
                <w:rFonts w:ascii="Aptos" w:hAnsi="Aptos"/>
                <w:b/>
                <w:i w:val="0"/>
                <w:sz w:val="19"/>
              </w:rPr>
              <w:t>#</w:t>
            </w:r>
          </w:p>
        </w:tc>
        <w:tc>
          <w:tcPr>
            <w:tcW w:type="dxa" w:w="3312"/>
            <w:shd w:val="clear" w:fill="DEE7F0"/>
          </w:tcPr>
          <w:p>
            <w:pPr>
              <w:spacing w:after="40"/>
            </w:pPr>
            <w:r/>
            <w:r>
              <w:rPr>
                <w:rFonts w:ascii="Aptos" w:hAnsi="Aptos"/>
                <w:b/>
                <w:i w:val="0"/>
                <w:sz w:val="19"/>
              </w:rPr>
              <w:t>Field</w:t>
            </w:r>
          </w:p>
        </w:tc>
        <w:tc>
          <w:tcPr>
            <w:tcW w:type="dxa" w:w="3312"/>
            <w:shd w:val="clear" w:fill="DEE7F0"/>
          </w:tcPr>
          <w:p>
            <w:pPr>
              <w:spacing w:after="40"/>
            </w:pPr>
            <w:r/>
            <w:r>
              <w:rPr>
                <w:rFonts w:ascii="Aptos" w:hAnsi="Aptos"/>
                <w:b/>
                <w:i w:val="0"/>
                <w:sz w:val="19"/>
              </w:rPr>
              <w:t>Why it is needed</w:t>
            </w:r>
          </w:p>
        </w:tc>
      </w:tr>
      <w:tr>
        <w:tc>
          <w:tcPr>
            <w:tcW w:type="dxa" w:w="3312"/>
          </w:tcPr>
          <w:p>
            <w:pPr>
              <w:spacing w:after="40"/>
            </w:pPr>
            <w:r/>
            <w:r>
              <w:rPr>
                <w:rFonts w:ascii="Aptos" w:hAnsi="Aptos"/>
                <w:b w:val="0"/>
                <w:i w:val="0"/>
                <w:sz w:val="19"/>
              </w:rPr>
              <w:t>1</w:t>
            </w:r>
          </w:p>
        </w:tc>
        <w:tc>
          <w:tcPr>
            <w:tcW w:type="dxa" w:w="3312"/>
          </w:tcPr>
          <w:p>
            <w:pPr>
              <w:spacing w:after="40"/>
            </w:pPr>
            <w:r/>
            <w:r>
              <w:rPr>
                <w:rFonts w:ascii="Aptos" w:hAnsi="Aptos"/>
                <w:b/>
                <w:i w:val="0"/>
                <w:sz w:val="19"/>
              </w:rPr>
              <w:t>Patient identifier</w:t>
            </w:r>
            <w:r>
              <w:rPr>
                <w:rFonts w:ascii="Aptos" w:hAnsi="Aptos"/>
                <w:b w:val="0"/>
                <w:i w:val="0"/>
                <w:sz w:val="19"/>
              </w:rPr>
              <w:t xml:space="preserve"> (medical record number or equivalent)</w:t>
            </w:r>
          </w:p>
        </w:tc>
        <w:tc>
          <w:tcPr>
            <w:tcW w:type="dxa" w:w="3312"/>
          </w:tcPr>
          <w:p>
            <w:pPr>
              <w:spacing w:after="40"/>
            </w:pPr>
            <w:r/>
            <w:r>
              <w:rPr>
                <w:rFonts w:ascii="Aptos" w:hAnsi="Aptos"/>
                <w:b w:val="0"/>
                <w:i w:val="0"/>
                <w:sz w:val="19"/>
              </w:rPr>
              <w:t xml:space="preserve">To link a return visit to the earlier visit. </w:t>
            </w:r>
            <w:r>
              <w:rPr>
                <w:rFonts w:ascii="Aptos" w:hAnsi="Aptos"/>
                <w:b/>
                <w:i w:val="0"/>
                <w:sz w:val="19"/>
              </w:rPr>
              <w:t>This is the single most important field.</w:t>
            </w:r>
          </w:p>
        </w:tc>
      </w:tr>
      <w:tr>
        <w:tc>
          <w:tcPr>
            <w:tcW w:type="dxa" w:w="3312"/>
          </w:tcPr>
          <w:p>
            <w:pPr>
              <w:spacing w:after="40"/>
            </w:pPr>
            <w:r/>
            <w:r>
              <w:rPr>
                <w:rFonts w:ascii="Aptos" w:hAnsi="Aptos"/>
                <w:b w:val="0"/>
                <w:i w:val="0"/>
                <w:sz w:val="19"/>
              </w:rPr>
              <w:t>2</w:t>
            </w:r>
          </w:p>
        </w:tc>
        <w:tc>
          <w:tcPr>
            <w:tcW w:type="dxa" w:w="3312"/>
          </w:tcPr>
          <w:p>
            <w:pPr>
              <w:spacing w:after="40"/>
            </w:pPr>
            <w:r/>
            <w:r>
              <w:rPr>
                <w:rFonts w:ascii="Aptos" w:hAnsi="Aptos"/>
                <w:b/>
                <w:i w:val="0"/>
                <w:sz w:val="19"/>
              </w:rPr>
              <w:t>Visit identifier</w:t>
            </w:r>
            <w:r>
              <w:rPr>
                <w:rFonts w:ascii="Aptos" w:hAnsi="Aptos"/>
                <w:b w:val="0"/>
                <w:i w:val="0"/>
                <w:sz w:val="19"/>
              </w:rPr>
              <w:t xml:space="preserve"> (unique per visit)</w:t>
            </w:r>
          </w:p>
        </w:tc>
        <w:tc>
          <w:tcPr>
            <w:tcW w:type="dxa" w:w="3312"/>
          </w:tcPr>
          <w:p>
            <w:pPr>
              <w:spacing w:after="40"/>
            </w:pPr>
            <w:r/>
            <w:r>
              <w:rPr>
                <w:rFonts w:ascii="Aptos" w:hAnsi="Aptos"/>
                <w:b w:val="0"/>
                <w:i w:val="0"/>
                <w:sz w:val="19"/>
              </w:rPr>
              <w:t>To ensure each visit is counted once</w:t>
            </w:r>
          </w:p>
        </w:tc>
      </w:tr>
      <w:tr>
        <w:tc>
          <w:tcPr>
            <w:tcW w:type="dxa" w:w="3312"/>
          </w:tcPr>
          <w:p>
            <w:pPr>
              <w:spacing w:after="40"/>
            </w:pPr>
            <w:r/>
            <w:r>
              <w:rPr>
                <w:rFonts w:ascii="Aptos" w:hAnsi="Aptos"/>
                <w:b w:val="0"/>
                <w:i w:val="0"/>
                <w:sz w:val="19"/>
              </w:rPr>
              <w:t>3</w:t>
            </w:r>
          </w:p>
        </w:tc>
        <w:tc>
          <w:tcPr>
            <w:tcW w:type="dxa" w:w="3312"/>
          </w:tcPr>
          <w:p>
            <w:pPr>
              <w:spacing w:after="40"/>
            </w:pPr>
            <w:r/>
            <w:r>
              <w:rPr>
                <w:rFonts w:ascii="Aptos" w:hAnsi="Aptos"/>
                <w:b/>
                <w:i w:val="0"/>
                <w:sz w:val="19"/>
              </w:rPr>
              <w:t>Date and time of arrival</w:t>
            </w:r>
          </w:p>
        </w:tc>
        <w:tc>
          <w:tcPr>
            <w:tcW w:type="dxa" w:w="3312"/>
          </w:tcPr>
          <w:p>
            <w:pPr>
              <w:spacing w:after="40"/>
            </w:pPr>
            <w:r/>
            <w:r>
              <w:rPr>
                <w:rFonts w:ascii="Aptos" w:hAnsi="Aptos"/>
                <w:b w:val="0"/>
                <w:i w:val="0"/>
                <w:sz w:val="19"/>
              </w:rPr>
              <w:t>To calculate the 72-hour interval</w:t>
            </w:r>
          </w:p>
        </w:tc>
      </w:tr>
      <w:tr>
        <w:tc>
          <w:tcPr>
            <w:tcW w:type="dxa" w:w="3312"/>
          </w:tcPr>
          <w:p>
            <w:pPr>
              <w:spacing w:after="40"/>
            </w:pPr>
            <w:r/>
            <w:r>
              <w:rPr>
                <w:rFonts w:ascii="Aptos" w:hAnsi="Aptos"/>
                <w:b w:val="0"/>
                <w:i w:val="0"/>
                <w:sz w:val="19"/>
              </w:rPr>
              <w:t>4</w:t>
            </w:r>
          </w:p>
        </w:tc>
        <w:tc>
          <w:tcPr>
            <w:tcW w:type="dxa" w:w="3312"/>
          </w:tcPr>
          <w:p>
            <w:pPr>
              <w:spacing w:after="40"/>
            </w:pPr>
            <w:r/>
            <w:r>
              <w:rPr>
                <w:rFonts w:ascii="Aptos" w:hAnsi="Aptos"/>
                <w:b/>
                <w:i w:val="0"/>
                <w:sz w:val="19"/>
              </w:rPr>
              <w:t>Date and time of departure / discharge</w:t>
            </w:r>
          </w:p>
        </w:tc>
        <w:tc>
          <w:tcPr>
            <w:tcW w:type="dxa" w:w="3312"/>
          </w:tcPr>
          <w:p>
            <w:pPr>
              <w:spacing w:after="40"/>
            </w:pPr>
            <w:r/>
            <w:r>
              <w:rPr>
                <w:rFonts w:ascii="Aptos" w:hAnsi="Aptos"/>
                <w:b w:val="0"/>
                <w:i w:val="0"/>
                <w:sz w:val="19"/>
              </w:rPr>
              <w:t>The 72-hour window runs from discharge</w:t>
            </w:r>
          </w:p>
        </w:tc>
      </w:tr>
      <w:tr>
        <w:tc>
          <w:tcPr>
            <w:tcW w:type="dxa" w:w="3312"/>
          </w:tcPr>
          <w:p>
            <w:pPr>
              <w:spacing w:after="40"/>
            </w:pPr>
            <w:r/>
            <w:r>
              <w:rPr>
                <w:rFonts w:ascii="Aptos" w:hAnsi="Aptos"/>
                <w:b w:val="0"/>
                <w:i w:val="0"/>
                <w:sz w:val="19"/>
              </w:rPr>
              <w:t>5</w:t>
            </w:r>
          </w:p>
        </w:tc>
        <w:tc>
          <w:tcPr>
            <w:tcW w:type="dxa" w:w="3312"/>
          </w:tcPr>
          <w:p>
            <w:pPr>
              <w:spacing w:after="40"/>
            </w:pPr>
            <w:r/>
            <w:r>
              <w:rPr>
                <w:rFonts w:ascii="Aptos" w:hAnsi="Aptos"/>
                <w:b/>
                <w:i w:val="0"/>
                <w:sz w:val="19"/>
              </w:rPr>
              <w:t>Disposition</w:t>
            </w:r>
            <w:r>
              <w:rPr>
                <w:rFonts w:ascii="Aptos" w:hAnsi="Aptos"/>
                <w:b w:val="0"/>
                <w:i w:val="0"/>
                <w:sz w:val="19"/>
              </w:rPr>
              <w:t xml:space="preserve"> (discharged home / admitted / transferred / left against medical advice / left without being seen / died)</w:t>
            </w:r>
          </w:p>
        </w:tc>
        <w:tc>
          <w:tcPr>
            <w:tcW w:type="dxa" w:w="3312"/>
          </w:tcPr>
          <w:p>
            <w:pPr>
              <w:spacing w:after="40"/>
            </w:pPr>
            <w:r/>
            <w:r>
              <w:rPr>
                <w:rFonts w:ascii="Aptos" w:hAnsi="Aptos"/>
                <w:b w:val="0"/>
                <w:i w:val="0"/>
                <w:sz w:val="19"/>
              </w:rPr>
              <w:t>Defines who enters the cohort</w:t>
            </w:r>
          </w:p>
        </w:tc>
      </w:tr>
      <w:tr>
        <w:tc>
          <w:tcPr>
            <w:tcW w:type="dxa" w:w="3312"/>
          </w:tcPr>
          <w:p>
            <w:pPr>
              <w:spacing w:after="40"/>
            </w:pPr>
            <w:r/>
            <w:r>
              <w:rPr>
                <w:rFonts w:ascii="Aptos" w:hAnsi="Aptos"/>
                <w:b w:val="0"/>
                <w:i w:val="0"/>
                <w:sz w:val="19"/>
              </w:rPr>
              <w:t>6</w:t>
            </w:r>
          </w:p>
        </w:tc>
        <w:tc>
          <w:tcPr>
            <w:tcW w:type="dxa" w:w="3312"/>
          </w:tcPr>
          <w:p>
            <w:pPr>
              <w:spacing w:after="40"/>
            </w:pPr>
            <w:r/>
            <w:r>
              <w:rPr>
                <w:rFonts w:ascii="Aptos" w:hAnsi="Aptos"/>
                <w:b/>
                <w:i w:val="0"/>
                <w:sz w:val="19"/>
              </w:rPr>
              <w:t>Age at visit</w:t>
            </w:r>
            <w:r>
              <w:rPr>
                <w:rFonts w:ascii="Aptos" w:hAnsi="Aptos"/>
                <w:b w:val="0"/>
                <w:i w:val="0"/>
                <w:sz w:val="19"/>
              </w:rPr>
              <w:t xml:space="preserve"> (or date of birth)</w:t>
            </w:r>
          </w:p>
        </w:tc>
        <w:tc>
          <w:tcPr>
            <w:tcW w:type="dxa" w:w="3312"/>
          </w:tcPr>
          <w:p>
            <w:pPr>
              <w:spacing w:after="40"/>
            </w:pPr>
            <w:r/>
            <w:r>
              <w:rPr>
                <w:rFonts w:ascii="Aptos" w:hAnsi="Aptos"/>
                <w:b w:val="0"/>
                <w:i w:val="0"/>
                <w:sz w:val="19"/>
              </w:rPr>
              <w:t>Eligibility and a key predictor</w:t>
            </w:r>
          </w:p>
        </w:tc>
      </w:tr>
      <w:tr>
        <w:tc>
          <w:tcPr>
            <w:tcW w:type="dxa" w:w="3312"/>
          </w:tcPr>
          <w:p>
            <w:pPr>
              <w:spacing w:after="40"/>
            </w:pPr>
            <w:r/>
            <w:r>
              <w:rPr>
                <w:rFonts w:ascii="Aptos" w:hAnsi="Aptos"/>
                <w:b w:val="0"/>
                <w:i w:val="0"/>
                <w:sz w:val="19"/>
              </w:rPr>
              <w:t>7</w:t>
            </w:r>
          </w:p>
        </w:tc>
        <w:tc>
          <w:tcPr>
            <w:tcW w:type="dxa" w:w="3312"/>
          </w:tcPr>
          <w:p>
            <w:pPr>
              <w:spacing w:after="40"/>
            </w:pPr>
            <w:r/>
            <w:r>
              <w:rPr>
                <w:rFonts w:ascii="Aptos" w:hAnsi="Aptos"/>
                <w:b/>
                <w:i w:val="0"/>
                <w:sz w:val="19"/>
              </w:rPr>
              <w:t>Sex</w:t>
            </w:r>
          </w:p>
        </w:tc>
        <w:tc>
          <w:tcPr>
            <w:tcW w:type="dxa" w:w="3312"/>
          </w:tcPr>
          <w:p>
            <w:pPr>
              <w:spacing w:after="40"/>
            </w:pPr>
            <w:r/>
            <w:r>
              <w:rPr>
                <w:rFonts w:ascii="Aptos" w:hAnsi="Aptos"/>
                <w:b w:val="0"/>
                <w:i w:val="0"/>
                <w:sz w:val="19"/>
              </w:rPr>
              <w:t>Standard descriptive variable</w:t>
            </w:r>
          </w:p>
        </w:tc>
      </w:tr>
      <w:tr>
        <w:tc>
          <w:tcPr>
            <w:tcW w:type="dxa" w:w="3312"/>
          </w:tcPr>
          <w:p>
            <w:pPr>
              <w:spacing w:after="40"/>
            </w:pPr>
            <w:r/>
            <w:r>
              <w:rPr>
                <w:rFonts w:ascii="Aptos" w:hAnsi="Aptos"/>
                <w:b w:val="0"/>
                <w:i w:val="0"/>
                <w:sz w:val="19"/>
              </w:rPr>
              <w:t>8</w:t>
            </w:r>
          </w:p>
        </w:tc>
        <w:tc>
          <w:tcPr>
            <w:tcW w:type="dxa" w:w="3312"/>
          </w:tcPr>
          <w:p>
            <w:pPr>
              <w:spacing w:after="40"/>
            </w:pPr>
            <w:r/>
            <w:r>
              <w:rPr>
                <w:rFonts w:ascii="Aptos" w:hAnsi="Aptos"/>
                <w:b/>
                <w:i w:val="0"/>
                <w:sz w:val="19"/>
              </w:rPr>
              <w:t>Diagnosis at the visit</w:t>
            </w:r>
            <w:r>
              <w:rPr>
                <w:rFonts w:ascii="Aptos" w:hAnsi="Aptos"/>
                <w:b w:val="0"/>
                <w:i w:val="0"/>
                <w:sz w:val="19"/>
              </w:rPr>
              <w:t xml:space="preserve"> (coded and/or free text, as held)</w:t>
            </w:r>
          </w:p>
        </w:tc>
        <w:tc>
          <w:tcPr>
            <w:tcW w:type="dxa" w:w="3312"/>
          </w:tcPr>
          <w:p>
            <w:pPr>
              <w:spacing w:after="40"/>
            </w:pPr>
            <w:r/>
            <w:r>
              <w:rPr>
                <w:rFonts w:ascii="Aptos" w:hAnsi="Aptos"/>
                <w:b w:val="0"/>
                <w:i w:val="0"/>
                <w:sz w:val="19"/>
              </w:rPr>
              <w:t>The main clinical exposure variable</w:t>
            </w:r>
          </w:p>
        </w:tc>
      </w:tr>
    </w:tbl>
    <w:p>
      <w:pPr>
        <w:spacing w:after="80"/>
      </w:pPr>
    </w:p>
    <w:p>
      <w:pPr>
        <w:pStyle w:val="Heading3"/>
      </w:pPr>
      <w:r>
        <w:rPr>
          <w:rFonts w:ascii="Aptos" w:hAnsi="Aptos"/>
          <w:b w:val="0"/>
          <w:i w:val="0"/>
        </w:rPr>
        <w:t>Important — improves the study substantially</w:t>
      </w:r>
    </w:p>
    <w:tbl>
      <w:tblPr>
        <w:tblStyle w:val="TableGrid"/>
        <w:tblW w:type="auto" w:w="0"/>
        <w:jc w:val="left"/>
        <w:tblLook w:firstColumn="1" w:firstRow="1" w:lastColumn="0" w:lastRow="0" w:noHBand="0" w:noVBand="1" w:val="04A0"/>
      </w:tblPr>
      <w:tblGrid>
        <w:gridCol w:w="3312"/>
        <w:gridCol w:w="3312"/>
        <w:gridCol w:w="3312"/>
      </w:tblGrid>
      <w:tr>
        <w:tc>
          <w:tcPr>
            <w:tcW w:type="dxa" w:w="3312"/>
            <w:shd w:val="clear" w:fill="DEE7F0"/>
          </w:tcPr>
          <w:p>
            <w:pPr>
              <w:spacing w:after="40"/>
            </w:pPr>
            <w:r/>
            <w:r>
              <w:rPr>
                <w:rFonts w:ascii="Aptos" w:hAnsi="Aptos"/>
                <w:b/>
                <w:i w:val="0"/>
                <w:sz w:val="19"/>
              </w:rPr>
              <w:t>#</w:t>
            </w:r>
          </w:p>
        </w:tc>
        <w:tc>
          <w:tcPr>
            <w:tcW w:type="dxa" w:w="3312"/>
            <w:shd w:val="clear" w:fill="DEE7F0"/>
          </w:tcPr>
          <w:p>
            <w:pPr>
              <w:spacing w:after="40"/>
            </w:pPr>
            <w:r/>
            <w:r>
              <w:rPr>
                <w:rFonts w:ascii="Aptos" w:hAnsi="Aptos"/>
                <w:b/>
                <w:i w:val="0"/>
                <w:sz w:val="19"/>
              </w:rPr>
              <w:t>Field</w:t>
            </w:r>
          </w:p>
        </w:tc>
        <w:tc>
          <w:tcPr>
            <w:tcW w:type="dxa" w:w="3312"/>
            <w:shd w:val="clear" w:fill="DEE7F0"/>
          </w:tcPr>
          <w:p>
            <w:pPr>
              <w:spacing w:after="40"/>
            </w:pPr>
            <w:r/>
            <w:r>
              <w:rPr>
                <w:rFonts w:ascii="Aptos" w:hAnsi="Aptos"/>
                <w:b/>
                <w:i w:val="0"/>
                <w:sz w:val="19"/>
              </w:rPr>
              <w:t>Why it is needed</w:t>
            </w:r>
          </w:p>
        </w:tc>
      </w:tr>
      <w:tr>
        <w:tc>
          <w:tcPr>
            <w:tcW w:type="dxa" w:w="3312"/>
          </w:tcPr>
          <w:p>
            <w:pPr>
              <w:spacing w:after="40"/>
            </w:pPr>
            <w:r/>
            <w:r>
              <w:rPr>
                <w:rFonts w:ascii="Aptos" w:hAnsi="Aptos"/>
                <w:b w:val="0"/>
                <w:i w:val="0"/>
                <w:sz w:val="19"/>
              </w:rPr>
              <w:t>9</w:t>
            </w:r>
          </w:p>
        </w:tc>
        <w:tc>
          <w:tcPr>
            <w:tcW w:type="dxa" w:w="3312"/>
          </w:tcPr>
          <w:p>
            <w:pPr>
              <w:spacing w:after="40"/>
            </w:pPr>
            <w:r/>
            <w:r>
              <w:rPr>
                <w:rFonts w:ascii="Aptos" w:hAnsi="Aptos"/>
                <w:b/>
                <w:i w:val="0"/>
                <w:sz w:val="19"/>
              </w:rPr>
              <w:t>Medications prescribed or given at the visit</w:t>
            </w:r>
            <w:r>
              <w:rPr>
                <w:rFonts w:ascii="Aptos" w:hAnsi="Aptos"/>
                <w:b w:val="0"/>
                <w:i w:val="0"/>
                <w:sz w:val="19"/>
              </w:rPr>
              <w:t xml:space="preserve"> (name, and route if held)</w:t>
            </w:r>
          </w:p>
        </w:tc>
        <w:tc>
          <w:tcPr>
            <w:tcW w:type="dxa" w:w="3312"/>
          </w:tcPr>
          <w:p>
            <w:pPr>
              <w:spacing w:after="40"/>
            </w:pPr>
            <w:r/>
            <w:r>
              <w:rPr>
                <w:rFonts w:ascii="Aptos" w:hAnsi="Aptos"/>
                <w:b w:val="0"/>
                <w:i w:val="0"/>
                <w:sz w:val="19"/>
              </w:rPr>
              <w:t>Tests whether treatment at the index visit predicts return</w:t>
            </w:r>
          </w:p>
        </w:tc>
      </w:tr>
      <w:tr>
        <w:tc>
          <w:tcPr>
            <w:tcW w:type="dxa" w:w="3312"/>
          </w:tcPr>
          <w:p>
            <w:pPr>
              <w:spacing w:after="40"/>
            </w:pPr>
            <w:r/>
            <w:r>
              <w:rPr>
                <w:rFonts w:ascii="Aptos" w:hAnsi="Aptos"/>
                <w:b w:val="0"/>
                <w:i w:val="0"/>
                <w:sz w:val="19"/>
              </w:rPr>
              <w:t>10</w:t>
            </w:r>
          </w:p>
        </w:tc>
        <w:tc>
          <w:tcPr>
            <w:tcW w:type="dxa" w:w="3312"/>
          </w:tcPr>
          <w:p>
            <w:pPr>
              <w:spacing w:after="40"/>
            </w:pPr>
            <w:r/>
            <w:r>
              <w:rPr>
                <w:rFonts w:ascii="Aptos" w:hAnsi="Aptos"/>
                <w:b/>
                <w:i w:val="0"/>
                <w:sz w:val="19"/>
              </w:rPr>
              <w:t>Investigations ordered</w:t>
            </w:r>
            <w:r>
              <w:rPr>
                <w:rFonts w:ascii="Aptos" w:hAnsi="Aptos"/>
                <w:b w:val="0"/>
                <w:i w:val="0"/>
                <w:sz w:val="19"/>
              </w:rPr>
              <w:t xml:space="preserve"> (laboratory, imaging — presence is enough)</w:t>
            </w:r>
          </w:p>
        </w:tc>
        <w:tc>
          <w:tcPr>
            <w:tcW w:type="dxa" w:w="3312"/>
          </w:tcPr>
          <w:p>
            <w:pPr>
              <w:spacing w:after="40"/>
            </w:pPr>
            <w:r/>
            <w:r>
              <w:rPr>
                <w:rFonts w:ascii="Aptos" w:hAnsi="Aptos"/>
                <w:b w:val="0"/>
                <w:i w:val="0"/>
                <w:sz w:val="19"/>
              </w:rPr>
              <w:t>Marker of index-visit workup intensity</w:t>
            </w:r>
          </w:p>
        </w:tc>
      </w:tr>
      <w:tr>
        <w:tc>
          <w:tcPr>
            <w:tcW w:type="dxa" w:w="3312"/>
          </w:tcPr>
          <w:p>
            <w:pPr>
              <w:spacing w:after="40"/>
            </w:pPr>
            <w:r/>
            <w:r>
              <w:rPr>
                <w:rFonts w:ascii="Aptos" w:hAnsi="Aptos"/>
                <w:b w:val="0"/>
                <w:i w:val="0"/>
                <w:sz w:val="19"/>
              </w:rPr>
              <w:t>11</w:t>
            </w:r>
          </w:p>
        </w:tc>
        <w:tc>
          <w:tcPr>
            <w:tcW w:type="dxa" w:w="3312"/>
          </w:tcPr>
          <w:p>
            <w:pPr>
              <w:spacing w:after="40"/>
            </w:pPr>
            <w:r/>
            <w:r>
              <w:rPr>
                <w:rFonts w:ascii="Aptos" w:hAnsi="Aptos"/>
                <w:b/>
                <w:i w:val="0"/>
                <w:sz w:val="19"/>
              </w:rPr>
              <w:t>Treating clinician grade or identifier</w:t>
            </w:r>
            <w:r>
              <w:rPr>
                <w:rFonts w:ascii="Aptos" w:hAnsi="Aptos"/>
                <w:b w:val="0"/>
                <w:i w:val="0"/>
                <w:sz w:val="19"/>
              </w:rPr>
              <w:t xml:space="preserve"> (anonymised code is fine)</w:t>
            </w:r>
          </w:p>
        </w:tc>
        <w:tc>
          <w:tcPr>
            <w:tcW w:type="dxa" w:w="3312"/>
          </w:tcPr>
          <w:p>
            <w:pPr>
              <w:spacing w:after="40"/>
            </w:pPr>
            <w:r/>
            <w:r>
              <w:rPr>
                <w:rFonts w:ascii="Aptos" w:hAnsi="Aptos"/>
                <w:b w:val="0"/>
                <w:i w:val="0"/>
                <w:sz w:val="19"/>
              </w:rPr>
              <w:t>Allows examination of clinician-level variation</w:t>
            </w:r>
          </w:p>
        </w:tc>
      </w:tr>
      <w:tr>
        <w:tc>
          <w:tcPr>
            <w:tcW w:type="dxa" w:w="3312"/>
          </w:tcPr>
          <w:p>
            <w:pPr>
              <w:spacing w:after="40"/>
            </w:pPr>
            <w:r/>
            <w:r>
              <w:rPr>
                <w:rFonts w:ascii="Aptos" w:hAnsi="Aptos"/>
                <w:b w:val="0"/>
                <w:i w:val="0"/>
                <w:sz w:val="19"/>
              </w:rPr>
              <w:t>12</w:t>
            </w:r>
          </w:p>
        </w:tc>
        <w:tc>
          <w:tcPr>
            <w:tcW w:type="dxa" w:w="3312"/>
          </w:tcPr>
          <w:p>
            <w:pPr>
              <w:spacing w:after="40"/>
            </w:pPr>
            <w:r/>
            <w:r>
              <w:rPr>
                <w:rFonts w:ascii="Aptos" w:hAnsi="Aptos"/>
                <w:b/>
                <w:i w:val="0"/>
                <w:sz w:val="19"/>
              </w:rPr>
              <w:t>Residence / locality</w:t>
            </w:r>
          </w:p>
        </w:tc>
        <w:tc>
          <w:tcPr>
            <w:tcW w:type="dxa" w:w="3312"/>
          </w:tcPr>
          <w:p>
            <w:pPr>
              <w:spacing w:after="40"/>
            </w:pPr>
            <w:r/>
            <w:r>
              <w:rPr>
                <w:rFonts w:ascii="Aptos" w:hAnsi="Aptos"/>
                <w:b w:val="0"/>
                <w:i w:val="0"/>
                <w:sz w:val="19"/>
              </w:rPr>
              <w:t>Distance and access are plausible predictors in this setting</w:t>
            </w:r>
          </w:p>
        </w:tc>
      </w:tr>
    </w:tbl>
    <w:p>
      <w:pPr>
        <w:spacing w:after="80"/>
      </w:pPr>
    </w:p>
    <w:p>
      <w:pPr>
        <w:pStyle w:val="Heading3"/>
      </w:pPr>
      <w:r>
        <w:rPr>
          <w:rFonts w:ascii="Aptos" w:hAnsi="Aptos"/>
          <w:b w:val="0"/>
          <w:i w:val="0"/>
        </w:rPr>
        <w:t>Useful if available</w:t>
      </w:r>
    </w:p>
    <w:tbl>
      <w:tblPr>
        <w:tblStyle w:val="TableGrid"/>
        <w:tblW w:type="auto" w:w="0"/>
        <w:jc w:val="left"/>
        <w:tblLook w:firstColumn="1" w:firstRow="1" w:lastColumn="0" w:lastRow="0" w:noHBand="0" w:noVBand="1" w:val="04A0"/>
      </w:tblPr>
      <w:tblGrid>
        <w:gridCol w:w="4968"/>
        <w:gridCol w:w="4968"/>
      </w:tblGrid>
      <w:tr>
        <w:tc>
          <w:tcPr>
            <w:tcW w:type="dxa" w:w="4968"/>
            <w:shd w:val="clear" w:fill="DEE7F0"/>
          </w:tcPr>
          <w:p>
            <w:pPr>
              <w:spacing w:after="40"/>
            </w:pPr>
            <w:r/>
            <w:r>
              <w:rPr>
                <w:rFonts w:ascii="Aptos" w:hAnsi="Aptos"/>
                <w:b/>
                <w:i w:val="0"/>
                <w:sz w:val="19"/>
              </w:rPr>
              <w:t>#</w:t>
            </w:r>
          </w:p>
        </w:tc>
        <w:tc>
          <w:tcPr>
            <w:tcW w:type="dxa" w:w="4968"/>
            <w:shd w:val="clear" w:fill="DEE7F0"/>
          </w:tcPr>
          <w:p>
            <w:pPr>
              <w:spacing w:after="40"/>
            </w:pPr>
            <w:r/>
            <w:r>
              <w:rPr>
                <w:rFonts w:ascii="Aptos" w:hAnsi="Aptos"/>
                <w:b/>
                <w:i w:val="0"/>
                <w:sz w:val="19"/>
              </w:rPr>
              <w:t>Field</w:t>
            </w:r>
          </w:p>
        </w:tc>
      </w:tr>
      <w:tr>
        <w:tc>
          <w:tcPr>
            <w:tcW w:type="dxa" w:w="4968"/>
          </w:tcPr>
          <w:p>
            <w:pPr>
              <w:spacing w:after="40"/>
            </w:pPr>
            <w:r/>
            <w:r>
              <w:rPr>
                <w:rFonts w:ascii="Aptos" w:hAnsi="Aptos"/>
                <w:b w:val="0"/>
                <w:i w:val="0"/>
                <w:sz w:val="19"/>
              </w:rPr>
              <w:t>13</w:t>
            </w:r>
          </w:p>
        </w:tc>
        <w:tc>
          <w:tcPr>
            <w:tcW w:type="dxa" w:w="4968"/>
          </w:tcPr>
          <w:p>
            <w:pPr>
              <w:spacing w:after="40"/>
            </w:pPr>
            <w:r/>
            <w:r>
              <w:rPr>
                <w:rFonts w:ascii="Aptos" w:hAnsi="Aptos"/>
                <w:b w:val="0"/>
                <w:i w:val="0"/>
                <w:sz w:val="19"/>
              </w:rPr>
              <w:t>Mode of arrival (walk-in / ambulance / referred)</w:t>
            </w:r>
          </w:p>
        </w:tc>
      </w:tr>
      <w:tr>
        <w:tc>
          <w:tcPr>
            <w:tcW w:type="dxa" w:w="4968"/>
          </w:tcPr>
          <w:p>
            <w:pPr>
              <w:spacing w:after="40"/>
            </w:pPr>
            <w:r/>
            <w:r>
              <w:rPr>
                <w:rFonts w:ascii="Aptos" w:hAnsi="Aptos"/>
                <w:b w:val="0"/>
                <w:i w:val="0"/>
                <w:sz w:val="19"/>
              </w:rPr>
              <w:t>14</w:t>
            </w:r>
          </w:p>
        </w:tc>
        <w:tc>
          <w:tcPr>
            <w:tcW w:type="dxa" w:w="4968"/>
          </w:tcPr>
          <w:p>
            <w:pPr>
              <w:spacing w:after="40"/>
            </w:pPr>
            <w:r/>
            <w:r>
              <w:rPr>
                <w:rFonts w:ascii="Aptos" w:hAnsi="Aptos"/>
                <w:b w:val="0"/>
                <w:i w:val="0"/>
                <w:sz w:val="19"/>
              </w:rPr>
              <w:t>Referral source</w:t>
            </w:r>
          </w:p>
        </w:tc>
      </w:tr>
      <w:tr>
        <w:tc>
          <w:tcPr>
            <w:tcW w:type="dxa" w:w="4968"/>
          </w:tcPr>
          <w:p>
            <w:pPr>
              <w:spacing w:after="40"/>
            </w:pPr>
            <w:r/>
            <w:r>
              <w:rPr>
                <w:rFonts w:ascii="Aptos" w:hAnsi="Aptos"/>
                <w:b w:val="0"/>
                <w:i w:val="0"/>
                <w:sz w:val="19"/>
              </w:rPr>
              <w:t>15</w:t>
            </w:r>
          </w:p>
        </w:tc>
        <w:tc>
          <w:tcPr>
            <w:tcW w:type="dxa" w:w="4968"/>
          </w:tcPr>
          <w:p>
            <w:pPr>
              <w:spacing w:after="40"/>
            </w:pPr>
            <w:r/>
            <w:r>
              <w:rPr>
                <w:rFonts w:ascii="Aptos" w:hAnsi="Aptos"/>
                <w:b w:val="0"/>
                <w:i w:val="0"/>
                <w:sz w:val="19"/>
              </w:rPr>
              <w:t>Whether discharge instructions were recorded</w:t>
            </w:r>
          </w:p>
        </w:tc>
      </w:tr>
    </w:tbl>
    <w:p>
      <w:pPr>
        <w:spacing w:after="80"/>
      </w:pPr>
    </w:p>
    <w:p>
      <w:pPr>
        <w:pStyle w:val="Heading2"/>
      </w:pPr>
      <w:r>
        <w:rPr>
          <w:rFonts w:ascii="Aptos" w:hAnsi="Aptos"/>
          <w:b w:val="0"/>
          <w:i w:val="0"/>
        </w:rPr>
        <w:t>Format</w:t>
      </w:r>
    </w:p>
    <w:p>
      <w:pPr>
        <w:pStyle w:val="ListBullet"/>
        <w:spacing w:after="60"/>
        <w:ind w:left="403"/>
      </w:pPr>
      <w:r>
        <w:rPr>
          <w:rFonts w:ascii="Aptos" w:hAnsi="Aptos"/>
          <w:b/>
          <w:i w:val="0"/>
        </w:rPr>
        <w:t>Excel (.xlsx) or CSV</w:t>
      </w:r>
      <w:r>
        <w:rPr>
          <w:rFonts w:ascii="Aptos" w:hAnsi="Aptos"/>
          <w:b w:val="0"/>
          <w:i w:val="0"/>
        </w:rPr>
        <w:t xml:space="preserve"> — either is fine</w:t>
      </w:r>
    </w:p>
    <w:p>
      <w:pPr>
        <w:pStyle w:val="ListBullet"/>
        <w:spacing w:after="60"/>
        <w:ind w:left="403"/>
      </w:pPr>
      <w:r>
        <w:rPr>
          <w:rFonts w:ascii="Aptos" w:hAnsi="Aptos"/>
          <w:b/>
          <w:i w:val="0"/>
        </w:rPr>
        <w:t>One row per visit</w:t>
      </w:r>
      <w:r>
        <w:rPr>
          <w:rFonts w:ascii="Aptos" w:hAnsi="Aptos"/>
          <w:b w:val="0"/>
          <w:i w:val="0"/>
        </w:rPr>
        <w:t>, one header row, consistent column names</w:t>
      </w:r>
    </w:p>
    <w:p>
      <w:pPr>
        <w:pStyle w:val="ListBullet"/>
        <w:spacing w:after="60"/>
        <w:ind w:left="403"/>
      </w:pPr>
      <w:r>
        <w:rPr>
          <w:rFonts w:ascii="Aptos" w:hAnsi="Aptos"/>
          <w:b w:val="0"/>
          <w:i w:val="0"/>
        </w:rPr>
        <w:t xml:space="preserve">Dates and times in a single consistent format — please state which (e.g. </w:t>
      </w:r>
      <w:r>
        <w:rPr>
          <w:rFonts w:ascii="Consolas" w:hAnsi="Consolas"/>
          <w:b w:val="0"/>
          <w:i w:val="0"/>
          <w:color w:val="444444"/>
          <w:sz w:val="19"/>
        </w:rPr>
        <w:t>DD/MM/YYYY HH:MM</w:t>
      </w:r>
      <w:r>
        <w:rPr>
          <w:rFonts w:ascii="Aptos" w:hAnsi="Aptos"/>
          <w:b w:val="0"/>
          <w:i w:val="0"/>
        </w:rPr>
        <w:t>)</w:t>
      </w:r>
    </w:p>
    <w:p>
      <w:pPr>
        <w:pStyle w:val="ListBullet"/>
        <w:spacing w:after="60"/>
        <w:ind w:left="403"/>
      </w:pPr>
      <w:r>
        <w:rPr>
          <w:rFonts w:ascii="Aptos" w:hAnsi="Aptos"/>
          <w:b w:val="0"/>
          <w:i w:val="0"/>
        </w:rPr>
        <w:t>Empty cells for missing values rather than text such as "N/A", "none" or "-"</w:t>
      </w:r>
    </w:p>
    <w:p>
      <w:pPr>
        <w:pStyle w:val="ListBullet"/>
        <w:spacing w:after="60"/>
        <w:ind w:left="403"/>
      </w:pPr>
      <w:r>
        <w:rPr>
          <w:rFonts w:ascii="Aptos" w:hAnsi="Aptos"/>
          <w:b w:val="0"/>
          <w:i w:val="0"/>
        </w:rPr>
        <w:t xml:space="preserve">If the export must be split, split </w:t>
      </w:r>
      <w:r>
        <w:rPr>
          <w:rFonts w:ascii="Aptos" w:hAnsi="Aptos"/>
          <w:b/>
          <w:i w:val="0"/>
        </w:rPr>
        <w:t>by date range</w:t>
      </w:r>
      <w:r>
        <w:rPr>
          <w:rFonts w:ascii="Aptos" w:hAnsi="Aptos"/>
          <w:b w:val="0"/>
          <w:i w:val="0"/>
        </w:rPr>
        <w:t>, not by patient</w:t>
      </w:r>
    </w:p>
    <w:p>
      <w:pPr>
        <w:pStyle w:val="Heading2"/>
      </w:pPr>
      <w:r>
        <w:rPr>
          <w:rFonts w:ascii="Aptos" w:hAnsi="Aptos"/>
          <w:b w:val="0"/>
          <w:i w:val="0"/>
        </w:rPr>
        <w:t>Data protection</w:t>
      </w:r>
    </w:p>
    <w:p>
      <w:pPr>
        <w:pStyle w:val="ListBullet"/>
        <w:spacing w:after="60"/>
        <w:ind w:left="403"/>
      </w:pPr>
      <w:r>
        <w:rPr>
          <w:rFonts w:ascii="Aptos" w:hAnsi="Aptos"/>
          <w:b w:val="0"/>
          <w:i w:val="0"/>
        </w:rPr>
        <w:t xml:space="preserve">The patient identifier is required </w:t>
      </w:r>
      <w:r>
        <w:rPr>
          <w:rFonts w:ascii="Aptos" w:hAnsi="Aptos"/>
          <w:b/>
          <w:i w:val="0"/>
        </w:rPr>
        <w:t>solely to link repeat visits by the same child</w:t>
      </w:r>
      <w:r>
        <w:rPr>
          <w:rFonts w:ascii="Aptos" w:hAnsi="Aptos"/>
          <w:b w:val="0"/>
          <w:i w:val="0"/>
        </w:rPr>
        <w:t>. It will be replaced by a study number as soon as linkage is complete, and the linkage key will be held separately by the principal investigator and destroyed at the end of the study.</w:t>
      </w:r>
    </w:p>
    <w:p>
      <w:pPr>
        <w:pStyle w:val="ListBullet"/>
        <w:spacing w:after="60"/>
        <w:ind w:left="403"/>
      </w:pPr>
      <w:r>
        <w:rPr>
          <w:rFonts w:ascii="Aptos" w:hAnsi="Aptos"/>
          <w:b w:val="0"/>
          <w:i w:val="0"/>
        </w:rPr>
        <w:t>The file will be stored on password-protected institutional equipment and shared with no one outside the named research team.</w:t>
      </w:r>
    </w:p>
    <w:p>
      <w:pPr>
        <w:pStyle w:val="ListBullet"/>
        <w:spacing w:after="60"/>
        <w:ind w:left="403"/>
      </w:pPr>
      <w:r>
        <w:rPr>
          <w:rFonts w:ascii="Aptos" w:hAnsi="Aptos"/>
          <w:b w:val="0"/>
          <w:i w:val="0"/>
        </w:rPr>
        <w:t>No identifiable data will appear in any analysis, presentation or publication.</w:t>
      </w:r>
    </w:p>
    <w:p>
      <w:pPr>
        <w:pStyle w:val="ListBullet"/>
        <w:spacing w:after="60"/>
        <w:ind w:left="403"/>
      </w:pPr>
      <w:r>
        <w:rPr>
          <w:rFonts w:ascii="Aptos" w:hAnsi="Aptos"/>
          <w:b w:val="0"/>
          <w:i w:val="0"/>
        </w:rPr>
        <w:t xml:space="preserve">If the system can generate a </w:t>
      </w:r>
      <w:r>
        <w:rPr>
          <w:rFonts w:ascii="Aptos" w:hAnsi="Aptos"/>
          <w:b/>
          <w:i w:val="0"/>
        </w:rPr>
        <w:t>stable pseudonymised patient code</w:t>
      </w:r>
      <w:r>
        <w:rPr>
          <w:rFonts w:ascii="Aptos" w:hAnsi="Aptos"/>
          <w:b w:val="0"/>
          <w:i w:val="0"/>
        </w:rPr>
        <w:t xml:space="preserve"> instead of the real medical record number — a code that is the same for the same child across visits but is not the MRN — that is preferred, and the real identifier is then not needed at all.</w:t>
      </w:r>
    </w:p>
    <w:p>
      <w:pPr>
        <w:pStyle w:val="Heading2"/>
      </w:pPr>
      <w:r>
        <w:rPr>
          <w:rFonts w:ascii="Aptos" w:hAnsi="Aptos"/>
          <w:b w:val="0"/>
          <w:i w:val="0"/>
        </w:rPr>
        <w:t>Questions for IT</w:t>
      </w:r>
    </w:p>
    <w:p>
      <w:r>
        <w:rPr>
          <w:rFonts w:ascii="Aptos" w:hAnsi="Aptos"/>
          <w:b/>
          <w:i w:val="0"/>
        </w:rPr>
        <w:t>1. Is the patient identifier stable across visits?</w:t>
      </w:r>
      <w:r>
        <w:rPr>
          <w:rFonts w:ascii="Aptos" w:hAnsi="Aptos"/>
          <w:b w:val="0"/>
          <w:i w:val="0"/>
        </w:rPr>
        <w:t xml:space="preserve"> — </w:t>
      </w:r>
      <w:r>
        <w:rPr>
          <w:rFonts w:ascii="Aptos" w:hAnsi="Aptos"/>
          <w:b/>
          <w:i w:val="0"/>
        </w:rPr>
        <w:t>ANSWERED 2026-08-19: yes.</w:t>
      </w:r>
      <w:r>
        <w:rPr>
          <w:rFonts w:ascii="Aptos" w:hAnsi="Aptos"/>
          <w:b w:val="0"/>
          <w:i w:val="0"/>
        </w:rPr>
        <w:t xml:space="preserve"> The identifier is present in the HIS, is the same for the same child across visits, and is straightforward to work with. This was the single assumption the study rested on.</w:t>
      </w:r>
    </w:p>
    <w:p>
      <w:r>
        <w:rPr>
          <w:rFonts w:ascii="Aptos" w:hAnsi="Aptos"/>
          <w:b/>
          <w:i w:val="0"/>
        </w:rPr>
        <w:t>2. Approximately how many pediatric ED visits fall in this date range?</w:t>
      </w:r>
      <w:r>
        <w:rPr>
          <w:rFonts w:ascii="Aptos" w:hAnsi="Aptos"/>
          <w:b w:val="0"/>
          <w:i w:val="0"/>
        </w:rPr>
        <w:t xml:space="preserve"> A rough count is enough. It confirms the expected cohort size before any work begins. </w:t>
      </w:r>
      <w:r>
        <w:rPr>
          <w:rFonts w:ascii="Aptos" w:hAnsi="Aptos"/>
          <w:b/>
          <w:i w:val="0"/>
        </w:rPr>
        <w:t>Still outstanding.</w:t>
      </w:r>
    </w:p>
    <w:p>
      <w:pPr>
        <w:pStyle w:val="Heading2"/>
      </w:pPr>
      <w:r>
        <w:rPr>
          <w:rFonts w:ascii="Aptos" w:hAnsi="Aptos"/>
          <w:b w:val="0"/>
          <w:i w:val="0"/>
        </w:rPr>
        <w:t>Required: the treating doctor's name must not appear in the review extract</w:t>
      </w:r>
    </w:p>
    <w:p>
      <w:r>
        <w:rPr>
          <w:rFonts w:ascii="Aptos" w:hAnsi="Aptos"/>
          <w:b w:val="0"/>
          <w:i w:val="0"/>
        </w:rPr>
        <w:t>The 400 sampled pairs are read by two pediatric residents who work in the same department as the doctors whose discharge decisions they are assessing. One of the classifications asks whether care at the first visit was adequate.</w:t>
      </w:r>
    </w:p>
    <w:p>
      <w:r>
        <w:rPr>
          <w:rFonts w:ascii="Aptos" w:hAnsi="Aptos"/>
          <w:b/>
          <w:i w:val="0"/>
        </w:rPr>
        <w:t>Please supply the records for chart review with the treating doctor's name removed or replaced by a code.</w:t>
      </w:r>
      <w:r>
        <w:rPr>
          <w:rFonts w:ascii="Aptos" w:hAnsi="Aptos"/>
          <w:b w:val="0"/>
          <w:i w:val="0"/>
        </w:rPr>
        <w:t xml:space="preserve"> Confirmed as feasible on 2026-08-19.</w:t>
      </w:r>
    </w:p>
    <w:p>
      <w:pPr>
        <w:pStyle w:val="ListBullet"/>
        <w:spacing w:after="60"/>
        <w:ind w:left="403"/>
      </w:pPr>
      <w:r>
        <w:rPr>
          <w:rFonts w:ascii="Aptos" w:hAnsi="Aptos"/>
          <w:b w:val="0"/>
          <w:i w:val="0"/>
        </w:rPr>
        <w:t xml:space="preserve">An </w:t>
      </w:r>
      <w:r>
        <w:rPr>
          <w:rFonts w:ascii="Aptos" w:hAnsi="Aptos"/>
          <w:b/>
          <w:i w:val="0"/>
        </w:rPr>
        <w:t>anonymised clinician code</w:t>
      </w:r>
      <w:r>
        <w:rPr>
          <w:rFonts w:ascii="Aptos" w:hAnsi="Aptos"/>
          <w:b w:val="0"/>
          <w:i w:val="0"/>
        </w:rPr>
        <w:t xml:space="preserve"> is ideal rather than blank removal — the same doctor should carry the same code across visits, so clinician-level variation can still be examined (field 11 in the table above) without any reviewer knowing who the doctor is.</w:t>
      </w:r>
    </w:p>
    <w:p>
      <w:pPr>
        <w:pStyle w:val="ListBullet"/>
        <w:spacing w:after="60"/>
        <w:ind w:left="403"/>
      </w:pPr>
      <w:r>
        <w:rPr>
          <w:rFonts w:ascii="Aptos" w:hAnsi="Aptos"/>
          <w:b w:val="0"/>
          <w:i w:val="0"/>
        </w:rPr>
        <w:t xml:space="preserve">The code key is not needed by the research team and should </w:t>
      </w:r>
      <w:r>
        <w:rPr>
          <w:rFonts w:ascii="Aptos" w:hAnsi="Aptos"/>
          <w:b/>
          <w:i w:val="0"/>
        </w:rPr>
        <w:t>not</w:t>
      </w:r>
      <w:r>
        <w:rPr>
          <w:rFonts w:ascii="Aptos" w:hAnsi="Aptos"/>
          <w:b w:val="0"/>
          <w:i w:val="0"/>
        </w:rPr>
        <w:t xml:space="preserve"> be supplied.</w:t>
      </w:r>
    </w:p>
    <w:p>
      <w:pPr>
        <w:pStyle w:val="ListBullet"/>
        <w:spacing w:after="60"/>
        <w:ind w:left="403"/>
      </w:pPr>
      <w:r>
        <w:rPr>
          <w:rFonts w:ascii="Aptos" w:hAnsi="Aptos"/>
          <w:b w:val="0"/>
          <w:i w:val="0"/>
        </w:rPr>
        <w:t xml:space="preserve">This applies to the </w:t>
      </w:r>
      <w:r>
        <w:rPr>
          <w:rFonts w:ascii="Aptos" w:hAnsi="Aptos"/>
          <w:b/>
          <w:i w:val="0"/>
        </w:rPr>
        <w:t>records the reviewers read</w:t>
      </w:r>
      <w:r>
        <w:rPr>
          <w:rFonts w:ascii="Aptos" w:hAnsi="Aptos"/>
          <w:b w:val="0"/>
          <w:i w:val="0"/>
        </w:rPr>
        <w:t>, not only to the spreadsheet: if reviewers will open records in the HIS directly, please advise whether a masked view is possible, or whether the pairs should instead be exported as documents with the name already removed.</w:t>
      </w:r>
    </w:p>
    <w:p>
      <w:r>
        <w:rPr>
          <w:rFonts w:ascii="Aptos" w:hAnsi="Aptos"/>
          <w:b/>
          <w:i w:val="0"/>
        </w:rPr>
        <w:t>Contact:</w:t>
      </w:r>
      <w:r>
        <w:rPr>
          <w:rFonts w:ascii="Aptos" w:hAnsi="Aptos"/>
          <w:b w:val="0"/>
          <w:i w:val="0"/>
        </w:rPr>
        <w:t xml:space="preserve"> Dr Lami Qurt, Department of Pediatrics — ____________</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00"/>
      <w:outlineLvl w:val="0"/>
    </w:pPr>
    <w:rPr>
      <w:rFonts w:asciiTheme="majorHAnsi" w:eastAsiaTheme="majorEastAsia" w:hAnsiTheme="majorHAnsi" w:cstheme="majorBidi" w:ascii="Aptos" w:hAnsi="Apto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Aptos" w:hAnsi="Aptos"/>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ptos" w:hAnsi="Aptos"/>
      <w:b/>
      <w:bCs/>
      <w:color w:val="5B9BD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