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0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B45309"/>
          <w:sz w:val="56"/>
          <w:szCs w:val="56"/>
        </w:rPr>
        <w:t xml:space="preserve">一周全球铝产业</w:t>
      </w:r>
    </w:p>
    <w:p>
      <w:pPr>
        <w:spacing w:after="10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1F2937"/>
          <w:sz w:val="56"/>
          <w:szCs w:val="56"/>
        </w:rPr>
        <w:t xml:space="preserve">资讯分析简报</w:t>
      </w:r>
    </w:p>
    <w:p>
      <w:pPr>
        <w:pBdr>
          <w:bottom w:val="single" w:color="B45309" w:sz="6" w:space="1"/>
        </w:pBdr>
        <w:spacing w:after="200" w:before="200"/>
      </w:pPr>
    </w:p>
    <w:p>
      <w:pPr>
        <w:spacing w:after="100" w:before="0"/>
        <w:jc w:val="center"/>
      </w:pPr>
      <w:r>
        <w:rPr>
          <w:rFonts w:ascii="Microsoft YaHei" w:cs="Microsoft YaHei" w:eastAsia="Microsoft YaHei" w:hAnsi="Microsoft YaHei"/>
          <w:color w:val="6B7280"/>
          <w:sz w:val="22"/>
          <w:szCs w:val="22"/>
        </w:rPr>
        <w:t xml:space="preserve">报告周期：2026年3月10日-16日</w:t>
      </w:r>
    </w:p>
    <w:p>
      <w:pPr>
        <w:spacing w:after="100" w:before="0"/>
        <w:jc w:val="center"/>
      </w:pPr>
      <w:r>
        <w:rPr>
          <w:rFonts w:ascii="Microsoft YaHei" w:cs="Microsoft YaHei" w:eastAsia="Microsoft YaHei" w:hAnsi="Microsoft YaHei"/>
          <w:color w:val="6B7280"/>
          <w:sz w:val="22"/>
          <w:szCs w:val="22"/>
        </w:rPr>
        <w:t xml:space="preserve">报告类型：行业决策参考</w:t>
      </w:r>
    </w:p>
    <w:p>
      <w:pPr>
        <w:spacing w:after="100" w:before="0"/>
        <w:jc w:val="center"/>
      </w:pPr>
      <w:r>
        <w:rPr>
          <w:rFonts w:ascii="Microsoft YaHei" w:cs="Microsoft YaHei" w:eastAsia="Microsoft YaHei" w:hAnsi="Microsoft YaHei"/>
          <w:color w:val="6B7280"/>
          <w:sz w:val="22"/>
          <w:szCs w:val="22"/>
        </w:rPr>
        <w:t xml:space="preserve">发布日期：2026年3月17日</w:t>
      </w:r>
    </w:p>
    <w:p>
      <w:pPr>
        <w:spacing w:after="100" w:before="400"/>
        <w:jc w:val="center"/>
      </w:pPr>
      <w:r>
        <w:rPr>
          <w:rFonts w:ascii="Microsoft YaHei" w:cs="Microsoft YaHei" w:eastAsia="Microsoft YaHei" w:hAnsi="Microsoft YaHei"/>
          <w:color w:val="6B7280"/>
          <w:sz w:val="18"/>
          <w:szCs w:val="18"/>
        </w:rPr>
        <w:t xml:space="preserve">数据来源：工信部、国家统计局、SMM、摩根士丹利、RBC资本、世铝网等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B45309"/>
          <w:sz w:val="32"/>
          <w:szCs w:val="32"/>
        </w:rPr>
        <w:t xml:space="preserve">一、核心观点摘要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B45309"/>
          <w:sz w:val="22"/>
          <w:szCs w:val="22"/>
        </w:rPr>
        <w:t xml:space="preserve">1. 政策层面：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国家层面出台铝产业高质量发展实施方案，明确2027年能效标杆产能占比、清洁能源使用比例等量化目标；地方层面广西、贵州等地密集发布铝产业发展规划，产业政策支持力度持续加大。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B45309"/>
          <w:sz w:val="22"/>
          <w:szCs w:val="22"/>
        </w:rPr>
        <w:t xml:space="preserve">2. 市场层面：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中东地缘冲突成为铝价最大变量，卡塔尔Qatalum停产、巴林铝业不可抗力导致全球供应紧张；摩根士丹利、RBC等机构上调铝价预测，目标价3700美元/吨；国内社会库存创新高但去化预期增强。</w:t>
      </w:r>
    </w:p>
    <w:p>
      <w:pPr>
        <w:spacing w:after="100" w:before="60"/>
      </w:pPr>
      <w:r>
        <w:rPr>
          <w:rFonts w:ascii="Microsoft YaHei" w:cs="Microsoft YaHei" w:eastAsia="Microsoft YaHei" w:hAnsi="Microsoft YaHei"/>
          <w:b/>
          <w:bCs/>
          <w:color w:val="B45309"/>
          <w:sz w:val="22"/>
          <w:szCs w:val="22"/>
        </w:rPr>
        <w:t xml:space="preserve">3. 企业层面：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中铝集团技术突破、华仁新材料全面满产、广铝集团受益产业集聚，贵阳本地铝企整体呈现积极发展态势；但成本压力、环保要求、市场竞争等挑战并存。</w:t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B45309"/>
          <w:sz w:val="32"/>
          <w:szCs w:val="32"/>
        </w:rPr>
        <w:t xml:space="preserve">二、国内政策资讯汇总（10条）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3500"/>
        <w:gridCol w:w="1600"/>
        <w:gridCol w:w="2326"/>
      </w:tblGrid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咨询类型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消息来源主体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来源链接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政策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工信部等十部门印发《铝产业高质量发展实施方案(2025-2027年)》，提出到2027年电解铝能效标杆产能占比超30%，清洁能源使用比例超30%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工信部等十部门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2563EB"/>
                <w:sz w:val="18"/>
                <w:szCs w:val="18"/>
              </w:rPr>
              <w:t xml:space="preserve">点击查看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政策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广西发布《广西铝产业发展规划(2026-2030年)(征求意见稿)》，公开征求意见截止2026年3月10日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广西工信厅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2563EB"/>
                <w:sz w:val="18"/>
                <w:szCs w:val="18"/>
              </w:rPr>
              <w:t xml:space="preserve">点击查看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政策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贵州发布2026年重大工程名单，涵盖31个铝产业链项目，重点推进再生铝及清洁能源配套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贵州省政府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2563EB"/>
                <w:sz w:val="18"/>
                <w:szCs w:val="18"/>
              </w:rPr>
              <w:t xml:space="preserve">点击查看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政策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工信部等六部门要求光伏组件企业提升再生铝使用比例，推动铝边框等零部件绿色转型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工信部等六部门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2563EB"/>
                <w:sz w:val="18"/>
                <w:szCs w:val="18"/>
              </w:rPr>
              <w:t xml:space="preserve">点击查看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政策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贵州支持电解铝企业有序退出400kA以下电解槽，目标2030年铝产业规上工业总产值达1000亿元以上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贵州省工信厅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2563EB"/>
                <w:sz w:val="18"/>
                <w:szCs w:val="18"/>
              </w:rPr>
              <w:t xml:space="preserve">点击查看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政策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欧盟公布碳边境调节机制(CBAM)细则，明确2027年起铝制品纳入征税范围，税率挂钩全生命周期碳排放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欧盟委员会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2563EB"/>
                <w:sz w:val="18"/>
                <w:szCs w:val="18"/>
              </w:rPr>
              <w:t xml:space="preserve">点击查看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政策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新疆启动4月铝产业低碳智能峰会筹备，计划探讨电解铝节能降碳与智能工厂建设路径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新疆工信部门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2563EB"/>
                <w:sz w:val="18"/>
                <w:szCs w:val="18"/>
              </w:rPr>
              <w:t xml:space="preserve">点击查看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政策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应急管理部通报河南某铝厂熔铸车间爆炸事故，责令全国铝企开展月度安全排查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应急管理部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2563EB"/>
                <w:sz w:val="18"/>
                <w:szCs w:val="18"/>
              </w:rPr>
              <w:t xml:space="preserve">点击查看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政策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墨西哥对华铝制高压锅反倾销终裁，维持92.64%关税，有效期5年，涉及中国出口企业超20家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墨西哥经济部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2563EB"/>
                <w:sz w:val="18"/>
                <w:szCs w:val="18"/>
              </w:rPr>
              <w:t xml:space="preserve">点击查看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政策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中国央行3月2日起将远期售汇风险准备金率从20%下调至0，利好大宗商品进口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中国人民银行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2563EB"/>
                <w:sz w:val="18"/>
                <w:szCs w:val="18"/>
              </w:rPr>
              <w:t xml:space="preserve">点击查看</w:t>
            </w:r>
          </w:p>
        </w:tc>
      </w:tr>
    </w:tbl>
    <w:p>
      <w:pPr>
        <w:spacing w:after="100" w:before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B45309"/>
          <w:sz w:val="32"/>
          <w:szCs w:val="32"/>
        </w:rPr>
        <w:t xml:space="preserve">三、全球行业正向舆情（8条）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1000"/>
        <w:gridCol w:w="3200"/>
        <w:gridCol w:w="1500"/>
        <w:gridCol w:w="1826"/>
      </w:tblGrid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舆情标签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咨询类型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消息来源主体</w:t>
            </w:r>
          </w:p>
        </w:tc>
        <w:tc>
          <w:tcPr>
            <w:tcW w:type="dxa" w:w="1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来源链接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59669"/>
                <w:sz w:val="20"/>
                <w:szCs w:val="20"/>
              </w:rPr>
              <w:t xml:space="preserve">利好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机构观点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摩根士丹利维持铝价看多，2026年全年牛市情景目标价3700美元/吨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摩根士丹利</w:t>
            </w:r>
          </w:p>
        </w:tc>
        <w:tc>
          <w:tcPr>
            <w:tcW w:type="dxa" w:w="1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2563EB"/>
                <w:sz w:val="18"/>
                <w:szCs w:val="18"/>
              </w:rPr>
              <w:t xml:space="preserve">点击查看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59669"/>
                <w:sz w:val="20"/>
                <w:szCs w:val="20"/>
              </w:rPr>
              <w:t xml:space="preserve">利好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机构观点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RBC上调2026年铝价预测至3307美元/吨，认为电解铝成地缘博弈核心品种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RBC资本</w:t>
            </w:r>
          </w:p>
        </w:tc>
        <w:tc>
          <w:tcPr>
            <w:tcW w:type="dxa" w:w="1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2563EB"/>
                <w:sz w:val="18"/>
                <w:szCs w:val="18"/>
              </w:rPr>
              <w:t xml:space="preserve">点击查看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59669"/>
                <w:sz w:val="20"/>
                <w:szCs w:val="20"/>
              </w:rPr>
              <w:t xml:space="preserve">利好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企业动态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中铝集团突破高强韧铝合金3D打印工艺，材料强度提升20%，已试用于航空航天部件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中铝集团</w:t>
            </w:r>
          </w:p>
        </w:tc>
        <w:tc>
          <w:tcPr>
            <w:tcW w:type="dxa" w:w="1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2563EB"/>
                <w:sz w:val="18"/>
                <w:szCs w:val="18"/>
              </w:rPr>
              <w:t xml:space="preserve">点击查看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59669"/>
                <w:sz w:val="20"/>
                <w:szCs w:val="20"/>
              </w:rPr>
              <w:t xml:space="preserve">利好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企业动态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中铝包头铝业源网荷储一体化项目全容量并网，年减排二氧化碳300万吨，绿电使用比例提升至40%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中铝包头铝业</w:t>
            </w:r>
          </w:p>
        </w:tc>
        <w:tc>
          <w:tcPr>
            <w:tcW w:type="dxa" w:w="1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2563EB"/>
                <w:sz w:val="18"/>
                <w:szCs w:val="18"/>
              </w:rPr>
              <w:t xml:space="preserve">点击查看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59669"/>
                <w:sz w:val="20"/>
                <w:szCs w:val="20"/>
              </w:rPr>
              <w:t xml:space="preserve">利好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企业动态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云铝股份赤泥分质利用示范线采用以废治废技术，赤泥综合利用率达22.01%领跑行业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云铝股份</w:t>
            </w:r>
          </w:p>
        </w:tc>
        <w:tc>
          <w:tcPr>
            <w:tcW w:type="dxa" w:w="1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2563EB"/>
                <w:sz w:val="18"/>
                <w:szCs w:val="18"/>
              </w:rPr>
              <w:t xml:space="preserve">点击查看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59669"/>
                <w:sz w:val="20"/>
                <w:szCs w:val="20"/>
              </w:rPr>
              <w:t xml:space="preserve">利好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企业动态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力拓将对日本铝供应溢价提高至350美元/吨，较当前季度上涨79%，为2015年以来最高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力拓集团</w:t>
            </w:r>
          </w:p>
        </w:tc>
        <w:tc>
          <w:tcPr>
            <w:tcW w:type="dxa" w:w="1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2563EB"/>
                <w:sz w:val="18"/>
                <w:szCs w:val="18"/>
              </w:rPr>
              <w:t xml:space="preserve">点击查看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59669"/>
                <w:sz w:val="20"/>
                <w:szCs w:val="20"/>
              </w:rPr>
              <w:t xml:space="preserve">利好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行业数据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榆林新材料集团前两月利润同比增67.36%，受益于煤电铝一体化及光伏铝材需求增长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榆林新材料集团</w:t>
            </w:r>
          </w:p>
        </w:tc>
        <w:tc>
          <w:tcPr>
            <w:tcW w:type="dxa" w:w="1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2563EB"/>
                <w:sz w:val="18"/>
                <w:szCs w:val="18"/>
              </w:rPr>
              <w:t xml:space="preserve">点击查看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59669"/>
                <w:sz w:val="20"/>
                <w:szCs w:val="20"/>
              </w:rPr>
              <w:t xml:space="preserve">利好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行业数据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1-2月中国十种有色金属产量1342万吨，同比增长3.9%，电解铝产能维持高位运行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国家统计局</w:t>
            </w:r>
          </w:p>
        </w:tc>
        <w:tc>
          <w:tcPr>
            <w:tcW w:type="dxa" w:w="1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2563EB"/>
                <w:sz w:val="18"/>
                <w:szCs w:val="18"/>
              </w:rPr>
              <w:t xml:space="preserve">点击查看</w:t>
            </w:r>
          </w:p>
        </w:tc>
      </w:tr>
    </w:tbl>
    <w:p>
      <w:pPr>
        <w:spacing w:after="100" w:before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B45309"/>
          <w:sz w:val="32"/>
          <w:szCs w:val="32"/>
        </w:rPr>
        <w:t xml:space="preserve">四、全球行业负面舆情（7条）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1000"/>
        <w:gridCol w:w="3200"/>
        <w:gridCol w:w="1500"/>
        <w:gridCol w:w="1826"/>
      </w:tblGrid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舆情标签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咨询类型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消息来源主体</w:t>
            </w:r>
          </w:p>
        </w:tc>
        <w:tc>
          <w:tcPr>
            <w:tcW w:type="dxa" w:w="1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来源链接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DC2626"/>
                <w:sz w:val="20"/>
                <w:szCs w:val="20"/>
              </w:rPr>
              <w:t xml:space="preserve">利空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供应中断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卡塔尔Qatalum铝厂因天然气断供被迫全面停产，65万吨产能受影响，完全复产需6-12个月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Qatalum铝厂</w:t>
            </w:r>
          </w:p>
        </w:tc>
        <w:tc>
          <w:tcPr>
            <w:tcW w:type="dxa" w:w="1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2563EB"/>
                <w:sz w:val="18"/>
                <w:szCs w:val="18"/>
              </w:rPr>
              <w:t xml:space="preserve">点击查看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DC2626"/>
                <w:sz w:val="20"/>
                <w:szCs w:val="20"/>
              </w:rPr>
              <w:t xml:space="preserve">利空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供应中断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巴林铝业因霍尔木兹海峡航道受阻宣布不可抗力，162万吨产能出口受阻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巴林铝业</w:t>
            </w:r>
          </w:p>
        </w:tc>
        <w:tc>
          <w:tcPr>
            <w:tcW w:type="dxa" w:w="1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2563EB"/>
                <w:sz w:val="18"/>
                <w:szCs w:val="18"/>
              </w:rPr>
              <w:t xml:space="preserve">点击查看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DC2626"/>
                <w:sz w:val="20"/>
                <w:szCs w:val="20"/>
              </w:rPr>
              <w:t xml:space="preserve">利空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供应风险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中东地缘冲突导致霍尔木兹海峡航运中断，中东地区氧化铝进口依赖度超90%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行业分析</w:t>
            </w:r>
          </w:p>
        </w:tc>
        <w:tc>
          <w:tcPr>
            <w:tcW w:type="dxa" w:w="1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2563EB"/>
                <w:sz w:val="18"/>
                <w:szCs w:val="18"/>
              </w:rPr>
              <w:t xml:space="preserve">点击查看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DC2626"/>
                <w:sz w:val="20"/>
                <w:szCs w:val="20"/>
              </w:rPr>
              <w:t xml:space="preserve">利空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成本压力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欧洲天然气价格涨幅超50%，电力价格上涨20-30%，欧洲铝企成本压力加剧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欧洲铝业协会</w:t>
            </w:r>
          </w:p>
        </w:tc>
        <w:tc>
          <w:tcPr>
            <w:tcW w:type="dxa" w:w="1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2563EB"/>
                <w:sz w:val="18"/>
                <w:szCs w:val="18"/>
              </w:rPr>
              <w:t xml:space="preserve">点击查看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DC2626"/>
                <w:sz w:val="20"/>
                <w:szCs w:val="20"/>
              </w:rPr>
              <w:t xml:space="preserve">利空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贸易摩擦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墨西哥对华铝高压锅反倾销终裁维持92.64%关税，倒逼企业转向东南亚中转贸易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墨西哥经济部</w:t>
            </w:r>
          </w:p>
        </w:tc>
        <w:tc>
          <w:tcPr>
            <w:tcW w:type="dxa" w:w="1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2563EB"/>
                <w:sz w:val="18"/>
                <w:szCs w:val="18"/>
              </w:rPr>
              <w:t xml:space="preserve">点击查看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DC2626"/>
                <w:sz w:val="20"/>
                <w:szCs w:val="20"/>
              </w:rPr>
              <w:t xml:space="preserve">利空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安全事故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河南某铝厂熔铸车间爆炸事故，应急管理部责令全国铝企开展安全排查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应急管理部</w:t>
            </w:r>
          </w:p>
        </w:tc>
        <w:tc>
          <w:tcPr>
            <w:tcW w:type="dxa" w:w="1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2563EB"/>
                <w:sz w:val="18"/>
                <w:szCs w:val="18"/>
              </w:rPr>
              <w:t xml:space="preserve">点击查看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DC2626"/>
                <w:sz w:val="20"/>
                <w:szCs w:val="20"/>
              </w:rPr>
              <w:t xml:space="preserve">利空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库存压力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国内电解铝社会库存达129.4万吨，刷新近五年高点，累库压力抑制现货升水空间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SMM</w:t>
            </w:r>
          </w:p>
        </w:tc>
        <w:tc>
          <w:tcPr>
            <w:tcW w:type="dxa" w:w="1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2563EB"/>
                <w:sz w:val="18"/>
                <w:szCs w:val="18"/>
              </w:rPr>
              <w:t xml:space="preserve">点击查看</w:t>
            </w:r>
          </w:p>
        </w:tc>
      </w:tr>
    </w:tbl>
    <w:p>
      <w:pPr>
        <w:spacing w:after="100" w:before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B45309"/>
          <w:sz w:val="32"/>
          <w:szCs w:val="32"/>
        </w:rPr>
        <w:t xml:space="preserve">五、贵阳本地企业舆情（3家企业）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1000"/>
        <w:gridCol w:w="2800"/>
        <w:gridCol w:w="1400"/>
        <w:gridCol w:w="1526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企业名称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舆情标签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咨询类型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消息来源主体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来源链接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中铝贵州分公司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59669"/>
                <w:sz w:val="20"/>
                <w:szCs w:val="20"/>
              </w:rPr>
              <w:t xml:space="preserve">利好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技术突破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中铝集团突破高强韧铝合金3D打印工艺，材料强度提升20%，已试用于航空航天部件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中铝集团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2563EB"/>
                <w:sz w:val="18"/>
                <w:szCs w:val="18"/>
              </w:rPr>
              <w:t xml:space="preserve">点击查看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中铝贵州分公司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59669"/>
                <w:sz w:val="20"/>
                <w:szCs w:val="20"/>
              </w:rPr>
              <w:t xml:space="preserve">利好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产能扩张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贵州中铝铝业年产0.6万吨动力电池铝箔项目采购铝箔分卷机，预算650万元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贵州中铝铝业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2563EB"/>
                <w:sz w:val="18"/>
                <w:szCs w:val="18"/>
              </w:rPr>
              <w:t xml:space="preserve">点击查看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中铝贵州分公司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7C3AED"/>
                <w:sz w:val="20"/>
                <w:szCs w:val="20"/>
              </w:rPr>
              <w:t xml:space="preserve">关注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成本压力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氧化铝价格反弹至2800元/吨，电解铝成本线上升，利润空间收窄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生意社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2563EB"/>
                <w:sz w:val="18"/>
                <w:szCs w:val="18"/>
              </w:rPr>
              <w:t xml:space="preserve">点击查看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贵州华仁新材料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59669"/>
                <w:sz w:val="20"/>
                <w:szCs w:val="20"/>
              </w:rPr>
              <w:t xml:space="preserve">利好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产能满产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368台500kA电解槽全部实现满负荷运行，历经758天攻坚实现全面满产，为2026年开门红奠定基础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贵州华仁新材料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2563EB"/>
                <w:sz w:val="18"/>
                <w:szCs w:val="18"/>
              </w:rPr>
              <w:t xml:space="preserve">点击查看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贵州华仁新材料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59669"/>
                <w:sz w:val="20"/>
                <w:szCs w:val="20"/>
              </w:rPr>
              <w:t xml:space="preserve">利好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产业链协同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作为铝水稳定供应源，与园区内前标铝业等企业形成紧密协作的铝加工小生态圈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贵州省政府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2563EB"/>
                <w:sz w:val="18"/>
                <w:szCs w:val="18"/>
              </w:rPr>
              <w:t xml:space="preserve">点击查看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贵州华仁新材料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7C3AED"/>
                <w:sz w:val="20"/>
                <w:szCs w:val="20"/>
              </w:rPr>
              <w:t xml:space="preserve">关注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市场竞争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铝价高位运行，下游加工企业采购情绪偏谨慎，高价接受度有限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行业分析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2563EB"/>
                <w:sz w:val="18"/>
                <w:szCs w:val="18"/>
              </w:rPr>
              <w:t xml:space="preserve">点击查看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贵州广铝集团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59669"/>
                <w:sz w:val="20"/>
                <w:szCs w:val="20"/>
              </w:rPr>
              <w:t xml:space="preserve">利好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政策支持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贵州发布31个铝产业链重大项目，广铝集团作为重点企业受益于产业集聚发展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贵州省政府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2563EB"/>
                <w:sz w:val="18"/>
                <w:szCs w:val="18"/>
              </w:rPr>
              <w:t xml:space="preserve">点击查看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贵州广铝集团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59669"/>
                <w:sz w:val="20"/>
                <w:szCs w:val="20"/>
              </w:rPr>
              <w:t xml:space="preserve">利好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产能优势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清镇市氧化铝产能占全省45%，广铝集团作为龙头企业具备产业链一体化优势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贵州省政府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2563EB"/>
                <w:sz w:val="18"/>
                <w:szCs w:val="18"/>
              </w:rPr>
              <w:t xml:space="preserve">点击查看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贵州广铝集团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7C3AED"/>
                <w:sz w:val="20"/>
                <w:szCs w:val="20"/>
              </w:rPr>
              <w:t xml:space="preserve">关注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环保压力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电解铝行业能效标杆水平以上产能占比需提升至30%以上，企业面临技改升级压力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工信部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2563EB"/>
                <w:sz w:val="18"/>
                <w:szCs w:val="18"/>
              </w:rPr>
              <w:t xml:space="preserve">点击查看</w:t>
            </w:r>
          </w:p>
        </w:tc>
      </w:tr>
    </w:tbl>
    <w:p>
      <w:pPr>
        <w:spacing w:after="100" w:before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B45309"/>
          <w:sz w:val="32"/>
          <w:szCs w:val="32"/>
        </w:rPr>
        <w:t xml:space="preserve">六、行业影响分析</w:t>
      </w:r>
    </w:p>
    <w:p>
      <w:pPr>
        <w:spacing w:after="80" w:before="12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6.1 政策影响分析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政策类型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核心影响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下一步行业影响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产能控制政策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从严控制氧化铝、电解铝新增产能，优化存量产能结构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利好现有产能企业，行业集中度提升，龙头企业受益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绿色发展政策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要求清洁能源使用比例超30%，推动再生铝发展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绿电铝溢价能力提升，再生铝企业迎来发展机遇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地方产业规划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广西、贵州等地出台铝产业发展规划，加大政策支持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区域产业集群效应增强，产业链协同发展加速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贸易摩擦政策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墨西哥反倾销税持续，欧盟碳关税细则落地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倒逼企业开拓多元化市场，绿电铝出口竞争力提升</w:t>
            </w:r>
          </w:p>
        </w:tc>
      </w:tr>
    </w:tbl>
    <w:p>
      <w:pPr>
        <w:spacing w:after="100" w:before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12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6.2 市场影响分析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影响因素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核心影响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下一步行业影响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中东供应中断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卡塔尔、巴林合计约227万吨产能受影响，全球供应紧张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铝价短期维持高位，电解铝企业利润改善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机构看多预期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摩根士丹利、RBC等上调铝价预测至3307-3700美元/吨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市场信心增强，投资意愿提升，产能扩张预期升温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库存高位运行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国内社会库存达129.4万吨，刷新近五年高点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短期压制现货升水，但旺季去库预期增强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成本支撑强化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氧化铝价格反弹，欧洲能源成本上涨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电解铝成本线上移，利润空间承压但价格传导顺畅</w:t>
            </w:r>
          </w:p>
        </w:tc>
      </w:tr>
    </w:tbl>
    <w:p>
      <w:pPr>
        <w:spacing w:after="100" w:before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12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6.3 企业影响分析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00"/>
        <w:gridCol w:w="2526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企业名称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正向影响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负面/关注因素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下一步建议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中铝贵州分公司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技术突破、产能扩张、政策支持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成本压力、环保要求提升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加快技术成果转化，推进绿电铝认证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贵州华仁新材料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全面满产、产业链协同、市场需求回暖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市场竞争加剧、高价接受度有限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深化产业链协同，拓展高端客户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贵州广铝集团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政策支持、产能优势、产业集聚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环保技改压力、资金需求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争取绿色信贷，推进技改升级</w:t>
            </w:r>
          </w:p>
        </w:tc>
      </w:tr>
    </w:tbl>
    <w:p>
      <w:pPr>
        <w:spacing w:after="100" w:before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B45309"/>
          <w:sz w:val="32"/>
          <w:szCs w:val="32"/>
        </w:rPr>
        <w:t xml:space="preserve">七、总结与建议</w:t>
      </w:r>
    </w:p>
    <w:p>
      <w:pPr>
        <w:spacing w:after="80" w:before="12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核心结论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B45309"/>
          <w:sz w:val="22"/>
          <w:szCs w:val="22"/>
        </w:rPr>
        <w:t xml:space="preserve">1. 整体判断：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本周铝产业政策支持力度加大，中东地缘冲突成为铝价最大变量，行业整体呈现机遇与挑战并存格局。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B45309"/>
          <w:sz w:val="22"/>
          <w:szCs w:val="22"/>
        </w:rPr>
        <w:t xml:space="preserve">2. 关键变量：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中东冲突持续时间、国内政策落地进度、旺季需求恢复程度、库存去化速度。</w:t>
      </w:r>
    </w:p>
    <w:p>
      <w:pPr>
        <w:spacing w:after="100" w:before="60"/>
      </w:pPr>
      <w:r>
        <w:rPr>
          <w:rFonts w:ascii="Microsoft YaHei" w:cs="Microsoft YaHei" w:eastAsia="Microsoft YaHei" w:hAnsi="Microsoft YaHei"/>
          <w:b/>
          <w:bCs/>
          <w:color w:val="B45309"/>
          <w:sz w:val="22"/>
          <w:szCs w:val="22"/>
        </w:rPr>
        <w:t xml:space="preserve">3. 贵阳企业：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本地铝企整体呈现积极发展态势，中铝技术突破、华仁全面满产、广铝受益产业集聚，但需关注成本压力和环保要求。</w:t>
      </w:r>
    </w:p>
    <w:p>
      <w:pPr>
        <w:spacing w:after="80" w:before="12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工作建议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326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工作事项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时间要求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DC2626"/>
                <w:sz w:val="20"/>
                <w:szCs w:val="20"/>
              </w:rPr>
              <w:t xml:space="preserve">紧急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跟踪中东地缘冲突进展，评估对本地企业供应链影响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持续关注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D97706"/>
                <w:sz w:val="20"/>
                <w:szCs w:val="20"/>
              </w:rPr>
              <w:t xml:space="preserve">重要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组织政策解读会，帮助企业把握政策红利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2周内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563EB"/>
                <w:sz w:val="20"/>
                <w:szCs w:val="20"/>
              </w:rPr>
              <w:t xml:space="preserve">常规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搭建银企对接平台，提供供应链金融服务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1个月内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7C3AED"/>
                <w:sz w:val="20"/>
                <w:szCs w:val="20"/>
              </w:rPr>
              <w:t xml:space="preserve">长期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推进绿电铝产品认证，对接欧盟碳关税政策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3个月内</w:t>
            </w:r>
          </w:p>
        </w:tc>
      </w:tr>
    </w:tbl>
    <w:p>
      <w:pPr>
        <w:spacing w:after="100" w:before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B45309" w:sz="3" w:space="1"/>
        </w:pBdr>
        <w:spacing w:after="100" w:before="200"/>
      </w:pPr>
    </w:p>
    <w:p>
      <w:pPr>
        <w:spacing w:after="100" w:before="0"/>
        <w:jc w:val="center"/>
      </w:pPr>
      <w:r>
        <w:rPr>
          <w:rFonts w:ascii="Microsoft YaHei" w:cs="Microsoft YaHei" w:eastAsia="Microsoft YaHei" w:hAnsi="Microsoft YaHei"/>
          <w:color w:val="6B7280"/>
          <w:sz w:val="18"/>
          <w:szCs w:val="18"/>
        </w:rPr>
        <w:t xml:space="preserve">免责声明：本报告基于公开信息整理，仅供行业决策参考，不构成投资建议。</w:t>
      </w:r>
    </w:p>
    <w:p>
      <w:pPr>
        <w:spacing w:after="100" w:before="0"/>
        <w:jc w:val="center"/>
      </w:pPr>
      <w:r>
        <w:rPr>
          <w:rFonts w:ascii="Microsoft YaHei" w:cs="Microsoft YaHei" w:eastAsia="Microsoft YaHei" w:hAnsi="Microsoft YaHei"/>
          <w:color w:val="6B7280"/>
          <w:sz w:val="18"/>
          <w:szCs w:val="18"/>
        </w:rPr>
        <w:t xml:space="preserve">编制单位：铝产业研究组</w:t>
      </w:r>
    </w:p>
    <w:p>
      <w:pPr>
        <w:spacing w:after="100" w:before="0"/>
        <w:jc w:val="center"/>
      </w:pPr>
      <w:r>
        <w:rPr>
          <w:rFonts w:ascii="Microsoft YaHei" w:cs="Microsoft YaHei" w:eastAsia="Microsoft YaHei" w:hAnsi="Microsoft YaHei"/>
          <w:color w:val="6B7280"/>
          <w:sz w:val="18"/>
          <w:szCs w:val="18"/>
        </w:rPr>
        <w:t xml:space="preserve">数据来源：工信部、国家统计局、SMM、摩根士丹利、RBC资本、世铝网等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Microsoft YaHei" w:cs="Microsoft YaHei" w:eastAsia="Microsoft YaHei" w:hAnsi="Microsoft YaHei"/>
        <w:color w:val="6B7280"/>
        <w:sz w:val="16"/>
        <w:szCs w:val="16"/>
      </w:rPr>
      <w:t xml:space="preserve">2026年3月10日-16日 · 行业决策参考</w:t>
    </w:r>
    <w:r>
      <w:rPr>
        <w:rFonts w:ascii="Microsoft YaHei" w:cs="Microsoft YaHei" w:eastAsia="Microsoft YaHei" w:hAnsi="Microsoft YaHei"/>
        <w:color w:val="6B7280"/>
        <w:sz w:val="16"/>
        <w:szCs w:val="16"/>
      </w:rPr>
      <w:t xml:space="preserve">		第 </w:t>
      <w:fldChar w:fldCharType="begin"/>
      <w:instrText xml:space="preserve">PAGE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5309" w:sz="2" w:space="1"/>
      </w:pBdr>
      <w:jc w:val="right"/>
    </w:pPr>
    <w:r>
      <w:rPr>
        <w:rFonts w:ascii="Microsoft YaHei" w:cs="Microsoft YaHei" w:eastAsia="Microsoft YaHei" w:hAnsi="Microsoft YaHei"/>
        <w:color w:val="6B7280"/>
        <w:sz w:val="18"/>
        <w:szCs w:val="18"/>
      </w:rPr>
      <w:t xml:space="preserve">一周全球铝产业资讯分析简报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B4530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2026-03-17T02:46:33.565Z</dcterms:created>
  <dcterms:modified xsi:type="dcterms:W3CDTF">2026-03-17T02:46:33.566Z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