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16090" w14:textId="77777777" w:rsidR="00E86677" w:rsidRDefault="00000000">
      <w:pPr>
        <w:pStyle w:val="Title"/>
      </w:pPr>
      <w:r>
        <w:t>Determine Metric Weights</w:t>
      </w:r>
    </w:p>
    <w:p w14:paraId="53BB0037" w14:textId="77777777" w:rsidR="00E86677" w:rsidRDefault="00000000">
      <w:pPr>
        <w:pStyle w:val="Heading1"/>
      </w:pPr>
      <w:r>
        <w:t>User story</w:t>
      </w:r>
    </w:p>
    <w:p w14:paraId="48042468" w14:textId="77777777" w:rsidR="00E86677" w:rsidRDefault="00000000">
      <w:r>
        <w:rPr>
          <w:i/>
        </w:rPr>
        <w:t>As a dashboard user, I want the evaluation criteria weighted transparently so that each state score is balanced, reproducible, and defensible.</w:t>
      </w:r>
    </w:p>
    <w:p w14:paraId="61F58F3B" w14:textId="77777777" w:rsidR="00E86677" w:rsidRDefault="00000000">
      <w:pPr>
        <w:pStyle w:val="Heading1"/>
      </w:pPr>
      <w:r>
        <w:t>Purpose and recommendation</w:t>
      </w:r>
    </w:p>
    <w:p w14:paraId="2484C864" w14:textId="77777777" w:rsidR="00E86677" w:rsidRDefault="00000000">
      <w:r>
        <w:t>This document completes the four tasks for user story 40: reviewing the core metrics list, defining weighting criteria, assigning preliminary weights, and testing and documenting the final weights. The recommended Fall 2026 starting point is an equal 25 percent weight for each of the four SIECHI operational domains. Equal weighting is the most defensible default until KARA approves a value judgment that one domain should count more than another.</w:t>
      </w:r>
    </w:p>
    <w:p w14:paraId="150864C5" w14:textId="77777777" w:rsidR="00E86677" w:rsidRDefault="00000000">
      <w:r>
        <w:t>The weights below are a methodology recommendation for sponsor review, not a claim that KARA has already approved them. Outcome measures remain descriptive context. The Fall 2026 scope states that documented structural policy and implementation evidence determines the grade.</w:t>
      </w:r>
    </w:p>
    <w:p w14:paraId="7E0E9522" w14:textId="77777777" w:rsidR="00E86677" w:rsidRDefault="00000000">
      <w:pPr>
        <w:pStyle w:val="Heading1"/>
      </w:pPr>
      <w:r>
        <w:t>Task 1 Review Core Metrics List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1512"/>
        <w:gridCol w:w="4536"/>
        <w:gridCol w:w="1944"/>
      </w:tblGrid>
      <w:tr w:rsidR="00E86677" w14:paraId="7406D615" w14:textId="77777777">
        <w:trPr>
          <w:tblHeader/>
          <w:jc w:val="center"/>
        </w:trPr>
        <w:tc>
          <w:tcPr>
            <w:tcW w:w="1944" w:type="dxa"/>
            <w:shd w:val="clear" w:color="auto" w:fill="17365D"/>
            <w:tcMar>
              <w:top w:w="110" w:type="dxa"/>
              <w:left w:w="120" w:type="dxa"/>
              <w:bottom w:w="110" w:type="dxa"/>
              <w:right w:w="120" w:type="dxa"/>
            </w:tcMar>
            <w:vAlign w:val="center"/>
          </w:tcPr>
          <w:p w14:paraId="107C22B4" w14:textId="77777777" w:rsidR="00E86677" w:rsidRDefault="00000000">
            <w:pPr>
              <w:spacing w:after="0"/>
              <w:jc w:val="center"/>
            </w:pPr>
            <w:r>
              <w:rPr>
                <w:b/>
                <w:color w:val="FFFFFF"/>
                <w:sz w:val="16"/>
              </w:rPr>
              <w:t>Rubric layer</w:t>
            </w:r>
          </w:p>
        </w:tc>
        <w:tc>
          <w:tcPr>
            <w:tcW w:w="1512" w:type="dxa"/>
            <w:shd w:val="clear" w:color="auto" w:fill="17365D"/>
            <w:tcMar>
              <w:top w:w="110" w:type="dxa"/>
              <w:left w:w="120" w:type="dxa"/>
              <w:bottom w:w="110" w:type="dxa"/>
              <w:right w:w="120" w:type="dxa"/>
            </w:tcMar>
            <w:vAlign w:val="center"/>
          </w:tcPr>
          <w:p w14:paraId="054C15B5" w14:textId="77777777" w:rsidR="00E86677" w:rsidRDefault="00000000">
            <w:pPr>
              <w:spacing w:after="0"/>
              <w:jc w:val="center"/>
            </w:pPr>
            <w:r>
              <w:rPr>
                <w:b/>
                <w:color w:val="FFFFFF"/>
                <w:sz w:val="16"/>
              </w:rPr>
              <w:t>Variable range</w:t>
            </w:r>
          </w:p>
        </w:tc>
        <w:tc>
          <w:tcPr>
            <w:tcW w:w="4536" w:type="dxa"/>
            <w:shd w:val="clear" w:color="auto" w:fill="17365D"/>
            <w:tcMar>
              <w:top w:w="110" w:type="dxa"/>
              <w:left w:w="120" w:type="dxa"/>
              <w:bottom w:w="110" w:type="dxa"/>
              <w:right w:w="120" w:type="dxa"/>
            </w:tcMar>
            <w:vAlign w:val="center"/>
          </w:tcPr>
          <w:p w14:paraId="52E96AB7" w14:textId="77777777" w:rsidR="00E86677" w:rsidRDefault="00000000">
            <w:pPr>
              <w:spacing w:after="0"/>
              <w:jc w:val="center"/>
            </w:pPr>
            <w:r>
              <w:rPr>
                <w:b/>
                <w:color w:val="FFFFFF"/>
                <w:sz w:val="16"/>
              </w:rPr>
              <w:t>Core content</w:t>
            </w:r>
          </w:p>
        </w:tc>
        <w:tc>
          <w:tcPr>
            <w:tcW w:w="1944" w:type="dxa"/>
            <w:shd w:val="clear" w:color="auto" w:fill="17365D"/>
            <w:tcMar>
              <w:top w:w="110" w:type="dxa"/>
              <w:left w:w="120" w:type="dxa"/>
              <w:bottom w:w="110" w:type="dxa"/>
              <w:right w:w="120" w:type="dxa"/>
            </w:tcMar>
            <w:vAlign w:val="center"/>
          </w:tcPr>
          <w:p w14:paraId="5FAFBD87" w14:textId="77777777" w:rsidR="00E86677" w:rsidRDefault="00000000">
            <w:pPr>
              <w:spacing w:after="0"/>
              <w:jc w:val="center"/>
            </w:pPr>
            <w:r>
              <w:rPr>
                <w:b/>
                <w:color w:val="FFFFFF"/>
                <w:sz w:val="16"/>
              </w:rPr>
              <w:t>Weighting role</w:t>
            </w:r>
          </w:p>
        </w:tc>
      </w:tr>
      <w:tr w:rsidR="00E86677" w14:paraId="08FA7238" w14:textId="77777777">
        <w:trPr>
          <w:jc w:val="center"/>
        </w:trPr>
        <w:tc>
          <w:tcPr>
            <w:tcW w:w="1944" w:type="dxa"/>
            <w:tcMar>
              <w:top w:w="105" w:type="dxa"/>
              <w:left w:w="120" w:type="dxa"/>
              <w:bottom w:w="105" w:type="dxa"/>
              <w:right w:w="120" w:type="dxa"/>
            </w:tcMar>
            <w:vAlign w:val="center"/>
          </w:tcPr>
          <w:p w14:paraId="454FCF00" w14:textId="77777777" w:rsidR="00E86677" w:rsidRDefault="00000000">
            <w:pPr>
              <w:spacing w:after="0"/>
            </w:pPr>
            <w:r>
              <w:rPr>
                <w:b/>
                <w:sz w:val="16"/>
              </w:rPr>
              <w:t>1. CPS Performance</w:t>
            </w:r>
          </w:p>
        </w:tc>
        <w:tc>
          <w:tcPr>
            <w:tcW w:w="1512" w:type="dxa"/>
            <w:tcMar>
              <w:top w:w="105" w:type="dxa"/>
              <w:left w:w="120" w:type="dxa"/>
              <w:bottom w:w="105" w:type="dxa"/>
              <w:right w:w="120" w:type="dxa"/>
            </w:tcMar>
            <w:vAlign w:val="center"/>
          </w:tcPr>
          <w:p w14:paraId="21C51815" w14:textId="77777777" w:rsidR="00E86677" w:rsidRDefault="00000000">
            <w:pPr>
              <w:spacing w:after="0"/>
            </w:pPr>
            <w:r>
              <w:rPr>
                <w:sz w:val="16"/>
              </w:rPr>
              <w:t>RV-001 to RV-008</w:t>
            </w:r>
          </w:p>
        </w:tc>
        <w:tc>
          <w:tcPr>
            <w:tcW w:w="4536" w:type="dxa"/>
            <w:tcMar>
              <w:top w:w="105" w:type="dxa"/>
              <w:left w:w="120" w:type="dxa"/>
              <w:bottom w:w="105" w:type="dxa"/>
              <w:right w:w="120" w:type="dxa"/>
            </w:tcMar>
            <w:vAlign w:val="center"/>
          </w:tcPr>
          <w:p w14:paraId="21399261" w14:textId="77777777" w:rsidR="00E86677" w:rsidRDefault="00000000">
            <w:pPr>
              <w:spacing w:after="0"/>
            </w:pPr>
            <w:r>
              <w:rPr>
                <w:sz w:val="16"/>
              </w:rPr>
              <w:t>Reports, screening, investigations, findings, removals, foster care, outcomes, time and geography</w:t>
            </w:r>
          </w:p>
        </w:tc>
        <w:tc>
          <w:tcPr>
            <w:tcW w:w="1944" w:type="dxa"/>
            <w:tcMar>
              <w:top w:w="105" w:type="dxa"/>
              <w:left w:w="120" w:type="dxa"/>
              <w:bottom w:w="105" w:type="dxa"/>
              <w:right w:w="120" w:type="dxa"/>
            </w:tcMar>
            <w:vAlign w:val="center"/>
          </w:tcPr>
          <w:p w14:paraId="38B16848" w14:textId="77777777" w:rsidR="00E86677" w:rsidRDefault="00000000">
            <w:pPr>
              <w:spacing w:after="0"/>
            </w:pPr>
            <w:r>
              <w:rPr>
                <w:sz w:val="16"/>
              </w:rPr>
              <w:t>Context and quality checks; do not independently determine a structural grade.</w:t>
            </w:r>
          </w:p>
        </w:tc>
      </w:tr>
      <w:tr w:rsidR="00E86677" w14:paraId="33FAE551" w14:textId="77777777">
        <w:trPr>
          <w:jc w:val="center"/>
        </w:trPr>
        <w:tc>
          <w:tcPr>
            <w:tcW w:w="1944" w:type="dxa"/>
            <w:shd w:val="clear" w:color="auto" w:fill="F2F6FA"/>
            <w:tcMar>
              <w:top w:w="105" w:type="dxa"/>
              <w:left w:w="120" w:type="dxa"/>
              <w:bottom w:w="105" w:type="dxa"/>
              <w:right w:w="120" w:type="dxa"/>
            </w:tcMar>
            <w:vAlign w:val="center"/>
          </w:tcPr>
          <w:p w14:paraId="0AFC7C94" w14:textId="77777777" w:rsidR="00E86677" w:rsidRDefault="00000000">
            <w:pPr>
              <w:spacing w:after="0"/>
            </w:pPr>
            <w:r>
              <w:rPr>
                <w:b/>
                <w:sz w:val="16"/>
              </w:rPr>
              <w:t>2. CPS Response Pathway</w:t>
            </w:r>
          </w:p>
        </w:tc>
        <w:tc>
          <w:tcPr>
            <w:tcW w:w="1512" w:type="dxa"/>
            <w:shd w:val="clear" w:color="auto" w:fill="F2F6FA"/>
            <w:tcMar>
              <w:top w:w="105" w:type="dxa"/>
              <w:left w:w="120" w:type="dxa"/>
              <w:bottom w:w="105" w:type="dxa"/>
              <w:right w:w="120" w:type="dxa"/>
            </w:tcMar>
            <w:vAlign w:val="center"/>
          </w:tcPr>
          <w:p w14:paraId="1343F004" w14:textId="77777777" w:rsidR="00E86677" w:rsidRDefault="00000000">
            <w:pPr>
              <w:spacing w:after="0"/>
            </w:pPr>
            <w:r>
              <w:rPr>
                <w:sz w:val="16"/>
              </w:rPr>
              <w:t>RV-009 to RV-020</w:t>
            </w:r>
          </w:p>
        </w:tc>
        <w:tc>
          <w:tcPr>
            <w:tcW w:w="4536" w:type="dxa"/>
            <w:shd w:val="clear" w:color="auto" w:fill="F2F6FA"/>
            <w:tcMar>
              <w:top w:w="105" w:type="dxa"/>
              <w:left w:w="120" w:type="dxa"/>
              <w:bottom w:w="105" w:type="dxa"/>
              <w:right w:w="120" w:type="dxa"/>
            </w:tcMar>
            <w:vAlign w:val="center"/>
          </w:tcPr>
          <w:p w14:paraId="305B9069" w14:textId="77777777" w:rsidR="00E86677" w:rsidRDefault="00000000">
            <w:pPr>
              <w:spacing w:after="0"/>
            </w:pPr>
            <w:r>
              <w:rPr>
                <w:sz w:val="16"/>
              </w:rPr>
              <w:t>Investigation and alternative-response counts and shares, assignment criteria, switching, reopening, findings, recurrence visibility, service participation, refusal consequences</w:t>
            </w:r>
          </w:p>
        </w:tc>
        <w:tc>
          <w:tcPr>
            <w:tcW w:w="1944" w:type="dxa"/>
            <w:shd w:val="clear" w:color="auto" w:fill="F2F6FA"/>
            <w:tcMar>
              <w:top w:w="105" w:type="dxa"/>
              <w:left w:w="120" w:type="dxa"/>
              <w:bottom w:w="105" w:type="dxa"/>
              <w:right w:w="120" w:type="dxa"/>
            </w:tcMar>
            <w:vAlign w:val="center"/>
          </w:tcPr>
          <w:p w14:paraId="43BFE682" w14:textId="77777777" w:rsidR="00E86677" w:rsidRDefault="00000000">
            <w:pPr>
              <w:spacing w:after="0"/>
            </w:pPr>
            <w:r>
              <w:rPr>
                <w:sz w:val="16"/>
              </w:rPr>
              <w:t>Structural and process evidence feeding the operational domains.</w:t>
            </w:r>
          </w:p>
        </w:tc>
      </w:tr>
      <w:tr w:rsidR="00E86677" w14:paraId="5DEA7EEF" w14:textId="77777777">
        <w:trPr>
          <w:jc w:val="center"/>
        </w:trPr>
        <w:tc>
          <w:tcPr>
            <w:tcW w:w="1944" w:type="dxa"/>
            <w:tcMar>
              <w:top w:w="105" w:type="dxa"/>
              <w:left w:w="120" w:type="dxa"/>
              <w:bottom w:w="105" w:type="dxa"/>
              <w:right w:w="120" w:type="dxa"/>
            </w:tcMar>
            <w:vAlign w:val="center"/>
          </w:tcPr>
          <w:p w14:paraId="3B3C10F8" w14:textId="77777777" w:rsidR="00E86677" w:rsidRDefault="00000000">
            <w:pPr>
              <w:spacing w:after="0"/>
            </w:pPr>
            <w:r>
              <w:rPr>
                <w:b/>
                <w:sz w:val="16"/>
              </w:rPr>
              <w:t>3. Longitudinal History and System Memory</w:t>
            </w:r>
          </w:p>
        </w:tc>
        <w:tc>
          <w:tcPr>
            <w:tcW w:w="1512" w:type="dxa"/>
            <w:tcMar>
              <w:top w:w="105" w:type="dxa"/>
              <w:left w:w="120" w:type="dxa"/>
              <w:bottom w:w="105" w:type="dxa"/>
              <w:right w:w="120" w:type="dxa"/>
            </w:tcMar>
            <w:vAlign w:val="center"/>
          </w:tcPr>
          <w:p w14:paraId="0A63CAF2" w14:textId="77777777" w:rsidR="00E86677" w:rsidRDefault="00000000">
            <w:pPr>
              <w:spacing w:after="0"/>
            </w:pPr>
            <w:r>
              <w:rPr>
                <w:sz w:val="16"/>
              </w:rPr>
              <w:t>RV-021 to RV-036</w:t>
            </w:r>
          </w:p>
        </w:tc>
        <w:tc>
          <w:tcPr>
            <w:tcW w:w="4536" w:type="dxa"/>
            <w:tcMar>
              <w:top w:w="105" w:type="dxa"/>
              <w:left w:w="120" w:type="dxa"/>
              <w:bottom w:w="105" w:type="dxa"/>
              <w:right w:w="120" w:type="dxa"/>
            </w:tcMar>
            <w:vAlign w:val="center"/>
          </w:tcPr>
          <w:p w14:paraId="316D5904" w14:textId="77777777" w:rsidR="00E86677" w:rsidRDefault="00000000">
            <w:pPr>
              <w:spacing w:after="0"/>
            </w:pPr>
            <w:r>
              <w:rPr>
                <w:sz w:val="16"/>
              </w:rPr>
              <w:t>Prior reports and placements, repeat reports, prior response paths, record retention, cross-county and cross-state continuity, record access and destruction</w:t>
            </w:r>
          </w:p>
        </w:tc>
        <w:tc>
          <w:tcPr>
            <w:tcW w:w="1944" w:type="dxa"/>
            <w:tcMar>
              <w:top w:w="105" w:type="dxa"/>
              <w:left w:w="120" w:type="dxa"/>
              <w:bottom w:w="105" w:type="dxa"/>
              <w:right w:w="120" w:type="dxa"/>
            </w:tcMar>
            <w:vAlign w:val="center"/>
          </w:tcPr>
          <w:p w14:paraId="4AFCC3A5" w14:textId="77777777" w:rsidR="00E86677" w:rsidRDefault="00000000">
            <w:pPr>
              <w:spacing w:after="0"/>
            </w:pPr>
            <w:r>
              <w:rPr>
                <w:sz w:val="16"/>
              </w:rPr>
              <w:t>Structural evidence about system memory and continuity.</w:t>
            </w:r>
          </w:p>
        </w:tc>
      </w:tr>
      <w:tr w:rsidR="00E86677" w14:paraId="652FFDFE" w14:textId="77777777">
        <w:trPr>
          <w:jc w:val="center"/>
        </w:trPr>
        <w:tc>
          <w:tcPr>
            <w:tcW w:w="1944" w:type="dxa"/>
            <w:shd w:val="clear" w:color="auto" w:fill="F2F6FA"/>
            <w:tcMar>
              <w:top w:w="105" w:type="dxa"/>
              <w:left w:w="120" w:type="dxa"/>
              <w:bottom w:w="105" w:type="dxa"/>
              <w:right w:w="120" w:type="dxa"/>
            </w:tcMar>
            <w:vAlign w:val="center"/>
          </w:tcPr>
          <w:p w14:paraId="0814898B" w14:textId="77777777" w:rsidR="00E86677" w:rsidRDefault="00000000">
            <w:pPr>
              <w:spacing w:after="0"/>
            </w:pPr>
            <w:r>
              <w:rPr>
                <w:b/>
                <w:sz w:val="16"/>
              </w:rPr>
              <w:t>4. SIECHI Structural Assessment</w:t>
            </w:r>
          </w:p>
        </w:tc>
        <w:tc>
          <w:tcPr>
            <w:tcW w:w="1512" w:type="dxa"/>
            <w:shd w:val="clear" w:color="auto" w:fill="F2F6FA"/>
            <w:tcMar>
              <w:top w:w="105" w:type="dxa"/>
              <w:left w:w="120" w:type="dxa"/>
              <w:bottom w:w="105" w:type="dxa"/>
              <w:right w:w="120" w:type="dxa"/>
            </w:tcMar>
            <w:vAlign w:val="center"/>
          </w:tcPr>
          <w:p w14:paraId="16ED507F" w14:textId="77777777" w:rsidR="00E86677" w:rsidRDefault="00000000">
            <w:pPr>
              <w:spacing w:after="0"/>
            </w:pPr>
            <w:r>
              <w:rPr>
                <w:sz w:val="16"/>
              </w:rPr>
              <w:t>RV-037 to RV-040</w:t>
            </w:r>
          </w:p>
        </w:tc>
        <w:tc>
          <w:tcPr>
            <w:tcW w:w="4536" w:type="dxa"/>
            <w:shd w:val="clear" w:color="auto" w:fill="F2F6FA"/>
            <w:tcMar>
              <w:top w:w="105" w:type="dxa"/>
              <w:left w:w="120" w:type="dxa"/>
              <w:bottom w:w="105" w:type="dxa"/>
              <w:right w:w="120" w:type="dxa"/>
            </w:tcMar>
            <w:vAlign w:val="center"/>
          </w:tcPr>
          <w:p w14:paraId="2935D80D" w14:textId="77777777" w:rsidR="00E86677" w:rsidRDefault="00000000">
            <w:pPr>
              <w:spacing w:after="0"/>
            </w:pPr>
            <w:r>
              <w:rPr>
                <w:sz w:val="16"/>
              </w:rPr>
              <w:t>Implementation Barriers; Benefit Distribution and Transparency; Family and Child Access; Accountability and Outcomes</w:t>
            </w:r>
          </w:p>
        </w:tc>
        <w:tc>
          <w:tcPr>
            <w:tcW w:w="1944" w:type="dxa"/>
            <w:shd w:val="clear" w:color="auto" w:fill="F2F6FA"/>
            <w:tcMar>
              <w:top w:w="105" w:type="dxa"/>
              <w:left w:w="120" w:type="dxa"/>
              <w:bottom w:w="105" w:type="dxa"/>
              <w:right w:w="120" w:type="dxa"/>
            </w:tcMar>
            <w:vAlign w:val="center"/>
          </w:tcPr>
          <w:p w14:paraId="11AE423E" w14:textId="77777777" w:rsidR="00E86677" w:rsidRDefault="00000000">
            <w:pPr>
              <w:spacing w:after="0"/>
            </w:pPr>
            <w:r>
              <w:rPr>
                <w:sz w:val="16"/>
              </w:rPr>
              <w:t>Scored domain layer for the preliminary composite.</w:t>
            </w:r>
          </w:p>
        </w:tc>
      </w:tr>
      <w:tr w:rsidR="00E86677" w14:paraId="631FDF69" w14:textId="77777777">
        <w:trPr>
          <w:jc w:val="center"/>
        </w:trPr>
        <w:tc>
          <w:tcPr>
            <w:tcW w:w="1944" w:type="dxa"/>
            <w:tcMar>
              <w:top w:w="105" w:type="dxa"/>
              <w:left w:w="120" w:type="dxa"/>
              <w:bottom w:w="105" w:type="dxa"/>
              <w:right w:w="120" w:type="dxa"/>
            </w:tcMar>
            <w:vAlign w:val="center"/>
          </w:tcPr>
          <w:p w14:paraId="7D2FDF53" w14:textId="77777777" w:rsidR="00E86677" w:rsidRDefault="00000000">
            <w:pPr>
              <w:spacing w:after="0"/>
            </w:pPr>
            <w:r>
              <w:rPr>
                <w:b/>
                <w:sz w:val="16"/>
              </w:rPr>
              <w:t>5. Longitudinal Child and Family Outcomes</w:t>
            </w:r>
          </w:p>
        </w:tc>
        <w:tc>
          <w:tcPr>
            <w:tcW w:w="1512" w:type="dxa"/>
            <w:tcMar>
              <w:top w:w="105" w:type="dxa"/>
              <w:left w:w="120" w:type="dxa"/>
              <w:bottom w:w="105" w:type="dxa"/>
              <w:right w:w="120" w:type="dxa"/>
            </w:tcMar>
            <w:vAlign w:val="center"/>
          </w:tcPr>
          <w:p w14:paraId="30975C21" w14:textId="77777777" w:rsidR="00E86677" w:rsidRDefault="00000000">
            <w:pPr>
              <w:spacing w:after="0"/>
            </w:pPr>
            <w:r>
              <w:rPr>
                <w:sz w:val="16"/>
              </w:rPr>
              <w:t>RV-041 to RV-050</w:t>
            </w:r>
          </w:p>
        </w:tc>
        <w:tc>
          <w:tcPr>
            <w:tcW w:w="4536" w:type="dxa"/>
            <w:tcMar>
              <w:top w:w="105" w:type="dxa"/>
              <w:left w:w="120" w:type="dxa"/>
              <w:bottom w:w="105" w:type="dxa"/>
              <w:right w:w="120" w:type="dxa"/>
            </w:tcMar>
            <w:vAlign w:val="center"/>
          </w:tcPr>
          <w:p w14:paraId="39B623E6" w14:textId="77777777" w:rsidR="00E86677" w:rsidRDefault="00000000">
            <w:pPr>
              <w:spacing w:after="0"/>
            </w:pPr>
            <w:r>
              <w:rPr>
                <w:sz w:val="16"/>
              </w:rPr>
              <w:t>Education, employment, housing, physical health, mental health, substance use, justice involvement, mortality, parenting, intergenerational CPS contact</w:t>
            </w:r>
          </w:p>
        </w:tc>
        <w:tc>
          <w:tcPr>
            <w:tcW w:w="1944" w:type="dxa"/>
            <w:tcMar>
              <w:top w:w="105" w:type="dxa"/>
              <w:left w:w="120" w:type="dxa"/>
              <w:bottom w:w="105" w:type="dxa"/>
              <w:right w:w="120" w:type="dxa"/>
            </w:tcMar>
            <w:vAlign w:val="center"/>
          </w:tcPr>
          <w:p w14:paraId="1B8BF417" w14:textId="77777777" w:rsidR="00E86677" w:rsidRDefault="00000000">
            <w:pPr>
              <w:spacing w:after="0"/>
            </w:pPr>
            <w:r>
              <w:rPr>
                <w:sz w:val="16"/>
              </w:rPr>
              <w:t>Context unless KARA validates a structural interpretation and the pending life-course framework.</w:t>
            </w:r>
          </w:p>
        </w:tc>
      </w:tr>
    </w:tbl>
    <w:p w14:paraId="58CA9CCE" w14:textId="77777777" w:rsidR="00E86677" w:rsidRDefault="00E86677">
      <w:pPr>
        <w:spacing w:after="20"/>
      </w:pPr>
    </w:p>
    <w:p w14:paraId="6FEE669F" w14:textId="77777777" w:rsidR="00E86677" w:rsidRDefault="00000000">
      <w:r>
        <w:t>Coverage note. The EIM Rubric Variable Map shows that many candidate variables are not yet available in the EIM, and the README states that Layer 5 is waiting on KARA's twelve-measure life-course framework. Missing coverage must therefore remain visible and must not become a zero score.</w:t>
      </w:r>
    </w:p>
    <w:p w14:paraId="27E3CF29" w14:textId="77777777" w:rsidR="00E86677" w:rsidRDefault="00000000">
      <w:pPr>
        <w:pStyle w:val="Heading2"/>
      </w:pPr>
      <w:r>
        <w:t>Scored operational domains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96"/>
        <w:gridCol w:w="6840"/>
      </w:tblGrid>
      <w:tr w:rsidR="00E86677" w14:paraId="3CEBFA88" w14:textId="77777777">
        <w:trPr>
          <w:tblHeader/>
          <w:jc w:val="center"/>
        </w:trPr>
        <w:tc>
          <w:tcPr>
            <w:tcW w:w="3096" w:type="dxa"/>
            <w:shd w:val="clear" w:color="auto" w:fill="17365D"/>
            <w:tcMar>
              <w:top w:w="110" w:type="dxa"/>
              <w:left w:w="120" w:type="dxa"/>
              <w:bottom w:w="110" w:type="dxa"/>
              <w:right w:w="120" w:type="dxa"/>
            </w:tcMar>
            <w:vAlign w:val="center"/>
          </w:tcPr>
          <w:p w14:paraId="698F12DC" w14:textId="77777777" w:rsidR="00E86677" w:rsidRDefault="00000000">
            <w:pPr>
              <w:spacing w:after="0"/>
              <w:jc w:val="center"/>
            </w:pPr>
            <w:r>
              <w:rPr>
                <w:b/>
                <w:color w:val="FFFFFF"/>
                <w:sz w:val="17"/>
              </w:rPr>
              <w:t>Domain</w:t>
            </w:r>
          </w:p>
        </w:tc>
        <w:tc>
          <w:tcPr>
            <w:tcW w:w="6840" w:type="dxa"/>
            <w:shd w:val="clear" w:color="auto" w:fill="17365D"/>
            <w:tcMar>
              <w:top w:w="110" w:type="dxa"/>
              <w:left w:w="120" w:type="dxa"/>
              <w:bottom w:w="110" w:type="dxa"/>
              <w:right w:w="120" w:type="dxa"/>
            </w:tcMar>
            <w:vAlign w:val="center"/>
          </w:tcPr>
          <w:p w14:paraId="30D38041" w14:textId="77777777" w:rsidR="00E86677" w:rsidRDefault="00000000">
            <w:pPr>
              <w:spacing w:after="0"/>
              <w:jc w:val="center"/>
            </w:pPr>
            <w:r>
              <w:rPr>
                <w:b/>
                <w:color w:val="FFFFFF"/>
                <w:sz w:val="17"/>
              </w:rPr>
              <w:t>Working focus</w:t>
            </w:r>
          </w:p>
        </w:tc>
      </w:tr>
      <w:tr w:rsidR="00E86677" w14:paraId="44A76299" w14:textId="77777777">
        <w:trPr>
          <w:jc w:val="center"/>
        </w:trPr>
        <w:tc>
          <w:tcPr>
            <w:tcW w:w="3096" w:type="dxa"/>
            <w:tcMar>
              <w:top w:w="105" w:type="dxa"/>
              <w:left w:w="120" w:type="dxa"/>
              <w:bottom w:w="105" w:type="dxa"/>
              <w:right w:w="120" w:type="dxa"/>
            </w:tcMar>
            <w:vAlign w:val="center"/>
          </w:tcPr>
          <w:p w14:paraId="43F700BB" w14:textId="77777777" w:rsidR="00E86677" w:rsidRDefault="00000000">
            <w:pPr>
              <w:spacing w:after="0"/>
            </w:pPr>
            <w:r>
              <w:rPr>
                <w:b/>
                <w:sz w:val="17"/>
              </w:rPr>
              <w:lastRenderedPageBreak/>
              <w:t>Implementation Barriers</w:t>
            </w:r>
          </w:p>
        </w:tc>
        <w:tc>
          <w:tcPr>
            <w:tcW w:w="6840" w:type="dxa"/>
            <w:tcMar>
              <w:top w:w="105" w:type="dxa"/>
              <w:left w:w="120" w:type="dxa"/>
              <w:bottom w:w="105" w:type="dxa"/>
              <w:right w:w="120" w:type="dxa"/>
            </w:tcMar>
            <w:vAlign w:val="center"/>
          </w:tcPr>
          <w:p w14:paraId="75E3F127" w14:textId="77777777" w:rsidR="00E86677" w:rsidRDefault="00000000">
            <w:pPr>
              <w:spacing w:after="0"/>
            </w:pPr>
            <w:r>
              <w:rPr>
                <w:sz w:val="17"/>
              </w:rPr>
              <w:t>Implementation lag, administrative complexity, fragmented responsibility, workforce or operational constraints, and other barriers between policy and practice.</w:t>
            </w:r>
          </w:p>
        </w:tc>
      </w:tr>
      <w:tr w:rsidR="00E86677" w14:paraId="7BE9D6F3" w14:textId="77777777">
        <w:trPr>
          <w:jc w:val="center"/>
        </w:trPr>
        <w:tc>
          <w:tcPr>
            <w:tcW w:w="3096" w:type="dxa"/>
            <w:shd w:val="clear" w:color="auto" w:fill="F2F6FA"/>
            <w:tcMar>
              <w:top w:w="105" w:type="dxa"/>
              <w:left w:w="120" w:type="dxa"/>
              <w:bottom w:w="105" w:type="dxa"/>
              <w:right w:w="120" w:type="dxa"/>
            </w:tcMar>
            <w:vAlign w:val="center"/>
          </w:tcPr>
          <w:p w14:paraId="647E63F7" w14:textId="77777777" w:rsidR="00E86677" w:rsidRDefault="00000000">
            <w:pPr>
              <w:spacing w:after="0"/>
            </w:pPr>
            <w:r>
              <w:rPr>
                <w:b/>
                <w:sz w:val="17"/>
              </w:rPr>
              <w:t>Benefit Distribution and Transparency</w:t>
            </w:r>
          </w:p>
        </w:tc>
        <w:tc>
          <w:tcPr>
            <w:tcW w:w="6840" w:type="dxa"/>
            <w:shd w:val="clear" w:color="auto" w:fill="F2F6FA"/>
            <w:tcMar>
              <w:top w:w="105" w:type="dxa"/>
              <w:left w:w="120" w:type="dxa"/>
              <w:bottom w:w="105" w:type="dxa"/>
              <w:right w:w="120" w:type="dxa"/>
            </w:tcMar>
            <w:vAlign w:val="center"/>
          </w:tcPr>
          <w:p w14:paraId="5FCDF982" w14:textId="77777777" w:rsidR="00E86677" w:rsidRDefault="00000000">
            <w:pPr>
              <w:spacing w:after="0"/>
            </w:pPr>
            <w:r>
              <w:rPr>
                <w:sz w:val="17"/>
              </w:rPr>
              <w:t>Funding allocation, geographic distribution, eligibility transparency, publication practices, and visibility of who receives benefits.</w:t>
            </w:r>
          </w:p>
        </w:tc>
      </w:tr>
      <w:tr w:rsidR="00E86677" w14:paraId="76E458CE" w14:textId="77777777">
        <w:trPr>
          <w:jc w:val="center"/>
        </w:trPr>
        <w:tc>
          <w:tcPr>
            <w:tcW w:w="3096" w:type="dxa"/>
            <w:tcMar>
              <w:top w:w="105" w:type="dxa"/>
              <w:left w:w="120" w:type="dxa"/>
              <w:bottom w:w="105" w:type="dxa"/>
              <w:right w:w="120" w:type="dxa"/>
            </w:tcMar>
            <w:vAlign w:val="center"/>
          </w:tcPr>
          <w:p w14:paraId="54E8299A" w14:textId="77777777" w:rsidR="00E86677" w:rsidRDefault="00000000">
            <w:pPr>
              <w:spacing w:after="0"/>
            </w:pPr>
            <w:r>
              <w:rPr>
                <w:b/>
                <w:sz w:val="17"/>
              </w:rPr>
              <w:t>Family and Child Access</w:t>
            </w:r>
          </w:p>
        </w:tc>
        <w:tc>
          <w:tcPr>
            <w:tcW w:w="6840" w:type="dxa"/>
            <w:tcMar>
              <w:top w:w="105" w:type="dxa"/>
              <w:left w:w="120" w:type="dxa"/>
              <w:bottom w:w="105" w:type="dxa"/>
              <w:right w:w="120" w:type="dxa"/>
            </w:tcMar>
            <w:vAlign w:val="center"/>
          </w:tcPr>
          <w:p w14:paraId="6990E66A" w14:textId="77777777" w:rsidR="00E86677" w:rsidRDefault="00000000">
            <w:pPr>
              <w:spacing w:after="0"/>
            </w:pPr>
            <w:r>
              <w:rPr>
                <w:sz w:val="17"/>
              </w:rPr>
              <w:t>Eligibility, geographic availability, waiting time, documentation burden, response pathways, and practical access to supports and services.</w:t>
            </w:r>
          </w:p>
        </w:tc>
      </w:tr>
      <w:tr w:rsidR="00E86677" w14:paraId="729E8E57" w14:textId="77777777">
        <w:trPr>
          <w:jc w:val="center"/>
        </w:trPr>
        <w:tc>
          <w:tcPr>
            <w:tcW w:w="3096" w:type="dxa"/>
            <w:shd w:val="clear" w:color="auto" w:fill="F2F6FA"/>
            <w:tcMar>
              <w:top w:w="105" w:type="dxa"/>
              <w:left w:w="120" w:type="dxa"/>
              <w:bottom w:w="105" w:type="dxa"/>
              <w:right w:w="120" w:type="dxa"/>
            </w:tcMar>
            <w:vAlign w:val="center"/>
          </w:tcPr>
          <w:p w14:paraId="312FD10C" w14:textId="77777777" w:rsidR="00E86677" w:rsidRDefault="00000000">
            <w:pPr>
              <w:spacing w:after="0"/>
            </w:pPr>
            <w:r>
              <w:rPr>
                <w:b/>
                <w:sz w:val="17"/>
              </w:rPr>
              <w:t>Accountability and Outcomes</w:t>
            </w:r>
          </w:p>
        </w:tc>
        <w:tc>
          <w:tcPr>
            <w:tcW w:w="6840" w:type="dxa"/>
            <w:shd w:val="clear" w:color="auto" w:fill="F2F6FA"/>
            <w:tcMar>
              <w:top w:w="105" w:type="dxa"/>
              <w:left w:w="120" w:type="dxa"/>
              <w:bottom w:w="105" w:type="dxa"/>
              <w:right w:w="120" w:type="dxa"/>
            </w:tcMar>
            <w:vAlign w:val="center"/>
          </w:tcPr>
          <w:p w14:paraId="127376BB" w14:textId="77777777" w:rsidR="00E86677" w:rsidRDefault="00000000">
            <w:pPr>
              <w:spacing w:after="0"/>
            </w:pPr>
            <w:r>
              <w:rPr>
                <w:sz w:val="17"/>
              </w:rPr>
              <w:t>Public reporting, reporting frequency, audits, outcome measurement, corrective action, and evidence that the system learns and responds.</w:t>
            </w:r>
          </w:p>
        </w:tc>
      </w:tr>
    </w:tbl>
    <w:p w14:paraId="47C79877" w14:textId="77777777" w:rsidR="00E86677" w:rsidRDefault="00E86677">
      <w:pPr>
        <w:spacing w:after="20"/>
      </w:pPr>
    </w:p>
    <w:p w14:paraId="4F30E69F" w14:textId="77777777" w:rsidR="00E86677" w:rsidRDefault="00000000">
      <w:pPr>
        <w:pStyle w:val="Heading1"/>
      </w:pPr>
      <w:r>
        <w:t>Task 2 Define Metric Weighting Criteria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7848"/>
      </w:tblGrid>
      <w:tr w:rsidR="00E86677" w14:paraId="4EB3EDBC" w14:textId="77777777">
        <w:trPr>
          <w:tblHeader/>
          <w:jc w:val="center"/>
        </w:trPr>
        <w:tc>
          <w:tcPr>
            <w:tcW w:w="2088" w:type="dxa"/>
            <w:shd w:val="clear" w:color="auto" w:fill="17365D"/>
            <w:tcMar>
              <w:top w:w="110" w:type="dxa"/>
              <w:left w:w="120" w:type="dxa"/>
              <w:bottom w:w="110" w:type="dxa"/>
              <w:right w:w="120" w:type="dxa"/>
            </w:tcMar>
            <w:vAlign w:val="center"/>
          </w:tcPr>
          <w:p w14:paraId="220C2FFD" w14:textId="77777777" w:rsidR="00E86677" w:rsidRDefault="00000000">
            <w:pPr>
              <w:spacing w:after="0"/>
              <w:jc w:val="center"/>
            </w:pPr>
            <w:r>
              <w:rPr>
                <w:b/>
                <w:color w:val="FFFFFF"/>
                <w:sz w:val="18"/>
              </w:rPr>
              <w:t>Criterion</w:t>
            </w:r>
          </w:p>
        </w:tc>
        <w:tc>
          <w:tcPr>
            <w:tcW w:w="7848" w:type="dxa"/>
            <w:shd w:val="clear" w:color="auto" w:fill="17365D"/>
            <w:tcMar>
              <w:top w:w="110" w:type="dxa"/>
              <w:left w:w="120" w:type="dxa"/>
              <w:bottom w:w="110" w:type="dxa"/>
              <w:right w:w="120" w:type="dxa"/>
            </w:tcMar>
            <w:vAlign w:val="center"/>
          </w:tcPr>
          <w:p w14:paraId="4899C8AA" w14:textId="77777777" w:rsidR="00E86677" w:rsidRDefault="00000000">
            <w:pPr>
              <w:spacing w:after="0"/>
              <w:jc w:val="center"/>
            </w:pPr>
            <w:r>
              <w:rPr>
                <w:b/>
                <w:color w:val="FFFFFF"/>
                <w:sz w:val="18"/>
              </w:rPr>
              <w:t>Test</w:t>
            </w:r>
          </w:p>
        </w:tc>
      </w:tr>
      <w:tr w:rsidR="00E86677" w14:paraId="2535B814" w14:textId="77777777">
        <w:trPr>
          <w:jc w:val="center"/>
        </w:trPr>
        <w:tc>
          <w:tcPr>
            <w:tcW w:w="2088" w:type="dxa"/>
            <w:tcMar>
              <w:top w:w="105" w:type="dxa"/>
              <w:left w:w="120" w:type="dxa"/>
              <w:bottom w:w="105" w:type="dxa"/>
              <w:right w:w="120" w:type="dxa"/>
            </w:tcMar>
            <w:vAlign w:val="center"/>
          </w:tcPr>
          <w:p w14:paraId="67B4262D" w14:textId="77777777" w:rsidR="00E86677" w:rsidRDefault="00000000">
            <w:pPr>
              <w:spacing w:after="0"/>
            </w:pPr>
            <w:r>
              <w:rPr>
                <w:b/>
                <w:sz w:val="18"/>
              </w:rPr>
              <w:t>Alignment</w:t>
            </w:r>
          </w:p>
        </w:tc>
        <w:tc>
          <w:tcPr>
            <w:tcW w:w="7848" w:type="dxa"/>
            <w:tcMar>
              <w:top w:w="105" w:type="dxa"/>
              <w:left w:w="120" w:type="dxa"/>
              <w:bottom w:w="105" w:type="dxa"/>
              <w:right w:w="120" w:type="dxa"/>
            </w:tcMar>
            <w:vAlign w:val="center"/>
          </w:tcPr>
          <w:p w14:paraId="0529873C" w14:textId="77777777" w:rsidR="00E86677" w:rsidRDefault="00000000">
            <w:pPr>
              <w:spacing w:after="0"/>
            </w:pPr>
            <w:r>
              <w:rPr>
                <w:sz w:val="18"/>
              </w:rPr>
              <w:t>The indicator measures a condition that the SIECHI operational domain is intended to assess.</w:t>
            </w:r>
          </w:p>
        </w:tc>
      </w:tr>
      <w:tr w:rsidR="00E86677" w14:paraId="48510D9D" w14:textId="77777777">
        <w:trPr>
          <w:jc w:val="center"/>
        </w:trPr>
        <w:tc>
          <w:tcPr>
            <w:tcW w:w="2088" w:type="dxa"/>
            <w:shd w:val="clear" w:color="auto" w:fill="F2F6FA"/>
            <w:tcMar>
              <w:top w:w="105" w:type="dxa"/>
              <w:left w:w="120" w:type="dxa"/>
              <w:bottom w:w="105" w:type="dxa"/>
              <w:right w:w="120" w:type="dxa"/>
            </w:tcMar>
            <w:vAlign w:val="center"/>
          </w:tcPr>
          <w:p w14:paraId="18E3A259" w14:textId="77777777" w:rsidR="00E86677" w:rsidRDefault="00000000">
            <w:pPr>
              <w:spacing w:after="0"/>
            </w:pPr>
            <w:r>
              <w:rPr>
                <w:b/>
                <w:sz w:val="18"/>
              </w:rPr>
              <w:t>Actionability</w:t>
            </w:r>
          </w:p>
        </w:tc>
        <w:tc>
          <w:tcPr>
            <w:tcW w:w="7848" w:type="dxa"/>
            <w:shd w:val="clear" w:color="auto" w:fill="F2F6FA"/>
            <w:tcMar>
              <w:top w:w="105" w:type="dxa"/>
              <w:left w:w="120" w:type="dxa"/>
              <w:bottom w:w="105" w:type="dxa"/>
              <w:right w:w="120" w:type="dxa"/>
            </w:tcMar>
            <w:vAlign w:val="center"/>
          </w:tcPr>
          <w:p w14:paraId="6FD7E3F4" w14:textId="77777777" w:rsidR="00E86677" w:rsidRDefault="00000000">
            <w:pPr>
              <w:spacing w:after="0"/>
            </w:pPr>
            <w:r>
              <w:rPr>
                <w:sz w:val="18"/>
              </w:rPr>
              <w:t>The state can reasonably change the policy, process, funding, reporting, or implementation condition.</w:t>
            </w:r>
          </w:p>
        </w:tc>
      </w:tr>
      <w:tr w:rsidR="00E86677" w14:paraId="22DF426F" w14:textId="77777777">
        <w:trPr>
          <w:jc w:val="center"/>
        </w:trPr>
        <w:tc>
          <w:tcPr>
            <w:tcW w:w="2088" w:type="dxa"/>
            <w:tcMar>
              <w:top w:w="105" w:type="dxa"/>
              <w:left w:w="120" w:type="dxa"/>
              <w:bottom w:w="105" w:type="dxa"/>
              <w:right w:w="120" w:type="dxa"/>
            </w:tcMar>
            <w:vAlign w:val="center"/>
          </w:tcPr>
          <w:p w14:paraId="6884112E" w14:textId="77777777" w:rsidR="00E86677" w:rsidRDefault="00000000">
            <w:pPr>
              <w:spacing w:after="0"/>
            </w:pPr>
            <w:r>
              <w:rPr>
                <w:b/>
                <w:sz w:val="18"/>
              </w:rPr>
              <w:t>Evidence quality</w:t>
            </w:r>
          </w:p>
        </w:tc>
        <w:tc>
          <w:tcPr>
            <w:tcW w:w="7848" w:type="dxa"/>
            <w:tcMar>
              <w:top w:w="105" w:type="dxa"/>
              <w:left w:w="120" w:type="dxa"/>
              <w:bottom w:w="105" w:type="dxa"/>
              <w:right w:w="120" w:type="dxa"/>
            </w:tcMar>
            <w:vAlign w:val="center"/>
          </w:tcPr>
          <w:p w14:paraId="2D94070D" w14:textId="77777777" w:rsidR="00E86677" w:rsidRDefault="00000000">
            <w:pPr>
              <w:spacing w:after="0"/>
            </w:pPr>
            <w:r>
              <w:rPr>
                <w:sz w:val="18"/>
              </w:rPr>
              <w:t>The measure has direct official evidence, validated evaluation, audit evidence, or sufficiently credible triangulation.</w:t>
            </w:r>
          </w:p>
        </w:tc>
      </w:tr>
      <w:tr w:rsidR="00E86677" w14:paraId="4A92183B" w14:textId="77777777">
        <w:trPr>
          <w:jc w:val="center"/>
        </w:trPr>
        <w:tc>
          <w:tcPr>
            <w:tcW w:w="2088" w:type="dxa"/>
            <w:shd w:val="clear" w:color="auto" w:fill="F2F6FA"/>
            <w:tcMar>
              <w:top w:w="105" w:type="dxa"/>
              <w:left w:w="120" w:type="dxa"/>
              <w:bottom w:w="105" w:type="dxa"/>
              <w:right w:w="120" w:type="dxa"/>
            </w:tcMar>
            <w:vAlign w:val="center"/>
          </w:tcPr>
          <w:p w14:paraId="6A046574" w14:textId="77777777" w:rsidR="00E86677" w:rsidRDefault="00000000">
            <w:pPr>
              <w:spacing w:after="0"/>
            </w:pPr>
            <w:r>
              <w:rPr>
                <w:b/>
                <w:sz w:val="18"/>
              </w:rPr>
              <w:t>Comparability</w:t>
            </w:r>
          </w:p>
        </w:tc>
        <w:tc>
          <w:tcPr>
            <w:tcW w:w="7848" w:type="dxa"/>
            <w:shd w:val="clear" w:color="auto" w:fill="F2F6FA"/>
            <w:tcMar>
              <w:top w:w="105" w:type="dxa"/>
              <w:left w:w="120" w:type="dxa"/>
              <w:bottom w:w="105" w:type="dxa"/>
              <w:right w:w="120" w:type="dxa"/>
            </w:tcMar>
            <w:vAlign w:val="center"/>
          </w:tcPr>
          <w:p w14:paraId="45B4F7C5" w14:textId="77777777" w:rsidR="00E86677" w:rsidRDefault="00000000">
            <w:pPr>
              <w:spacing w:after="0"/>
            </w:pPr>
            <w:r>
              <w:rPr>
                <w:sz w:val="18"/>
              </w:rPr>
              <w:t>Definitions, numerators, denominators, population, period, and geography support the intended use.</w:t>
            </w:r>
          </w:p>
        </w:tc>
      </w:tr>
      <w:tr w:rsidR="00E86677" w14:paraId="33BBE9C1" w14:textId="77777777">
        <w:trPr>
          <w:jc w:val="center"/>
        </w:trPr>
        <w:tc>
          <w:tcPr>
            <w:tcW w:w="2088" w:type="dxa"/>
            <w:tcMar>
              <w:top w:w="105" w:type="dxa"/>
              <w:left w:w="120" w:type="dxa"/>
              <w:bottom w:w="105" w:type="dxa"/>
              <w:right w:w="120" w:type="dxa"/>
            </w:tcMar>
            <w:vAlign w:val="center"/>
          </w:tcPr>
          <w:p w14:paraId="61B87D34" w14:textId="77777777" w:rsidR="00E86677" w:rsidRDefault="00000000">
            <w:pPr>
              <w:spacing w:after="0"/>
            </w:pPr>
            <w:r>
              <w:rPr>
                <w:b/>
                <w:sz w:val="18"/>
              </w:rPr>
              <w:t>Equity relevance</w:t>
            </w:r>
          </w:p>
        </w:tc>
        <w:tc>
          <w:tcPr>
            <w:tcW w:w="7848" w:type="dxa"/>
            <w:tcMar>
              <w:top w:w="105" w:type="dxa"/>
              <w:left w:w="120" w:type="dxa"/>
              <w:bottom w:w="105" w:type="dxa"/>
              <w:right w:w="120" w:type="dxa"/>
            </w:tcMar>
            <w:vAlign w:val="center"/>
          </w:tcPr>
          <w:p w14:paraId="7DA811B3" w14:textId="77777777" w:rsidR="00E86677" w:rsidRDefault="00000000">
            <w:pPr>
              <w:spacing w:after="0"/>
            </w:pPr>
            <w:r>
              <w:rPr>
                <w:sz w:val="18"/>
              </w:rPr>
              <w:t>The indicator helps identify differences in access, burden, benefit, safety, or outcomes by race or geography.</w:t>
            </w:r>
          </w:p>
        </w:tc>
      </w:tr>
      <w:tr w:rsidR="00E86677" w14:paraId="3E80C1D0" w14:textId="77777777">
        <w:trPr>
          <w:jc w:val="center"/>
        </w:trPr>
        <w:tc>
          <w:tcPr>
            <w:tcW w:w="2088" w:type="dxa"/>
            <w:shd w:val="clear" w:color="auto" w:fill="F2F6FA"/>
            <w:tcMar>
              <w:top w:w="105" w:type="dxa"/>
              <w:left w:w="120" w:type="dxa"/>
              <w:bottom w:w="105" w:type="dxa"/>
              <w:right w:w="120" w:type="dxa"/>
            </w:tcMar>
            <w:vAlign w:val="center"/>
          </w:tcPr>
          <w:p w14:paraId="4B034FFA" w14:textId="77777777" w:rsidR="00E86677" w:rsidRDefault="00000000">
            <w:pPr>
              <w:spacing w:after="0"/>
            </w:pPr>
            <w:r>
              <w:rPr>
                <w:b/>
                <w:sz w:val="18"/>
              </w:rPr>
              <w:t>Non-duplication</w:t>
            </w:r>
          </w:p>
        </w:tc>
        <w:tc>
          <w:tcPr>
            <w:tcW w:w="7848" w:type="dxa"/>
            <w:shd w:val="clear" w:color="auto" w:fill="F2F6FA"/>
            <w:tcMar>
              <w:top w:w="105" w:type="dxa"/>
              <w:left w:w="120" w:type="dxa"/>
              <w:bottom w:w="105" w:type="dxa"/>
              <w:right w:w="120" w:type="dxa"/>
            </w:tcMar>
            <w:vAlign w:val="center"/>
          </w:tcPr>
          <w:p w14:paraId="592012DE" w14:textId="77777777" w:rsidR="00E86677" w:rsidRDefault="00000000">
            <w:pPr>
              <w:spacing w:after="0"/>
            </w:pPr>
            <w:r>
              <w:rPr>
                <w:sz w:val="18"/>
              </w:rPr>
              <w:t>The indicator adds distinct information and does not count the same evidence in multiple domains.</w:t>
            </w:r>
          </w:p>
        </w:tc>
      </w:tr>
      <w:tr w:rsidR="00E86677" w14:paraId="281B12A7" w14:textId="77777777">
        <w:trPr>
          <w:jc w:val="center"/>
        </w:trPr>
        <w:tc>
          <w:tcPr>
            <w:tcW w:w="2088" w:type="dxa"/>
            <w:tcMar>
              <w:top w:w="105" w:type="dxa"/>
              <w:left w:w="120" w:type="dxa"/>
              <w:bottom w:w="105" w:type="dxa"/>
              <w:right w:w="120" w:type="dxa"/>
            </w:tcMar>
            <w:vAlign w:val="center"/>
          </w:tcPr>
          <w:p w14:paraId="6C98295E" w14:textId="77777777" w:rsidR="00E86677" w:rsidRDefault="00000000">
            <w:pPr>
              <w:spacing w:after="0"/>
            </w:pPr>
            <w:r>
              <w:rPr>
                <w:b/>
                <w:sz w:val="18"/>
              </w:rPr>
              <w:t>Stability</w:t>
            </w:r>
          </w:p>
        </w:tc>
        <w:tc>
          <w:tcPr>
            <w:tcW w:w="7848" w:type="dxa"/>
            <w:tcMar>
              <w:top w:w="105" w:type="dxa"/>
              <w:left w:w="120" w:type="dxa"/>
              <w:bottom w:w="105" w:type="dxa"/>
              <w:right w:w="120" w:type="dxa"/>
            </w:tcMar>
            <w:vAlign w:val="center"/>
          </w:tcPr>
          <w:p w14:paraId="2477EF11" w14:textId="77777777" w:rsidR="00E86677" w:rsidRDefault="00000000">
            <w:pPr>
              <w:spacing w:after="0"/>
            </w:pPr>
            <w:r>
              <w:rPr>
                <w:sz w:val="18"/>
              </w:rPr>
              <w:t>The indicator can be applied across states and over time without frequent redefinition.</w:t>
            </w:r>
          </w:p>
        </w:tc>
      </w:tr>
      <w:tr w:rsidR="00E86677" w14:paraId="78EC10DC" w14:textId="77777777">
        <w:trPr>
          <w:jc w:val="center"/>
        </w:trPr>
        <w:tc>
          <w:tcPr>
            <w:tcW w:w="2088" w:type="dxa"/>
            <w:shd w:val="clear" w:color="auto" w:fill="F2F6FA"/>
            <w:tcMar>
              <w:top w:w="105" w:type="dxa"/>
              <w:left w:w="120" w:type="dxa"/>
              <w:bottom w:w="105" w:type="dxa"/>
              <w:right w:w="120" w:type="dxa"/>
            </w:tcMar>
            <w:vAlign w:val="center"/>
          </w:tcPr>
          <w:p w14:paraId="31A76257" w14:textId="77777777" w:rsidR="00E86677" w:rsidRDefault="00000000">
            <w:pPr>
              <w:spacing w:after="0"/>
            </w:pPr>
            <w:r>
              <w:rPr>
                <w:b/>
                <w:sz w:val="18"/>
              </w:rPr>
              <w:t>Interpretability</w:t>
            </w:r>
          </w:p>
        </w:tc>
        <w:tc>
          <w:tcPr>
            <w:tcW w:w="7848" w:type="dxa"/>
            <w:shd w:val="clear" w:color="auto" w:fill="F2F6FA"/>
            <w:tcMar>
              <w:top w:w="105" w:type="dxa"/>
              <w:left w:w="120" w:type="dxa"/>
              <w:bottom w:w="105" w:type="dxa"/>
              <w:right w:w="120" w:type="dxa"/>
            </w:tcMar>
            <w:vAlign w:val="center"/>
          </w:tcPr>
          <w:p w14:paraId="7D747CFE" w14:textId="77777777" w:rsidR="00E86677" w:rsidRDefault="00000000">
            <w:pPr>
              <w:spacing w:after="0"/>
            </w:pPr>
            <w:r>
              <w:rPr>
                <w:sz w:val="18"/>
              </w:rPr>
              <w:t>A policymaker or community reader can understand what the indicator means and why it affects the score.</w:t>
            </w:r>
          </w:p>
        </w:tc>
      </w:tr>
    </w:tbl>
    <w:p w14:paraId="134FBA0A" w14:textId="77777777" w:rsidR="00E86677" w:rsidRDefault="00E86677">
      <w:pPr>
        <w:spacing w:after="20"/>
      </w:pPr>
    </w:p>
    <w:p w14:paraId="74A0DDAF" w14:textId="77777777" w:rsidR="00E86677" w:rsidRDefault="00000000">
      <w:pPr>
        <w:pStyle w:val="Heading2"/>
      </w:pPr>
      <w:r>
        <w:t>Weighting rules</w:t>
      </w:r>
    </w:p>
    <w:p w14:paraId="5A656A6C" w14:textId="77777777" w:rsidR="00E86677" w:rsidRDefault="00000000">
      <w:pPr>
        <w:pStyle w:val="ListNumber"/>
        <w:spacing w:after="60"/>
      </w:pPr>
      <w:r>
        <w:t>Use the four operational domains as the top-level weighted components. Do not give a raw outcome statistic an independent weight in the structural composite.</w:t>
      </w:r>
    </w:p>
    <w:p w14:paraId="7FB0A7FE" w14:textId="77777777" w:rsidR="00E86677" w:rsidRDefault="00000000">
      <w:pPr>
        <w:pStyle w:val="ListNumber"/>
        <w:spacing w:after="60"/>
      </w:pPr>
      <w:r>
        <w:t>Within a domain, assign an indicator weight only after its definition, evidence requirement, direction of better performance, and double-counting risk are documented.</w:t>
      </w:r>
    </w:p>
    <w:p w14:paraId="3729B7A8" w14:textId="77777777" w:rsidR="00E86677" w:rsidRDefault="00000000">
      <w:pPr>
        <w:pStyle w:val="ListNumber"/>
        <w:spacing w:after="60"/>
      </w:pPr>
      <w:r>
        <w:t>Do not assign a numeric value to missing evidence. Use Not Scorable and report the score coverage separately.</w:t>
      </w:r>
    </w:p>
    <w:p w14:paraId="56776F96" w14:textId="77777777" w:rsidR="00E86677" w:rsidRDefault="00000000">
      <w:pPr>
        <w:pStyle w:val="ListNumber"/>
        <w:spacing w:after="60"/>
      </w:pPr>
      <w:r>
        <w:t>Do not let the amount of available data determine importance. A state should not receive a higher score merely because it publishes more rows, although transparency itself can be evaluated in the appropriate domain.</w:t>
      </w:r>
    </w:p>
    <w:p w14:paraId="3F00B93D" w14:textId="77777777" w:rsidR="00E86677" w:rsidRDefault="00000000">
      <w:pPr>
        <w:pStyle w:val="ListNumber"/>
        <w:spacing w:after="60"/>
      </w:pPr>
      <w:r>
        <w:t>Apply the same approved weights to every state in the same evaluation cycle and record the framework version.</w:t>
      </w:r>
    </w:p>
    <w:p w14:paraId="19CF3AA5" w14:textId="77777777" w:rsidR="00E86677" w:rsidRDefault="00000000">
      <w:pPr>
        <w:pStyle w:val="ListNumber"/>
        <w:spacing w:after="60"/>
      </w:pPr>
      <w:r>
        <w:lastRenderedPageBreak/>
        <w:t>Change a weight only through documented methodology review. Recalculate all pilot states after any change.</w:t>
      </w:r>
    </w:p>
    <w:p w14:paraId="3E098B7B" w14:textId="77777777" w:rsidR="00E86677" w:rsidRDefault="00000000">
      <w:pPr>
        <w:pStyle w:val="Heading1"/>
      </w:pPr>
      <w:r>
        <w:t>Task 3 Assign Preliminary Metric Weights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1800"/>
        <w:gridCol w:w="5112"/>
      </w:tblGrid>
      <w:tr w:rsidR="00E86677" w14:paraId="6E60D476" w14:textId="77777777">
        <w:trPr>
          <w:tblHeader/>
          <w:jc w:val="center"/>
        </w:trPr>
        <w:tc>
          <w:tcPr>
            <w:tcW w:w="3024" w:type="dxa"/>
            <w:shd w:val="clear" w:color="auto" w:fill="17365D"/>
            <w:tcMar>
              <w:top w:w="110" w:type="dxa"/>
              <w:left w:w="120" w:type="dxa"/>
              <w:bottom w:w="110" w:type="dxa"/>
              <w:right w:w="120" w:type="dxa"/>
            </w:tcMar>
            <w:vAlign w:val="center"/>
          </w:tcPr>
          <w:p w14:paraId="0F38C8BA" w14:textId="77777777" w:rsidR="00E86677" w:rsidRDefault="00000000">
            <w:pPr>
              <w:spacing w:after="0"/>
              <w:jc w:val="center"/>
            </w:pPr>
            <w:r>
              <w:rPr>
                <w:b/>
                <w:color w:val="FFFFFF"/>
                <w:sz w:val="17"/>
              </w:rPr>
              <w:t>Operational domain</w:t>
            </w:r>
          </w:p>
        </w:tc>
        <w:tc>
          <w:tcPr>
            <w:tcW w:w="1800" w:type="dxa"/>
            <w:shd w:val="clear" w:color="auto" w:fill="17365D"/>
            <w:tcMar>
              <w:top w:w="110" w:type="dxa"/>
              <w:left w:w="120" w:type="dxa"/>
              <w:bottom w:w="110" w:type="dxa"/>
              <w:right w:w="120" w:type="dxa"/>
            </w:tcMar>
            <w:vAlign w:val="center"/>
          </w:tcPr>
          <w:p w14:paraId="10792F49" w14:textId="77777777" w:rsidR="00E86677" w:rsidRDefault="00000000">
            <w:pPr>
              <w:spacing w:after="0"/>
              <w:jc w:val="center"/>
            </w:pPr>
            <w:r>
              <w:rPr>
                <w:b/>
                <w:color w:val="FFFFFF"/>
                <w:sz w:val="17"/>
              </w:rPr>
              <w:t>Preliminary weight</w:t>
            </w:r>
          </w:p>
        </w:tc>
        <w:tc>
          <w:tcPr>
            <w:tcW w:w="5112" w:type="dxa"/>
            <w:shd w:val="clear" w:color="auto" w:fill="17365D"/>
            <w:tcMar>
              <w:top w:w="110" w:type="dxa"/>
              <w:left w:w="120" w:type="dxa"/>
              <w:bottom w:w="110" w:type="dxa"/>
              <w:right w:w="120" w:type="dxa"/>
            </w:tcMar>
            <w:vAlign w:val="center"/>
          </w:tcPr>
          <w:p w14:paraId="1417C157" w14:textId="77777777" w:rsidR="00E86677" w:rsidRDefault="00000000">
            <w:pPr>
              <w:spacing w:after="0"/>
              <w:jc w:val="center"/>
            </w:pPr>
            <w:r>
              <w:rPr>
                <w:b/>
                <w:color w:val="FFFFFF"/>
                <w:sz w:val="17"/>
              </w:rPr>
              <w:t>Rationale</w:t>
            </w:r>
          </w:p>
        </w:tc>
      </w:tr>
      <w:tr w:rsidR="00E86677" w14:paraId="776C1E0E" w14:textId="77777777">
        <w:trPr>
          <w:jc w:val="center"/>
        </w:trPr>
        <w:tc>
          <w:tcPr>
            <w:tcW w:w="3024" w:type="dxa"/>
            <w:tcMar>
              <w:top w:w="105" w:type="dxa"/>
              <w:left w:w="120" w:type="dxa"/>
              <w:bottom w:w="105" w:type="dxa"/>
              <w:right w:w="120" w:type="dxa"/>
            </w:tcMar>
            <w:vAlign w:val="center"/>
          </w:tcPr>
          <w:p w14:paraId="13C39301" w14:textId="77777777" w:rsidR="00E86677" w:rsidRDefault="00000000">
            <w:pPr>
              <w:spacing w:after="0"/>
            </w:pPr>
            <w:r>
              <w:rPr>
                <w:b/>
                <w:sz w:val="17"/>
              </w:rPr>
              <w:t>Implementation Barriers</w:t>
            </w:r>
          </w:p>
        </w:tc>
        <w:tc>
          <w:tcPr>
            <w:tcW w:w="1800" w:type="dxa"/>
            <w:tcMar>
              <w:top w:w="105" w:type="dxa"/>
              <w:left w:w="120" w:type="dxa"/>
              <w:bottom w:w="105" w:type="dxa"/>
              <w:right w:w="120" w:type="dxa"/>
            </w:tcMar>
            <w:vAlign w:val="center"/>
          </w:tcPr>
          <w:p w14:paraId="50EB42A3" w14:textId="77777777" w:rsidR="00E86677" w:rsidRDefault="00000000">
            <w:pPr>
              <w:spacing w:after="0"/>
            </w:pPr>
            <w:r>
              <w:rPr>
                <w:sz w:val="17"/>
              </w:rPr>
              <w:t>25%</w:t>
            </w:r>
          </w:p>
        </w:tc>
        <w:tc>
          <w:tcPr>
            <w:tcW w:w="5112" w:type="dxa"/>
            <w:tcMar>
              <w:top w:w="105" w:type="dxa"/>
              <w:left w:w="120" w:type="dxa"/>
              <w:bottom w:w="105" w:type="dxa"/>
              <w:right w:w="120" w:type="dxa"/>
            </w:tcMar>
            <w:vAlign w:val="center"/>
          </w:tcPr>
          <w:p w14:paraId="6C6846AC" w14:textId="77777777" w:rsidR="00E86677" w:rsidRDefault="00000000">
            <w:pPr>
              <w:spacing w:after="0"/>
            </w:pPr>
            <w:r>
              <w:rPr>
                <w:sz w:val="17"/>
              </w:rPr>
              <w:t>Policy cannot produce results if implementation is delayed, fragmented, or unsupported.</w:t>
            </w:r>
          </w:p>
        </w:tc>
      </w:tr>
      <w:tr w:rsidR="00E86677" w14:paraId="36B2CB0B" w14:textId="77777777">
        <w:trPr>
          <w:jc w:val="center"/>
        </w:trPr>
        <w:tc>
          <w:tcPr>
            <w:tcW w:w="3024" w:type="dxa"/>
            <w:shd w:val="clear" w:color="auto" w:fill="F2F6FA"/>
            <w:tcMar>
              <w:top w:w="105" w:type="dxa"/>
              <w:left w:w="120" w:type="dxa"/>
              <w:bottom w:w="105" w:type="dxa"/>
              <w:right w:w="120" w:type="dxa"/>
            </w:tcMar>
            <w:vAlign w:val="center"/>
          </w:tcPr>
          <w:p w14:paraId="09C9FCBF" w14:textId="77777777" w:rsidR="00E86677" w:rsidRDefault="00000000">
            <w:pPr>
              <w:spacing w:after="0"/>
            </w:pPr>
            <w:r>
              <w:rPr>
                <w:b/>
                <w:sz w:val="17"/>
              </w:rPr>
              <w:t>Benefit Distribution and Transparency</w:t>
            </w:r>
          </w:p>
        </w:tc>
        <w:tc>
          <w:tcPr>
            <w:tcW w:w="1800" w:type="dxa"/>
            <w:shd w:val="clear" w:color="auto" w:fill="F2F6FA"/>
            <w:tcMar>
              <w:top w:w="105" w:type="dxa"/>
              <w:left w:w="120" w:type="dxa"/>
              <w:bottom w:w="105" w:type="dxa"/>
              <w:right w:w="120" w:type="dxa"/>
            </w:tcMar>
            <w:vAlign w:val="center"/>
          </w:tcPr>
          <w:p w14:paraId="24F1D007" w14:textId="77777777" w:rsidR="00E86677" w:rsidRDefault="00000000">
            <w:pPr>
              <w:spacing w:after="0"/>
            </w:pPr>
            <w:r>
              <w:rPr>
                <w:sz w:val="17"/>
              </w:rPr>
              <w:t>25%</w:t>
            </w:r>
          </w:p>
        </w:tc>
        <w:tc>
          <w:tcPr>
            <w:tcW w:w="5112" w:type="dxa"/>
            <w:shd w:val="clear" w:color="auto" w:fill="F2F6FA"/>
            <w:tcMar>
              <w:top w:w="105" w:type="dxa"/>
              <w:left w:w="120" w:type="dxa"/>
              <w:bottom w:w="105" w:type="dxa"/>
              <w:right w:w="120" w:type="dxa"/>
            </w:tcMar>
            <w:vAlign w:val="center"/>
          </w:tcPr>
          <w:p w14:paraId="6BC66F90" w14:textId="77777777" w:rsidR="00E86677" w:rsidRDefault="00000000">
            <w:pPr>
              <w:spacing w:after="0"/>
            </w:pPr>
            <w:r>
              <w:rPr>
                <w:sz w:val="17"/>
              </w:rPr>
              <w:t>A state must show how resources and benefits are distributed and reported.</w:t>
            </w:r>
          </w:p>
        </w:tc>
      </w:tr>
      <w:tr w:rsidR="00E86677" w14:paraId="02960D87" w14:textId="77777777">
        <w:trPr>
          <w:jc w:val="center"/>
        </w:trPr>
        <w:tc>
          <w:tcPr>
            <w:tcW w:w="3024" w:type="dxa"/>
            <w:tcMar>
              <w:top w:w="105" w:type="dxa"/>
              <w:left w:w="120" w:type="dxa"/>
              <w:bottom w:w="105" w:type="dxa"/>
              <w:right w:w="120" w:type="dxa"/>
            </w:tcMar>
            <w:vAlign w:val="center"/>
          </w:tcPr>
          <w:p w14:paraId="042435D9" w14:textId="77777777" w:rsidR="00E86677" w:rsidRDefault="00000000">
            <w:pPr>
              <w:spacing w:after="0"/>
            </w:pPr>
            <w:r>
              <w:rPr>
                <w:b/>
                <w:sz w:val="17"/>
              </w:rPr>
              <w:t>Family and Child Access</w:t>
            </w:r>
          </w:p>
        </w:tc>
        <w:tc>
          <w:tcPr>
            <w:tcW w:w="1800" w:type="dxa"/>
            <w:tcMar>
              <w:top w:w="105" w:type="dxa"/>
              <w:left w:w="120" w:type="dxa"/>
              <w:bottom w:w="105" w:type="dxa"/>
              <w:right w:w="120" w:type="dxa"/>
            </w:tcMar>
            <w:vAlign w:val="center"/>
          </w:tcPr>
          <w:p w14:paraId="7C3278EE" w14:textId="77777777" w:rsidR="00E86677" w:rsidRDefault="00000000">
            <w:pPr>
              <w:spacing w:after="0"/>
            </w:pPr>
            <w:r>
              <w:rPr>
                <w:sz w:val="17"/>
              </w:rPr>
              <w:t>25%</w:t>
            </w:r>
          </w:p>
        </w:tc>
        <w:tc>
          <w:tcPr>
            <w:tcW w:w="5112" w:type="dxa"/>
            <w:tcMar>
              <w:top w:w="105" w:type="dxa"/>
              <w:left w:w="120" w:type="dxa"/>
              <w:bottom w:w="105" w:type="dxa"/>
              <w:right w:w="120" w:type="dxa"/>
            </w:tcMar>
            <w:vAlign w:val="center"/>
          </w:tcPr>
          <w:p w14:paraId="37563E05" w14:textId="77777777" w:rsidR="00E86677" w:rsidRDefault="00000000">
            <w:pPr>
              <w:spacing w:after="0"/>
            </w:pPr>
            <w:r>
              <w:rPr>
                <w:sz w:val="17"/>
              </w:rPr>
              <w:t>Eligibility on paper is insufficient if families cannot reach timely, appropriate support.</w:t>
            </w:r>
          </w:p>
        </w:tc>
      </w:tr>
      <w:tr w:rsidR="00E86677" w14:paraId="6C079FDA" w14:textId="77777777">
        <w:trPr>
          <w:jc w:val="center"/>
        </w:trPr>
        <w:tc>
          <w:tcPr>
            <w:tcW w:w="3024" w:type="dxa"/>
            <w:shd w:val="clear" w:color="auto" w:fill="F2F6FA"/>
            <w:tcMar>
              <w:top w:w="105" w:type="dxa"/>
              <w:left w:w="120" w:type="dxa"/>
              <w:bottom w:w="105" w:type="dxa"/>
              <w:right w:w="120" w:type="dxa"/>
            </w:tcMar>
            <w:vAlign w:val="center"/>
          </w:tcPr>
          <w:p w14:paraId="5191A100" w14:textId="77777777" w:rsidR="00E86677" w:rsidRDefault="00000000">
            <w:pPr>
              <w:spacing w:after="0"/>
            </w:pPr>
            <w:r>
              <w:rPr>
                <w:b/>
                <w:sz w:val="17"/>
              </w:rPr>
              <w:t>Accountability and Outcomes</w:t>
            </w:r>
          </w:p>
        </w:tc>
        <w:tc>
          <w:tcPr>
            <w:tcW w:w="1800" w:type="dxa"/>
            <w:shd w:val="clear" w:color="auto" w:fill="F2F6FA"/>
            <w:tcMar>
              <w:top w:w="105" w:type="dxa"/>
              <w:left w:w="120" w:type="dxa"/>
              <w:bottom w:w="105" w:type="dxa"/>
              <w:right w:w="120" w:type="dxa"/>
            </w:tcMar>
            <w:vAlign w:val="center"/>
          </w:tcPr>
          <w:p w14:paraId="5ADA563E" w14:textId="77777777" w:rsidR="00E86677" w:rsidRDefault="00000000">
            <w:pPr>
              <w:spacing w:after="0"/>
            </w:pPr>
            <w:r>
              <w:rPr>
                <w:sz w:val="17"/>
              </w:rPr>
              <w:t>25%</w:t>
            </w:r>
          </w:p>
        </w:tc>
        <w:tc>
          <w:tcPr>
            <w:tcW w:w="5112" w:type="dxa"/>
            <w:shd w:val="clear" w:color="auto" w:fill="F2F6FA"/>
            <w:tcMar>
              <w:top w:w="105" w:type="dxa"/>
              <w:left w:w="120" w:type="dxa"/>
              <w:bottom w:w="105" w:type="dxa"/>
              <w:right w:w="120" w:type="dxa"/>
            </w:tcMar>
            <w:vAlign w:val="center"/>
          </w:tcPr>
          <w:p w14:paraId="052B5FD2" w14:textId="77777777" w:rsidR="00E86677" w:rsidRDefault="00000000">
            <w:pPr>
              <w:spacing w:after="0"/>
            </w:pPr>
            <w:r>
              <w:rPr>
                <w:sz w:val="17"/>
              </w:rPr>
              <w:t>Public reporting, review, corrective action, and measured results are necessary for accountability.</w:t>
            </w:r>
          </w:p>
        </w:tc>
      </w:tr>
      <w:tr w:rsidR="00E86677" w14:paraId="4BACB80B" w14:textId="77777777">
        <w:trPr>
          <w:jc w:val="center"/>
        </w:trPr>
        <w:tc>
          <w:tcPr>
            <w:tcW w:w="3024" w:type="dxa"/>
            <w:tcMar>
              <w:top w:w="105" w:type="dxa"/>
              <w:left w:w="120" w:type="dxa"/>
              <w:bottom w:w="105" w:type="dxa"/>
              <w:right w:w="120" w:type="dxa"/>
            </w:tcMar>
            <w:vAlign w:val="center"/>
          </w:tcPr>
          <w:p w14:paraId="7B8C609C" w14:textId="77777777" w:rsidR="00E86677" w:rsidRDefault="00000000">
            <w:pPr>
              <w:spacing w:after="0"/>
            </w:pPr>
            <w:r>
              <w:rPr>
                <w:b/>
                <w:sz w:val="17"/>
              </w:rPr>
              <w:t>Total</w:t>
            </w:r>
          </w:p>
        </w:tc>
        <w:tc>
          <w:tcPr>
            <w:tcW w:w="1800" w:type="dxa"/>
            <w:tcMar>
              <w:top w:w="105" w:type="dxa"/>
              <w:left w:w="120" w:type="dxa"/>
              <w:bottom w:w="105" w:type="dxa"/>
              <w:right w:w="120" w:type="dxa"/>
            </w:tcMar>
            <w:vAlign w:val="center"/>
          </w:tcPr>
          <w:p w14:paraId="53632899" w14:textId="77777777" w:rsidR="00E86677" w:rsidRDefault="00000000">
            <w:pPr>
              <w:spacing w:after="0"/>
            </w:pPr>
            <w:r>
              <w:rPr>
                <w:sz w:val="17"/>
              </w:rPr>
              <w:t>100%</w:t>
            </w:r>
          </w:p>
        </w:tc>
        <w:tc>
          <w:tcPr>
            <w:tcW w:w="5112" w:type="dxa"/>
            <w:tcMar>
              <w:top w:w="105" w:type="dxa"/>
              <w:left w:w="120" w:type="dxa"/>
              <w:bottom w:w="105" w:type="dxa"/>
              <w:right w:w="120" w:type="dxa"/>
            </w:tcMar>
            <w:vAlign w:val="center"/>
          </w:tcPr>
          <w:p w14:paraId="1E194D07" w14:textId="77777777" w:rsidR="00E86677" w:rsidRDefault="00000000">
            <w:pPr>
              <w:spacing w:after="0"/>
            </w:pPr>
            <w:r>
              <w:rPr>
                <w:sz w:val="17"/>
              </w:rPr>
              <w:t>Equal weights avoid an unapproved preference among domains during the pilot.</w:t>
            </w:r>
          </w:p>
        </w:tc>
      </w:tr>
    </w:tbl>
    <w:p w14:paraId="3C1D682C" w14:textId="77777777" w:rsidR="00E86677" w:rsidRDefault="00E86677">
      <w:pPr>
        <w:spacing w:after="20"/>
      </w:pPr>
    </w:p>
    <w:p w14:paraId="4F322238" w14:textId="77777777" w:rsidR="00E86677" w:rsidRDefault="00000000">
      <w:pPr>
        <w:pStyle w:val="Heading2"/>
      </w:pPr>
      <w:r>
        <w:t>Scoring formula</w:t>
      </w:r>
    </w:p>
    <w:p w14:paraId="5157AE10" w14:textId="77777777" w:rsidR="00E86677" w:rsidRDefault="00000000">
      <w:r>
        <w:t>Each scored domain uses the project's minus 2 to plus 2 scale. The preliminary composite is calculated as:</w:t>
      </w:r>
    </w:p>
    <w:p w14:paraId="2BBD6EFC" w14:textId="77777777" w:rsidR="00E86677" w:rsidRDefault="00000000">
      <w:pPr>
        <w:jc w:val="center"/>
      </w:pPr>
      <w:r>
        <w:rPr>
          <w:b/>
          <w:color w:val="17365D"/>
          <w:sz w:val="23"/>
        </w:rPr>
        <w:t>Composite score = 0.25(I) + 0.25(B) + 0.25(F) + 0.25(A)</w:t>
      </w:r>
    </w:p>
    <w:p w14:paraId="1D5784DA" w14:textId="77777777" w:rsidR="00E86677" w:rsidRDefault="00000000">
      <w:r>
        <w:t>I is Implementation Barriers, B is Benefit Distribution and Transparency, F is Family and Child Access, and A is Accountability and Outcomes. The composite remains on the minus 2 to plus 2 scale.</w:t>
      </w:r>
    </w:p>
    <w:p w14:paraId="419067BA" w14:textId="77777777" w:rsidR="00E86677" w:rsidRDefault="00000000">
      <w:r>
        <w:t>Coverage must be displayed beside the composite. If a required domain is Not Scorable, the public dashboard should not silently redistribute its weight. KARA's methodology lead should approve either a minimum-coverage rule or a no-composite rule for incomplete domain coverage.</w:t>
      </w:r>
    </w:p>
    <w:p w14:paraId="5BE81DD0" w14:textId="77777777" w:rsidR="00E86677" w:rsidRDefault="00000000">
      <w:pPr>
        <w:pStyle w:val="Heading2"/>
      </w:pPr>
      <w:r>
        <w:t>Evidence confidence treatment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5112"/>
        <w:gridCol w:w="3096"/>
      </w:tblGrid>
      <w:tr w:rsidR="00E86677" w14:paraId="61D91ED1" w14:textId="77777777">
        <w:trPr>
          <w:tblHeader/>
          <w:jc w:val="center"/>
        </w:trPr>
        <w:tc>
          <w:tcPr>
            <w:tcW w:w="1728" w:type="dxa"/>
            <w:shd w:val="clear" w:color="auto" w:fill="17365D"/>
            <w:tcMar>
              <w:top w:w="110" w:type="dxa"/>
              <w:left w:w="120" w:type="dxa"/>
              <w:bottom w:w="110" w:type="dxa"/>
              <w:right w:w="120" w:type="dxa"/>
            </w:tcMar>
            <w:vAlign w:val="center"/>
          </w:tcPr>
          <w:p w14:paraId="72CCAD32" w14:textId="77777777" w:rsidR="00E86677" w:rsidRDefault="00000000">
            <w:pPr>
              <w:spacing w:after="0"/>
              <w:jc w:val="center"/>
            </w:pPr>
            <w:r>
              <w:rPr>
                <w:b/>
                <w:color w:val="FFFFFF"/>
                <w:sz w:val="17"/>
              </w:rPr>
              <w:t>Confidence</w:t>
            </w:r>
          </w:p>
        </w:tc>
        <w:tc>
          <w:tcPr>
            <w:tcW w:w="5112" w:type="dxa"/>
            <w:shd w:val="clear" w:color="auto" w:fill="17365D"/>
            <w:tcMar>
              <w:top w:w="110" w:type="dxa"/>
              <w:left w:w="120" w:type="dxa"/>
              <w:bottom w:w="110" w:type="dxa"/>
              <w:right w:w="120" w:type="dxa"/>
            </w:tcMar>
            <w:vAlign w:val="center"/>
          </w:tcPr>
          <w:p w14:paraId="311D41F0" w14:textId="77777777" w:rsidR="00E86677" w:rsidRDefault="00000000">
            <w:pPr>
              <w:spacing w:after="0"/>
              <w:jc w:val="center"/>
            </w:pPr>
            <w:r>
              <w:rPr>
                <w:b/>
                <w:color w:val="FFFFFF"/>
                <w:sz w:val="17"/>
              </w:rPr>
              <w:t>Meaning</w:t>
            </w:r>
          </w:p>
        </w:tc>
        <w:tc>
          <w:tcPr>
            <w:tcW w:w="3096" w:type="dxa"/>
            <w:shd w:val="clear" w:color="auto" w:fill="17365D"/>
            <w:tcMar>
              <w:top w:w="110" w:type="dxa"/>
              <w:left w:w="120" w:type="dxa"/>
              <w:bottom w:w="110" w:type="dxa"/>
              <w:right w:w="120" w:type="dxa"/>
            </w:tcMar>
            <w:vAlign w:val="center"/>
          </w:tcPr>
          <w:p w14:paraId="4A7767E2" w14:textId="77777777" w:rsidR="00E86677" w:rsidRDefault="00000000">
            <w:pPr>
              <w:spacing w:after="0"/>
              <w:jc w:val="center"/>
            </w:pPr>
            <w:r>
              <w:rPr>
                <w:b/>
                <w:color w:val="FFFFFF"/>
                <w:sz w:val="17"/>
              </w:rPr>
              <w:t>Preliminary use</w:t>
            </w:r>
          </w:p>
        </w:tc>
      </w:tr>
      <w:tr w:rsidR="00E86677" w14:paraId="61BA8728" w14:textId="77777777">
        <w:trPr>
          <w:jc w:val="center"/>
        </w:trPr>
        <w:tc>
          <w:tcPr>
            <w:tcW w:w="1728" w:type="dxa"/>
            <w:tcMar>
              <w:top w:w="105" w:type="dxa"/>
              <w:left w:w="120" w:type="dxa"/>
              <w:bottom w:w="105" w:type="dxa"/>
              <w:right w:w="120" w:type="dxa"/>
            </w:tcMar>
            <w:vAlign w:val="center"/>
          </w:tcPr>
          <w:p w14:paraId="61803055" w14:textId="77777777" w:rsidR="00E86677" w:rsidRDefault="00000000">
            <w:pPr>
              <w:spacing w:after="0"/>
            </w:pPr>
            <w:r>
              <w:rPr>
                <w:b/>
                <w:sz w:val="17"/>
              </w:rPr>
              <w:t>High</w:t>
            </w:r>
          </w:p>
        </w:tc>
        <w:tc>
          <w:tcPr>
            <w:tcW w:w="5112" w:type="dxa"/>
            <w:tcMar>
              <w:top w:w="105" w:type="dxa"/>
              <w:left w:w="120" w:type="dxa"/>
              <w:bottom w:w="105" w:type="dxa"/>
              <w:right w:w="120" w:type="dxa"/>
            </w:tcMar>
            <w:vAlign w:val="center"/>
          </w:tcPr>
          <w:p w14:paraId="0DCB291D" w14:textId="77777777" w:rsidR="00E86677" w:rsidRDefault="00000000">
            <w:pPr>
              <w:spacing w:after="0"/>
            </w:pPr>
            <w:r>
              <w:rPr>
                <w:sz w:val="17"/>
              </w:rPr>
              <w:t>Direct official evidence, validated evaluation, formal audit, or clear administrative measurement.</w:t>
            </w:r>
          </w:p>
        </w:tc>
        <w:tc>
          <w:tcPr>
            <w:tcW w:w="3096" w:type="dxa"/>
            <w:tcMar>
              <w:top w:w="105" w:type="dxa"/>
              <w:left w:w="120" w:type="dxa"/>
              <w:bottom w:w="105" w:type="dxa"/>
              <w:right w:w="120" w:type="dxa"/>
            </w:tcMar>
            <w:vAlign w:val="center"/>
          </w:tcPr>
          <w:p w14:paraId="45F4F728" w14:textId="77777777" w:rsidR="00E86677" w:rsidRDefault="00000000">
            <w:pPr>
              <w:spacing w:after="0"/>
            </w:pPr>
            <w:r>
              <w:rPr>
                <w:sz w:val="17"/>
              </w:rPr>
              <w:t>Eligible for scoring after comparability review.</w:t>
            </w:r>
          </w:p>
        </w:tc>
      </w:tr>
      <w:tr w:rsidR="00E86677" w14:paraId="45E8B71C" w14:textId="77777777">
        <w:trPr>
          <w:jc w:val="center"/>
        </w:trPr>
        <w:tc>
          <w:tcPr>
            <w:tcW w:w="1728" w:type="dxa"/>
            <w:shd w:val="clear" w:color="auto" w:fill="F2F6FA"/>
            <w:tcMar>
              <w:top w:w="105" w:type="dxa"/>
              <w:left w:w="120" w:type="dxa"/>
              <w:bottom w:w="105" w:type="dxa"/>
              <w:right w:w="120" w:type="dxa"/>
            </w:tcMar>
            <w:vAlign w:val="center"/>
          </w:tcPr>
          <w:p w14:paraId="4BDFEA43" w14:textId="77777777" w:rsidR="00E86677" w:rsidRDefault="00000000">
            <w:pPr>
              <w:spacing w:after="0"/>
            </w:pPr>
            <w:r>
              <w:rPr>
                <w:b/>
                <w:sz w:val="17"/>
              </w:rPr>
              <w:t>Moderate</w:t>
            </w:r>
          </w:p>
        </w:tc>
        <w:tc>
          <w:tcPr>
            <w:tcW w:w="5112" w:type="dxa"/>
            <w:shd w:val="clear" w:color="auto" w:fill="F2F6FA"/>
            <w:tcMar>
              <w:top w:w="105" w:type="dxa"/>
              <w:left w:w="120" w:type="dxa"/>
              <w:bottom w:w="105" w:type="dxa"/>
              <w:right w:w="120" w:type="dxa"/>
            </w:tcMar>
            <w:vAlign w:val="center"/>
          </w:tcPr>
          <w:p w14:paraId="682AF949" w14:textId="77777777" w:rsidR="00E86677" w:rsidRDefault="00000000">
            <w:pPr>
              <w:spacing w:after="0"/>
            </w:pPr>
            <w:r>
              <w:rPr>
                <w:sz w:val="17"/>
              </w:rPr>
              <w:t>Credible evidence requiring interpretation or triangulation.</w:t>
            </w:r>
          </w:p>
        </w:tc>
        <w:tc>
          <w:tcPr>
            <w:tcW w:w="3096" w:type="dxa"/>
            <w:shd w:val="clear" w:color="auto" w:fill="F2F6FA"/>
            <w:tcMar>
              <w:top w:w="105" w:type="dxa"/>
              <w:left w:w="120" w:type="dxa"/>
              <w:bottom w:w="105" w:type="dxa"/>
              <w:right w:w="120" w:type="dxa"/>
            </w:tcMar>
            <w:vAlign w:val="center"/>
          </w:tcPr>
          <w:p w14:paraId="53AA4367" w14:textId="77777777" w:rsidR="00E86677" w:rsidRDefault="00000000">
            <w:pPr>
              <w:spacing w:after="0"/>
            </w:pPr>
            <w:r>
              <w:rPr>
                <w:sz w:val="17"/>
              </w:rPr>
              <w:t>Eligible with a visible qualification and reviewer note.</w:t>
            </w:r>
          </w:p>
        </w:tc>
      </w:tr>
      <w:tr w:rsidR="00E86677" w14:paraId="0A9A4A21" w14:textId="77777777">
        <w:trPr>
          <w:jc w:val="center"/>
        </w:trPr>
        <w:tc>
          <w:tcPr>
            <w:tcW w:w="1728" w:type="dxa"/>
            <w:tcMar>
              <w:top w:w="105" w:type="dxa"/>
              <w:left w:w="120" w:type="dxa"/>
              <w:bottom w:w="105" w:type="dxa"/>
              <w:right w:w="120" w:type="dxa"/>
            </w:tcMar>
            <w:vAlign w:val="center"/>
          </w:tcPr>
          <w:p w14:paraId="0BC58E35" w14:textId="77777777" w:rsidR="00E86677" w:rsidRDefault="00000000">
            <w:pPr>
              <w:spacing w:after="0"/>
            </w:pPr>
            <w:r>
              <w:rPr>
                <w:b/>
                <w:sz w:val="17"/>
              </w:rPr>
              <w:t>Low</w:t>
            </w:r>
          </w:p>
        </w:tc>
        <w:tc>
          <w:tcPr>
            <w:tcW w:w="5112" w:type="dxa"/>
            <w:tcMar>
              <w:top w:w="105" w:type="dxa"/>
              <w:left w:w="120" w:type="dxa"/>
              <w:bottom w:w="105" w:type="dxa"/>
              <w:right w:w="120" w:type="dxa"/>
            </w:tcMar>
            <w:vAlign w:val="center"/>
          </w:tcPr>
          <w:p w14:paraId="34ED4359" w14:textId="77777777" w:rsidR="00E86677" w:rsidRDefault="00000000">
            <w:pPr>
              <w:spacing w:after="0"/>
            </w:pPr>
            <w:r>
              <w:rPr>
                <w:sz w:val="17"/>
              </w:rPr>
              <w:t>Indirect, incomplete, or proxy-dependent evidence.</w:t>
            </w:r>
          </w:p>
        </w:tc>
        <w:tc>
          <w:tcPr>
            <w:tcW w:w="3096" w:type="dxa"/>
            <w:tcMar>
              <w:top w:w="105" w:type="dxa"/>
              <w:left w:w="120" w:type="dxa"/>
              <w:bottom w:w="105" w:type="dxa"/>
              <w:right w:w="120" w:type="dxa"/>
            </w:tcMar>
            <w:vAlign w:val="center"/>
          </w:tcPr>
          <w:p w14:paraId="0D3D7ABD" w14:textId="77777777" w:rsidR="00E86677" w:rsidRDefault="00000000">
            <w:pPr>
              <w:spacing w:after="0"/>
            </w:pPr>
            <w:r>
              <w:rPr>
                <w:sz w:val="17"/>
              </w:rPr>
              <w:t>Display as provisional context; sponsor decides whether it can affect a public score.</w:t>
            </w:r>
          </w:p>
        </w:tc>
      </w:tr>
      <w:tr w:rsidR="00E86677" w14:paraId="682F0658" w14:textId="77777777">
        <w:trPr>
          <w:jc w:val="center"/>
        </w:trPr>
        <w:tc>
          <w:tcPr>
            <w:tcW w:w="1728" w:type="dxa"/>
            <w:shd w:val="clear" w:color="auto" w:fill="F2F6FA"/>
            <w:tcMar>
              <w:top w:w="105" w:type="dxa"/>
              <w:left w:w="120" w:type="dxa"/>
              <w:bottom w:w="105" w:type="dxa"/>
              <w:right w:w="120" w:type="dxa"/>
            </w:tcMar>
            <w:vAlign w:val="center"/>
          </w:tcPr>
          <w:p w14:paraId="5C1A8092" w14:textId="77777777" w:rsidR="00E86677" w:rsidRDefault="00000000">
            <w:pPr>
              <w:spacing w:after="0"/>
            </w:pPr>
            <w:r>
              <w:rPr>
                <w:b/>
                <w:sz w:val="17"/>
              </w:rPr>
              <w:t>Not Scorable</w:t>
            </w:r>
          </w:p>
        </w:tc>
        <w:tc>
          <w:tcPr>
            <w:tcW w:w="5112" w:type="dxa"/>
            <w:shd w:val="clear" w:color="auto" w:fill="F2F6FA"/>
            <w:tcMar>
              <w:top w:w="105" w:type="dxa"/>
              <w:left w:w="120" w:type="dxa"/>
              <w:bottom w:w="105" w:type="dxa"/>
              <w:right w:w="120" w:type="dxa"/>
            </w:tcMar>
            <w:vAlign w:val="center"/>
          </w:tcPr>
          <w:p w14:paraId="7FC33DCC" w14:textId="77777777" w:rsidR="00E86677" w:rsidRDefault="00000000">
            <w:pPr>
              <w:spacing w:after="0"/>
            </w:pPr>
            <w:r>
              <w:rPr>
                <w:sz w:val="17"/>
              </w:rPr>
              <w:t>Evidence cannot support a defensible judgment.</w:t>
            </w:r>
          </w:p>
        </w:tc>
        <w:tc>
          <w:tcPr>
            <w:tcW w:w="3096" w:type="dxa"/>
            <w:shd w:val="clear" w:color="auto" w:fill="F2F6FA"/>
            <w:tcMar>
              <w:top w:w="105" w:type="dxa"/>
              <w:left w:w="120" w:type="dxa"/>
              <w:bottom w:w="105" w:type="dxa"/>
              <w:right w:w="120" w:type="dxa"/>
            </w:tcMar>
            <w:vAlign w:val="center"/>
          </w:tcPr>
          <w:p w14:paraId="0026B65F" w14:textId="77777777" w:rsidR="00E86677" w:rsidRDefault="00000000">
            <w:pPr>
              <w:spacing w:after="0"/>
            </w:pPr>
            <w:r>
              <w:rPr>
                <w:sz w:val="17"/>
              </w:rPr>
              <w:t>No numeric score; do not convert to zero.</w:t>
            </w:r>
          </w:p>
        </w:tc>
      </w:tr>
      <w:tr w:rsidR="00E86677" w14:paraId="243C007E" w14:textId="77777777">
        <w:trPr>
          <w:jc w:val="center"/>
        </w:trPr>
        <w:tc>
          <w:tcPr>
            <w:tcW w:w="1728" w:type="dxa"/>
            <w:tcMar>
              <w:top w:w="105" w:type="dxa"/>
              <w:left w:w="120" w:type="dxa"/>
              <w:bottom w:w="105" w:type="dxa"/>
              <w:right w:w="120" w:type="dxa"/>
            </w:tcMar>
            <w:vAlign w:val="center"/>
          </w:tcPr>
          <w:p w14:paraId="6F1341C6" w14:textId="77777777" w:rsidR="00E86677" w:rsidRDefault="00000000">
            <w:pPr>
              <w:spacing w:after="0"/>
            </w:pPr>
            <w:r>
              <w:rPr>
                <w:b/>
                <w:sz w:val="17"/>
              </w:rPr>
              <w:t>Not Yet Reviewed</w:t>
            </w:r>
          </w:p>
        </w:tc>
        <w:tc>
          <w:tcPr>
            <w:tcW w:w="5112" w:type="dxa"/>
            <w:tcMar>
              <w:top w:w="105" w:type="dxa"/>
              <w:left w:w="120" w:type="dxa"/>
              <w:bottom w:w="105" w:type="dxa"/>
              <w:right w:w="120" w:type="dxa"/>
            </w:tcMar>
            <w:vAlign w:val="center"/>
          </w:tcPr>
          <w:p w14:paraId="50CF2F0E" w14:textId="77777777" w:rsidR="00E86677" w:rsidRDefault="00000000">
            <w:pPr>
              <w:spacing w:after="0"/>
            </w:pPr>
            <w:r>
              <w:rPr>
                <w:sz w:val="17"/>
              </w:rPr>
              <w:t>The record has not completed student review under the rubric.</w:t>
            </w:r>
          </w:p>
        </w:tc>
        <w:tc>
          <w:tcPr>
            <w:tcW w:w="3096" w:type="dxa"/>
            <w:tcMar>
              <w:top w:w="105" w:type="dxa"/>
              <w:left w:w="120" w:type="dxa"/>
              <w:bottom w:w="105" w:type="dxa"/>
              <w:right w:w="120" w:type="dxa"/>
            </w:tcMar>
            <w:vAlign w:val="center"/>
          </w:tcPr>
          <w:p w14:paraId="374D1C1B" w14:textId="77777777" w:rsidR="00E86677" w:rsidRDefault="00000000">
            <w:pPr>
              <w:spacing w:after="0"/>
            </w:pPr>
            <w:r>
              <w:rPr>
                <w:sz w:val="17"/>
              </w:rPr>
              <w:t>No numeric score.</w:t>
            </w:r>
          </w:p>
        </w:tc>
      </w:tr>
    </w:tbl>
    <w:p w14:paraId="2CEB9C98" w14:textId="77777777" w:rsidR="00E86677" w:rsidRDefault="00E86677">
      <w:pPr>
        <w:spacing w:after="20"/>
      </w:pPr>
    </w:p>
    <w:p w14:paraId="65E33D3F" w14:textId="77777777" w:rsidR="00E86677" w:rsidRDefault="00000000">
      <w:pPr>
        <w:pStyle w:val="Heading1"/>
      </w:pPr>
      <w:r>
        <w:lastRenderedPageBreak/>
        <w:t>Task 4 Test and Document Final Weights</w:t>
      </w:r>
    </w:p>
    <w:p w14:paraId="59B18568" w14:textId="77777777" w:rsidR="00E86677" w:rsidRDefault="00000000">
      <w:r>
        <w:t>A sensitivity test checks whether reasonable alternative weights would materially change the interpretation. The examples below are hypothetical and are used only to test the method.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544"/>
        <w:gridCol w:w="1080"/>
        <w:gridCol w:w="1080"/>
        <w:gridCol w:w="1080"/>
        <w:gridCol w:w="1080"/>
      </w:tblGrid>
      <w:tr w:rsidR="00E86677" w14:paraId="6AF199DC" w14:textId="77777777">
        <w:trPr>
          <w:tblHeader/>
          <w:jc w:val="center"/>
        </w:trPr>
        <w:tc>
          <w:tcPr>
            <w:tcW w:w="5544" w:type="dxa"/>
            <w:shd w:val="clear" w:color="auto" w:fill="17365D"/>
            <w:tcMar>
              <w:top w:w="110" w:type="dxa"/>
              <w:left w:w="120" w:type="dxa"/>
              <w:bottom w:w="110" w:type="dxa"/>
              <w:right w:w="120" w:type="dxa"/>
            </w:tcMar>
            <w:vAlign w:val="center"/>
          </w:tcPr>
          <w:p w14:paraId="0A57D9BA" w14:textId="77777777" w:rsidR="00E86677" w:rsidRDefault="00000000">
            <w:pPr>
              <w:spacing w:after="0"/>
              <w:jc w:val="center"/>
            </w:pPr>
            <w:r>
              <w:rPr>
                <w:b/>
                <w:color w:val="FFFFFF"/>
                <w:sz w:val="17"/>
              </w:rPr>
              <w:t>Hypothetical profile</w:t>
            </w:r>
          </w:p>
        </w:tc>
        <w:tc>
          <w:tcPr>
            <w:tcW w:w="1080" w:type="dxa"/>
            <w:shd w:val="clear" w:color="auto" w:fill="17365D"/>
            <w:tcMar>
              <w:top w:w="110" w:type="dxa"/>
              <w:left w:w="120" w:type="dxa"/>
              <w:bottom w:w="110" w:type="dxa"/>
              <w:right w:w="120" w:type="dxa"/>
            </w:tcMar>
            <w:vAlign w:val="center"/>
          </w:tcPr>
          <w:p w14:paraId="67485A1B" w14:textId="77777777" w:rsidR="00E86677" w:rsidRDefault="00000000">
            <w:pPr>
              <w:spacing w:after="0"/>
              <w:jc w:val="center"/>
            </w:pPr>
            <w:r>
              <w:rPr>
                <w:b/>
                <w:color w:val="FFFFFF"/>
                <w:sz w:val="17"/>
              </w:rPr>
              <w:t>I</w:t>
            </w:r>
          </w:p>
        </w:tc>
        <w:tc>
          <w:tcPr>
            <w:tcW w:w="1080" w:type="dxa"/>
            <w:shd w:val="clear" w:color="auto" w:fill="17365D"/>
            <w:tcMar>
              <w:top w:w="110" w:type="dxa"/>
              <w:left w:w="120" w:type="dxa"/>
              <w:bottom w:w="110" w:type="dxa"/>
              <w:right w:w="120" w:type="dxa"/>
            </w:tcMar>
            <w:vAlign w:val="center"/>
          </w:tcPr>
          <w:p w14:paraId="5DB5BE16" w14:textId="77777777" w:rsidR="00E86677" w:rsidRDefault="00000000">
            <w:pPr>
              <w:spacing w:after="0"/>
              <w:jc w:val="center"/>
            </w:pPr>
            <w:r>
              <w:rPr>
                <w:b/>
                <w:color w:val="FFFFFF"/>
                <w:sz w:val="17"/>
              </w:rPr>
              <w:t>B</w:t>
            </w:r>
          </w:p>
        </w:tc>
        <w:tc>
          <w:tcPr>
            <w:tcW w:w="1080" w:type="dxa"/>
            <w:shd w:val="clear" w:color="auto" w:fill="17365D"/>
            <w:tcMar>
              <w:top w:w="110" w:type="dxa"/>
              <w:left w:w="120" w:type="dxa"/>
              <w:bottom w:w="110" w:type="dxa"/>
              <w:right w:w="120" w:type="dxa"/>
            </w:tcMar>
            <w:vAlign w:val="center"/>
          </w:tcPr>
          <w:p w14:paraId="204A2AA2" w14:textId="77777777" w:rsidR="00E86677" w:rsidRDefault="00000000">
            <w:pPr>
              <w:spacing w:after="0"/>
              <w:jc w:val="center"/>
            </w:pPr>
            <w:r>
              <w:rPr>
                <w:b/>
                <w:color w:val="FFFFFF"/>
                <w:sz w:val="17"/>
              </w:rPr>
              <w:t>F</w:t>
            </w:r>
          </w:p>
        </w:tc>
        <w:tc>
          <w:tcPr>
            <w:tcW w:w="1080" w:type="dxa"/>
            <w:shd w:val="clear" w:color="auto" w:fill="17365D"/>
            <w:tcMar>
              <w:top w:w="110" w:type="dxa"/>
              <w:left w:w="120" w:type="dxa"/>
              <w:bottom w:w="110" w:type="dxa"/>
              <w:right w:w="120" w:type="dxa"/>
            </w:tcMar>
            <w:vAlign w:val="center"/>
          </w:tcPr>
          <w:p w14:paraId="58525E1E" w14:textId="77777777" w:rsidR="00E86677" w:rsidRDefault="00000000">
            <w:pPr>
              <w:spacing w:after="0"/>
              <w:jc w:val="center"/>
            </w:pPr>
            <w:r>
              <w:rPr>
                <w:b/>
                <w:color w:val="FFFFFF"/>
                <w:sz w:val="17"/>
              </w:rPr>
              <w:t>A</w:t>
            </w:r>
          </w:p>
        </w:tc>
      </w:tr>
      <w:tr w:rsidR="00E86677" w14:paraId="53EAB09D" w14:textId="77777777">
        <w:trPr>
          <w:jc w:val="center"/>
        </w:trPr>
        <w:tc>
          <w:tcPr>
            <w:tcW w:w="5544" w:type="dxa"/>
            <w:tcMar>
              <w:top w:w="105" w:type="dxa"/>
              <w:left w:w="120" w:type="dxa"/>
              <w:bottom w:w="105" w:type="dxa"/>
              <w:right w:w="120" w:type="dxa"/>
            </w:tcMar>
            <w:vAlign w:val="center"/>
          </w:tcPr>
          <w:p w14:paraId="51A87B84" w14:textId="77777777" w:rsidR="00E86677" w:rsidRDefault="00000000">
            <w:pPr>
              <w:spacing w:after="0"/>
            </w:pPr>
            <w:r>
              <w:rPr>
                <w:b/>
                <w:sz w:val="17"/>
              </w:rPr>
              <w:t>Profile A Balanced strength</w:t>
            </w:r>
          </w:p>
        </w:tc>
        <w:tc>
          <w:tcPr>
            <w:tcW w:w="1080" w:type="dxa"/>
            <w:tcMar>
              <w:top w:w="105" w:type="dxa"/>
              <w:left w:w="120" w:type="dxa"/>
              <w:bottom w:w="105" w:type="dxa"/>
              <w:right w:w="120" w:type="dxa"/>
            </w:tcMar>
            <w:vAlign w:val="center"/>
          </w:tcPr>
          <w:p w14:paraId="479754B0" w14:textId="77777777" w:rsidR="00E86677" w:rsidRDefault="00000000">
            <w:pPr>
              <w:spacing w:after="0"/>
            </w:pPr>
            <w:r>
              <w:rPr>
                <w:sz w:val="17"/>
              </w:rPr>
              <w:t>+1</w:t>
            </w:r>
          </w:p>
        </w:tc>
        <w:tc>
          <w:tcPr>
            <w:tcW w:w="1080" w:type="dxa"/>
            <w:tcMar>
              <w:top w:w="105" w:type="dxa"/>
              <w:left w:w="120" w:type="dxa"/>
              <w:bottom w:w="105" w:type="dxa"/>
              <w:right w:w="120" w:type="dxa"/>
            </w:tcMar>
            <w:vAlign w:val="center"/>
          </w:tcPr>
          <w:p w14:paraId="1398C6B2" w14:textId="77777777" w:rsidR="00E86677" w:rsidRDefault="00000000">
            <w:pPr>
              <w:spacing w:after="0"/>
            </w:pPr>
            <w:r>
              <w:rPr>
                <w:sz w:val="17"/>
              </w:rPr>
              <w:t>+1</w:t>
            </w:r>
          </w:p>
        </w:tc>
        <w:tc>
          <w:tcPr>
            <w:tcW w:w="1080" w:type="dxa"/>
            <w:tcMar>
              <w:top w:w="105" w:type="dxa"/>
              <w:left w:w="120" w:type="dxa"/>
              <w:bottom w:w="105" w:type="dxa"/>
              <w:right w:w="120" w:type="dxa"/>
            </w:tcMar>
            <w:vAlign w:val="center"/>
          </w:tcPr>
          <w:p w14:paraId="670B5D93" w14:textId="77777777" w:rsidR="00E86677" w:rsidRDefault="00000000">
            <w:pPr>
              <w:spacing w:after="0"/>
            </w:pPr>
            <w:r>
              <w:rPr>
                <w:sz w:val="17"/>
              </w:rPr>
              <w:t>+1</w:t>
            </w:r>
          </w:p>
        </w:tc>
        <w:tc>
          <w:tcPr>
            <w:tcW w:w="1080" w:type="dxa"/>
            <w:tcMar>
              <w:top w:w="105" w:type="dxa"/>
              <w:left w:w="120" w:type="dxa"/>
              <w:bottom w:w="105" w:type="dxa"/>
              <w:right w:w="120" w:type="dxa"/>
            </w:tcMar>
            <w:vAlign w:val="center"/>
          </w:tcPr>
          <w:p w14:paraId="3A11B21C" w14:textId="77777777" w:rsidR="00E86677" w:rsidRDefault="00000000">
            <w:pPr>
              <w:spacing w:after="0"/>
            </w:pPr>
            <w:r>
              <w:rPr>
                <w:sz w:val="17"/>
              </w:rPr>
              <w:t>+1</w:t>
            </w:r>
          </w:p>
        </w:tc>
      </w:tr>
      <w:tr w:rsidR="00E86677" w14:paraId="6AA6839E" w14:textId="77777777">
        <w:trPr>
          <w:jc w:val="center"/>
        </w:trPr>
        <w:tc>
          <w:tcPr>
            <w:tcW w:w="5544" w:type="dxa"/>
            <w:shd w:val="clear" w:color="auto" w:fill="F2F6FA"/>
            <w:tcMar>
              <w:top w:w="105" w:type="dxa"/>
              <w:left w:w="120" w:type="dxa"/>
              <w:bottom w:w="105" w:type="dxa"/>
              <w:right w:w="120" w:type="dxa"/>
            </w:tcMar>
            <w:vAlign w:val="center"/>
          </w:tcPr>
          <w:p w14:paraId="6D866C12" w14:textId="77777777" w:rsidR="00E86677" w:rsidRDefault="00000000">
            <w:pPr>
              <w:spacing w:after="0"/>
            </w:pPr>
            <w:r>
              <w:rPr>
                <w:b/>
                <w:sz w:val="17"/>
              </w:rPr>
              <w:t>Profile B Strong access weak accountability</w:t>
            </w:r>
          </w:p>
        </w:tc>
        <w:tc>
          <w:tcPr>
            <w:tcW w:w="1080" w:type="dxa"/>
            <w:shd w:val="clear" w:color="auto" w:fill="F2F6FA"/>
            <w:tcMar>
              <w:top w:w="105" w:type="dxa"/>
              <w:left w:w="120" w:type="dxa"/>
              <w:bottom w:w="105" w:type="dxa"/>
              <w:right w:w="120" w:type="dxa"/>
            </w:tcMar>
            <w:vAlign w:val="center"/>
          </w:tcPr>
          <w:p w14:paraId="58ECE41A" w14:textId="77777777" w:rsidR="00E86677" w:rsidRDefault="00000000">
            <w:pPr>
              <w:spacing w:after="0"/>
            </w:pPr>
            <w:r>
              <w:rPr>
                <w:sz w:val="17"/>
              </w:rPr>
              <w:t>0</w:t>
            </w:r>
          </w:p>
        </w:tc>
        <w:tc>
          <w:tcPr>
            <w:tcW w:w="1080" w:type="dxa"/>
            <w:shd w:val="clear" w:color="auto" w:fill="F2F6FA"/>
            <w:tcMar>
              <w:top w:w="105" w:type="dxa"/>
              <w:left w:w="120" w:type="dxa"/>
              <w:bottom w:w="105" w:type="dxa"/>
              <w:right w:w="120" w:type="dxa"/>
            </w:tcMar>
            <w:vAlign w:val="center"/>
          </w:tcPr>
          <w:p w14:paraId="12F79323" w14:textId="77777777" w:rsidR="00E86677" w:rsidRDefault="00000000">
            <w:pPr>
              <w:spacing w:after="0"/>
            </w:pPr>
            <w:r>
              <w:rPr>
                <w:sz w:val="17"/>
              </w:rPr>
              <w:t>+1</w:t>
            </w:r>
          </w:p>
        </w:tc>
        <w:tc>
          <w:tcPr>
            <w:tcW w:w="1080" w:type="dxa"/>
            <w:shd w:val="clear" w:color="auto" w:fill="F2F6FA"/>
            <w:tcMar>
              <w:top w:w="105" w:type="dxa"/>
              <w:left w:w="120" w:type="dxa"/>
              <w:bottom w:w="105" w:type="dxa"/>
              <w:right w:w="120" w:type="dxa"/>
            </w:tcMar>
            <w:vAlign w:val="center"/>
          </w:tcPr>
          <w:p w14:paraId="3ED46973" w14:textId="77777777" w:rsidR="00E86677" w:rsidRDefault="00000000">
            <w:pPr>
              <w:spacing w:after="0"/>
            </w:pPr>
            <w:r>
              <w:rPr>
                <w:sz w:val="17"/>
              </w:rPr>
              <w:t>+2</w:t>
            </w:r>
          </w:p>
        </w:tc>
        <w:tc>
          <w:tcPr>
            <w:tcW w:w="1080" w:type="dxa"/>
            <w:shd w:val="clear" w:color="auto" w:fill="F2F6FA"/>
            <w:tcMar>
              <w:top w:w="105" w:type="dxa"/>
              <w:left w:w="120" w:type="dxa"/>
              <w:bottom w:w="105" w:type="dxa"/>
              <w:right w:w="120" w:type="dxa"/>
            </w:tcMar>
            <w:vAlign w:val="center"/>
          </w:tcPr>
          <w:p w14:paraId="75DE4268" w14:textId="77777777" w:rsidR="00E86677" w:rsidRDefault="00000000">
            <w:pPr>
              <w:spacing w:after="0"/>
            </w:pPr>
            <w:r>
              <w:rPr>
                <w:sz w:val="17"/>
              </w:rPr>
              <w:t>-1</w:t>
            </w:r>
          </w:p>
        </w:tc>
      </w:tr>
      <w:tr w:rsidR="00E86677" w14:paraId="349FFE5F" w14:textId="77777777">
        <w:trPr>
          <w:jc w:val="center"/>
        </w:trPr>
        <w:tc>
          <w:tcPr>
            <w:tcW w:w="5544" w:type="dxa"/>
            <w:tcMar>
              <w:top w:w="105" w:type="dxa"/>
              <w:left w:w="120" w:type="dxa"/>
              <w:bottom w:w="105" w:type="dxa"/>
              <w:right w:w="120" w:type="dxa"/>
            </w:tcMar>
            <w:vAlign w:val="center"/>
          </w:tcPr>
          <w:p w14:paraId="11143D90" w14:textId="77777777" w:rsidR="00E86677" w:rsidRDefault="00000000">
            <w:pPr>
              <w:spacing w:after="0"/>
            </w:pPr>
            <w:r>
              <w:rPr>
                <w:b/>
                <w:sz w:val="17"/>
              </w:rPr>
              <w:t>Profile C Transparent but major access barriers</w:t>
            </w:r>
          </w:p>
        </w:tc>
        <w:tc>
          <w:tcPr>
            <w:tcW w:w="1080" w:type="dxa"/>
            <w:tcMar>
              <w:top w:w="105" w:type="dxa"/>
              <w:left w:w="120" w:type="dxa"/>
              <w:bottom w:w="105" w:type="dxa"/>
              <w:right w:w="120" w:type="dxa"/>
            </w:tcMar>
            <w:vAlign w:val="center"/>
          </w:tcPr>
          <w:p w14:paraId="508A65C6" w14:textId="77777777" w:rsidR="00E86677" w:rsidRDefault="00000000">
            <w:pPr>
              <w:spacing w:after="0"/>
            </w:pPr>
            <w:r>
              <w:rPr>
                <w:sz w:val="17"/>
              </w:rPr>
              <w:t>-1</w:t>
            </w:r>
          </w:p>
        </w:tc>
        <w:tc>
          <w:tcPr>
            <w:tcW w:w="1080" w:type="dxa"/>
            <w:tcMar>
              <w:top w:w="105" w:type="dxa"/>
              <w:left w:w="120" w:type="dxa"/>
              <w:bottom w:w="105" w:type="dxa"/>
              <w:right w:w="120" w:type="dxa"/>
            </w:tcMar>
            <w:vAlign w:val="center"/>
          </w:tcPr>
          <w:p w14:paraId="686F3A10" w14:textId="77777777" w:rsidR="00E86677" w:rsidRDefault="00000000">
            <w:pPr>
              <w:spacing w:after="0"/>
            </w:pPr>
            <w:r>
              <w:rPr>
                <w:sz w:val="17"/>
              </w:rPr>
              <w:t>0</w:t>
            </w:r>
          </w:p>
        </w:tc>
        <w:tc>
          <w:tcPr>
            <w:tcW w:w="1080" w:type="dxa"/>
            <w:tcMar>
              <w:top w:w="105" w:type="dxa"/>
              <w:left w:w="120" w:type="dxa"/>
              <w:bottom w:w="105" w:type="dxa"/>
              <w:right w:w="120" w:type="dxa"/>
            </w:tcMar>
            <w:vAlign w:val="center"/>
          </w:tcPr>
          <w:p w14:paraId="0E136F8D" w14:textId="77777777" w:rsidR="00E86677" w:rsidRDefault="00000000">
            <w:pPr>
              <w:spacing w:after="0"/>
            </w:pPr>
            <w:r>
              <w:rPr>
                <w:sz w:val="17"/>
              </w:rPr>
              <w:t>-2</w:t>
            </w:r>
          </w:p>
        </w:tc>
        <w:tc>
          <w:tcPr>
            <w:tcW w:w="1080" w:type="dxa"/>
            <w:tcMar>
              <w:top w:w="105" w:type="dxa"/>
              <w:left w:w="120" w:type="dxa"/>
              <w:bottom w:w="105" w:type="dxa"/>
              <w:right w:w="120" w:type="dxa"/>
            </w:tcMar>
            <w:vAlign w:val="center"/>
          </w:tcPr>
          <w:p w14:paraId="1AAB31BE" w14:textId="77777777" w:rsidR="00E86677" w:rsidRDefault="00000000">
            <w:pPr>
              <w:spacing w:after="0"/>
            </w:pPr>
            <w:r>
              <w:rPr>
                <w:sz w:val="17"/>
              </w:rPr>
              <w:t>+2</w:t>
            </w:r>
          </w:p>
        </w:tc>
      </w:tr>
    </w:tbl>
    <w:p w14:paraId="78EE4CC3" w14:textId="77777777" w:rsidR="00E86677" w:rsidRDefault="00E86677">
      <w:pPr>
        <w:spacing w:after="20"/>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2088"/>
        <w:gridCol w:w="1224"/>
        <w:gridCol w:w="1224"/>
        <w:gridCol w:w="1224"/>
        <w:gridCol w:w="1728"/>
      </w:tblGrid>
      <w:tr w:rsidR="00E86677" w14:paraId="6E4106C8" w14:textId="77777777">
        <w:trPr>
          <w:tblHeader/>
          <w:jc w:val="center"/>
        </w:trPr>
        <w:tc>
          <w:tcPr>
            <w:tcW w:w="2448" w:type="dxa"/>
            <w:shd w:val="clear" w:color="auto" w:fill="17365D"/>
            <w:tcMar>
              <w:top w:w="110" w:type="dxa"/>
              <w:left w:w="120" w:type="dxa"/>
              <w:bottom w:w="110" w:type="dxa"/>
              <w:right w:w="120" w:type="dxa"/>
            </w:tcMar>
            <w:vAlign w:val="center"/>
          </w:tcPr>
          <w:p w14:paraId="6903D544" w14:textId="77777777" w:rsidR="00E86677" w:rsidRDefault="00000000">
            <w:pPr>
              <w:spacing w:after="0"/>
              <w:jc w:val="center"/>
            </w:pPr>
            <w:r>
              <w:rPr>
                <w:b/>
                <w:color w:val="FFFFFF"/>
                <w:sz w:val="16"/>
              </w:rPr>
              <w:t>Scenario</w:t>
            </w:r>
          </w:p>
        </w:tc>
        <w:tc>
          <w:tcPr>
            <w:tcW w:w="2088" w:type="dxa"/>
            <w:shd w:val="clear" w:color="auto" w:fill="17365D"/>
            <w:tcMar>
              <w:top w:w="110" w:type="dxa"/>
              <w:left w:w="120" w:type="dxa"/>
              <w:bottom w:w="110" w:type="dxa"/>
              <w:right w:w="120" w:type="dxa"/>
            </w:tcMar>
            <w:vAlign w:val="center"/>
          </w:tcPr>
          <w:p w14:paraId="53197847" w14:textId="77777777" w:rsidR="00E86677" w:rsidRDefault="00000000">
            <w:pPr>
              <w:spacing w:after="0"/>
              <w:jc w:val="center"/>
            </w:pPr>
            <w:r>
              <w:rPr>
                <w:b/>
                <w:color w:val="FFFFFF"/>
                <w:sz w:val="16"/>
              </w:rPr>
              <w:t>I / B / F / A</w:t>
            </w:r>
          </w:p>
        </w:tc>
        <w:tc>
          <w:tcPr>
            <w:tcW w:w="1224" w:type="dxa"/>
            <w:shd w:val="clear" w:color="auto" w:fill="17365D"/>
            <w:tcMar>
              <w:top w:w="110" w:type="dxa"/>
              <w:left w:w="120" w:type="dxa"/>
              <w:bottom w:w="110" w:type="dxa"/>
              <w:right w:w="120" w:type="dxa"/>
            </w:tcMar>
            <w:vAlign w:val="center"/>
          </w:tcPr>
          <w:p w14:paraId="13282F30" w14:textId="77777777" w:rsidR="00E86677" w:rsidRDefault="00000000">
            <w:pPr>
              <w:spacing w:after="0"/>
              <w:jc w:val="center"/>
            </w:pPr>
            <w:r>
              <w:rPr>
                <w:b/>
                <w:color w:val="FFFFFF"/>
                <w:sz w:val="16"/>
              </w:rPr>
              <w:t>Profile A</w:t>
            </w:r>
          </w:p>
        </w:tc>
        <w:tc>
          <w:tcPr>
            <w:tcW w:w="1224" w:type="dxa"/>
            <w:shd w:val="clear" w:color="auto" w:fill="17365D"/>
            <w:tcMar>
              <w:top w:w="110" w:type="dxa"/>
              <w:left w:w="120" w:type="dxa"/>
              <w:bottom w:w="110" w:type="dxa"/>
              <w:right w:w="120" w:type="dxa"/>
            </w:tcMar>
            <w:vAlign w:val="center"/>
          </w:tcPr>
          <w:p w14:paraId="07A6ED6D" w14:textId="77777777" w:rsidR="00E86677" w:rsidRDefault="00000000">
            <w:pPr>
              <w:spacing w:after="0"/>
              <w:jc w:val="center"/>
            </w:pPr>
            <w:r>
              <w:rPr>
                <w:b/>
                <w:color w:val="FFFFFF"/>
                <w:sz w:val="16"/>
              </w:rPr>
              <w:t>Profile B</w:t>
            </w:r>
          </w:p>
        </w:tc>
        <w:tc>
          <w:tcPr>
            <w:tcW w:w="1224" w:type="dxa"/>
            <w:shd w:val="clear" w:color="auto" w:fill="17365D"/>
            <w:tcMar>
              <w:top w:w="110" w:type="dxa"/>
              <w:left w:w="120" w:type="dxa"/>
              <w:bottom w:w="110" w:type="dxa"/>
              <w:right w:w="120" w:type="dxa"/>
            </w:tcMar>
            <w:vAlign w:val="center"/>
          </w:tcPr>
          <w:p w14:paraId="29EF2FC9" w14:textId="77777777" w:rsidR="00E86677" w:rsidRDefault="00000000">
            <w:pPr>
              <w:spacing w:after="0"/>
              <w:jc w:val="center"/>
            </w:pPr>
            <w:r>
              <w:rPr>
                <w:b/>
                <w:color w:val="FFFFFF"/>
                <w:sz w:val="16"/>
              </w:rPr>
              <w:t>Profile C</w:t>
            </w:r>
          </w:p>
        </w:tc>
        <w:tc>
          <w:tcPr>
            <w:tcW w:w="1728" w:type="dxa"/>
            <w:shd w:val="clear" w:color="auto" w:fill="17365D"/>
            <w:tcMar>
              <w:top w:w="110" w:type="dxa"/>
              <w:left w:w="120" w:type="dxa"/>
              <w:bottom w:w="110" w:type="dxa"/>
              <w:right w:w="120" w:type="dxa"/>
            </w:tcMar>
            <w:vAlign w:val="center"/>
          </w:tcPr>
          <w:p w14:paraId="58090CE8" w14:textId="77777777" w:rsidR="00E86677" w:rsidRDefault="00000000">
            <w:pPr>
              <w:spacing w:after="0"/>
              <w:jc w:val="center"/>
            </w:pPr>
            <w:r>
              <w:rPr>
                <w:b/>
                <w:color w:val="FFFFFF"/>
                <w:sz w:val="16"/>
              </w:rPr>
              <w:t>Order</w:t>
            </w:r>
          </w:p>
        </w:tc>
      </w:tr>
      <w:tr w:rsidR="00E86677" w14:paraId="4EB3ADDC" w14:textId="77777777">
        <w:trPr>
          <w:jc w:val="center"/>
        </w:trPr>
        <w:tc>
          <w:tcPr>
            <w:tcW w:w="2448" w:type="dxa"/>
            <w:tcMar>
              <w:top w:w="105" w:type="dxa"/>
              <w:left w:w="120" w:type="dxa"/>
              <w:bottom w:w="105" w:type="dxa"/>
              <w:right w:w="120" w:type="dxa"/>
            </w:tcMar>
            <w:vAlign w:val="center"/>
          </w:tcPr>
          <w:p w14:paraId="4FAE1314" w14:textId="77777777" w:rsidR="00E86677" w:rsidRDefault="00000000">
            <w:pPr>
              <w:spacing w:after="0"/>
            </w:pPr>
            <w:r>
              <w:rPr>
                <w:b/>
                <w:sz w:val="16"/>
              </w:rPr>
              <w:t>Equal weights</w:t>
            </w:r>
          </w:p>
        </w:tc>
        <w:tc>
          <w:tcPr>
            <w:tcW w:w="2088" w:type="dxa"/>
            <w:tcMar>
              <w:top w:w="105" w:type="dxa"/>
              <w:left w:w="120" w:type="dxa"/>
              <w:bottom w:w="105" w:type="dxa"/>
              <w:right w:w="120" w:type="dxa"/>
            </w:tcMar>
            <w:vAlign w:val="center"/>
          </w:tcPr>
          <w:p w14:paraId="641EB9CF" w14:textId="77777777" w:rsidR="00E86677" w:rsidRDefault="00000000">
            <w:pPr>
              <w:spacing w:after="0"/>
            </w:pPr>
            <w:r>
              <w:rPr>
                <w:sz w:val="16"/>
              </w:rPr>
              <w:t>25 / 25 / 25 / 25</w:t>
            </w:r>
          </w:p>
        </w:tc>
        <w:tc>
          <w:tcPr>
            <w:tcW w:w="1224" w:type="dxa"/>
            <w:tcMar>
              <w:top w:w="105" w:type="dxa"/>
              <w:left w:w="120" w:type="dxa"/>
              <w:bottom w:w="105" w:type="dxa"/>
              <w:right w:w="120" w:type="dxa"/>
            </w:tcMar>
            <w:vAlign w:val="center"/>
          </w:tcPr>
          <w:p w14:paraId="09CB2859" w14:textId="77777777" w:rsidR="00E86677" w:rsidRDefault="00000000">
            <w:pPr>
              <w:spacing w:after="0"/>
            </w:pPr>
            <w:r>
              <w:rPr>
                <w:sz w:val="16"/>
              </w:rPr>
              <w:t>1.00</w:t>
            </w:r>
          </w:p>
        </w:tc>
        <w:tc>
          <w:tcPr>
            <w:tcW w:w="1224" w:type="dxa"/>
            <w:tcMar>
              <w:top w:w="105" w:type="dxa"/>
              <w:left w:w="120" w:type="dxa"/>
              <w:bottom w:w="105" w:type="dxa"/>
              <w:right w:w="120" w:type="dxa"/>
            </w:tcMar>
            <w:vAlign w:val="center"/>
          </w:tcPr>
          <w:p w14:paraId="51D79242" w14:textId="77777777" w:rsidR="00E86677" w:rsidRDefault="00000000">
            <w:pPr>
              <w:spacing w:after="0"/>
            </w:pPr>
            <w:r>
              <w:rPr>
                <w:sz w:val="16"/>
              </w:rPr>
              <w:t>0.50</w:t>
            </w:r>
          </w:p>
        </w:tc>
        <w:tc>
          <w:tcPr>
            <w:tcW w:w="1224" w:type="dxa"/>
            <w:tcMar>
              <w:top w:w="105" w:type="dxa"/>
              <w:left w:w="120" w:type="dxa"/>
              <w:bottom w:w="105" w:type="dxa"/>
              <w:right w:w="120" w:type="dxa"/>
            </w:tcMar>
            <w:vAlign w:val="center"/>
          </w:tcPr>
          <w:p w14:paraId="5612C318" w14:textId="77777777" w:rsidR="00E86677" w:rsidRDefault="00000000">
            <w:pPr>
              <w:spacing w:after="0"/>
            </w:pPr>
            <w:r>
              <w:rPr>
                <w:sz w:val="16"/>
              </w:rPr>
              <w:t>-0.25</w:t>
            </w:r>
          </w:p>
        </w:tc>
        <w:tc>
          <w:tcPr>
            <w:tcW w:w="1728" w:type="dxa"/>
            <w:tcMar>
              <w:top w:w="105" w:type="dxa"/>
              <w:left w:w="120" w:type="dxa"/>
              <w:bottom w:w="105" w:type="dxa"/>
              <w:right w:w="120" w:type="dxa"/>
            </w:tcMar>
            <w:vAlign w:val="center"/>
          </w:tcPr>
          <w:p w14:paraId="28D356BF" w14:textId="77777777" w:rsidR="00E86677" w:rsidRDefault="00000000">
            <w:pPr>
              <w:spacing w:after="0"/>
            </w:pPr>
            <w:r>
              <w:rPr>
                <w:sz w:val="16"/>
              </w:rPr>
              <w:t>A &gt; B &gt; C</w:t>
            </w:r>
          </w:p>
        </w:tc>
      </w:tr>
      <w:tr w:rsidR="00E86677" w14:paraId="0491ABC8" w14:textId="77777777">
        <w:trPr>
          <w:jc w:val="center"/>
        </w:trPr>
        <w:tc>
          <w:tcPr>
            <w:tcW w:w="2448" w:type="dxa"/>
            <w:shd w:val="clear" w:color="auto" w:fill="F2F6FA"/>
            <w:tcMar>
              <w:top w:w="105" w:type="dxa"/>
              <w:left w:w="120" w:type="dxa"/>
              <w:bottom w:w="105" w:type="dxa"/>
              <w:right w:w="120" w:type="dxa"/>
            </w:tcMar>
            <w:vAlign w:val="center"/>
          </w:tcPr>
          <w:p w14:paraId="5E21ADE8" w14:textId="77777777" w:rsidR="00E86677" w:rsidRDefault="00000000">
            <w:pPr>
              <w:spacing w:after="0"/>
            </w:pPr>
            <w:r>
              <w:rPr>
                <w:b/>
                <w:sz w:val="16"/>
              </w:rPr>
              <w:t>Access and accountability emphasis</w:t>
            </w:r>
          </w:p>
        </w:tc>
        <w:tc>
          <w:tcPr>
            <w:tcW w:w="2088" w:type="dxa"/>
            <w:shd w:val="clear" w:color="auto" w:fill="F2F6FA"/>
            <w:tcMar>
              <w:top w:w="105" w:type="dxa"/>
              <w:left w:w="120" w:type="dxa"/>
              <w:bottom w:w="105" w:type="dxa"/>
              <w:right w:w="120" w:type="dxa"/>
            </w:tcMar>
            <w:vAlign w:val="center"/>
          </w:tcPr>
          <w:p w14:paraId="4D198714" w14:textId="77777777" w:rsidR="00E86677" w:rsidRDefault="00000000">
            <w:pPr>
              <w:spacing w:after="0"/>
            </w:pPr>
            <w:r>
              <w:rPr>
                <w:sz w:val="16"/>
              </w:rPr>
              <w:t>15 / 20 / 30 / 35</w:t>
            </w:r>
          </w:p>
        </w:tc>
        <w:tc>
          <w:tcPr>
            <w:tcW w:w="1224" w:type="dxa"/>
            <w:shd w:val="clear" w:color="auto" w:fill="F2F6FA"/>
            <w:tcMar>
              <w:top w:w="105" w:type="dxa"/>
              <w:left w:w="120" w:type="dxa"/>
              <w:bottom w:w="105" w:type="dxa"/>
              <w:right w:w="120" w:type="dxa"/>
            </w:tcMar>
            <w:vAlign w:val="center"/>
          </w:tcPr>
          <w:p w14:paraId="675FF663" w14:textId="77777777" w:rsidR="00E86677" w:rsidRDefault="00000000">
            <w:pPr>
              <w:spacing w:after="0"/>
            </w:pPr>
            <w:r>
              <w:rPr>
                <w:sz w:val="16"/>
              </w:rPr>
              <w:t>1.00</w:t>
            </w:r>
          </w:p>
        </w:tc>
        <w:tc>
          <w:tcPr>
            <w:tcW w:w="1224" w:type="dxa"/>
            <w:shd w:val="clear" w:color="auto" w:fill="F2F6FA"/>
            <w:tcMar>
              <w:top w:w="105" w:type="dxa"/>
              <w:left w:w="120" w:type="dxa"/>
              <w:bottom w:w="105" w:type="dxa"/>
              <w:right w:w="120" w:type="dxa"/>
            </w:tcMar>
            <w:vAlign w:val="center"/>
          </w:tcPr>
          <w:p w14:paraId="677C11EC" w14:textId="77777777" w:rsidR="00E86677" w:rsidRDefault="00000000">
            <w:pPr>
              <w:spacing w:after="0"/>
            </w:pPr>
            <w:r>
              <w:rPr>
                <w:sz w:val="16"/>
              </w:rPr>
              <w:t>0.45</w:t>
            </w:r>
          </w:p>
        </w:tc>
        <w:tc>
          <w:tcPr>
            <w:tcW w:w="1224" w:type="dxa"/>
            <w:shd w:val="clear" w:color="auto" w:fill="F2F6FA"/>
            <w:tcMar>
              <w:top w:w="105" w:type="dxa"/>
              <w:left w:w="120" w:type="dxa"/>
              <w:bottom w:w="105" w:type="dxa"/>
              <w:right w:w="120" w:type="dxa"/>
            </w:tcMar>
            <w:vAlign w:val="center"/>
          </w:tcPr>
          <w:p w14:paraId="1DC88266" w14:textId="77777777" w:rsidR="00E86677" w:rsidRDefault="00000000">
            <w:pPr>
              <w:spacing w:after="0"/>
            </w:pPr>
            <w:r>
              <w:rPr>
                <w:sz w:val="16"/>
              </w:rPr>
              <w:t>-0.05</w:t>
            </w:r>
          </w:p>
        </w:tc>
        <w:tc>
          <w:tcPr>
            <w:tcW w:w="1728" w:type="dxa"/>
            <w:shd w:val="clear" w:color="auto" w:fill="F2F6FA"/>
            <w:tcMar>
              <w:top w:w="105" w:type="dxa"/>
              <w:left w:w="120" w:type="dxa"/>
              <w:bottom w:w="105" w:type="dxa"/>
              <w:right w:w="120" w:type="dxa"/>
            </w:tcMar>
            <w:vAlign w:val="center"/>
          </w:tcPr>
          <w:p w14:paraId="303F399B" w14:textId="77777777" w:rsidR="00E86677" w:rsidRDefault="00000000">
            <w:pPr>
              <w:spacing w:after="0"/>
            </w:pPr>
            <w:r>
              <w:rPr>
                <w:sz w:val="16"/>
              </w:rPr>
              <w:t>A &gt; B &gt; C</w:t>
            </w:r>
          </w:p>
        </w:tc>
      </w:tr>
      <w:tr w:rsidR="00E86677" w14:paraId="2E689A1A" w14:textId="77777777">
        <w:trPr>
          <w:jc w:val="center"/>
        </w:trPr>
        <w:tc>
          <w:tcPr>
            <w:tcW w:w="2448" w:type="dxa"/>
            <w:tcMar>
              <w:top w:w="105" w:type="dxa"/>
              <w:left w:w="120" w:type="dxa"/>
              <w:bottom w:w="105" w:type="dxa"/>
              <w:right w:w="120" w:type="dxa"/>
            </w:tcMar>
            <w:vAlign w:val="center"/>
          </w:tcPr>
          <w:p w14:paraId="6377BB2C" w14:textId="77777777" w:rsidR="00E86677" w:rsidRDefault="00000000">
            <w:pPr>
              <w:spacing w:after="0"/>
            </w:pPr>
            <w:r>
              <w:rPr>
                <w:b/>
                <w:sz w:val="16"/>
              </w:rPr>
              <w:t>Accountability-heavy</w:t>
            </w:r>
          </w:p>
        </w:tc>
        <w:tc>
          <w:tcPr>
            <w:tcW w:w="2088" w:type="dxa"/>
            <w:tcMar>
              <w:top w:w="105" w:type="dxa"/>
              <w:left w:w="120" w:type="dxa"/>
              <w:bottom w:w="105" w:type="dxa"/>
              <w:right w:w="120" w:type="dxa"/>
            </w:tcMar>
            <w:vAlign w:val="center"/>
          </w:tcPr>
          <w:p w14:paraId="03546493" w14:textId="77777777" w:rsidR="00E86677" w:rsidRDefault="00000000">
            <w:pPr>
              <w:spacing w:after="0"/>
            </w:pPr>
            <w:r>
              <w:rPr>
                <w:sz w:val="16"/>
              </w:rPr>
              <w:t>20 / 20 / 20 / 40</w:t>
            </w:r>
          </w:p>
        </w:tc>
        <w:tc>
          <w:tcPr>
            <w:tcW w:w="1224" w:type="dxa"/>
            <w:tcMar>
              <w:top w:w="105" w:type="dxa"/>
              <w:left w:w="120" w:type="dxa"/>
              <w:bottom w:w="105" w:type="dxa"/>
              <w:right w:w="120" w:type="dxa"/>
            </w:tcMar>
            <w:vAlign w:val="center"/>
          </w:tcPr>
          <w:p w14:paraId="57A309DB" w14:textId="77777777" w:rsidR="00E86677" w:rsidRDefault="00000000">
            <w:pPr>
              <w:spacing w:after="0"/>
            </w:pPr>
            <w:r>
              <w:rPr>
                <w:sz w:val="16"/>
              </w:rPr>
              <w:t>1.00</w:t>
            </w:r>
          </w:p>
        </w:tc>
        <w:tc>
          <w:tcPr>
            <w:tcW w:w="1224" w:type="dxa"/>
            <w:tcMar>
              <w:top w:w="105" w:type="dxa"/>
              <w:left w:w="120" w:type="dxa"/>
              <w:bottom w:w="105" w:type="dxa"/>
              <w:right w:w="120" w:type="dxa"/>
            </w:tcMar>
            <w:vAlign w:val="center"/>
          </w:tcPr>
          <w:p w14:paraId="24BE0814" w14:textId="77777777" w:rsidR="00E86677" w:rsidRDefault="00000000">
            <w:pPr>
              <w:spacing w:after="0"/>
            </w:pPr>
            <w:r>
              <w:rPr>
                <w:sz w:val="16"/>
              </w:rPr>
              <w:t>0.20</w:t>
            </w:r>
          </w:p>
        </w:tc>
        <w:tc>
          <w:tcPr>
            <w:tcW w:w="1224" w:type="dxa"/>
            <w:tcMar>
              <w:top w:w="105" w:type="dxa"/>
              <w:left w:w="120" w:type="dxa"/>
              <w:bottom w:w="105" w:type="dxa"/>
              <w:right w:w="120" w:type="dxa"/>
            </w:tcMar>
            <w:vAlign w:val="center"/>
          </w:tcPr>
          <w:p w14:paraId="2948B8DD" w14:textId="77777777" w:rsidR="00E86677" w:rsidRDefault="00000000">
            <w:pPr>
              <w:spacing w:after="0"/>
            </w:pPr>
            <w:r>
              <w:rPr>
                <w:sz w:val="16"/>
              </w:rPr>
              <w:t>0.20</w:t>
            </w:r>
          </w:p>
        </w:tc>
        <w:tc>
          <w:tcPr>
            <w:tcW w:w="1728" w:type="dxa"/>
            <w:tcMar>
              <w:top w:w="105" w:type="dxa"/>
              <w:left w:w="120" w:type="dxa"/>
              <w:bottom w:w="105" w:type="dxa"/>
              <w:right w:w="120" w:type="dxa"/>
            </w:tcMar>
            <w:vAlign w:val="center"/>
          </w:tcPr>
          <w:p w14:paraId="65E8C8B4" w14:textId="77777777" w:rsidR="00E86677" w:rsidRDefault="00000000">
            <w:pPr>
              <w:spacing w:after="0"/>
            </w:pPr>
            <w:r>
              <w:rPr>
                <w:sz w:val="16"/>
              </w:rPr>
              <w:t>A &gt; B = C</w:t>
            </w:r>
          </w:p>
        </w:tc>
      </w:tr>
    </w:tbl>
    <w:p w14:paraId="7DECA2D2" w14:textId="77777777" w:rsidR="00E86677" w:rsidRDefault="00E86677">
      <w:pPr>
        <w:spacing w:after="20"/>
      </w:pPr>
    </w:p>
    <w:p w14:paraId="7A2F4826" w14:textId="77777777" w:rsidR="00E86677" w:rsidRDefault="00000000">
      <w:r>
        <w:t>Test result. The alternative scenarios preserve the leading profile but materially change the relationship between Profiles B and C. An accountability-heavy formula creates a tie that the equal-weight formula does not. Because the project has not yet approved a reason to privilege one domain, equal weighting minimizes hidden value judgments and is the most transparent pilot choice.</w:t>
      </w:r>
    </w:p>
    <w:p w14:paraId="02EFCF5F" w14:textId="77777777" w:rsidR="00E86677" w:rsidRDefault="00000000">
      <w:pPr>
        <w:pStyle w:val="Heading2"/>
      </w:pPr>
      <w:r>
        <w:t>Final preliminary weights for sponsor review</w:t>
      </w:r>
    </w:p>
    <w:p w14:paraId="44F322D6" w14:textId="77777777" w:rsidR="00E86677" w:rsidRDefault="00000000">
      <w:r>
        <w:t>Use 25 percent for each operational domain in the Fall 2026 pilot. Lock the weights before comparing Minnesota, Arizona, and the third state. Publish the weight table, domain scores, evidence-confidence labels, comparability notes, and score coverage with every composite result.</w:t>
      </w:r>
    </w:p>
    <w:p w14:paraId="3E8C55D8" w14:textId="77777777" w:rsidR="00E86677" w:rsidRDefault="00000000">
      <w:pPr>
        <w:pStyle w:val="Heading2"/>
      </w:pPr>
      <w:r>
        <w:t>Approval and change control</w:t>
      </w:r>
    </w:p>
    <w:p w14:paraId="28C611BE" w14:textId="77777777" w:rsidR="00E86677" w:rsidRDefault="00000000">
      <w:pPr>
        <w:pStyle w:val="ListBullet"/>
        <w:spacing w:after="60"/>
      </w:pPr>
      <w:r>
        <w:t>Snigdha Sahai confirms that the four operational domains are the correct scored layer and reviews the treatment of Low evidence.</w:t>
      </w:r>
    </w:p>
    <w:p w14:paraId="51A36A6F" w14:textId="77777777" w:rsidR="00E86677" w:rsidRDefault="00000000">
      <w:pPr>
        <w:pStyle w:val="ListBullet"/>
        <w:spacing w:after="60"/>
      </w:pPr>
      <w:r>
        <w:t>Allen Huang confirms that the KARA Platform can store domain weight, indicator weight, framework version, score coverage, and Not Scorable status.</w:t>
      </w:r>
    </w:p>
    <w:p w14:paraId="0536F7F3" w14:textId="77777777" w:rsidR="00E86677" w:rsidRDefault="00000000">
      <w:pPr>
        <w:pStyle w:val="ListBullet"/>
        <w:spacing w:after="60"/>
      </w:pPr>
      <w:r>
        <w:t>The team applies the same weights to the three pilot states and records any indicator that cannot be scored.</w:t>
      </w:r>
    </w:p>
    <w:p w14:paraId="28D2CDAA" w14:textId="77777777" w:rsidR="00E86677" w:rsidRDefault="00000000">
      <w:pPr>
        <w:pStyle w:val="ListBullet"/>
        <w:spacing w:after="60"/>
      </w:pPr>
      <w:r>
        <w:t>The team reruns the sensitivity test using real pilot-state domain scores.</w:t>
      </w:r>
    </w:p>
    <w:p w14:paraId="3A28C8ED" w14:textId="77777777" w:rsidR="00E86677" w:rsidRDefault="00000000">
      <w:pPr>
        <w:pStyle w:val="ListBullet"/>
        <w:spacing w:after="60"/>
      </w:pPr>
      <w:r>
        <w:t>KARA approves or revises the weights before any public grade, award recommendation, or state call-out is published.</w:t>
      </w:r>
    </w:p>
    <w:p w14:paraId="49B10197" w14:textId="77777777" w:rsidR="00E86677" w:rsidRDefault="00000000">
      <w:pPr>
        <w:pStyle w:val="Heading1"/>
      </w:pPr>
      <w:r>
        <w:t>Sources</w:t>
      </w:r>
    </w:p>
    <w:p w14:paraId="2696E15D" w14:textId="77777777" w:rsidR="00E86677" w:rsidRDefault="00000000">
      <w:r>
        <w:rPr>
          <w:b/>
        </w:rPr>
        <w:t xml:space="preserve">Source note. </w:t>
      </w:r>
      <w:r>
        <w:t>The KARA/EIM files listed below are the controlling project sources. External government sources were used to clarify public definitions, reporting practices, and inclusive-language principles. State procedures can change, so dates and definitions should be rechecked before publication.</w:t>
      </w:r>
    </w:p>
    <w:p w14:paraId="055068A8" w14:textId="77777777" w:rsidR="00E86677" w:rsidRDefault="00000000">
      <w:pPr>
        <w:pStyle w:val="ListBullet"/>
        <w:spacing w:after="60"/>
      </w:pPr>
      <w:r>
        <w:t>KARA: State-by-State CPS Policy Comparison and Awards Project Scope and Sprint 0 Direction, September 17, 2026</w:t>
      </w:r>
    </w:p>
    <w:p w14:paraId="78CBAD86" w14:textId="77777777" w:rsidR="00E86677" w:rsidRDefault="00000000">
      <w:pPr>
        <w:pStyle w:val="ListBullet"/>
        <w:spacing w:after="60"/>
      </w:pPr>
      <w:r>
        <w:lastRenderedPageBreak/>
        <w:t>KARA EIM: Field Inventory and Data Tracking README, Rubric Variable Map, Metric Comparability, Pick List Reference, and Validation Lists, updated through September 30, 2026</w:t>
      </w:r>
    </w:p>
    <w:p w14:paraId="38CCEC3C" w14:textId="77777777" w:rsidR="00E86677" w:rsidRDefault="00000000">
      <w:pPr>
        <w:pStyle w:val="ListBullet"/>
        <w:spacing w:after="60"/>
      </w:pPr>
      <w:r>
        <w:t>KARA EIM: Observation Data Schema and Policy Metrics Schema, updated through September 30, 2026</w:t>
      </w:r>
    </w:p>
    <w:sectPr w:rsidR="00E86677" w:rsidSect="00034616">
      <w:headerReference w:type="default" r:id="rId8"/>
      <w:footerReference w:type="default" r:id="rId9"/>
      <w:pgSz w:w="12240" w:h="15840"/>
      <w:pgMar w:top="1037" w:right="1123" w:bottom="950"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EACAC0" w14:textId="77777777" w:rsidR="00F56618" w:rsidRDefault="00F56618">
      <w:pPr>
        <w:spacing w:after="0" w:line="240" w:lineRule="auto"/>
      </w:pPr>
      <w:r>
        <w:separator/>
      </w:r>
    </w:p>
  </w:endnote>
  <w:endnote w:type="continuationSeparator" w:id="0">
    <w:p w14:paraId="070E44B9" w14:textId="77777777" w:rsidR="00F56618" w:rsidRDefault="00F56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8DE748" w14:textId="77777777" w:rsidR="00E86677" w:rsidRDefault="00000000">
    <w:pPr>
      <w:pStyle w:val="Footer"/>
      <w:jc w:val="right"/>
    </w:pPr>
    <w:r>
      <w:rPr>
        <w:color w:val="666666"/>
        <w:sz w:val="18"/>
      </w:rPr>
      <w:t xml:space="preserve">Page </w:t>
    </w:r>
    <w:r>
      <w:rPr>
        <w:color w:val="666666"/>
        <w:sz w:val="18"/>
      </w:rPr>
      <w:fldChar w:fldCharType="begin"/>
    </w:r>
    <w:r>
      <w:rPr>
        <w:color w:val="666666"/>
        <w:sz w:val="18"/>
      </w:rPr>
      <w:instrText xml:space="preserve"> PAGE </w:instrText>
    </w:r>
    <w:r w:rsidR="001019DD">
      <w:rPr>
        <w:color w:val="666666"/>
        <w:sz w:val="18"/>
      </w:rPr>
      <w:fldChar w:fldCharType="separate"/>
    </w:r>
    <w:r w:rsidR="001019DD">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3A334F" w14:textId="77777777" w:rsidR="00F56618" w:rsidRDefault="00F56618">
      <w:pPr>
        <w:spacing w:after="0" w:line="240" w:lineRule="auto"/>
      </w:pPr>
      <w:r>
        <w:separator/>
      </w:r>
    </w:p>
  </w:footnote>
  <w:footnote w:type="continuationSeparator" w:id="0">
    <w:p w14:paraId="7B4C4D56" w14:textId="77777777" w:rsidR="00F56618" w:rsidRDefault="00F566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2088DF" w14:textId="2584E634" w:rsidR="00E86677" w:rsidRDefault="00000000">
    <w:pPr>
      <w:pStyle w:val="Header"/>
      <w:jc w:val="right"/>
    </w:pPr>
    <w:r>
      <w:rPr>
        <w:color w:val="666666"/>
        <w:sz w:val="17"/>
      </w:rPr>
      <w:t>KARA |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6161597">
    <w:abstractNumId w:val="8"/>
  </w:num>
  <w:num w:numId="2" w16cid:durableId="1282566798">
    <w:abstractNumId w:val="6"/>
  </w:num>
  <w:num w:numId="3" w16cid:durableId="1284195569">
    <w:abstractNumId w:val="5"/>
  </w:num>
  <w:num w:numId="4" w16cid:durableId="734815499">
    <w:abstractNumId w:val="4"/>
  </w:num>
  <w:num w:numId="5" w16cid:durableId="1960606109">
    <w:abstractNumId w:val="7"/>
  </w:num>
  <w:num w:numId="6" w16cid:durableId="1131632662">
    <w:abstractNumId w:val="3"/>
  </w:num>
  <w:num w:numId="7" w16cid:durableId="976255875">
    <w:abstractNumId w:val="2"/>
  </w:num>
  <w:num w:numId="8" w16cid:durableId="396392819">
    <w:abstractNumId w:val="1"/>
  </w:num>
  <w:num w:numId="9" w16cid:durableId="19622227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583"/>
    <w:rsid w:val="000D1CE6"/>
    <w:rsid w:val="001019DD"/>
    <w:rsid w:val="0015074B"/>
    <w:rsid w:val="0029639D"/>
    <w:rsid w:val="00326F90"/>
    <w:rsid w:val="00AA1D8D"/>
    <w:rsid w:val="00B47730"/>
    <w:rsid w:val="00C358BD"/>
    <w:rsid w:val="00CB0664"/>
    <w:rsid w:val="00E86677"/>
    <w:rsid w:val="00F566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47EE8"/>
  <w14:defaultImageDpi w14:val="300"/>
  <w15:docId w15:val="{5B2343CF-FC63-E843-8D70-8384A6F7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Determine Metric Weights</vt:lpstr>
    </vt:vector>
  </TitlesOfParts>
  <Manager/>
  <Company/>
  <LinksUpToDate>false</LinksUpToDate>
  <CharactersWithSpaces>9900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Metric Weights</dc:title>
  <dc:subject>Fall 2026 KARA State-by-State CPS Policy Comparison and Awards</dc:subject>
  <dc:creator>ASU Capstone Team 122</dc:creator>
  <cp:keywords>KARA, CPS, child welfare, state comparison, Fall 2026</cp:keywords>
  <dc:description>generated by python-docx</dc:description>
  <cp:lastModifiedBy>Yusra Zeeshan</cp:lastModifiedBy>
  <cp:revision>2</cp:revision>
  <dcterms:created xsi:type="dcterms:W3CDTF">2026-10-01T16:34:00Z</dcterms:created>
  <dcterms:modified xsi:type="dcterms:W3CDTF">2026-10-01T16:34:00Z</dcterms:modified>
  <cp:category/>
</cp:coreProperties>
</file>