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A3A9A9" w14:textId="77777777" w:rsidR="00844C82" w:rsidRDefault="00000000">
      <w:pPr>
        <w:pStyle w:val="Title"/>
      </w:pPr>
      <w:r>
        <w:t>Document Differences Between States</w:t>
      </w:r>
    </w:p>
    <w:p w14:paraId="60A7919D" w14:textId="77777777" w:rsidR="00844C82" w:rsidRDefault="00000000">
      <w:pPr>
        <w:pStyle w:val="Heading1"/>
      </w:pPr>
      <w:r>
        <w:t>User story</w:t>
      </w:r>
    </w:p>
    <w:p w14:paraId="178A0FD3" w14:textId="77777777" w:rsidR="00844C82" w:rsidRDefault="00000000">
      <w:r>
        <w:rPr>
          <w:i/>
        </w:rPr>
        <w:t>As a policy researcher, I want differences in CPS definitions and reporting practices documented so that the team can compare states fairly and explain when a comparison is limited.</w:t>
      </w:r>
    </w:p>
    <w:p w14:paraId="268DD8B0" w14:textId="77777777" w:rsidR="00844C82" w:rsidRDefault="00000000">
      <w:pPr>
        <w:pStyle w:val="Heading1"/>
      </w:pPr>
      <w:r>
        <w:t>Purpose and main conclusion</w:t>
      </w:r>
    </w:p>
    <w:p w14:paraId="2ABE92E8" w14:textId="77777777" w:rsidR="00844C82" w:rsidRDefault="00000000">
      <w:r>
        <w:t>This document completes the four tasks for the user story: reviewing state CPS definitions, comparing reporting practices, creating a state differences table, and documenting comparability concerns. The main conclusion is that a shared label does not guarantee a shared measure. Before any state value enters a calculation, the team must verify its definition, numerator, denominator, population, reporting period, geography, missingness, and source evidence.</w:t>
      </w:r>
    </w:p>
    <w:p w14:paraId="6C16A63F" w14:textId="77777777" w:rsidR="00844C82" w:rsidRDefault="00000000">
      <w:r>
        <w:t>For the Fall 2026 pilot, Minnesota and Arizona provide a useful contrast. Minnesota uses more than one child protection response path, while the reviewed Arizona public materials describe reports that meet response criteria as investigations. The third pilot state should be added using the same table after Allen Huang and Snigdha Sahai confirm the edge case.</w:t>
      </w:r>
    </w:p>
    <w:p w14:paraId="3BF4A22B" w14:textId="77777777" w:rsidR="00844C82" w:rsidRDefault="00000000">
      <w:pPr>
        <w:pStyle w:val="Heading1"/>
      </w:pPr>
      <w:r>
        <w:t>Task 1 Review State CPS Definitions</w:t>
      </w:r>
    </w:p>
    <w:p w14:paraId="32FE1906" w14:textId="77777777" w:rsidR="00844C82" w:rsidRDefault="00000000">
      <w:r>
        <w:t>The working definitions below give the dashboard a consistent comparison vocabulary. They do not replace a state's legal definition. Each state-specific definition must still be recorded in the comparability note.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3960"/>
        <w:gridCol w:w="4176"/>
      </w:tblGrid>
      <w:tr w:rsidR="00844C82" w14:paraId="3057B6C8" w14:textId="77777777">
        <w:trPr>
          <w:tblHeader/>
          <w:jc w:val="center"/>
        </w:trPr>
        <w:tc>
          <w:tcPr>
            <w:tcW w:w="1800" w:type="dxa"/>
            <w:shd w:val="clear" w:color="auto" w:fill="17365D"/>
            <w:tcMar>
              <w:top w:w="110" w:type="dxa"/>
              <w:left w:w="120" w:type="dxa"/>
              <w:bottom w:w="110" w:type="dxa"/>
              <w:right w:w="120" w:type="dxa"/>
            </w:tcMar>
            <w:vAlign w:val="center"/>
          </w:tcPr>
          <w:p w14:paraId="5912C702" w14:textId="77777777" w:rsidR="00844C82" w:rsidRDefault="00000000">
            <w:pPr>
              <w:spacing w:after="0"/>
              <w:jc w:val="center"/>
            </w:pPr>
            <w:r>
              <w:rPr>
                <w:b/>
                <w:color w:val="FFFFFF"/>
                <w:sz w:val="17"/>
              </w:rPr>
              <w:t>Term</w:t>
            </w:r>
          </w:p>
        </w:tc>
        <w:tc>
          <w:tcPr>
            <w:tcW w:w="3960" w:type="dxa"/>
            <w:shd w:val="clear" w:color="auto" w:fill="17365D"/>
            <w:tcMar>
              <w:top w:w="110" w:type="dxa"/>
              <w:left w:w="120" w:type="dxa"/>
              <w:bottom w:w="110" w:type="dxa"/>
              <w:right w:w="120" w:type="dxa"/>
            </w:tcMar>
            <w:vAlign w:val="center"/>
          </w:tcPr>
          <w:p w14:paraId="40696AAC" w14:textId="77777777" w:rsidR="00844C82" w:rsidRDefault="00000000">
            <w:pPr>
              <w:spacing w:after="0"/>
              <w:jc w:val="center"/>
            </w:pPr>
            <w:r>
              <w:rPr>
                <w:b/>
                <w:color w:val="FFFFFF"/>
                <w:sz w:val="17"/>
              </w:rPr>
              <w:t>Working comparison definition</w:t>
            </w:r>
          </w:p>
        </w:tc>
        <w:tc>
          <w:tcPr>
            <w:tcW w:w="4176" w:type="dxa"/>
            <w:shd w:val="clear" w:color="auto" w:fill="17365D"/>
            <w:tcMar>
              <w:top w:w="110" w:type="dxa"/>
              <w:left w:w="120" w:type="dxa"/>
              <w:bottom w:w="110" w:type="dxa"/>
              <w:right w:w="120" w:type="dxa"/>
            </w:tcMar>
            <w:vAlign w:val="center"/>
          </w:tcPr>
          <w:p w14:paraId="272E253F" w14:textId="77777777" w:rsidR="00844C82" w:rsidRDefault="00000000">
            <w:pPr>
              <w:spacing w:after="0"/>
              <w:jc w:val="center"/>
            </w:pPr>
            <w:r>
              <w:rPr>
                <w:b/>
                <w:color w:val="FFFFFF"/>
                <w:sz w:val="17"/>
              </w:rPr>
              <w:t>Why state variation matters</w:t>
            </w:r>
          </w:p>
        </w:tc>
      </w:tr>
      <w:tr w:rsidR="00844C82" w14:paraId="7344E131" w14:textId="77777777">
        <w:trPr>
          <w:jc w:val="center"/>
        </w:trPr>
        <w:tc>
          <w:tcPr>
            <w:tcW w:w="1800" w:type="dxa"/>
            <w:tcMar>
              <w:top w:w="105" w:type="dxa"/>
              <w:left w:w="120" w:type="dxa"/>
              <w:bottom w:w="105" w:type="dxa"/>
              <w:right w:w="120" w:type="dxa"/>
            </w:tcMar>
            <w:vAlign w:val="center"/>
          </w:tcPr>
          <w:p w14:paraId="300BE8C7" w14:textId="77777777" w:rsidR="00844C82" w:rsidRDefault="00000000">
            <w:pPr>
              <w:spacing w:after="0"/>
            </w:pPr>
            <w:r>
              <w:rPr>
                <w:b/>
                <w:sz w:val="17"/>
              </w:rPr>
              <w:t>Report</w:t>
            </w:r>
          </w:p>
        </w:tc>
        <w:tc>
          <w:tcPr>
            <w:tcW w:w="3960" w:type="dxa"/>
            <w:tcMar>
              <w:top w:w="105" w:type="dxa"/>
              <w:left w:w="120" w:type="dxa"/>
              <w:bottom w:w="105" w:type="dxa"/>
              <w:right w:w="120" w:type="dxa"/>
            </w:tcMar>
            <w:vAlign w:val="center"/>
          </w:tcPr>
          <w:p w14:paraId="53EDF721" w14:textId="77777777" w:rsidR="00844C82" w:rsidRDefault="00000000">
            <w:pPr>
              <w:spacing w:after="0"/>
            </w:pPr>
            <w:r>
              <w:rPr>
                <w:sz w:val="17"/>
              </w:rPr>
              <w:t>An allegation or concern received by a CPS intake or hotline channel about possible child maltreatment.</w:t>
            </w:r>
          </w:p>
        </w:tc>
        <w:tc>
          <w:tcPr>
            <w:tcW w:w="4176" w:type="dxa"/>
            <w:tcMar>
              <w:top w:w="105" w:type="dxa"/>
              <w:left w:w="120" w:type="dxa"/>
              <w:bottom w:w="105" w:type="dxa"/>
              <w:right w:w="120" w:type="dxa"/>
            </w:tcMar>
            <w:vAlign w:val="center"/>
          </w:tcPr>
          <w:p w14:paraId="6B2E88D9" w14:textId="77777777" w:rsidR="00844C82" w:rsidRDefault="00000000">
            <w:pPr>
              <w:spacing w:after="0"/>
            </w:pPr>
            <w:r>
              <w:rPr>
                <w:sz w:val="17"/>
              </w:rPr>
              <w:t>States differ in what meets the intake threshold, who has jurisdiction, and whether multiple allegations or children are counted as one report.</w:t>
            </w:r>
          </w:p>
        </w:tc>
      </w:tr>
      <w:tr w:rsidR="00844C82" w14:paraId="4EE63FD6" w14:textId="77777777">
        <w:trPr>
          <w:jc w:val="center"/>
        </w:trPr>
        <w:tc>
          <w:tcPr>
            <w:tcW w:w="1800" w:type="dxa"/>
            <w:shd w:val="clear" w:color="auto" w:fill="F2F6FA"/>
            <w:tcMar>
              <w:top w:w="105" w:type="dxa"/>
              <w:left w:w="120" w:type="dxa"/>
              <w:bottom w:w="105" w:type="dxa"/>
              <w:right w:w="120" w:type="dxa"/>
            </w:tcMar>
            <w:vAlign w:val="center"/>
          </w:tcPr>
          <w:p w14:paraId="34801873" w14:textId="77777777" w:rsidR="00844C82" w:rsidRDefault="00000000">
            <w:pPr>
              <w:spacing w:after="0"/>
            </w:pPr>
            <w:r>
              <w:rPr>
                <w:b/>
                <w:sz w:val="17"/>
              </w:rPr>
              <w:t>Screened in report</w:t>
            </w:r>
          </w:p>
        </w:tc>
        <w:tc>
          <w:tcPr>
            <w:tcW w:w="3960" w:type="dxa"/>
            <w:shd w:val="clear" w:color="auto" w:fill="F2F6FA"/>
            <w:tcMar>
              <w:top w:w="105" w:type="dxa"/>
              <w:left w:w="120" w:type="dxa"/>
              <w:bottom w:w="105" w:type="dxa"/>
              <w:right w:w="120" w:type="dxa"/>
            </w:tcMar>
            <w:vAlign w:val="center"/>
          </w:tcPr>
          <w:p w14:paraId="3136D32A" w14:textId="77777777" w:rsidR="00844C82" w:rsidRDefault="00000000">
            <w:pPr>
              <w:spacing w:after="0"/>
            </w:pPr>
            <w:r>
              <w:rPr>
                <w:sz w:val="17"/>
              </w:rPr>
              <w:t>A report accepted for a CPS response after intake screening.</w:t>
            </w:r>
          </w:p>
        </w:tc>
        <w:tc>
          <w:tcPr>
            <w:tcW w:w="4176" w:type="dxa"/>
            <w:shd w:val="clear" w:color="auto" w:fill="F2F6FA"/>
            <w:tcMar>
              <w:top w:w="105" w:type="dxa"/>
              <w:left w:w="120" w:type="dxa"/>
              <w:bottom w:w="105" w:type="dxa"/>
              <w:right w:w="120" w:type="dxa"/>
            </w:tcMar>
            <w:vAlign w:val="center"/>
          </w:tcPr>
          <w:p w14:paraId="1F4FAE81" w14:textId="77777777" w:rsidR="00844C82" w:rsidRDefault="00000000">
            <w:pPr>
              <w:spacing w:after="0"/>
            </w:pPr>
            <w:r>
              <w:rPr>
                <w:sz w:val="17"/>
              </w:rPr>
              <w:t>Screening rules and units of count can change the screened-in rate even when community conditions are similar.</w:t>
            </w:r>
          </w:p>
        </w:tc>
      </w:tr>
      <w:tr w:rsidR="00844C82" w14:paraId="5055E7FA" w14:textId="77777777">
        <w:trPr>
          <w:jc w:val="center"/>
        </w:trPr>
        <w:tc>
          <w:tcPr>
            <w:tcW w:w="1800" w:type="dxa"/>
            <w:tcMar>
              <w:top w:w="105" w:type="dxa"/>
              <w:left w:w="120" w:type="dxa"/>
              <w:bottom w:w="105" w:type="dxa"/>
              <w:right w:w="120" w:type="dxa"/>
            </w:tcMar>
            <w:vAlign w:val="center"/>
          </w:tcPr>
          <w:p w14:paraId="722BDEB0" w14:textId="77777777" w:rsidR="00844C82" w:rsidRDefault="00000000">
            <w:pPr>
              <w:spacing w:after="0"/>
            </w:pPr>
            <w:r>
              <w:rPr>
                <w:b/>
                <w:sz w:val="17"/>
              </w:rPr>
              <w:t>Family assessment or alternative response</w:t>
            </w:r>
          </w:p>
        </w:tc>
        <w:tc>
          <w:tcPr>
            <w:tcW w:w="3960" w:type="dxa"/>
            <w:tcMar>
              <w:top w:w="105" w:type="dxa"/>
              <w:left w:w="120" w:type="dxa"/>
              <w:bottom w:w="105" w:type="dxa"/>
              <w:right w:w="120" w:type="dxa"/>
            </w:tcMar>
            <w:vAlign w:val="center"/>
          </w:tcPr>
          <w:p w14:paraId="180B0000" w14:textId="77777777" w:rsidR="00844C82" w:rsidRDefault="00000000">
            <w:pPr>
              <w:spacing w:after="0"/>
            </w:pPr>
            <w:r>
              <w:rPr>
                <w:sz w:val="17"/>
              </w:rPr>
              <w:t>A response path focused on safety, risk, family strengths, needs, and services; a formal maltreatment finding may not be made.</w:t>
            </w:r>
          </w:p>
        </w:tc>
        <w:tc>
          <w:tcPr>
            <w:tcW w:w="4176" w:type="dxa"/>
            <w:tcMar>
              <w:top w:w="105" w:type="dxa"/>
              <w:left w:w="120" w:type="dxa"/>
              <w:bottom w:w="105" w:type="dxa"/>
              <w:right w:w="120" w:type="dxa"/>
            </w:tcMar>
            <w:vAlign w:val="center"/>
          </w:tcPr>
          <w:p w14:paraId="790BAF6D" w14:textId="77777777" w:rsidR="00844C82" w:rsidRDefault="00000000">
            <w:pPr>
              <w:spacing w:after="0"/>
            </w:pPr>
            <w:r>
              <w:rPr>
                <w:sz w:val="17"/>
              </w:rPr>
              <w:t>A state with a large alternative-response pathway may report fewer investigations or findings unless both pathways are displayed.</w:t>
            </w:r>
          </w:p>
        </w:tc>
      </w:tr>
      <w:tr w:rsidR="00844C82" w14:paraId="36589801" w14:textId="77777777">
        <w:trPr>
          <w:jc w:val="center"/>
        </w:trPr>
        <w:tc>
          <w:tcPr>
            <w:tcW w:w="1800" w:type="dxa"/>
            <w:shd w:val="clear" w:color="auto" w:fill="F2F6FA"/>
            <w:tcMar>
              <w:top w:w="105" w:type="dxa"/>
              <w:left w:w="120" w:type="dxa"/>
              <w:bottom w:w="105" w:type="dxa"/>
              <w:right w:w="120" w:type="dxa"/>
            </w:tcMar>
            <w:vAlign w:val="center"/>
          </w:tcPr>
          <w:p w14:paraId="0AB13392" w14:textId="77777777" w:rsidR="00844C82" w:rsidRDefault="00000000">
            <w:pPr>
              <w:spacing w:after="0"/>
            </w:pPr>
            <w:r>
              <w:rPr>
                <w:b/>
                <w:sz w:val="17"/>
              </w:rPr>
              <w:t>Investigation</w:t>
            </w:r>
          </w:p>
        </w:tc>
        <w:tc>
          <w:tcPr>
            <w:tcW w:w="3960" w:type="dxa"/>
            <w:shd w:val="clear" w:color="auto" w:fill="F2F6FA"/>
            <w:tcMar>
              <w:top w:w="105" w:type="dxa"/>
              <w:left w:w="120" w:type="dxa"/>
              <w:bottom w:w="105" w:type="dxa"/>
              <w:right w:w="120" w:type="dxa"/>
            </w:tcMar>
            <w:vAlign w:val="center"/>
          </w:tcPr>
          <w:p w14:paraId="4B142209" w14:textId="77777777" w:rsidR="00844C82" w:rsidRDefault="00000000">
            <w:pPr>
              <w:spacing w:after="0"/>
            </w:pPr>
            <w:r>
              <w:rPr>
                <w:sz w:val="17"/>
              </w:rPr>
              <w:t>A formal CPS response used to assess safety and determine whether maltreatment occurred under the state standard.</w:t>
            </w:r>
          </w:p>
        </w:tc>
        <w:tc>
          <w:tcPr>
            <w:tcW w:w="4176" w:type="dxa"/>
            <w:shd w:val="clear" w:color="auto" w:fill="F2F6FA"/>
            <w:tcMar>
              <w:top w:w="105" w:type="dxa"/>
              <w:left w:w="120" w:type="dxa"/>
              <w:bottom w:w="105" w:type="dxa"/>
              <w:right w:w="120" w:type="dxa"/>
            </w:tcMar>
            <w:vAlign w:val="center"/>
          </w:tcPr>
          <w:p w14:paraId="5E6A7D5F" w14:textId="77777777" w:rsidR="00844C82" w:rsidRDefault="00000000">
            <w:pPr>
              <w:spacing w:after="0"/>
            </w:pPr>
            <w:r>
              <w:rPr>
                <w:sz w:val="17"/>
              </w:rPr>
              <w:t>Investigation scope, time limits, interview requirements, and evidentiary standards differ.</w:t>
            </w:r>
          </w:p>
        </w:tc>
      </w:tr>
      <w:tr w:rsidR="00844C82" w14:paraId="26C64593" w14:textId="77777777">
        <w:trPr>
          <w:jc w:val="center"/>
        </w:trPr>
        <w:tc>
          <w:tcPr>
            <w:tcW w:w="1800" w:type="dxa"/>
            <w:tcMar>
              <w:top w:w="105" w:type="dxa"/>
              <w:left w:w="120" w:type="dxa"/>
              <w:bottom w:w="105" w:type="dxa"/>
              <w:right w:w="120" w:type="dxa"/>
            </w:tcMar>
            <w:vAlign w:val="center"/>
          </w:tcPr>
          <w:p w14:paraId="7FCC26D1" w14:textId="77777777" w:rsidR="00844C82" w:rsidRDefault="00000000">
            <w:pPr>
              <w:spacing w:after="0"/>
            </w:pPr>
            <w:r>
              <w:rPr>
                <w:b/>
                <w:sz w:val="17"/>
              </w:rPr>
              <w:t>Substantiation or equivalent finding</w:t>
            </w:r>
          </w:p>
        </w:tc>
        <w:tc>
          <w:tcPr>
            <w:tcW w:w="3960" w:type="dxa"/>
            <w:tcMar>
              <w:top w:w="105" w:type="dxa"/>
              <w:left w:w="120" w:type="dxa"/>
              <w:bottom w:w="105" w:type="dxa"/>
              <w:right w:w="120" w:type="dxa"/>
            </w:tcMar>
            <w:vAlign w:val="center"/>
          </w:tcPr>
          <w:p w14:paraId="55FA1291" w14:textId="77777777" w:rsidR="00844C82" w:rsidRDefault="00000000">
            <w:pPr>
              <w:spacing w:after="0"/>
            </w:pPr>
            <w:r>
              <w:rPr>
                <w:sz w:val="17"/>
              </w:rPr>
              <w:t>A completed investigation finding that the applicable state evidentiary and legal standard for maltreatment has been met.</w:t>
            </w:r>
          </w:p>
        </w:tc>
        <w:tc>
          <w:tcPr>
            <w:tcW w:w="4176" w:type="dxa"/>
            <w:tcMar>
              <w:top w:w="105" w:type="dxa"/>
              <w:left w:w="120" w:type="dxa"/>
              <w:bottom w:w="105" w:type="dxa"/>
              <w:right w:w="120" w:type="dxa"/>
            </w:tcMar>
            <w:vAlign w:val="center"/>
          </w:tcPr>
          <w:p w14:paraId="75A71B11" w14:textId="77777777" w:rsidR="00844C82" w:rsidRDefault="00000000">
            <w:pPr>
              <w:spacing w:after="0"/>
            </w:pPr>
            <w:r>
              <w:rPr>
                <w:sz w:val="17"/>
              </w:rPr>
              <w:t>States use terms such as substantiated, founded, or indicated and may use different standards of proof.</w:t>
            </w:r>
          </w:p>
        </w:tc>
      </w:tr>
      <w:tr w:rsidR="00844C82" w14:paraId="42D41F96" w14:textId="77777777">
        <w:trPr>
          <w:jc w:val="center"/>
        </w:trPr>
        <w:tc>
          <w:tcPr>
            <w:tcW w:w="1800" w:type="dxa"/>
            <w:shd w:val="clear" w:color="auto" w:fill="F2F6FA"/>
            <w:tcMar>
              <w:top w:w="105" w:type="dxa"/>
              <w:left w:w="120" w:type="dxa"/>
              <w:bottom w:w="105" w:type="dxa"/>
              <w:right w:w="120" w:type="dxa"/>
            </w:tcMar>
            <w:vAlign w:val="center"/>
          </w:tcPr>
          <w:p w14:paraId="1F67EF8C" w14:textId="77777777" w:rsidR="00844C82" w:rsidRDefault="00000000">
            <w:pPr>
              <w:spacing w:after="0"/>
            </w:pPr>
            <w:r>
              <w:rPr>
                <w:b/>
                <w:sz w:val="17"/>
              </w:rPr>
              <w:t>Removal</w:t>
            </w:r>
          </w:p>
        </w:tc>
        <w:tc>
          <w:tcPr>
            <w:tcW w:w="3960" w:type="dxa"/>
            <w:shd w:val="clear" w:color="auto" w:fill="F2F6FA"/>
            <w:tcMar>
              <w:top w:w="105" w:type="dxa"/>
              <w:left w:w="120" w:type="dxa"/>
              <w:bottom w:w="105" w:type="dxa"/>
              <w:right w:w="120" w:type="dxa"/>
            </w:tcMar>
            <w:vAlign w:val="center"/>
          </w:tcPr>
          <w:p w14:paraId="715D8AD9" w14:textId="77777777" w:rsidR="00844C82" w:rsidRDefault="00000000">
            <w:pPr>
              <w:spacing w:after="0"/>
            </w:pPr>
            <w:r>
              <w:rPr>
                <w:sz w:val="17"/>
              </w:rPr>
              <w:t>A child's separation from the home and placement into out-of-home care through emergency or court-authorized action.</w:t>
            </w:r>
          </w:p>
        </w:tc>
        <w:tc>
          <w:tcPr>
            <w:tcW w:w="4176" w:type="dxa"/>
            <w:shd w:val="clear" w:color="auto" w:fill="F2F6FA"/>
            <w:tcMar>
              <w:top w:w="105" w:type="dxa"/>
              <w:left w:w="120" w:type="dxa"/>
              <w:bottom w:w="105" w:type="dxa"/>
              <w:right w:w="120" w:type="dxa"/>
            </w:tcMar>
            <w:vAlign w:val="center"/>
          </w:tcPr>
          <w:p w14:paraId="2CA4A17E" w14:textId="77777777" w:rsidR="00844C82" w:rsidRDefault="00000000">
            <w:pPr>
              <w:spacing w:after="0"/>
            </w:pPr>
            <w:r>
              <w:rPr>
                <w:sz w:val="17"/>
              </w:rPr>
              <w:t>Some reports count removal events, some count unique children, and timing can be entry-date, point-in-time, or during-year.</w:t>
            </w:r>
          </w:p>
        </w:tc>
      </w:tr>
      <w:tr w:rsidR="00844C82" w14:paraId="06A4B4A2" w14:textId="77777777">
        <w:trPr>
          <w:jc w:val="center"/>
        </w:trPr>
        <w:tc>
          <w:tcPr>
            <w:tcW w:w="1800" w:type="dxa"/>
            <w:tcMar>
              <w:top w:w="105" w:type="dxa"/>
              <w:left w:w="120" w:type="dxa"/>
              <w:bottom w:w="105" w:type="dxa"/>
              <w:right w:w="120" w:type="dxa"/>
            </w:tcMar>
            <w:vAlign w:val="center"/>
          </w:tcPr>
          <w:p w14:paraId="5ECC9BE6" w14:textId="77777777" w:rsidR="00844C82" w:rsidRDefault="00000000">
            <w:pPr>
              <w:spacing w:after="0"/>
            </w:pPr>
            <w:r>
              <w:rPr>
                <w:b/>
                <w:sz w:val="17"/>
              </w:rPr>
              <w:t>Foster care population</w:t>
            </w:r>
          </w:p>
        </w:tc>
        <w:tc>
          <w:tcPr>
            <w:tcW w:w="3960" w:type="dxa"/>
            <w:tcMar>
              <w:top w:w="105" w:type="dxa"/>
              <w:left w:w="120" w:type="dxa"/>
              <w:bottom w:w="105" w:type="dxa"/>
              <w:right w:w="120" w:type="dxa"/>
            </w:tcMar>
            <w:vAlign w:val="center"/>
          </w:tcPr>
          <w:p w14:paraId="6A85C1A9" w14:textId="77777777" w:rsidR="00844C82" w:rsidRDefault="00000000">
            <w:pPr>
              <w:spacing w:after="0"/>
            </w:pPr>
            <w:r>
              <w:rPr>
                <w:sz w:val="17"/>
              </w:rPr>
              <w:t>Children in foster care for the stated reporting period and age range.</w:t>
            </w:r>
          </w:p>
        </w:tc>
        <w:tc>
          <w:tcPr>
            <w:tcW w:w="4176" w:type="dxa"/>
            <w:tcMar>
              <w:top w:w="105" w:type="dxa"/>
              <w:left w:w="120" w:type="dxa"/>
              <w:bottom w:w="105" w:type="dxa"/>
              <w:right w:w="120" w:type="dxa"/>
            </w:tcMar>
            <w:vAlign w:val="center"/>
          </w:tcPr>
          <w:p w14:paraId="28635AF2" w14:textId="77777777" w:rsidR="00844C82" w:rsidRDefault="00000000">
            <w:pPr>
              <w:spacing w:after="0"/>
            </w:pPr>
            <w:r>
              <w:rPr>
                <w:sz w:val="17"/>
              </w:rPr>
              <w:t>Point-in-time and served-during-year counts are not interchangeable; age cutoffs also matter.</w:t>
            </w:r>
          </w:p>
        </w:tc>
      </w:tr>
      <w:tr w:rsidR="00844C82" w14:paraId="6DAAE68E" w14:textId="77777777">
        <w:trPr>
          <w:jc w:val="center"/>
        </w:trPr>
        <w:tc>
          <w:tcPr>
            <w:tcW w:w="1800" w:type="dxa"/>
            <w:shd w:val="clear" w:color="auto" w:fill="F2F6FA"/>
            <w:tcMar>
              <w:top w:w="105" w:type="dxa"/>
              <w:left w:w="120" w:type="dxa"/>
              <w:bottom w:w="105" w:type="dxa"/>
              <w:right w:w="120" w:type="dxa"/>
            </w:tcMar>
            <w:vAlign w:val="center"/>
          </w:tcPr>
          <w:p w14:paraId="77B25F99" w14:textId="77777777" w:rsidR="00844C82" w:rsidRDefault="00000000">
            <w:pPr>
              <w:spacing w:after="0"/>
            </w:pPr>
            <w:r>
              <w:rPr>
                <w:b/>
                <w:sz w:val="17"/>
              </w:rPr>
              <w:t>Recurrence</w:t>
            </w:r>
          </w:p>
        </w:tc>
        <w:tc>
          <w:tcPr>
            <w:tcW w:w="3960" w:type="dxa"/>
            <w:shd w:val="clear" w:color="auto" w:fill="F2F6FA"/>
            <w:tcMar>
              <w:top w:w="105" w:type="dxa"/>
              <w:left w:w="120" w:type="dxa"/>
              <w:bottom w:w="105" w:type="dxa"/>
              <w:right w:w="120" w:type="dxa"/>
            </w:tcMar>
            <w:vAlign w:val="center"/>
          </w:tcPr>
          <w:p w14:paraId="110A6BFE" w14:textId="77777777" w:rsidR="00844C82" w:rsidRDefault="00000000">
            <w:pPr>
              <w:spacing w:after="0"/>
            </w:pPr>
            <w:r>
              <w:rPr>
                <w:sz w:val="17"/>
              </w:rPr>
              <w:t xml:space="preserve">A later report, finding, or safety event within a </w:t>
            </w:r>
            <w:r>
              <w:rPr>
                <w:sz w:val="17"/>
              </w:rPr>
              <w:lastRenderedPageBreak/>
              <w:t>defined follow-up period after an earlier CPS event.</w:t>
            </w:r>
          </w:p>
        </w:tc>
        <w:tc>
          <w:tcPr>
            <w:tcW w:w="4176" w:type="dxa"/>
            <w:shd w:val="clear" w:color="auto" w:fill="F2F6FA"/>
            <w:tcMar>
              <w:top w:w="105" w:type="dxa"/>
              <w:left w:w="120" w:type="dxa"/>
              <w:bottom w:w="105" w:type="dxa"/>
              <w:right w:w="120" w:type="dxa"/>
            </w:tcMar>
            <w:vAlign w:val="center"/>
          </w:tcPr>
          <w:p w14:paraId="57DDA90B" w14:textId="77777777" w:rsidR="00844C82" w:rsidRDefault="00000000">
            <w:pPr>
              <w:spacing w:after="0"/>
            </w:pPr>
            <w:r>
              <w:rPr>
                <w:sz w:val="17"/>
              </w:rPr>
              <w:lastRenderedPageBreak/>
              <w:t xml:space="preserve">The starting event, later event, follow-up window, and </w:t>
            </w:r>
            <w:r>
              <w:rPr>
                <w:sz w:val="17"/>
              </w:rPr>
              <w:lastRenderedPageBreak/>
              <w:t>response pathways included must match.</w:t>
            </w:r>
          </w:p>
        </w:tc>
      </w:tr>
    </w:tbl>
    <w:p w14:paraId="505BD470" w14:textId="77777777" w:rsidR="00844C82" w:rsidRDefault="00844C82">
      <w:pPr>
        <w:spacing w:after="20"/>
      </w:pPr>
    </w:p>
    <w:p w14:paraId="6DF1BA74" w14:textId="77777777" w:rsidR="00844C82" w:rsidRDefault="00000000">
      <w:pPr>
        <w:pStyle w:val="Heading2"/>
      </w:pPr>
      <w:r>
        <w:t>Minnesota definition notes</w:t>
      </w:r>
    </w:p>
    <w:p w14:paraId="6D8AF850" w14:textId="77777777" w:rsidR="00844C82" w:rsidRDefault="00000000">
      <w:pPr>
        <w:pStyle w:val="ListBullet"/>
        <w:spacing w:after="60"/>
      </w:pPr>
      <w:r>
        <w:t>Minnesota defines a report of maltreatment as an oral or written report alleging that a child is being or has been maltreated.</w:t>
      </w:r>
    </w:p>
    <w:p w14:paraId="0764FECA" w14:textId="77777777" w:rsidR="00844C82" w:rsidRDefault="00000000">
      <w:pPr>
        <w:pStyle w:val="ListBullet"/>
        <w:spacing w:after="60"/>
      </w:pPr>
      <w:r>
        <w:t>Minnesota may route accepted reports to Family Assessment, Family Investigation, or a noncaregiver human trafficking assessment. Family Assessment evaluates safety, future risk, strengths, and service needs but does not determine whether maltreatment occurred.</w:t>
      </w:r>
    </w:p>
    <w:p w14:paraId="488F4A3F" w14:textId="77777777" w:rsidR="00844C82" w:rsidRDefault="00000000">
      <w:pPr>
        <w:pStyle w:val="ListBullet"/>
        <w:spacing w:after="60"/>
      </w:pPr>
      <w:r>
        <w:t>Family Investigation is required for specified serious allegations and produces determinations about maltreatment and the need for child protective services.</w:t>
      </w:r>
    </w:p>
    <w:p w14:paraId="3C203BF0" w14:textId="77777777" w:rsidR="00844C82" w:rsidRDefault="00000000">
      <w:pPr>
        <w:pStyle w:val="ListBullet"/>
        <w:spacing w:after="60"/>
      </w:pPr>
      <w:r>
        <w:t>Minnesota law generally requires a family assessment or investigation to be concluded within 45 days of receipt of the report, subject to statutory conditions.</w:t>
      </w:r>
    </w:p>
    <w:p w14:paraId="3BA832FD" w14:textId="77777777" w:rsidR="00844C82" w:rsidRDefault="00000000">
      <w:pPr>
        <w:pStyle w:val="Heading2"/>
      </w:pPr>
      <w:r>
        <w:t>Arizona definition notes</w:t>
      </w:r>
    </w:p>
    <w:p w14:paraId="3EB8F4B8" w14:textId="77777777" w:rsidR="00844C82" w:rsidRDefault="00000000">
      <w:pPr>
        <w:pStyle w:val="ListBullet"/>
        <w:spacing w:after="60"/>
      </w:pPr>
      <w:r>
        <w:t>Arizona public guidance states that a report meeting the criteria for response is assigned to a DCS specialist for investigation.</w:t>
      </w:r>
    </w:p>
    <w:p w14:paraId="58910465" w14:textId="77777777" w:rsidR="00844C82" w:rsidRDefault="00000000">
      <w:pPr>
        <w:pStyle w:val="ListBullet"/>
        <w:spacing w:after="60"/>
      </w:pPr>
      <w:r>
        <w:t>After investigation, Arizona uses substantiated and unsubstantiated findings. Public guidance also describes a proposed substantiated finding and an appeal process before final placement on the central registry in applicable cases.</w:t>
      </w:r>
    </w:p>
    <w:p w14:paraId="4E627074" w14:textId="77777777" w:rsidR="00844C82" w:rsidRDefault="00000000">
      <w:pPr>
        <w:pStyle w:val="ListBullet"/>
        <w:spacing w:after="60"/>
      </w:pPr>
      <w:r>
        <w:t>Because Arizona law and rules have changed the evidentiary standard for substantiation, the framework must record the rule version and effective date rather than assuming a historical series is definitionally stable.</w:t>
      </w:r>
    </w:p>
    <w:p w14:paraId="31810335" w14:textId="77777777" w:rsidR="00844C82" w:rsidRDefault="00000000">
      <w:pPr>
        <w:pStyle w:val="Heading1"/>
      </w:pPr>
      <w:r>
        <w:t>Task 2 Compare State Reporting Practices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6"/>
        <w:gridCol w:w="2952"/>
        <w:gridCol w:w="2664"/>
        <w:gridCol w:w="2664"/>
      </w:tblGrid>
      <w:tr w:rsidR="00844C82" w14:paraId="2A71C560" w14:textId="77777777">
        <w:trPr>
          <w:tblHeader/>
          <w:jc w:val="center"/>
        </w:trPr>
        <w:tc>
          <w:tcPr>
            <w:tcW w:w="1656" w:type="dxa"/>
            <w:shd w:val="clear" w:color="auto" w:fill="17365D"/>
            <w:tcMar>
              <w:top w:w="110" w:type="dxa"/>
              <w:left w:w="120" w:type="dxa"/>
              <w:bottom w:w="110" w:type="dxa"/>
              <w:right w:w="120" w:type="dxa"/>
            </w:tcMar>
            <w:vAlign w:val="center"/>
          </w:tcPr>
          <w:p w14:paraId="3D64E5C4" w14:textId="77777777" w:rsidR="00844C82" w:rsidRDefault="00000000">
            <w:pPr>
              <w:spacing w:after="0"/>
              <w:jc w:val="center"/>
            </w:pPr>
            <w:r>
              <w:rPr>
                <w:b/>
                <w:color w:val="FFFFFF"/>
                <w:sz w:val="16"/>
              </w:rPr>
              <w:t>Practice area</w:t>
            </w:r>
          </w:p>
        </w:tc>
        <w:tc>
          <w:tcPr>
            <w:tcW w:w="2952" w:type="dxa"/>
            <w:shd w:val="clear" w:color="auto" w:fill="17365D"/>
            <w:tcMar>
              <w:top w:w="110" w:type="dxa"/>
              <w:left w:w="120" w:type="dxa"/>
              <w:bottom w:w="110" w:type="dxa"/>
              <w:right w:w="120" w:type="dxa"/>
            </w:tcMar>
            <w:vAlign w:val="center"/>
          </w:tcPr>
          <w:p w14:paraId="62CF5E0D" w14:textId="77777777" w:rsidR="00844C82" w:rsidRDefault="00000000">
            <w:pPr>
              <w:spacing w:after="0"/>
              <w:jc w:val="center"/>
            </w:pPr>
            <w:r>
              <w:rPr>
                <w:b/>
                <w:color w:val="FFFFFF"/>
                <w:sz w:val="16"/>
              </w:rPr>
              <w:t>Minnesota</w:t>
            </w:r>
          </w:p>
        </w:tc>
        <w:tc>
          <w:tcPr>
            <w:tcW w:w="2664" w:type="dxa"/>
            <w:shd w:val="clear" w:color="auto" w:fill="17365D"/>
            <w:tcMar>
              <w:top w:w="110" w:type="dxa"/>
              <w:left w:w="120" w:type="dxa"/>
              <w:bottom w:w="110" w:type="dxa"/>
              <w:right w:w="120" w:type="dxa"/>
            </w:tcMar>
            <w:vAlign w:val="center"/>
          </w:tcPr>
          <w:p w14:paraId="48580E5C" w14:textId="77777777" w:rsidR="00844C82" w:rsidRDefault="00000000">
            <w:pPr>
              <w:spacing w:after="0"/>
              <w:jc w:val="center"/>
            </w:pPr>
            <w:r>
              <w:rPr>
                <w:b/>
                <w:color w:val="FFFFFF"/>
                <w:sz w:val="16"/>
              </w:rPr>
              <w:t>Arizona</w:t>
            </w:r>
          </w:p>
        </w:tc>
        <w:tc>
          <w:tcPr>
            <w:tcW w:w="2664" w:type="dxa"/>
            <w:shd w:val="clear" w:color="auto" w:fill="17365D"/>
            <w:tcMar>
              <w:top w:w="110" w:type="dxa"/>
              <w:left w:w="120" w:type="dxa"/>
              <w:bottom w:w="110" w:type="dxa"/>
              <w:right w:w="120" w:type="dxa"/>
            </w:tcMar>
            <w:vAlign w:val="center"/>
          </w:tcPr>
          <w:p w14:paraId="752BC000" w14:textId="77777777" w:rsidR="00844C82" w:rsidRDefault="00000000">
            <w:pPr>
              <w:spacing w:after="0"/>
              <w:jc w:val="center"/>
            </w:pPr>
            <w:r>
              <w:rPr>
                <w:b/>
                <w:color w:val="FFFFFF"/>
                <w:sz w:val="16"/>
              </w:rPr>
              <w:t>Comparison effect</w:t>
            </w:r>
          </w:p>
        </w:tc>
      </w:tr>
      <w:tr w:rsidR="00844C82" w14:paraId="0CB91DB1" w14:textId="77777777">
        <w:trPr>
          <w:jc w:val="center"/>
        </w:trPr>
        <w:tc>
          <w:tcPr>
            <w:tcW w:w="1656" w:type="dxa"/>
            <w:tcMar>
              <w:top w:w="105" w:type="dxa"/>
              <w:left w:w="120" w:type="dxa"/>
              <w:bottom w:w="105" w:type="dxa"/>
              <w:right w:w="120" w:type="dxa"/>
            </w:tcMar>
            <w:vAlign w:val="center"/>
          </w:tcPr>
          <w:p w14:paraId="69ADB3A3" w14:textId="77777777" w:rsidR="00844C82" w:rsidRDefault="00000000">
            <w:pPr>
              <w:spacing w:after="0"/>
            </w:pPr>
            <w:r>
              <w:rPr>
                <w:b/>
                <w:sz w:val="16"/>
              </w:rPr>
              <w:t>Administration and geography</w:t>
            </w:r>
          </w:p>
        </w:tc>
        <w:tc>
          <w:tcPr>
            <w:tcW w:w="2952" w:type="dxa"/>
            <w:tcMar>
              <w:top w:w="105" w:type="dxa"/>
              <w:left w:w="120" w:type="dxa"/>
              <w:bottom w:w="105" w:type="dxa"/>
              <w:right w:w="120" w:type="dxa"/>
            </w:tcMar>
            <w:vAlign w:val="center"/>
          </w:tcPr>
          <w:p w14:paraId="47D16428" w14:textId="77777777" w:rsidR="00844C82" w:rsidRDefault="00000000">
            <w:pPr>
              <w:spacing w:after="0"/>
            </w:pPr>
            <w:r>
              <w:rPr>
                <w:sz w:val="16"/>
              </w:rPr>
              <w:t>County and Tribal agencies operate within state oversight; public dashboard supports county or Tribal agency views.</w:t>
            </w:r>
          </w:p>
        </w:tc>
        <w:tc>
          <w:tcPr>
            <w:tcW w:w="2664" w:type="dxa"/>
            <w:tcMar>
              <w:top w:w="105" w:type="dxa"/>
              <w:left w:w="120" w:type="dxa"/>
              <w:bottom w:w="105" w:type="dxa"/>
              <w:right w:w="120" w:type="dxa"/>
            </w:tcMar>
            <w:vAlign w:val="center"/>
          </w:tcPr>
          <w:p w14:paraId="46FC3A9B" w14:textId="77777777" w:rsidR="00844C82" w:rsidRDefault="00000000">
            <w:pPr>
              <w:spacing w:after="0"/>
            </w:pPr>
            <w:r>
              <w:rPr>
                <w:sz w:val="16"/>
              </w:rPr>
              <w:t>State DCS publishes statewide reports and performance measures.</w:t>
            </w:r>
          </w:p>
        </w:tc>
        <w:tc>
          <w:tcPr>
            <w:tcW w:w="2664" w:type="dxa"/>
            <w:tcMar>
              <w:top w:w="105" w:type="dxa"/>
              <w:left w:w="120" w:type="dxa"/>
              <w:bottom w:w="105" w:type="dxa"/>
              <w:right w:w="120" w:type="dxa"/>
            </w:tcMar>
            <w:vAlign w:val="center"/>
          </w:tcPr>
          <w:p w14:paraId="5561319C" w14:textId="77777777" w:rsidR="00844C82" w:rsidRDefault="00000000">
            <w:pPr>
              <w:spacing w:after="0"/>
            </w:pPr>
            <w:r>
              <w:rPr>
                <w:sz w:val="16"/>
              </w:rPr>
              <w:t>Do not compare county-level Minnesota results with statewide Arizona results.</w:t>
            </w:r>
          </w:p>
        </w:tc>
      </w:tr>
      <w:tr w:rsidR="00844C82" w14:paraId="1A737997" w14:textId="77777777">
        <w:trPr>
          <w:jc w:val="center"/>
        </w:trPr>
        <w:tc>
          <w:tcPr>
            <w:tcW w:w="1656" w:type="dxa"/>
            <w:shd w:val="clear" w:color="auto" w:fill="F2F6FA"/>
            <w:tcMar>
              <w:top w:w="105" w:type="dxa"/>
              <w:left w:w="120" w:type="dxa"/>
              <w:bottom w:w="105" w:type="dxa"/>
              <w:right w:w="120" w:type="dxa"/>
            </w:tcMar>
            <w:vAlign w:val="center"/>
          </w:tcPr>
          <w:p w14:paraId="34B4D7FB" w14:textId="77777777" w:rsidR="00844C82" w:rsidRDefault="00000000">
            <w:pPr>
              <w:spacing w:after="0"/>
            </w:pPr>
            <w:r>
              <w:rPr>
                <w:b/>
                <w:sz w:val="16"/>
              </w:rPr>
              <w:t>Intake and screening</w:t>
            </w:r>
          </w:p>
        </w:tc>
        <w:tc>
          <w:tcPr>
            <w:tcW w:w="2952" w:type="dxa"/>
            <w:shd w:val="clear" w:color="auto" w:fill="F2F6FA"/>
            <w:tcMar>
              <w:top w:w="105" w:type="dxa"/>
              <w:left w:w="120" w:type="dxa"/>
              <w:bottom w:w="105" w:type="dxa"/>
              <w:right w:w="120" w:type="dxa"/>
            </w:tcMar>
            <w:vAlign w:val="center"/>
          </w:tcPr>
          <w:p w14:paraId="18CE995E" w14:textId="77777777" w:rsidR="00844C82" w:rsidRDefault="00000000">
            <w:pPr>
              <w:spacing w:after="0"/>
            </w:pPr>
            <w:r>
              <w:rPr>
                <w:sz w:val="16"/>
              </w:rPr>
              <w:t>Reports are screened and assigned to the legally appropriate response path.</w:t>
            </w:r>
          </w:p>
        </w:tc>
        <w:tc>
          <w:tcPr>
            <w:tcW w:w="2664" w:type="dxa"/>
            <w:shd w:val="clear" w:color="auto" w:fill="F2F6FA"/>
            <w:tcMar>
              <w:top w:w="105" w:type="dxa"/>
              <w:left w:w="120" w:type="dxa"/>
              <w:bottom w:w="105" w:type="dxa"/>
              <w:right w:w="120" w:type="dxa"/>
            </w:tcMar>
            <w:vAlign w:val="center"/>
          </w:tcPr>
          <w:p w14:paraId="48DE752D" w14:textId="77777777" w:rsidR="00844C82" w:rsidRDefault="00000000">
            <w:pPr>
              <w:spacing w:after="0"/>
            </w:pPr>
            <w:r>
              <w:rPr>
                <w:sz w:val="16"/>
              </w:rPr>
              <w:t>Reports meeting response criteria are assigned for investigation.</w:t>
            </w:r>
          </w:p>
        </w:tc>
        <w:tc>
          <w:tcPr>
            <w:tcW w:w="2664" w:type="dxa"/>
            <w:shd w:val="clear" w:color="auto" w:fill="F2F6FA"/>
            <w:tcMar>
              <w:top w:w="105" w:type="dxa"/>
              <w:left w:w="120" w:type="dxa"/>
              <w:bottom w:w="105" w:type="dxa"/>
              <w:right w:w="120" w:type="dxa"/>
            </w:tcMar>
            <w:vAlign w:val="center"/>
          </w:tcPr>
          <w:p w14:paraId="19422ADF" w14:textId="77777777" w:rsidR="00844C82" w:rsidRDefault="00000000">
            <w:pPr>
              <w:spacing w:after="0"/>
            </w:pPr>
            <w:r>
              <w:rPr>
                <w:sz w:val="16"/>
              </w:rPr>
              <w:t>The screened-in denominator and response-path mix must be recorded.</w:t>
            </w:r>
          </w:p>
        </w:tc>
      </w:tr>
      <w:tr w:rsidR="00844C82" w14:paraId="24CFA263" w14:textId="77777777">
        <w:trPr>
          <w:jc w:val="center"/>
        </w:trPr>
        <w:tc>
          <w:tcPr>
            <w:tcW w:w="1656" w:type="dxa"/>
            <w:tcMar>
              <w:top w:w="105" w:type="dxa"/>
              <w:left w:w="120" w:type="dxa"/>
              <w:bottom w:w="105" w:type="dxa"/>
              <w:right w:w="120" w:type="dxa"/>
            </w:tcMar>
            <w:vAlign w:val="center"/>
          </w:tcPr>
          <w:p w14:paraId="5B0C61C2" w14:textId="77777777" w:rsidR="00844C82" w:rsidRDefault="00000000">
            <w:pPr>
              <w:spacing w:after="0"/>
            </w:pPr>
            <w:r>
              <w:rPr>
                <w:b/>
                <w:sz w:val="16"/>
              </w:rPr>
              <w:t>Response pathways</w:t>
            </w:r>
          </w:p>
        </w:tc>
        <w:tc>
          <w:tcPr>
            <w:tcW w:w="2952" w:type="dxa"/>
            <w:tcMar>
              <w:top w:w="105" w:type="dxa"/>
              <w:left w:w="120" w:type="dxa"/>
              <w:bottom w:w="105" w:type="dxa"/>
              <w:right w:w="120" w:type="dxa"/>
            </w:tcMar>
            <w:vAlign w:val="center"/>
          </w:tcPr>
          <w:p w14:paraId="050F2965" w14:textId="77777777" w:rsidR="00844C82" w:rsidRDefault="00000000">
            <w:pPr>
              <w:spacing w:after="0"/>
            </w:pPr>
            <w:r>
              <w:rPr>
                <w:sz w:val="16"/>
              </w:rPr>
              <w:t>Family Assessment and Family Investigation are distinct pathways; other specialized assessments also exist.</w:t>
            </w:r>
          </w:p>
        </w:tc>
        <w:tc>
          <w:tcPr>
            <w:tcW w:w="2664" w:type="dxa"/>
            <w:tcMar>
              <w:top w:w="105" w:type="dxa"/>
              <w:left w:w="120" w:type="dxa"/>
              <w:bottom w:w="105" w:type="dxa"/>
              <w:right w:w="120" w:type="dxa"/>
            </w:tcMar>
            <w:vAlign w:val="center"/>
          </w:tcPr>
          <w:p w14:paraId="31B3B9F8" w14:textId="77777777" w:rsidR="00844C82" w:rsidRDefault="00000000">
            <w:pPr>
              <w:spacing w:after="0"/>
            </w:pPr>
            <w:r>
              <w:rPr>
                <w:sz w:val="16"/>
              </w:rPr>
              <w:t>Reviewed public materials emphasize investigation. Any separate alternative-response program must be verified before coding.</w:t>
            </w:r>
          </w:p>
        </w:tc>
        <w:tc>
          <w:tcPr>
            <w:tcW w:w="2664" w:type="dxa"/>
            <w:tcMar>
              <w:top w:w="105" w:type="dxa"/>
              <w:left w:w="120" w:type="dxa"/>
              <w:bottom w:w="105" w:type="dxa"/>
              <w:right w:w="120" w:type="dxa"/>
            </w:tcMar>
            <w:vAlign w:val="center"/>
          </w:tcPr>
          <w:p w14:paraId="56F2345C" w14:textId="77777777" w:rsidR="00844C82" w:rsidRDefault="00000000">
            <w:pPr>
              <w:spacing w:after="0"/>
            </w:pPr>
            <w:r>
              <w:rPr>
                <w:sz w:val="16"/>
              </w:rPr>
              <w:t>Investigation counts alone may cover different shares of screened-in reports.</w:t>
            </w:r>
          </w:p>
        </w:tc>
      </w:tr>
      <w:tr w:rsidR="00844C82" w14:paraId="2BF5FE3D" w14:textId="77777777">
        <w:trPr>
          <w:jc w:val="center"/>
        </w:trPr>
        <w:tc>
          <w:tcPr>
            <w:tcW w:w="1656" w:type="dxa"/>
            <w:shd w:val="clear" w:color="auto" w:fill="F2F6FA"/>
            <w:tcMar>
              <w:top w:w="105" w:type="dxa"/>
              <w:left w:w="120" w:type="dxa"/>
              <w:bottom w:w="105" w:type="dxa"/>
              <w:right w:w="120" w:type="dxa"/>
            </w:tcMar>
            <w:vAlign w:val="center"/>
          </w:tcPr>
          <w:p w14:paraId="4C957832" w14:textId="77777777" w:rsidR="00844C82" w:rsidRDefault="00000000">
            <w:pPr>
              <w:spacing w:after="0"/>
            </w:pPr>
            <w:r>
              <w:rPr>
                <w:b/>
                <w:sz w:val="16"/>
              </w:rPr>
              <w:t>Findings</w:t>
            </w:r>
          </w:p>
        </w:tc>
        <w:tc>
          <w:tcPr>
            <w:tcW w:w="2952" w:type="dxa"/>
            <w:shd w:val="clear" w:color="auto" w:fill="F2F6FA"/>
            <w:tcMar>
              <w:top w:w="105" w:type="dxa"/>
              <w:left w:w="120" w:type="dxa"/>
              <w:bottom w:w="105" w:type="dxa"/>
              <w:right w:w="120" w:type="dxa"/>
            </w:tcMar>
            <w:vAlign w:val="center"/>
          </w:tcPr>
          <w:p w14:paraId="1D30F3E7" w14:textId="77777777" w:rsidR="00844C82" w:rsidRDefault="00000000">
            <w:pPr>
              <w:spacing w:after="0"/>
            </w:pPr>
            <w:r>
              <w:rPr>
                <w:sz w:val="16"/>
              </w:rPr>
              <w:t>Family Assessment does not make a maltreatment determination; Family Investigation does.</w:t>
            </w:r>
          </w:p>
        </w:tc>
        <w:tc>
          <w:tcPr>
            <w:tcW w:w="2664" w:type="dxa"/>
            <w:shd w:val="clear" w:color="auto" w:fill="F2F6FA"/>
            <w:tcMar>
              <w:top w:w="105" w:type="dxa"/>
              <w:left w:w="120" w:type="dxa"/>
              <w:bottom w:w="105" w:type="dxa"/>
              <w:right w:w="120" w:type="dxa"/>
            </w:tcMar>
            <w:vAlign w:val="center"/>
          </w:tcPr>
          <w:p w14:paraId="7A09A14F" w14:textId="77777777" w:rsidR="00844C82" w:rsidRDefault="00000000">
            <w:pPr>
              <w:spacing w:after="0"/>
            </w:pPr>
            <w:r>
              <w:rPr>
                <w:sz w:val="16"/>
              </w:rPr>
              <w:t>Investigations end in substantiated or unsubstantiated findings, subject to applicable review and appeal.</w:t>
            </w:r>
          </w:p>
        </w:tc>
        <w:tc>
          <w:tcPr>
            <w:tcW w:w="2664" w:type="dxa"/>
            <w:shd w:val="clear" w:color="auto" w:fill="F2F6FA"/>
            <w:tcMar>
              <w:top w:w="105" w:type="dxa"/>
              <w:left w:w="120" w:type="dxa"/>
              <w:bottom w:w="105" w:type="dxa"/>
              <w:right w:w="120" w:type="dxa"/>
            </w:tcMar>
            <w:vAlign w:val="center"/>
          </w:tcPr>
          <w:p w14:paraId="5E7E3CF9" w14:textId="77777777" w:rsidR="00844C82" w:rsidRDefault="00000000">
            <w:pPr>
              <w:spacing w:after="0"/>
            </w:pPr>
            <w:r>
              <w:rPr>
                <w:sz w:val="16"/>
              </w:rPr>
              <w:t>A substantiation rate needs the same eligible case population in both states.</w:t>
            </w:r>
          </w:p>
        </w:tc>
      </w:tr>
      <w:tr w:rsidR="00844C82" w14:paraId="5EF07D72" w14:textId="77777777">
        <w:trPr>
          <w:jc w:val="center"/>
        </w:trPr>
        <w:tc>
          <w:tcPr>
            <w:tcW w:w="1656" w:type="dxa"/>
            <w:tcMar>
              <w:top w:w="105" w:type="dxa"/>
              <w:left w:w="120" w:type="dxa"/>
              <w:bottom w:w="105" w:type="dxa"/>
              <w:right w:w="120" w:type="dxa"/>
            </w:tcMar>
            <w:vAlign w:val="center"/>
          </w:tcPr>
          <w:p w14:paraId="17274593" w14:textId="77777777" w:rsidR="00844C82" w:rsidRDefault="00000000">
            <w:pPr>
              <w:spacing w:after="0"/>
            </w:pPr>
            <w:r>
              <w:rPr>
                <w:b/>
                <w:sz w:val="16"/>
              </w:rPr>
              <w:t>Public reporting cadence</w:t>
            </w:r>
          </w:p>
        </w:tc>
        <w:tc>
          <w:tcPr>
            <w:tcW w:w="2952" w:type="dxa"/>
            <w:tcMar>
              <w:top w:w="105" w:type="dxa"/>
              <w:left w:w="120" w:type="dxa"/>
              <w:bottom w:w="105" w:type="dxa"/>
              <w:right w:w="120" w:type="dxa"/>
            </w:tcMar>
            <w:vAlign w:val="center"/>
          </w:tcPr>
          <w:p w14:paraId="58A4E2F4" w14:textId="77777777" w:rsidR="00844C82" w:rsidRDefault="00000000">
            <w:pPr>
              <w:spacing w:after="0"/>
            </w:pPr>
            <w:r>
              <w:rPr>
                <w:sz w:val="16"/>
              </w:rPr>
              <w:t xml:space="preserve">The child welfare dashboard is scheduled for monthly refresh and values may change with agency data </w:t>
            </w:r>
            <w:r>
              <w:rPr>
                <w:sz w:val="16"/>
              </w:rPr>
              <w:lastRenderedPageBreak/>
              <w:t>entry and updates.</w:t>
            </w:r>
          </w:p>
        </w:tc>
        <w:tc>
          <w:tcPr>
            <w:tcW w:w="2664" w:type="dxa"/>
            <w:tcMar>
              <w:top w:w="105" w:type="dxa"/>
              <w:left w:w="120" w:type="dxa"/>
              <w:bottom w:w="105" w:type="dxa"/>
              <w:right w:w="120" w:type="dxa"/>
            </w:tcMar>
            <w:vAlign w:val="center"/>
          </w:tcPr>
          <w:p w14:paraId="48A3A094" w14:textId="77777777" w:rsidR="00844C82" w:rsidRDefault="00000000">
            <w:pPr>
              <w:spacing w:after="0"/>
            </w:pPr>
            <w:r>
              <w:rPr>
                <w:sz w:val="16"/>
              </w:rPr>
              <w:lastRenderedPageBreak/>
              <w:t>DCS describes consolidated monthly and semiannual reporting.</w:t>
            </w:r>
          </w:p>
        </w:tc>
        <w:tc>
          <w:tcPr>
            <w:tcW w:w="2664" w:type="dxa"/>
            <w:tcMar>
              <w:top w:w="105" w:type="dxa"/>
              <w:left w:w="120" w:type="dxa"/>
              <w:bottom w:w="105" w:type="dxa"/>
              <w:right w:w="120" w:type="dxa"/>
            </w:tcMar>
            <w:vAlign w:val="center"/>
          </w:tcPr>
          <w:p w14:paraId="485423DC" w14:textId="77777777" w:rsidR="00844C82" w:rsidRDefault="00000000">
            <w:pPr>
              <w:spacing w:after="0"/>
            </w:pPr>
            <w:r>
              <w:rPr>
                <w:sz w:val="16"/>
              </w:rPr>
              <w:t>Record publication date, reporting period, and whether the value was later revised.</w:t>
            </w:r>
          </w:p>
        </w:tc>
      </w:tr>
      <w:tr w:rsidR="00844C82" w14:paraId="29B24EA9" w14:textId="77777777">
        <w:trPr>
          <w:jc w:val="center"/>
        </w:trPr>
        <w:tc>
          <w:tcPr>
            <w:tcW w:w="1656" w:type="dxa"/>
            <w:shd w:val="clear" w:color="auto" w:fill="F2F6FA"/>
            <w:tcMar>
              <w:top w:w="105" w:type="dxa"/>
              <w:left w:w="120" w:type="dxa"/>
              <w:bottom w:w="105" w:type="dxa"/>
              <w:right w:w="120" w:type="dxa"/>
            </w:tcMar>
            <w:vAlign w:val="center"/>
          </w:tcPr>
          <w:p w14:paraId="4B09660A" w14:textId="77777777" w:rsidR="00844C82" w:rsidRDefault="00000000">
            <w:pPr>
              <w:spacing w:after="0"/>
            </w:pPr>
            <w:r>
              <w:rPr>
                <w:b/>
                <w:sz w:val="16"/>
              </w:rPr>
              <w:t>Public measures</w:t>
            </w:r>
          </w:p>
        </w:tc>
        <w:tc>
          <w:tcPr>
            <w:tcW w:w="2952" w:type="dxa"/>
            <w:shd w:val="clear" w:color="auto" w:fill="F2F6FA"/>
            <w:tcMar>
              <w:top w:w="105" w:type="dxa"/>
              <w:left w:w="120" w:type="dxa"/>
              <w:bottom w:w="105" w:type="dxa"/>
              <w:right w:w="120" w:type="dxa"/>
            </w:tcMar>
            <w:vAlign w:val="center"/>
          </w:tcPr>
          <w:p w14:paraId="429C6F7D" w14:textId="77777777" w:rsidR="00844C82" w:rsidRDefault="00000000">
            <w:pPr>
              <w:spacing w:after="0"/>
            </w:pPr>
            <w:r>
              <w:rPr>
                <w:sz w:val="16"/>
              </w:rPr>
              <w:t>Dashboard includes state and federal measures, agency details, trends, numerators, denominators, and performance standards.</w:t>
            </w:r>
          </w:p>
        </w:tc>
        <w:tc>
          <w:tcPr>
            <w:tcW w:w="2664" w:type="dxa"/>
            <w:shd w:val="clear" w:color="auto" w:fill="F2F6FA"/>
            <w:tcMar>
              <w:top w:w="105" w:type="dxa"/>
              <w:left w:w="120" w:type="dxa"/>
              <w:bottom w:w="105" w:type="dxa"/>
              <w:right w:w="120" w:type="dxa"/>
            </w:tcMar>
            <w:vAlign w:val="center"/>
          </w:tcPr>
          <w:p w14:paraId="066DF0CB" w14:textId="77777777" w:rsidR="00844C82" w:rsidRDefault="00000000">
            <w:pPr>
              <w:spacing w:after="0"/>
            </w:pPr>
            <w:r>
              <w:rPr>
                <w:sz w:val="16"/>
              </w:rPr>
              <w:t>Reports include hotline reports, investigations, substantiations, children in care, case management, permanency, and expenditures.</w:t>
            </w:r>
          </w:p>
        </w:tc>
        <w:tc>
          <w:tcPr>
            <w:tcW w:w="2664" w:type="dxa"/>
            <w:shd w:val="clear" w:color="auto" w:fill="F2F6FA"/>
            <w:tcMar>
              <w:top w:w="105" w:type="dxa"/>
              <w:left w:w="120" w:type="dxa"/>
              <w:bottom w:w="105" w:type="dxa"/>
              <w:right w:w="120" w:type="dxa"/>
            </w:tcMar>
            <w:vAlign w:val="center"/>
          </w:tcPr>
          <w:p w14:paraId="42BB622E" w14:textId="77777777" w:rsidR="00844C82" w:rsidRDefault="00000000">
            <w:pPr>
              <w:spacing w:after="0"/>
            </w:pPr>
            <w:r>
              <w:rPr>
                <w:sz w:val="16"/>
              </w:rPr>
              <w:t>Similar topic areas may still use different formulas and time bases.</w:t>
            </w:r>
          </w:p>
        </w:tc>
      </w:tr>
      <w:tr w:rsidR="00844C82" w14:paraId="189AFBE4" w14:textId="77777777">
        <w:trPr>
          <w:jc w:val="center"/>
        </w:trPr>
        <w:tc>
          <w:tcPr>
            <w:tcW w:w="1656" w:type="dxa"/>
            <w:tcMar>
              <w:top w:w="105" w:type="dxa"/>
              <w:left w:w="120" w:type="dxa"/>
              <w:bottom w:w="105" w:type="dxa"/>
              <w:right w:w="120" w:type="dxa"/>
            </w:tcMar>
            <w:vAlign w:val="center"/>
          </w:tcPr>
          <w:p w14:paraId="38807BF7" w14:textId="77777777" w:rsidR="00844C82" w:rsidRDefault="00000000">
            <w:pPr>
              <w:spacing w:after="0"/>
            </w:pPr>
            <w:r>
              <w:rPr>
                <w:b/>
                <w:sz w:val="16"/>
              </w:rPr>
              <w:t>Disaggregation</w:t>
            </w:r>
          </w:p>
        </w:tc>
        <w:tc>
          <w:tcPr>
            <w:tcW w:w="2952" w:type="dxa"/>
            <w:tcMar>
              <w:top w:w="105" w:type="dxa"/>
              <w:left w:w="120" w:type="dxa"/>
              <w:bottom w:w="105" w:type="dxa"/>
              <w:right w:w="120" w:type="dxa"/>
            </w:tcMar>
            <w:vAlign w:val="center"/>
          </w:tcPr>
          <w:p w14:paraId="34209304" w14:textId="77777777" w:rsidR="00844C82" w:rsidRDefault="00000000">
            <w:pPr>
              <w:spacing w:after="0"/>
            </w:pPr>
            <w:r>
              <w:rPr>
                <w:sz w:val="16"/>
              </w:rPr>
              <w:t>County or Tribal agency filters are supported; racial, ethnic, and age views are being expanded.</w:t>
            </w:r>
          </w:p>
        </w:tc>
        <w:tc>
          <w:tcPr>
            <w:tcW w:w="2664" w:type="dxa"/>
            <w:tcMar>
              <w:top w:w="105" w:type="dxa"/>
              <w:left w:w="120" w:type="dxa"/>
              <w:bottom w:w="105" w:type="dxa"/>
              <w:right w:w="120" w:type="dxa"/>
            </w:tcMar>
            <w:vAlign w:val="center"/>
          </w:tcPr>
          <w:p w14:paraId="60B4C396" w14:textId="77777777" w:rsidR="00844C82" w:rsidRDefault="00000000">
            <w:pPr>
              <w:spacing w:after="0"/>
            </w:pPr>
            <w:r>
              <w:rPr>
                <w:sz w:val="16"/>
              </w:rPr>
              <w:t>Available disaggregation varies by report and table.</w:t>
            </w:r>
          </w:p>
        </w:tc>
        <w:tc>
          <w:tcPr>
            <w:tcW w:w="2664" w:type="dxa"/>
            <w:tcMar>
              <w:top w:w="105" w:type="dxa"/>
              <w:left w:w="120" w:type="dxa"/>
              <w:bottom w:w="105" w:type="dxa"/>
              <w:right w:w="120" w:type="dxa"/>
            </w:tcMar>
            <w:vAlign w:val="center"/>
          </w:tcPr>
          <w:p w14:paraId="11C0481B" w14:textId="77777777" w:rsidR="00844C82" w:rsidRDefault="00000000">
            <w:pPr>
              <w:spacing w:after="0"/>
            </w:pPr>
            <w:r>
              <w:rPr>
                <w:sz w:val="16"/>
              </w:rPr>
              <w:t>Absence of a public subgroup value is a data-availability issue, not a zero.</w:t>
            </w:r>
          </w:p>
        </w:tc>
      </w:tr>
      <w:tr w:rsidR="00844C82" w14:paraId="69186ECD" w14:textId="77777777">
        <w:trPr>
          <w:jc w:val="center"/>
        </w:trPr>
        <w:tc>
          <w:tcPr>
            <w:tcW w:w="1656" w:type="dxa"/>
            <w:shd w:val="clear" w:color="auto" w:fill="F2F6FA"/>
            <w:tcMar>
              <w:top w:w="105" w:type="dxa"/>
              <w:left w:w="120" w:type="dxa"/>
              <w:bottom w:w="105" w:type="dxa"/>
              <w:right w:w="120" w:type="dxa"/>
            </w:tcMar>
            <w:vAlign w:val="center"/>
          </w:tcPr>
          <w:p w14:paraId="0CBE29A1" w14:textId="77777777" w:rsidR="00844C82" w:rsidRDefault="00000000">
            <w:pPr>
              <w:spacing w:after="0"/>
            </w:pPr>
            <w:r>
              <w:rPr>
                <w:b/>
                <w:sz w:val="16"/>
              </w:rPr>
              <w:t>Version control</w:t>
            </w:r>
          </w:p>
        </w:tc>
        <w:tc>
          <w:tcPr>
            <w:tcW w:w="2952" w:type="dxa"/>
            <w:shd w:val="clear" w:color="auto" w:fill="F2F6FA"/>
            <w:tcMar>
              <w:top w:w="105" w:type="dxa"/>
              <w:left w:w="120" w:type="dxa"/>
              <w:bottom w:w="105" w:type="dxa"/>
              <w:right w:w="120" w:type="dxa"/>
            </w:tcMar>
            <w:vAlign w:val="center"/>
          </w:tcPr>
          <w:p w14:paraId="764FCA1F" w14:textId="77777777" w:rsidR="00844C82" w:rsidRDefault="00000000">
            <w:pPr>
              <w:spacing w:after="0"/>
            </w:pPr>
            <w:r>
              <w:rPr>
                <w:sz w:val="16"/>
              </w:rPr>
              <w:t>Dashboard points can change after refreshes.</w:t>
            </w:r>
          </w:p>
        </w:tc>
        <w:tc>
          <w:tcPr>
            <w:tcW w:w="2664" w:type="dxa"/>
            <w:shd w:val="clear" w:color="auto" w:fill="F2F6FA"/>
            <w:tcMar>
              <w:top w:w="105" w:type="dxa"/>
              <w:left w:w="120" w:type="dxa"/>
              <w:bottom w:w="105" w:type="dxa"/>
              <w:right w:w="120" w:type="dxa"/>
            </w:tcMar>
            <w:vAlign w:val="center"/>
          </w:tcPr>
          <w:p w14:paraId="6E09EFC9" w14:textId="77777777" w:rsidR="00844C82" w:rsidRDefault="00000000">
            <w:pPr>
              <w:spacing w:after="0"/>
            </w:pPr>
            <w:r>
              <w:rPr>
                <w:sz w:val="16"/>
              </w:rPr>
              <w:t>Rules and findings procedures can change over time.</w:t>
            </w:r>
          </w:p>
        </w:tc>
        <w:tc>
          <w:tcPr>
            <w:tcW w:w="2664" w:type="dxa"/>
            <w:shd w:val="clear" w:color="auto" w:fill="F2F6FA"/>
            <w:tcMar>
              <w:top w:w="105" w:type="dxa"/>
              <w:left w:w="120" w:type="dxa"/>
              <w:bottom w:w="105" w:type="dxa"/>
              <w:right w:w="120" w:type="dxa"/>
            </w:tcMar>
            <w:vAlign w:val="center"/>
          </w:tcPr>
          <w:p w14:paraId="0E40DAD9" w14:textId="77777777" w:rsidR="00844C82" w:rsidRDefault="00000000">
            <w:pPr>
              <w:spacing w:after="0"/>
            </w:pPr>
            <w:r>
              <w:rPr>
                <w:sz w:val="16"/>
              </w:rPr>
              <w:t>Store source date, extraction date, framework version, and definition-change flag.</w:t>
            </w:r>
          </w:p>
        </w:tc>
      </w:tr>
    </w:tbl>
    <w:p w14:paraId="695FA29C" w14:textId="77777777" w:rsidR="00844C82" w:rsidRDefault="00844C82">
      <w:pPr>
        <w:spacing w:after="20"/>
      </w:pPr>
    </w:p>
    <w:p w14:paraId="14EE2958" w14:textId="77777777" w:rsidR="00844C82" w:rsidRDefault="00000000">
      <w:pPr>
        <w:pStyle w:val="Heading1"/>
      </w:pPr>
      <w:r>
        <w:t>Task 3 Create State Differences Table</w:t>
      </w:r>
    </w:p>
    <w:p w14:paraId="0FB4D350" w14:textId="77777777" w:rsidR="00844C82" w:rsidRDefault="00000000">
      <w:r>
        <w:t>This is the working table the team should complete for every pilot state and metric. The first two state columns summarize confirmed public information. The third-state column remains intentionally unfilled until the sponsor selects the edge case.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3240"/>
        <w:gridCol w:w="3240"/>
        <w:gridCol w:w="1440"/>
      </w:tblGrid>
      <w:tr w:rsidR="00844C82" w14:paraId="5C5523FA" w14:textId="77777777">
        <w:trPr>
          <w:tblHeader/>
          <w:jc w:val="center"/>
        </w:trPr>
        <w:tc>
          <w:tcPr>
            <w:tcW w:w="2232" w:type="dxa"/>
            <w:shd w:val="clear" w:color="auto" w:fill="17365D"/>
            <w:tcMar>
              <w:top w:w="110" w:type="dxa"/>
              <w:left w:w="120" w:type="dxa"/>
              <w:bottom w:w="110" w:type="dxa"/>
              <w:right w:w="120" w:type="dxa"/>
            </w:tcMar>
            <w:vAlign w:val="center"/>
          </w:tcPr>
          <w:p w14:paraId="271B5C56" w14:textId="77777777" w:rsidR="00844C82" w:rsidRDefault="00000000">
            <w:pPr>
              <w:spacing w:after="0"/>
              <w:jc w:val="center"/>
            </w:pPr>
            <w:r>
              <w:rPr>
                <w:b/>
                <w:color w:val="FFFFFF"/>
                <w:sz w:val="16"/>
              </w:rPr>
              <w:t>Difference</w:t>
            </w:r>
          </w:p>
        </w:tc>
        <w:tc>
          <w:tcPr>
            <w:tcW w:w="3240" w:type="dxa"/>
            <w:shd w:val="clear" w:color="auto" w:fill="17365D"/>
            <w:tcMar>
              <w:top w:w="110" w:type="dxa"/>
              <w:left w:w="120" w:type="dxa"/>
              <w:bottom w:w="110" w:type="dxa"/>
              <w:right w:w="120" w:type="dxa"/>
            </w:tcMar>
            <w:vAlign w:val="center"/>
          </w:tcPr>
          <w:p w14:paraId="5FB21287" w14:textId="77777777" w:rsidR="00844C82" w:rsidRDefault="00000000">
            <w:pPr>
              <w:spacing w:after="0"/>
              <w:jc w:val="center"/>
            </w:pPr>
            <w:r>
              <w:rPr>
                <w:b/>
                <w:color w:val="FFFFFF"/>
                <w:sz w:val="16"/>
              </w:rPr>
              <w:t>Minnesota</w:t>
            </w:r>
          </w:p>
        </w:tc>
        <w:tc>
          <w:tcPr>
            <w:tcW w:w="3240" w:type="dxa"/>
            <w:shd w:val="clear" w:color="auto" w:fill="17365D"/>
            <w:tcMar>
              <w:top w:w="110" w:type="dxa"/>
              <w:left w:w="120" w:type="dxa"/>
              <w:bottom w:w="110" w:type="dxa"/>
              <w:right w:w="120" w:type="dxa"/>
            </w:tcMar>
            <w:vAlign w:val="center"/>
          </w:tcPr>
          <w:p w14:paraId="4D7DA33A" w14:textId="77777777" w:rsidR="00844C82" w:rsidRDefault="00000000">
            <w:pPr>
              <w:spacing w:after="0"/>
              <w:jc w:val="center"/>
            </w:pPr>
            <w:r>
              <w:rPr>
                <w:b/>
                <w:color w:val="FFFFFF"/>
                <w:sz w:val="16"/>
              </w:rPr>
              <w:t>Arizona</w:t>
            </w:r>
          </w:p>
        </w:tc>
        <w:tc>
          <w:tcPr>
            <w:tcW w:w="1440" w:type="dxa"/>
            <w:shd w:val="clear" w:color="auto" w:fill="17365D"/>
            <w:tcMar>
              <w:top w:w="110" w:type="dxa"/>
              <w:left w:w="120" w:type="dxa"/>
              <w:bottom w:w="110" w:type="dxa"/>
              <w:right w:w="120" w:type="dxa"/>
            </w:tcMar>
            <w:vAlign w:val="center"/>
          </w:tcPr>
          <w:p w14:paraId="67EBCE45" w14:textId="77777777" w:rsidR="00844C82" w:rsidRDefault="00000000">
            <w:pPr>
              <w:spacing w:after="0"/>
              <w:jc w:val="center"/>
            </w:pPr>
            <w:r>
              <w:rPr>
                <w:b/>
                <w:color w:val="FFFFFF"/>
                <w:sz w:val="16"/>
              </w:rPr>
              <w:t>Third pilot state</w:t>
            </w:r>
          </w:p>
        </w:tc>
      </w:tr>
      <w:tr w:rsidR="00844C82" w14:paraId="1DD3217D" w14:textId="77777777">
        <w:trPr>
          <w:jc w:val="center"/>
        </w:trPr>
        <w:tc>
          <w:tcPr>
            <w:tcW w:w="2232" w:type="dxa"/>
            <w:tcMar>
              <w:top w:w="105" w:type="dxa"/>
              <w:left w:w="120" w:type="dxa"/>
              <w:bottom w:w="105" w:type="dxa"/>
              <w:right w:w="120" w:type="dxa"/>
            </w:tcMar>
            <w:vAlign w:val="center"/>
          </w:tcPr>
          <w:p w14:paraId="495211C6" w14:textId="77777777" w:rsidR="00844C82" w:rsidRDefault="00000000">
            <w:pPr>
              <w:spacing w:after="0"/>
            </w:pPr>
            <w:r>
              <w:rPr>
                <w:b/>
                <w:sz w:val="16"/>
              </w:rPr>
              <w:t>Primary CPS response model</w:t>
            </w:r>
          </w:p>
        </w:tc>
        <w:tc>
          <w:tcPr>
            <w:tcW w:w="3240" w:type="dxa"/>
            <w:tcMar>
              <w:top w:w="105" w:type="dxa"/>
              <w:left w:w="120" w:type="dxa"/>
              <w:bottom w:w="105" w:type="dxa"/>
              <w:right w:w="120" w:type="dxa"/>
            </w:tcMar>
            <w:vAlign w:val="center"/>
          </w:tcPr>
          <w:p w14:paraId="6C80BE9B" w14:textId="77777777" w:rsidR="00844C82" w:rsidRDefault="00000000">
            <w:pPr>
              <w:spacing w:after="0"/>
            </w:pPr>
            <w:r>
              <w:rPr>
                <w:sz w:val="16"/>
              </w:rPr>
              <w:t>Multiple paths, including Family Assessment and Family Investigation</w:t>
            </w:r>
          </w:p>
        </w:tc>
        <w:tc>
          <w:tcPr>
            <w:tcW w:w="3240" w:type="dxa"/>
            <w:tcMar>
              <w:top w:w="105" w:type="dxa"/>
              <w:left w:w="120" w:type="dxa"/>
              <w:bottom w:w="105" w:type="dxa"/>
              <w:right w:w="120" w:type="dxa"/>
            </w:tcMar>
            <w:vAlign w:val="center"/>
          </w:tcPr>
          <w:p w14:paraId="221D2CCF" w14:textId="77777777" w:rsidR="00844C82" w:rsidRDefault="00000000">
            <w:pPr>
              <w:spacing w:after="0"/>
            </w:pPr>
            <w:r>
              <w:rPr>
                <w:sz w:val="16"/>
              </w:rPr>
              <w:t>Investigation for reports meeting response criteria in the reviewed public guidance</w:t>
            </w:r>
          </w:p>
        </w:tc>
        <w:tc>
          <w:tcPr>
            <w:tcW w:w="1440" w:type="dxa"/>
            <w:tcMar>
              <w:top w:w="105" w:type="dxa"/>
              <w:left w:w="120" w:type="dxa"/>
              <w:bottom w:w="105" w:type="dxa"/>
              <w:right w:w="120" w:type="dxa"/>
            </w:tcMar>
            <w:vAlign w:val="center"/>
          </w:tcPr>
          <w:p w14:paraId="544CB546" w14:textId="77777777" w:rsidR="00844C82" w:rsidRDefault="00000000">
            <w:pPr>
              <w:spacing w:after="0"/>
            </w:pPr>
            <w:r>
              <w:rPr>
                <w:sz w:val="16"/>
              </w:rPr>
              <w:t>To be confirmed</w:t>
            </w:r>
          </w:p>
        </w:tc>
      </w:tr>
      <w:tr w:rsidR="00844C82" w14:paraId="4CA43E60" w14:textId="77777777">
        <w:trPr>
          <w:jc w:val="center"/>
        </w:trPr>
        <w:tc>
          <w:tcPr>
            <w:tcW w:w="2232" w:type="dxa"/>
            <w:shd w:val="clear" w:color="auto" w:fill="F2F6FA"/>
            <w:tcMar>
              <w:top w:w="105" w:type="dxa"/>
              <w:left w:w="120" w:type="dxa"/>
              <w:bottom w:w="105" w:type="dxa"/>
              <w:right w:w="120" w:type="dxa"/>
            </w:tcMar>
            <w:vAlign w:val="center"/>
          </w:tcPr>
          <w:p w14:paraId="47B870D5" w14:textId="77777777" w:rsidR="00844C82" w:rsidRDefault="00000000">
            <w:pPr>
              <w:spacing w:after="0"/>
            </w:pPr>
            <w:r>
              <w:rPr>
                <w:b/>
                <w:sz w:val="16"/>
              </w:rPr>
              <w:t>Formal finding possible in every response path</w:t>
            </w:r>
          </w:p>
        </w:tc>
        <w:tc>
          <w:tcPr>
            <w:tcW w:w="3240" w:type="dxa"/>
            <w:shd w:val="clear" w:color="auto" w:fill="F2F6FA"/>
            <w:tcMar>
              <w:top w:w="105" w:type="dxa"/>
              <w:left w:w="120" w:type="dxa"/>
              <w:bottom w:w="105" w:type="dxa"/>
              <w:right w:w="120" w:type="dxa"/>
            </w:tcMar>
            <w:vAlign w:val="center"/>
          </w:tcPr>
          <w:p w14:paraId="09CD6C9B" w14:textId="77777777" w:rsidR="00844C82" w:rsidRDefault="00000000">
            <w:pPr>
              <w:spacing w:after="0"/>
            </w:pPr>
            <w:r>
              <w:rPr>
                <w:sz w:val="16"/>
              </w:rPr>
              <w:t>No; Family Assessment does not make a maltreatment determination</w:t>
            </w:r>
          </w:p>
        </w:tc>
        <w:tc>
          <w:tcPr>
            <w:tcW w:w="3240" w:type="dxa"/>
            <w:shd w:val="clear" w:color="auto" w:fill="F2F6FA"/>
            <w:tcMar>
              <w:top w:w="105" w:type="dxa"/>
              <w:left w:w="120" w:type="dxa"/>
              <w:bottom w:w="105" w:type="dxa"/>
              <w:right w:w="120" w:type="dxa"/>
            </w:tcMar>
            <w:vAlign w:val="center"/>
          </w:tcPr>
          <w:p w14:paraId="28CC25E4" w14:textId="77777777" w:rsidR="00844C82" w:rsidRDefault="00000000">
            <w:pPr>
              <w:spacing w:after="0"/>
            </w:pPr>
            <w:r>
              <w:rPr>
                <w:sz w:val="16"/>
              </w:rPr>
              <w:t>A completed investigation can result in substantiated or unsubstantiated finding</w:t>
            </w:r>
          </w:p>
        </w:tc>
        <w:tc>
          <w:tcPr>
            <w:tcW w:w="1440" w:type="dxa"/>
            <w:shd w:val="clear" w:color="auto" w:fill="F2F6FA"/>
            <w:tcMar>
              <w:top w:w="105" w:type="dxa"/>
              <w:left w:w="120" w:type="dxa"/>
              <w:bottom w:w="105" w:type="dxa"/>
              <w:right w:w="120" w:type="dxa"/>
            </w:tcMar>
            <w:vAlign w:val="center"/>
          </w:tcPr>
          <w:p w14:paraId="3AD65C6B" w14:textId="77777777" w:rsidR="00844C82" w:rsidRDefault="00000000">
            <w:pPr>
              <w:spacing w:after="0"/>
            </w:pPr>
            <w:r>
              <w:rPr>
                <w:sz w:val="16"/>
              </w:rPr>
              <w:t>To be confirmed</w:t>
            </w:r>
          </w:p>
        </w:tc>
      </w:tr>
      <w:tr w:rsidR="00844C82" w14:paraId="09E581E5" w14:textId="77777777">
        <w:trPr>
          <w:jc w:val="center"/>
        </w:trPr>
        <w:tc>
          <w:tcPr>
            <w:tcW w:w="2232" w:type="dxa"/>
            <w:tcMar>
              <w:top w:w="105" w:type="dxa"/>
              <w:left w:w="120" w:type="dxa"/>
              <w:bottom w:w="105" w:type="dxa"/>
              <w:right w:w="120" w:type="dxa"/>
            </w:tcMar>
            <w:vAlign w:val="center"/>
          </w:tcPr>
          <w:p w14:paraId="53F9C9FB" w14:textId="77777777" w:rsidR="00844C82" w:rsidRDefault="00000000">
            <w:pPr>
              <w:spacing w:after="0"/>
            </w:pPr>
            <w:r>
              <w:rPr>
                <w:b/>
                <w:sz w:val="16"/>
              </w:rPr>
              <w:t>Local geographic reporting</w:t>
            </w:r>
          </w:p>
        </w:tc>
        <w:tc>
          <w:tcPr>
            <w:tcW w:w="3240" w:type="dxa"/>
            <w:tcMar>
              <w:top w:w="105" w:type="dxa"/>
              <w:left w:w="120" w:type="dxa"/>
              <w:bottom w:w="105" w:type="dxa"/>
              <w:right w:w="120" w:type="dxa"/>
            </w:tcMar>
            <w:vAlign w:val="center"/>
          </w:tcPr>
          <w:p w14:paraId="30C68B9C" w14:textId="77777777" w:rsidR="00844C82" w:rsidRDefault="00000000">
            <w:pPr>
              <w:spacing w:after="0"/>
            </w:pPr>
            <w:r>
              <w:rPr>
                <w:sz w:val="16"/>
              </w:rPr>
              <w:t>County and Tribal agency views are available in the public dashboard</w:t>
            </w:r>
          </w:p>
        </w:tc>
        <w:tc>
          <w:tcPr>
            <w:tcW w:w="3240" w:type="dxa"/>
            <w:tcMar>
              <w:top w:w="105" w:type="dxa"/>
              <w:left w:w="120" w:type="dxa"/>
              <w:bottom w:w="105" w:type="dxa"/>
              <w:right w:w="120" w:type="dxa"/>
            </w:tcMar>
            <w:vAlign w:val="center"/>
          </w:tcPr>
          <w:p w14:paraId="4BE6A8F4" w14:textId="77777777" w:rsidR="00844C82" w:rsidRDefault="00000000">
            <w:pPr>
              <w:spacing w:after="0"/>
            </w:pPr>
            <w:r>
              <w:rPr>
                <w:sz w:val="16"/>
              </w:rPr>
              <w:t>Verify the geographic detail available in the selected DCS report</w:t>
            </w:r>
          </w:p>
        </w:tc>
        <w:tc>
          <w:tcPr>
            <w:tcW w:w="1440" w:type="dxa"/>
            <w:tcMar>
              <w:top w:w="105" w:type="dxa"/>
              <w:left w:w="120" w:type="dxa"/>
              <w:bottom w:w="105" w:type="dxa"/>
              <w:right w:w="120" w:type="dxa"/>
            </w:tcMar>
            <w:vAlign w:val="center"/>
          </w:tcPr>
          <w:p w14:paraId="6AEC64D7" w14:textId="77777777" w:rsidR="00844C82" w:rsidRDefault="00000000">
            <w:pPr>
              <w:spacing w:after="0"/>
            </w:pPr>
            <w:r>
              <w:rPr>
                <w:sz w:val="16"/>
              </w:rPr>
              <w:t>To be confirmed</w:t>
            </w:r>
          </w:p>
        </w:tc>
      </w:tr>
      <w:tr w:rsidR="00844C82" w14:paraId="37176A18" w14:textId="77777777">
        <w:trPr>
          <w:jc w:val="center"/>
        </w:trPr>
        <w:tc>
          <w:tcPr>
            <w:tcW w:w="2232" w:type="dxa"/>
            <w:shd w:val="clear" w:color="auto" w:fill="F2F6FA"/>
            <w:tcMar>
              <w:top w:w="105" w:type="dxa"/>
              <w:left w:w="120" w:type="dxa"/>
              <w:bottom w:w="105" w:type="dxa"/>
              <w:right w:w="120" w:type="dxa"/>
            </w:tcMar>
            <w:vAlign w:val="center"/>
          </w:tcPr>
          <w:p w14:paraId="44B4F659" w14:textId="77777777" w:rsidR="00844C82" w:rsidRDefault="00000000">
            <w:pPr>
              <w:spacing w:after="0"/>
            </w:pPr>
            <w:r>
              <w:rPr>
                <w:b/>
                <w:sz w:val="16"/>
              </w:rPr>
              <w:t>Public reporting cadence</w:t>
            </w:r>
          </w:p>
        </w:tc>
        <w:tc>
          <w:tcPr>
            <w:tcW w:w="3240" w:type="dxa"/>
            <w:shd w:val="clear" w:color="auto" w:fill="F2F6FA"/>
            <w:tcMar>
              <w:top w:w="105" w:type="dxa"/>
              <w:left w:w="120" w:type="dxa"/>
              <w:bottom w:w="105" w:type="dxa"/>
              <w:right w:w="120" w:type="dxa"/>
            </w:tcMar>
            <w:vAlign w:val="center"/>
          </w:tcPr>
          <w:p w14:paraId="6D5B8B19" w14:textId="77777777" w:rsidR="00844C82" w:rsidRDefault="00000000">
            <w:pPr>
              <w:spacing w:after="0"/>
            </w:pPr>
            <w:r>
              <w:rPr>
                <w:sz w:val="16"/>
              </w:rPr>
              <w:t>Monthly dashboard refresh; annual reports also published</w:t>
            </w:r>
          </w:p>
        </w:tc>
        <w:tc>
          <w:tcPr>
            <w:tcW w:w="3240" w:type="dxa"/>
            <w:shd w:val="clear" w:color="auto" w:fill="F2F6FA"/>
            <w:tcMar>
              <w:top w:w="105" w:type="dxa"/>
              <w:left w:w="120" w:type="dxa"/>
              <w:bottom w:w="105" w:type="dxa"/>
              <w:right w:w="120" w:type="dxa"/>
            </w:tcMar>
            <w:vAlign w:val="center"/>
          </w:tcPr>
          <w:p w14:paraId="6BF424F5" w14:textId="77777777" w:rsidR="00844C82" w:rsidRDefault="00000000">
            <w:pPr>
              <w:spacing w:after="0"/>
            </w:pPr>
            <w:r>
              <w:rPr>
                <w:sz w:val="16"/>
              </w:rPr>
              <w:t>Monthly and semiannual reporting structure</w:t>
            </w:r>
          </w:p>
        </w:tc>
        <w:tc>
          <w:tcPr>
            <w:tcW w:w="1440" w:type="dxa"/>
            <w:shd w:val="clear" w:color="auto" w:fill="F2F6FA"/>
            <w:tcMar>
              <w:top w:w="105" w:type="dxa"/>
              <w:left w:w="120" w:type="dxa"/>
              <w:bottom w:w="105" w:type="dxa"/>
              <w:right w:w="120" w:type="dxa"/>
            </w:tcMar>
            <w:vAlign w:val="center"/>
          </w:tcPr>
          <w:p w14:paraId="103AB3FB" w14:textId="77777777" w:rsidR="00844C82" w:rsidRDefault="00000000">
            <w:pPr>
              <w:spacing w:after="0"/>
            </w:pPr>
            <w:r>
              <w:rPr>
                <w:sz w:val="16"/>
              </w:rPr>
              <w:t>To be confirmed</w:t>
            </w:r>
          </w:p>
        </w:tc>
      </w:tr>
      <w:tr w:rsidR="00844C82" w14:paraId="127A8386" w14:textId="77777777">
        <w:trPr>
          <w:jc w:val="center"/>
        </w:trPr>
        <w:tc>
          <w:tcPr>
            <w:tcW w:w="2232" w:type="dxa"/>
            <w:tcMar>
              <w:top w:w="105" w:type="dxa"/>
              <w:left w:w="120" w:type="dxa"/>
              <w:bottom w:w="105" w:type="dxa"/>
              <w:right w:w="120" w:type="dxa"/>
            </w:tcMar>
            <w:vAlign w:val="center"/>
          </w:tcPr>
          <w:p w14:paraId="184DE041" w14:textId="77777777" w:rsidR="00844C82" w:rsidRDefault="00000000">
            <w:pPr>
              <w:spacing w:after="0"/>
            </w:pPr>
            <w:r>
              <w:rPr>
                <w:b/>
                <w:sz w:val="16"/>
              </w:rPr>
              <w:t>Known definition-change risk</w:t>
            </w:r>
          </w:p>
        </w:tc>
        <w:tc>
          <w:tcPr>
            <w:tcW w:w="3240" w:type="dxa"/>
            <w:tcMar>
              <w:top w:w="105" w:type="dxa"/>
              <w:left w:w="120" w:type="dxa"/>
              <w:bottom w:w="105" w:type="dxa"/>
              <w:right w:w="120" w:type="dxa"/>
            </w:tcMar>
            <w:vAlign w:val="center"/>
          </w:tcPr>
          <w:p w14:paraId="7EA0E6AA" w14:textId="77777777" w:rsidR="00844C82" w:rsidRDefault="00000000">
            <w:pPr>
              <w:spacing w:after="0"/>
            </w:pPr>
            <w:r>
              <w:rPr>
                <w:sz w:val="16"/>
              </w:rPr>
              <w:t>Response-path and dashboard-measure definitions must be versioned</w:t>
            </w:r>
          </w:p>
        </w:tc>
        <w:tc>
          <w:tcPr>
            <w:tcW w:w="3240" w:type="dxa"/>
            <w:tcMar>
              <w:top w:w="105" w:type="dxa"/>
              <w:left w:w="120" w:type="dxa"/>
              <w:bottom w:w="105" w:type="dxa"/>
              <w:right w:w="120" w:type="dxa"/>
            </w:tcMar>
            <w:vAlign w:val="center"/>
          </w:tcPr>
          <w:p w14:paraId="7DBE0BC7" w14:textId="77777777" w:rsidR="00844C82" w:rsidRDefault="00000000">
            <w:pPr>
              <w:spacing w:after="0"/>
            </w:pPr>
            <w:r>
              <w:rPr>
                <w:sz w:val="16"/>
              </w:rPr>
              <w:t>Substantiation rules and evidentiary standards have changed</w:t>
            </w:r>
          </w:p>
        </w:tc>
        <w:tc>
          <w:tcPr>
            <w:tcW w:w="1440" w:type="dxa"/>
            <w:tcMar>
              <w:top w:w="105" w:type="dxa"/>
              <w:left w:w="120" w:type="dxa"/>
              <w:bottom w:w="105" w:type="dxa"/>
              <w:right w:w="120" w:type="dxa"/>
            </w:tcMar>
            <w:vAlign w:val="center"/>
          </w:tcPr>
          <w:p w14:paraId="7ED6D371" w14:textId="77777777" w:rsidR="00844C82" w:rsidRDefault="00000000">
            <w:pPr>
              <w:spacing w:after="0"/>
            </w:pPr>
            <w:r>
              <w:rPr>
                <w:sz w:val="16"/>
              </w:rPr>
              <w:t>To be confirmed</w:t>
            </w:r>
          </w:p>
        </w:tc>
      </w:tr>
      <w:tr w:rsidR="00844C82" w14:paraId="74DB8816" w14:textId="77777777">
        <w:trPr>
          <w:jc w:val="center"/>
        </w:trPr>
        <w:tc>
          <w:tcPr>
            <w:tcW w:w="2232" w:type="dxa"/>
            <w:shd w:val="clear" w:color="auto" w:fill="F2F6FA"/>
            <w:tcMar>
              <w:top w:w="105" w:type="dxa"/>
              <w:left w:w="120" w:type="dxa"/>
              <w:bottom w:w="105" w:type="dxa"/>
              <w:right w:w="120" w:type="dxa"/>
            </w:tcMar>
            <w:vAlign w:val="center"/>
          </w:tcPr>
          <w:p w14:paraId="01146DB2" w14:textId="77777777" w:rsidR="00844C82" w:rsidRDefault="00000000">
            <w:pPr>
              <w:spacing w:after="0"/>
            </w:pPr>
            <w:r>
              <w:rPr>
                <w:b/>
                <w:sz w:val="16"/>
              </w:rPr>
              <w:t>Direct-comparison readiness</w:t>
            </w:r>
          </w:p>
        </w:tc>
        <w:tc>
          <w:tcPr>
            <w:tcW w:w="3240" w:type="dxa"/>
            <w:shd w:val="clear" w:color="auto" w:fill="F2F6FA"/>
            <w:tcMar>
              <w:top w:w="105" w:type="dxa"/>
              <w:left w:w="120" w:type="dxa"/>
              <w:bottom w:w="105" w:type="dxa"/>
              <w:right w:w="120" w:type="dxa"/>
            </w:tcMar>
            <w:vAlign w:val="center"/>
          </w:tcPr>
          <w:p w14:paraId="07C0FA1E" w14:textId="77777777" w:rsidR="00844C82" w:rsidRDefault="00000000">
            <w:pPr>
              <w:spacing w:after="0"/>
            </w:pPr>
            <w:r>
              <w:rPr>
                <w:sz w:val="16"/>
              </w:rPr>
              <w:t>Metric-by-metric review required</w:t>
            </w:r>
          </w:p>
        </w:tc>
        <w:tc>
          <w:tcPr>
            <w:tcW w:w="3240" w:type="dxa"/>
            <w:shd w:val="clear" w:color="auto" w:fill="F2F6FA"/>
            <w:tcMar>
              <w:top w:w="105" w:type="dxa"/>
              <w:left w:w="120" w:type="dxa"/>
              <w:bottom w:w="105" w:type="dxa"/>
              <w:right w:w="120" w:type="dxa"/>
            </w:tcMar>
            <w:vAlign w:val="center"/>
          </w:tcPr>
          <w:p w14:paraId="11480A13" w14:textId="77777777" w:rsidR="00844C82" w:rsidRDefault="00000000">
            <w:pPr>
              <w:spacing w:after="0"/>
            </w:pPr>
            <w:r>
              <w:rPr>
                <w:sz w:val="16"/>
              </w:rPr>
              <w:t>Metric-by-metric review required</w:t>
            </w:r>
          </w:p>
        </w:tc>
        <w:tc>
          <w:tcPr>
            <w:tcW w:w="1440" w:type="dxa"/>
            <w:shd w:val="clear" w:color="auto" w:fill="F2F6FA"/>
            <w:tcMar>
              <w:top w:w="105" w:type="dxa"/>
              <w:left w:w="120" w:type="dxa"/>
              <w:bottom w:w="105" w:type="dxa"/>
              <w:right w:w="120" w:type="dxa"/>
            </w:tcMar>
            <w:vAlign w:val="center"/>
          </w:tcPr>
          <w:p w14:paraId="13B72A39" w14:textId="77777777" w:rsidR="00844C82" w:rsidRDefault="00000000">
            <w:pPr>
              <w:spacing w:after="0"/>
            </w:pPr>
            <w:r>
              <w:rPr>
                <w:sz w:val="16"/>
              </w:rPr>
              <w:t>Not yet reviewed</w:t>
            </w:r>
          </w:p>
        </w:tc>
      </w:tr>
    </w:tbl>
    <w:p w14:paraId="25009F1B" w14:textId="77777777" w:rsidR="00844C82" w:rsidRDefault="00844C82">
      <w:pPr>
        <w:spacing w:after="20"/>
      </w:pPr>
    </w:p>
    <w:p w14:paraId="23E48848" w14:textId="77777777" w:rsidR="00844C82" w:rsidRDefault="00000000">
      <w:pPr>
        <w:pStyle w:val="Heading1"/>
      </w:pPr>
      <w:r>
        <w:t>Task 4 Document Comparability Concerns</w:t>
      </w:r>
    </w:p>
    <w:p w14:paraId="114CF1D9" w14:textId="77777777" w:rsidR="00844C82" w:rsidRDefault="00000000">
      <w:r>
        <w:t>The EIM Metric Comparability schema requires one record per baseline field and scope. The following fields must be completed before a direct comparison: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20"/>
        <w:gridCol w:w="7416"/>
      </w:tblGrid>
      <w:tr w:rsidR="00844C82" w14:paraId="363158D1" w14:textId="77777777">
        <w:trPr>
          <w:tblHeader/>
          <w:jc w:val="center"/>
        </w:trPr>
        <w:tc>
          <w:tcPr>
            <w:tcW w:w="2520" w:type="dxa"/>
            <w:shd w:val="clear" w:color="auto" w:fill="17365D"/>
            <w:tcMar>
              <w:top w:w="110" w:type="dxa"/>
              <w:left w:w="120" w:type="dxa"/>
              <w:bottom w:w="110" w:type="dxa"/>
              <w:right w:w="120" w:type="dxa"/>
            </w:tcMar>
            <w:vAlign w:val="center"/>
          </w:tcPr>
          <w:p w14:paraId="4FE6D471" w14:textId="77777777" w:rsidR="00844C82" w:rsidRDefault="00000000">
            <w:pPr>
              <w:spacing w:after="0"/>
              <w:jc w:val="center"/>
            </w:pPr>
            <w:r>
              <w:rPr>
                <w:b/>
                <w:color w:val="FFFFFF"/>
                <w:sz w:val="17"/>
              </w:rPr>
              <w:t>Required field</w:t>
            </w:r>
          </w:p>
        </w:tc>
        <w:tc>
          <w:tcPr>
            <w:tcW w:w="7416" w:type="dxa"/>
            <w:shd w:val="clear" w:color="auto" w:fill="17365D"/>
            <w:tcMar>
              <w:top w:w="110" w:type="dxa"/>
              <w:left w:w="120" w:type="dxa"/>
              <w:bottom w:w="110" w:type="dxa"/>
              <w:right w:w="120" w:type="dxa"/>
            </w:tcMar>
            <w:vAlign w:val="center"/>
          </w:tcPr>
          <w:p w14:paraId="6570DF3F" w14:textId="77777777" w:rsidR="00844C82" w:rsidRDefault="00000000">
            <w:pPr>
              <w:spacing w:after="0"/>
              <w:jc w:val="center"/>
            </w:pPr>
            <w:r>
              <w:rPr>
                <w:b/>
                <w:color w:val="FFFFFF"/>
                <w:sz w:val="17"/>
              </w:rPr>
              <w:t>What the team records</w:t>
            </w:r>
          </w:p>
        </w:tc>
      </w:tr>
      <w:tr w:rsidR="00844C82" w14:paraId="1A496E3F" w14:textId="77777777">
        <w:trPr>
          <w:jc w:val="center"/>
        </w:trPr>
        <w:tc>
          <w:tcPr>
            <w:tcW w:w="2520" w:type="dxa"/>
            <w:tcMar>
              <w:top w:w="105" w:type="dxa"/>
              <w:left w:w="120" w:type="dxa"/>
              <w:bottom w:w="105" w:type="dxa"/>
              <w:right w:w="120" w:type="dxa"/>
            </w:tcMar>
            <w:vAlign w:val="center"/>
          </w:tcPr>
          <w:p w14:paraId="1E29171B" w14:textId="77777777" w:rsidR="00844C82" w:rsidRDefault="00000000">
            <w:pPr>
              <w:spacing w:after="0"/>
            </w:pPr>
            <w:r>
              <w:rPr>
                <w:b/>
                <w:sz w:val="17"/>
              </w:rPr>
              <w:t>Metric definition</w:t>
            </w:r>
          </w:p>
        </w:tc>
        <w:tc>
          <w:tcPr>
            <w:tcW w:w="7416" w:type="dxa"/>
            <w:tcMar>
              <w:top w:w="105" w:type="dxa"/>
              <w:left w:w="120" w:type="dxa"/>
              <w:bottom w:w="105" w:type="dxa"/>
              <w:right w:w="120" w:type="dxa"/>
            </w:tcMar>
            <w:vAlign w:val="center"/>
          </w:tcPr>
          <w:p w14:paraId="29681DBC" w14:textId="77777777" w:rsidR="00844C82" w:rsidRDefault="00000000">
            <w:pPr>
              <w:spacing w:after="0"/>
            </w:pPr>
            <w:r>
              <w:rPr>
                <w:sz w:val="17"/>
              </w:rPr>
              <w:t>What the measure represents and the event or status being counted.</w:t>
            </w:r>
          </w:p>
        </w:tc>
      </w:tr>
      <w:tr w:rsidR="00844C82" w14:paraId="476BD645" w14:textId="77777777">
        <w:trPr>
          <w:jc w:val="center"/>
        </w:trPr>
        <w:tc>
          <w:tcPr>
            <w:tcW w:w="2520" w:type="dxa"/>
            <w:shd w:val="clear" w:color="auto" w:fill="F2F6FA"/>
            <w:tcMar>
              <w:top w:w="105" w:type="dxa"/>
              <w:left w:w="120" w:type="dxa"/>
              <w:bottom w:w="105" w:type="dxa"/>
              <w:right w:w="120" w:type="dxa"/>
            </w:tcMar>
            <w:vAlign w:val="center"/>
          </w:tcPr>
          <w:p w14:paraId="0E171C2A" w14:textId="77777777" w:rsidR="00844C82" w:rsidRDefault="00000000">
            <w:pPr>
              <w:spacing w:after="0"/>
            </w:pPr>
            <w:r>
              <w:rPr>
                <w:b/>
                <w:sz w:val="17"/>
              </w:rPr>
              <w:t>Numerator definition</w:t>
            </w:r>
          </w:p>
        </w:tc>
        <w:tc>
          <w:tcPr>
            <w:tcW w:w="7416" w:type="dxa"/>
            <w:shd w:val="clear" w:color="auto" w:fill="F2F6FA"/>
            <w:tcMar>
              <w:top w:w="105" w:type="dxa"/>
              <w:left w:w="120" w:type="dxa"/>
              <w:bottom w:w="105" w:type="dxa"/>
              <w:right w:w="120" w:type="dxa"/>
            </w:tcMar>
            <w:vAlign w:val="center"/>
          </w:tcPr>
          <w:p w14:paraId="27A0305B" w14:textId="77777777" w:rsidR="00844C82" w:rsidRDefault="00000000">
            <w:pPr>
              <w:spacing w:after="0"/>
            </w:pPr>
            <w:r>
              <w:rPr>
                <w:sz w:val="17"/>
              </w:rPr>
              <w:t>What is included in the top number of a rate or percentage.</w:t>
            </w:r>
          </w:p>
        </w:tc>
      </w:tr>
      <w:tr w:rsidR="00844C82" w14:paraId="31E7EEDC" w14:textId="77777777">
        <w:trPr>
          <w:jc w:val="center"/>
        </w:trPr>
        <w:tc>
          <w:tcPr>
            <w:tcW w:w="2520" w:type="dxa"/>
            <w:tcMar>
              <w:top w:w="105" w:type="dxa"/>
              <w:left w:w="120" w:type="dxa"/>
              <w:bottom w:w="105" w:type="dxa"/>
              <w:right w:w="120" w:type="dxa"/>
            </w:tcMar>
            <w:vAlign w:val="center"/>
          </w:tcPr>
          <w:p w14:paraId="0F07EC49" w14:textId="77777777" w:rsidR="00844C82" w:rsidRDefault="00000000">
            <w:pPr>
              <w:spacing w:after="0"/>
            </w:pPr>
            <w:r>
              <w:rPr>
                <w:b/>
                <w:sz w:val="17"/>
              </w:rPr>
              <w:t>Denominator definition</w:t>
            </w:r>
          </w:p>
        </w:tc>
        <w:tc>
          <w:tcPr>
            <w:tcW w:w="7416" w:type="dxa"/>
            <w:tcMar>
              <w:top w:w="105" w:type="dxa"/>
              <w:left w:w="120" w:type="dxa"/>
              <w:bottom w:w="105" w:type="dxa"/>
              <w:right w:w="120" w:type="dxa"/>
            </w:tcMar>
            <w:vAlign w:val="center"/>
          </w:tcPr>
          <w:p w14:paraId="3E00707B" w14:textId="77777777" w:rsidR="00844C82" w:rsidRDefault="00000000">
            <w:pPr>
              <w:spacing w:after="0"/>
            </w:pPr>
            <w:r>
              <w:rPr>
                <w:sz w:val="17"/>
              </w:rPr>
              <w:t>The population or case set against which the numerator is divided.</w:t>
            </w:r>
          </w:p>
        </w:tc>
      </w:tr>
      <w:tr w:rsidR="00844C82" w14:paraId="7EDB5C0F" w14:textId="77777777">
        <w:trPr>
          <w:jc w:val="center"/>
        </w:trPr>
        <w:tc>
          <w:tcPr>
            <w:tcW w:w="2520" w:type="dxa"/>
            <w:shd w:val="clear" w:color="auto" w:fill="F2F6FA"/>
            <w:tcMar>
              <w:top w:w="105" w:type="dxa"/>
              <w:left w:w="120" w:type="dxa"/>
              <w:bottom w:w="105" w:type="dxa"/>
              <w:right w:w="120" w:type="dxa"/>
            </w:tcMar>
            <w:vAlign w:val="center"/>
          </w:tcPr>
          <w:p w14:paraId="29C32F09" w14:textId="77777777" w:rsidR="00844C82" w:rsidRDefault="00000000">
            <w:pPr>
              <w:spacing w:after="0"/>
            </w:pPr>
            <w:r>
              <w:rPr>
                <w:b/>
                <w:sz w:val="17"/>
              </w:rPr>
              <w:lastRenderedPageBreak/>
              <w:t>Population scope</w:t>
            </w:r>
          </w:p>
        </w:tc>
        <w:tc>
          <w:tcPr>
            <w:tcW w:w="7416" w:type="dxa"/>
            <w:shd w:val="clear" w:color="auto" w:fill="F2F6FA"/>
            <w:tcMar>
              <w:top w:w="105" w:type="dxa"/>
              <w:left w:w="120" w:type="dxa"/>
              <w:bottom w:w="105" w:type="dxa"/>
              <w:right w:w="120" w:type="dxa"/>
            </w:tcMar>
            <w:vAlign w:val="center"/>
          </w:tcPr>
          <w:p w14:paraId="3FF04031" w14:textId="77777777" w:rsidR="00844C82" w:rsidRDefault="00000000">
            <w:pPr>
              <w:spacing w:after="0"/>
            </w:pPr>
            <w:r>
              <w:rPr>
                <w:sz w:val="17"/>
              </w:rPr>
              <w:t>Age range, eligibility group, response pathway, and other inclusion rules.</w:t>
            </w:r>
          </w:p>
        </w:tc>
      </w:tr>
      <w:tr w:rsidR="00844C82" w14:paraId="65905968" w14:textId="77777777">
        <w:trPr>
          <w:jc w:val="center"/>
        </w:trPr>
        <w:tc>
          <w:tcPr>
            <w:tcW w:w="2520" w:type="dxa"/>
            <w:tcMar>
              <w:top w:w="105" w:type="dxa"/>
              <w:left w:w="120" w:type="dxa"/>
              <w:bottom w:w="105" w:type="dxa"/>
              <w:right w:w="120" w:type="dxa"/>
            </w:tcMar>
            <w:vAlign w:val="center"/>
          </w:tcPr>
          <w:p w14:paraId="4067977F" w14:textId="77777777" w:rsidR="00844C82" w:rsidRDefault="00000000">
            <w:pPr>
              <w:spacing w:after="0"/>
            </w:pPr>
            <w:r>
              <w:rPr>
                <w:b/>
                <w:sz w:val="17"/>
              </w:rPr>
              <w:t>Reporting period</w:t>
            </w:r>
          </w:p>
        </w:tc>
        <w:tc>
          <w:tcPr>
            <w:tcW w:w="7416" w:type="dxa"/>
            <w:tcMar>
              <w:top w:w="105" w:type="dxa"/>
              <w:left w:w="120" w:type="dxa"/>
              <w:bottom w:w="105" w:type="dxa"/>
              <w:right w:w="120" w:type="dxa"/>
            </w:tcMar>
            <w:vAlign w:val="center"/>
          </w:tcPr>
          <w:p w14:paraId="612BBA20" w14:textId="77777777" w:rsidR="00844C82" w:rsidRDefault="00000000">
            <w:pPr>
              <w:spacing w:after="0"/>
            </w:pPr>
            <w:r>
              <w:rPr>
                <w:sz w:val="17"/>
              </w:rPr>
              <w:t>Calendar year, federal fiscal year, state fiscal year, point-in-time date, or rolling period.</w:t>
            </w:r>
          </w:p>
        </w:tc>
      </w:tr>
      <w:tr w:rsidR="00844C82" w14:paraId="1E7234C8" w14:textId="77777777">
        <w:trPr>
          <w:jc w:val="center"/>
        </w:trPr>
        <w:tc>
          <w:tcPr>
            <w:tcW w:w="2520" w:type="dxa"/>
            <w:shd w:val="clear" w:color="auto" w:fill="F2F6FA"/>
            <w:tcMar>
              <w:top w:w="105" w:type="dxa"/>
              <w:left w:w="120" w:type="dxa"/>
              <w:bottom w:w="105" w:type="dxa"/>
              <w:right w:w="120" w:type="dxa"/>
            </w:tcMar>
            <w:vAlign w:val="center"/>
          </w:tcPr>
          <w:p w14:paraId="6DC2C751" w14:textId="77777777" w:rsidR="00844C82" w:rsidRDefault="00000000">
            <w:pPr>
              <w:spacing w:after="0"/>
            </w:pPr>
            <w:r>
              <w:rPr>
                <w:b/>
                <w:sz w:val="17"/>
              </w:rPr>
              <w:t>Geography</w:t>
            </w:r>
          </w:p>
        </w:tc>
        <w:tc>
          <w:tcPr>
            <w:tcW w:w="7416" w:type="dxa"/>
            <w:shd w:val="clear" w:color="auto" w:fill="F2F6FA"/>
            <w:tcMar>
              <w:top w:w="105" w:type="dxa"/>
              <w:left w:w="120" w:type="dxa"/>
              <w:bottom w:w="105" w:type="dxa"/>
              <w:right w:w="120" w:type="dxa"/>
            </w:tcMar>
            <w:vAlign w:val="center"/>
          </w:tcPr>
          <w:p w14:paraId="646554C7" w14:textId="77777777" w:rsidR="00844C82" w:rsidRDefault="00000000">
            <w:pPr>
              <w:spacing w:after="0"/>
            </w:pPr>
            <w:r>
              <w:rPr>
                <w:sz w:val="17"/>
              </w:rPr>
              <w:t>State, county, Tribal agency, region, or another level.</w:t>
            </w:r>
          </w:p>
        </w:tc>
      </w:tr>
      <w:tr w:rsidR="00844C82" w14:paraId="348428D6" w14:textId="77777777">
        <w:trPr>
          <w:jc w:val="center"/>
        </w:trPr>
        <w:tc>
          <w:tcPr>
            <w:tcW w:w="2520" w:type="dxa"/>
            <w:tcMar>
              <w:top w:w="105" w:type="dxa"/>
              <w:left w:w="120" w:type="dxa"/>
              <w:bottom w:w="105" w:type="dxa"/>
              <w:right w:w="120" w:type="dxa"/>
            </w:tcMar>
            <w:vAlign w:val="center"/>
          </w:tcPr>
          <w:p w14:paraId="1E5F9202" w14:textId="77777777" w:rsidR="00844C82" w:rsidRDefault="00000000">
            <w:pPr>
              <w:spacing w:after="0"/>
            </w:pPr>
            <w:r>
              <w:rPr>
                <w:b/>
                <w:sz w:val="17"/>
              </w:rPr>
              <w:t>Definition change flag</w:t>
            </w:r>
          </w:p>
        </w:tc>
        <w:tc>
          <w:tcPr>
            <w:tcW w:w="7416" w:type="dxa"/>
            <w:tcMar>
              <w:top w:w="105" w:type="dxa"/>
              <w:left w:w="120" w:type="dxa"/>
              <w:bottom w:w="105" w:type="dxa"/>
              <w:right w:w="120" w:type="dxa"/>
            </w:tcMar>
            <w:vAlign w:val="center"/>
          </w:tcPr>
          <w:p w14:paraId="537116CA" w14:textId="77777777" w:rsidR="00844C82" w:rsidRDefault="00000000">
            <w:pPr>
              <w:spacing w:after="0"/>
            </w:pPr>
            <w:r>
              <w:rPr>
                <w:sz w:val="17"/>
              </w:rPr>
              <w:t>Whether the definition, law, system, or collection method changed during the series.</w:t>
            </w:r>
          </w:p>
        </w:tc>
      </w:tr>
      <w:tr w:rsidR="00844C82" w14:paraId="54C5E524" w14:textId="77777777">
        <w:trPr>
          <w:jc w:val="center"/>
        </w:trPr>
        <w:tc>
          <w:tcPr>
            <w:tcW w:w="2520" w:type="dxa"/>
            <w:shd w:val="clear" w:color="auto" w:fill="F2F6FA"/>
            <w:tcMar>
              <w:top w:w="105" w:type="dxa"/>
              <w:left w:w="120" w:type="dxa"/>
              <w:bottom w:w="105" w:type="dxa"/>
              <w:right w:w="120" w:type="dxa"/>
            </w:tcMar>
            <w:vAlign w:val="center"/>
          </w:tcPr>
          <w:p w14:paraId="4D1F7155" w14:textId="77777777" w:rsidR="00844C82" w:rsidRDefault="00000000">
            <w:pPr>
              <w:spacing w:after="0"/>
            </w:pPr>
            <w:r>
              <w:rPr>
                <w:b/>
                <w:sz w:val="17"/>
              </w:rPr>
              <w:t>Data completeness</w:t>
            </w:r>
          </w:p>
        </w:tc>
        <w:tc>
          <w:tcPr>
            <w:tcW w:w="7416" w:type="dxa"/>
            <w:shd w:val="clear" w:color="auto" w:fill="F2F6FA"/>
            <w:tcMar>
              <w:top w:w="105" w:type="dxa"/>
              <w:left w:w="120" w:type="dxa"/>
              <w:bottom w:w="105" w:type="dxa"/>
              <w:right w:w="120" w:type="dxa"/>
            </w:tcMar>
            <w:vAlign w:val="center"/>
          </w:tcPr>
          <w:p w14:paraId="4A4BB0AE" w14:textId="77777777" w:rsidR="00844C82" w:rsidRDefault="00000000">
            <w:pPr>
              <w:spacing w:after="0"/>
            </w:pPr>
            <w:r>
              <w:rPr>
                <w:sz w:val="17"/>
              </w:rPr>
              <w:t>Years, jurisdictions, and required fields present, including known suppression or late reporting.</w:t>
            </w:r>
          </w:p>
        </w:tc>
      </w:tr>
      <w:tr w:rsidR="00844C82" w14:paraId="44A58AC1" w14:textId="77777777">
        <w:trPr>
          <w:jc w:val="center"/>
        </w:trPr>
        <w:tc>
          <w:tcPr>
            <w:tcW w:w="2520" w:type="dxa"/>
            <w:tcMar>
              <w:top w:w="105" w:type="dxa"/>
              <w:left w:w="120" w:type="dxa"/>
              <w:bottom w:w="105" w:type="dxa"/>
              <w:right w:w="120" w:type="dxa"/>
            </w:tcMar>
            <w:vAlign w:val="center"/>
          </w:tcPr>
          <w:p w14:paraId="46F47F6D" w14:textId="77777777" w:rsidR="00844C82" w:rsidRDefault="00000000">
            <w:pPr>
              <w:spacing w:after="0"/>
            </w:pPr>
            <w:r>
              <w:rPr>
                <w:b/>
                <w:sz w:val="17"/>
              </w:rPr>
              <w:t>Availability status</w:t>
            </w:r>
          </w:p>
        </w:tc>
        <w:tc>
          <w:tcPr>
            <w:tcW w:w="7416" w:type="dxa"/>
            <w:tcMar>
              <w:top w:w="105" w:type="dxa"/>
              <w:left w:w="120" w:type="dxa"/>
              <w:bottom w:w="105" w:type="dxa"/>
              <w:right w:w="120" w:type="dxa"/>
            </w:tcMar>
            <w:vAlign w:val="center"/>
          </w:tcPr>
          <w:p w14:paraId="2CC96146" w14:textId="77777777" w:rsidR="00844C82" w:rsidRDefault="00000000">
            <w:pPr>
              <w:spacing w:after="0"/>
            </w:pPr>
            <w:r>
              <w:rPr>
                <w:sz w:val="17"/>
              </w:rPr>
              <w:t>Available, partially available, not routinely collected, not publicly available, not comparable, not scorable, unknown, or not yet reviewed.</w:t>
            </w:r>
          </w:p>
        </w:tc>
      </w:tr>
      <w:tr w:rsidR="00844C82" w14:paraId="57423F32" w14:textId="77777777">
        <w:trPr>
          <w:jc w:val="center"/>
        </w:trPr>
        <w:tc>
          <w:tcPr>
            <w:tcW w:w="2520" w:type="dxa"/>
            <w:shd w:val="clear" w:color="auto" w:fill="F2F6FA"/>
            <w:tcMar>
              <w:top w:w="105" w:type="dxa"/>
              <w:left w:w="120" w:type="dxa"/>
              <w:bottom w:w="105" w:type="dxa"/>
              <w:right w:w="120" w:type="dxa"/>
            </w:tcMar>
            <w:vAlign w:val="center"/>
          </w:tcPr>
          <w:p w14:paraId="1DC8DD2A" w14:textId="77777777" w:rsidR="00844C82" w:rsidRDefault="00000000">
            <w:pPr>
              <w:spacing w:after="0"/>
            </w:pPr>
            <w:r>
              <w:rPr>
                <w:b/>
                <w:sz w:val="17"/>
              </w:rPr>
              <w:t>Comparability status</w:t>
            </w:r>
          </w:p>
        </w:tc>
        <w:tc>
          <w:tcPr>
            <w:tcW w:w="7416" w:type="dxa"/>
            <w:shd w:val="clear" w:color="auto" w:fill="F2F6FA"/>
            <w:tcMar>
              <w:top w:w="105" w:type="dxa"/>
              <w:left w:w="120" w:type="dxa"/>
              <w:bottom w:w="105" w:type="dxa"/>
              <w:right w:w="120" w:type="dxa"/>
            </w:tcMar>
            <w:vAlign w:val="center"/>
          </w:tcPr>
          <w:p w14:paraId="3DD95FF0" w14:textId="77777777" w:rsidR="00844C82" w:rsidRDefault="00000000">
            <w:pPr>
              <w:spacing w:after="0"/>
            </w:pPr>
            <w:r>
              <w:rPr>
                <w:sz w:val="17"/>
              </w:rPr>
              <w:t>Comparable, partially comparable, not comparable, or not yet reviewed.</w:t>
            </w:r>
          </w:p>
        </w:tc>
      </w:tr>
      <w:tr w:rsidR="00844C82" w14:paraId="5D043F5E" w14:textId="77777777">
        <w:trPr>
          <w:jc w:val="center"/>
        </w:trPr>
        <w:tc>
          <w:tcPr>
            <w:tcW w:w="2520" w:type="dxa"/>
            <w:tcMar>
              <w:top w:w="105" w:type="dxa"/>
              <w:left w:w="120" w:type="dxa"/>
              <w:bottom w:w="105" w:type="dxa"/>
              <w:right w:w="120" w:type="dxa"/>
            </w:tcMar>
            <w:vAlign w:val="center"/>
          </w:tcPr>
          <w:p w14:paraId="237F462B" w14:textId="77777777" w:rsidR="00844C82" w:rsidRDefault="00000000">
            <w:pPr>
              <w:spacing w:after="0"/>
            </w:pPr>
            <w:r>
              <w:rPr>
                <w:b/>
                <w:sz w:val="17"/>
              </w:rPr>
              <w:t>Comparability note</w:t>
            </w:r>
          </w:p>
        </w:tc>
        <w:tc>
          <w:tcPr>
            <w:tcW w:w="7416" w:type="dxa"/>
            <w:tcMar>
              <w:top w:w="105" w:type="dxa"/>
              <w:left w:w="120" w:type="dxa"/>
              <w:bottom w:w="105" w:type="dxa"/>
              <w:right w:w="120" w:type="dxa"/>
            </w:tcMar>
            <w:vAlign w:val="center"/>
          </w:tcPr>
          <w:p w14:paraId="64B3B3C3" w14:textId="77777777" w:rsidR="00844C82" w:rsidRDefault="00000000">
            <w:pPr>
              <w:spacing w:after="0"/>
            </w:pPr>
            <w:r>
              <w:rPr>
                <w:sz w:val="17"/>
              </w:rPr>
              <w:t>Plain-language explanation of the important differences and permitted use.</w:t>
            </w:r>
          </w:p>
        </w:tc>
      </w:tr>
      <w:tr w:rsidR="00844C82" w14:paraId="28AD41FE" w14:textId="77777777">
        <w:trPr>
          <w:jc w:val="center"/>
        </w:trPr>
        <w:tc>
          <w:tcPr>
            <w:tcW w:w="2520" w:type="dxa"/>
            <w:shd w:val="clear" w:color="auto" w:fill="F2F6FA"/>
            <w:tcMar>
              <w:top w:w="105" w:type="dxa"/>
              <w:left w:w="120" w:type="dxa"/>
              <w:bottom w:w="105" w:type="dxa"/>
              <w:right w:w="120" w:type="dxa"/>
            </w:tcMar>
            <w:vAlign w:val="center"/>
          </w:tcPr>
          <w:p w14:paraId="06FFD8D6" w14:textId="77777777" w:rsidR="00844C82" w:rsidRDefault="00000000">
            <w:pPr>
              <w:spacing w:after="0"/>
            </w:pPr>
            <w:r>
              <w:rPr>
                <w:b/>
                <w:sz w:val="17"/>
              </w:rPr>
              <w:t>Evidence confidence</w:t>
            </w:r>
          </w:p>
        </w:tc>
        <w:tc>
          <w:tcPr>
            <w:tcW w:w="7416" w:type="dxa"/>
            <w:shd w:val="clear" w:color="auto" w:fill="F2F6FA"/>
            <w:tcMar>
              <w:top w:w="105" w:type="dxa"/>
              <w:left w:w="120" w:type="dxa"/>
              <w:bottom w:w="105" w:type="dxa"/>
              <w:right w:w="120" w:type="dxa"/>
            </w:tcMar>
            <w:vAlign w:val="center"/>
          </w:tcPr>
          <w:p w14:paraId="202E3B7F" w14:textId="77777777" w:rsidR="00844C82" w:rsidRDefault="00000000">
            <w:pPr>
              <w:spacing w:after="0"/>
            </w:pPr>
            <w:r>
              <w:rPr>
                <w:sz w:val="17"/>
              </w:rPr>
              <w:t>High, moderate, low, not scorable, or not yet reviewed.</w:t>
            </w:r>
          </w:p>
        </w:tc>
      </w:tr>
      <w:tr w:rsidR="00844C82" w14:paraId="6B4277ED" w14:textId="77777777">
        <w:trPr>
          <w:jc w:val="center"/>
        </w:trPr>
        <w:tc>
          <w:tcPr>
            <w:tcW w:w="2520" w:type="dxa"/>
            <w:tcMar>
              <w:top w:w="105" w:type="dxa"/>
              <w:left w:w="120" w:type="dxa"/>
              <w:bottom w:w="105" w:type="dxa"/>
              <w:right w:w="120" w:type="dxa"/>
            </w:tcMar>
            <w:vAlign w:val="center"/>
          </w:tcPr>
          <w:p w14:paraId="19C9725C" w14:textId="77777777" w:rsidR="00844C82" w:rsidRDefault="00000000">
            <w:pPr>
              <w:spacing w:after="0"/>
            </w:pPr>
            <w:r>
              <w:rPr>
                <w:b/>
                <w:sz w:val="17"/>
              </w:rPr>
              <w:t>Framework version</w:t>
            </w:r>
          </w:p>
        </w:tc>
        <w:tc>
          <w:tcPr>
            <w:tcW w:w="7416" w:type="dxa"/>
            <w:tcMar>
              <w:top w:w="105" w:type="dxa"/>
              <w:left w:w="120" w:type="dxa"/>
              <w:bottom w:w="105" w:type="dxa"/>
              <w:right w:w="120" w:type="dxa"/>
            </w:tcMar>
            <w:vAlign w:val="center"/>
          </w:tcPr>
          <w:p w14:paraId="6034F907" w14:textId="77777777" w:rsidR="00844C82" w:rsidRDefault="00000000">
            <w:pPr>
              <w:spacing w:after="0"/>
            </w:pPr>
            <w:r>
              <w:rPr>
                <w:sz w:val="17"/>
              </w:rPr>
              <w:t>The rubric version used for the review.</w:t>
            </w:r>
          </w:p>
        </w:tc>
      </w:tr>
      <w:tr w:rsidR="00844C82" w14:paraId="1839D1B7" w14:textId="77777777">
        <w:trPr>
          <w:jc w:val="center"/>
        </w:trPr>
        <w:tc>
          <w:tcPr>
            <w:tcW w:w="2520" w:type="dxa"/>
            <w:shd w:val="clear" w:color="auto" w:fill="F2F6FA"/>
            <w:tcMar>
              <w:top w:w="105" w:type="dxa"/>
              <w:left w:w="120" w:type="dxa"/>
              <w:bottom w:w="105" w:type="dxa"/>
              <w:right w:w="120" w:type="dxa"/>
            </w:tcMar>
            <w:vAlign w:val="center"/>
          </w:tcPr>
          <w:p w14:paraId="6FFFBEFF" w14:textId="77777777" w:rsidR="00844C82" w:rsidRDefault="00000000">
            <w:pPr>
              <w:spacing w:after="0"/>
            </w:pPr>
            <w:r>
              <w:rPr>
                <w:b/>
                <w:sz w:val="17"/>
              </w:rPr>
              <w:t>Unresolved question</w:t>
            </w:r>
          </w:p>
        </w:tc>
        <w:tc>
          <w:tcPr>
            <w:tcW w:w="7416" w:type="dxa"/>
            <w:shd w:val="clear" w:color="auto" w:fill="F2F6FA"/>
            <w:tcMar>
              <w:top w:w="105" w:type="dxa"/>
              <w:left w:w="120" w:type="dxa"/>
              <w:bottom w:w="105" w:type="dxa"/>
              <w:right w:w="120" w:type="dxa"/>
            </w:tcMar>
            <w:vAlign w:val="center"/>
          </w:tcPr>
          <w:p w14:paraId="414F3F3D" w14:textId="77777777" w:rsidR="00844C82" w:rsidRDefault="00000000">
            <w:pPr>
              <w:spacing w:after="0"/>
            </w:pPr>
            <w:r>
              <w:rPr>
                <w:sz w:val="17"/>
              </w:rPr>
              <w:t>The exact issue that needs sponsor, legal, data-owner, or methodology review.</w:t>
            </w:r>
          </w:p>
        </w:tc>
      </w:tr>
    </w:tbl>
    <w:p w14:paraId="7D2F290D" w14:textId="77777777" w:rsidR="00844C82" w:rsidRDefault="00844C82">
      <w:pPr>
        <w:spacing w:after="20"/>
      </w:pPr>
    </w:p>
    <w:p w14:paraId="1546D42E" w14:textId="77777777" w:rsidR="00844C82" w:rsidRDefault="00000000">
      <w:pPr>
        <w:pStyle w:val="Heading2"/>
      </w:pPr>
      <w:r>
        <w:t>Decision rules</w:t>
      </w:r>
    </w:p>
    <w:p w14:paraId="5946B74F" w14:textId="77777777" w:rsidR="00844C82" w:rsidRDefault="00000000">
      <w:pPr>
        <w:pStyle w:val="ListNumber"/>
        <w:spacing w:after="60"/>
      </w:pPr>
      <w:r>
        <w:t>Use Comparable only when definitions, numerators, denominators, population, period, and geography have been checked and match closely enough for a direct calculation.</w:t>
      </w:r>
    </w:p>
    <w:p w14:paraId="08F3404C" w14:textId="77777777" w:rsidR="00844C82" w:rsidRDefault="00000000">
      <w:pPr>
        <w:pStyle w:val="ListNumber"/>
        <w:spacing w:after="60"/>
      </w:pPr>
      <w:r>
        <w:t>Use Partially Comparable when the measure is still useful to display with a clear qualification but should not be directly calculated against another jurisdiction.</w:t>
      </w:r>
    </w:p>
    <w:p w14:paraId="76F65AFA" w14:textId="77777777" w:rsidR="00844C82" w:rsidRDefault="00000000">
      <w:pPr>
        <w:pStyle w:val="ListNumber"/>
        <w:spacing w:after="60"/>
      </w:pPr>
      <w:r>
        <w:t>Use Not Comparable when differences are material. Keep the value visible for context, but exclude it from comparative calculations.</w:t>
      </w:r>
    </w:p>
    <w:p w14:paraId="640D31F0" w14:textId="77777777" w:rsidR="00844C82" w:rsidRDefault="00000000">
      <w:pPr>
        <w:pStyle w:val="ListNumber"/>
        <w:spacing w:after="60"/>
      </w:pPr>
      <w:r>
        <w:t>Use Data Not Available or the governed availability label for missing data. Never convert missing data to zero.</w:t>
      </w:r>
    </w:p>
    <w:p w14:paraId="6941AD76" w14:textId="77777777" w:rsidR="00844C82" w:rsidRDefault="00000000">
      <w:pPr>
        <w:pStyle w:val="ListNumber"/>
        <w:spacing w:after="60"/>
      </w:pPr>
      <w:r>
        <w:t>Use Not Scorable when the available evidence cannot support a defensible structural judgment. Not Scorable is not a failing score.</w:t>
      </w:r>
    </w:p>
    <w:p w14:paraId="17A86994" w14:textId="77777777" w:rsidR="00844C82" w:rsidRDefault="00000000">
      <w:pPr>
        <w:pStyle w:val="ListNumber"/>
        <w:spacing w:after="60"/>
      </w:pPr>
      <w:r>
        <w:t>Use rates only when the same event, denominator, period, and population are represented. A rate per 1,000 does not fix a definition mismatch.</w:t>
      </w:r>
    </w:p>
    <w:p w14:paraId="32E700D9" w14:textId="77777777" w:rsidR="00844C82" w:rsidRDefault="00000000">
      <w:pPr>
        <w:pStyle w:val="ListNumber"/>
        <w:spacing w:after="60"/>
      </w:pPr>
      <w:r>
        <w:t>Treat outcome measures as signals for further review. Under the Fall 2026 scope, documented policy and implementation evidence determines the grade.</w:t>
      </w:r>
    </w:p>
    <w:p w14:paraId="63185381" w14:textId="77777777" w:rsidR="00844C82" w:rsidRDefault="00000000">
      <w:pPr>
        <w:pStyle w:val="Heading2"/>
      </w:pPr>
      <w:r>
        <w:t>Questions to resolve with the sponsor</w:t>
      </w:r>
    </w:p>
    <w:p w14:paraId="3748716D" w14:textId="77777777" w:rsidR="00844C82" w:rsidRDefault="00000000">
      <w:pPr>
        <w:pStyle w:val="ListBullet"/>
        <w:spacing w:after="60"/>
      </w:pPr>
      <w:r>
        <w:t>Confirm the third pilot state and the reporting years to use across all three states.</w:t>
      </w:r>
    </w:p>
    <w:p w14:paraId="71343C36" w14:textId="77777777" w:rsidR="00844C82" w:rsidRDefault="00000000">
      <w:pPr>
        <w:pStyle w:val="ListBullet"/>
        <w:spacing w:after="60"/>
      </w:pPr>
      <w:r>
        <w:t>Confirm whether Arizona has a separate alternative-response pathway that must be represented in the comparison table.</w:t>
      </w:r>
    </w:p>
    <w:p w14:paraId="7BF6C6BE" w14:textId="77777777" w:rsidR="00844C82" w:rsidRDefault="00000000">
      <w:pPr>
        <w:pStyle w:val="ListBullet"/>
        <w:spacing w:after="60"/>
      </w:pPr>
      <w:r>
        <w:t>Confirm the minimum evidence-confidence level required for a public score.</w:t>
      </w:r>
    </w:p>
    <w:p w14:paraId="45337337" w14:textId="77777777" w:rsidR="00844C82" w:rsidRDefault="00000000">
      <w:pPr>
        <w:pStyle w:val="ListBullet"/>
        <w:spacing w:after="60"/>
      </w:pPr>
      <w:r>
        <w:t>Confirm whether a definition change creates a series break or can be handled with a qualified trend.</w:t>
      </w:r>
    </w:p>
    <w:p w14:paraId="61D7D920" w14:textId="77777777" w:rsidR="00844C82" w:rsidRDefault="00000000">
      <w:pPr>
        <w:pStyle w:val="ListBullet"/>
        <w:spacing w:after="60"/>
      </w:pPr>
      <w:r>
        <w:t>Confirm the preferred public label for states with major documented gaps.</w:t>
      </w:r>
    </w:p>
    <w:p w14:paraId="30B179CA" w14:textId="77777777" w:rsidR="00844C82" w:rsidRDefault="00000000">
      <w:r>
        <w:br w:type="page"/>
      </w:r>
    </w:p>
    <w:p w14:paraId="239A1A11" w14:textId="77777777" w:rsidR="00844C82" w:rsidRDefault="00000000">
      <w:pPr>
        <w:pStyle w:val="Heading1"/>
      </w:pPr>
      <w:r>
        <w:lastRenderedPageBreak/>
        <w:t>Sources</w:t>
      </w:r>
    </w:p>
    <w:p w14:paraId="69E6D64A" w14:textId="77777777" w:rsidR="00844C82" w:rsidRDefault="00000000">
      <w:r>
        <w:rPr>
          <w:b/>
        </w:rPr>
        <w:t xml:space="preserve">Source note. </w:t>
      </w:r>
      <w:r>
        <w:t>The KARA/EIM files listed below are the controlling project sources. External government sources were used to clarify public definitions, reporting practices, and inclusive-language principles. State procedures can change, so dates and definitions should be rechecked before publication.</w:t>
      </w:r>
    </w:p>
    <w:p w14:paraId="57B7C619" w14:textId="77777777" w:rsidR="00844C82" w:rsidRDefault="00000000">
      <w:pPr>
        <w:pStyle w:val="ListBullet"/>
        <w:spacing w:after="60"/>
      </w:pPr>
      <w:r>
        <w:t>KARA: State-by-State CPS Policy Comparison and Awards Project Scope and Sprint 0 Direction, September 17, 2026</w:t>
      </w:r>
    </w:p>
    <w:p w14:paraId="40379888" w14:textId="77777777" w:rsidR="00844C82" w:rsidRDefault="00000000">
      <w:pPr>
        <w:pStyle w:val="ListBullet"/>
        <w:spacing w:after="60"/>
      </w:pPr>
      <w:r>
        <w:t>KARA EIM: Field Inventory and Data Tracking README, Metric Comparability, Pick List Reference, Observation Data Schema, Rubric Variable Map, and Validation Lists, updated through September 30, 2026</w:t>
      </w:r>
    </w:p>
    <w:p w14:paraId="2FE35F04" w14:textId="77777777" w:rsidR="00844C82" w:rsidRDefault="00000000">
      <w:pPr>
        <w:pStyle w:val="ListBullet"/>
        <w:spacing w:after="60"/>
      </w:pPr>
      <w:r>
        <w:t xml:space="preserve">Minnesota law: Minnesota Statutes chapter 260E, including sections 260E.03, 260E.17, and 260E.24 - </w:t>
      </w:r>
      <w:hyperlink r:id="rId8">
        <w:r>
          <w:rPr>
            <w:color w:val="17365D"/>
            <w:u w:val="single"/>
          </w:rPr>
          <w:t>source link</w:t>
        </w:r>
      </w:hyperlink>
    </w:p>
    <w:p w14:paraId="40C0EC7A" w14:textId="77777777" w:rsidR="00844C82" w:rsidRDefault="00000000">
      <w:pPr>
        <w:pStyle w:val="ListBullet"/>
        <w:spacing w:after="60"/>
      </w:pPr>
      <w:r>
        <w:t xml:space="preserve">Minnesota DCYF: Child Welfare Data Dashboard - </w:t>
      </w:r>
      <w:hyperlink r:id="rId9">
        <w:r>
          <w:rPr>
            <w:color w:val="17365D"/>
            <w:u w:val="single"/>
          </w:rPr>
          <w:t>source link</w:t>
        </w:r>
      </w:hyperlink>
    </w:p>
    <w:p w14:paraId="443CDDDC" w14:textId="77777777" w:rsidR="00844C82" w:rsidRDefault="00000000">
      <w:pPr>
        <w:pStyle w:val="ListBullet"/>
        <w:spacing w:after="60"/>
      </w:pPr>
      <w:r>
        <w:t xml:space="preserve">Arizona DCS: Investigation outcome - </w:t>
      </w:r>
      <w:hyperlink r:id="rId10">
        <w:r>
          <w:rPr>
            <w:color w:val="17365D"/>
            <w:u w:val="single"/>
          </w:rPr>
          <w:t>source link</w:t>
        </w:r>
      </w:hyperlink>
    </w:p>
    <w:p w14:paraId="6E181D15" w14:textId="77777777" w:rsidR="00844C82" w:rsidRDefault="00000000">
      <w:pPr>
        <w:pStyle w:val="ListBullet"/>
        <w:spacing w:after="60"/>
      </w:pPr>
      <w:r>
        <w:t xml:space="preserve">Arizona DCS: Performance Measures - </w:t>
      </w:r>
      <w:hyperlink r:id="rId11">
        <w:r>
          <w:rPr>
            <w:color w:val="17365D"/>
            <w:u w:val="single"/>
          </w:rPr>
          <w:t>source link</w:t>
        </w:r>
      </w:hyperlink>
    </w:p>
    <w:p w14:paraId="2E209881" w14:textId="77777777" w:rsidR="00844C82" w:rsidRDefault="00000000">
      <w:pPr>
        <w:pStyle w:val="ListBullet"/>
        <w:spacing w:after="60"/>
      </w:pPr>
      <w:r>
        <w:t xml:space="preserve">U.S. Children's Bureau: Child Maltreatment 2023 and NCANDS documentation - </w:t>
      </w:r>
      <w:hyperlink r:id="rId12">
        <w:r>
          <w:rPr>
            <w:color w:val="17365D"/>
            <w:u w:val="single"/>
          </w:rPr>
          <w:t>source link</w:t>
        </w:r>
      </w:hyperlink>
    </w:p>
    <w:sectPr w:rsidR="00844C82" w:rsidSect="00034616">
      <w:headerReference w:type="default" r:id="rId13"/>
      <w:footerReference w:type="default" r:id="rId14"/>
      <w:pgSz w:w="12240" w:h="15840"/>
      <w:pgMar w:top="1037" w:right="1123" w:bottom="950"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8FC15D" w14:textId="77777777" w:rsidR="00E1455C" w:rsidRDefault="00E1455C">
      <w:pPr>
        <w:spacing w:after="0" w:line="240" w:lineRule="auto"/>
      </w:pPr>
      <w:r>
        <w:separator/>
      </w:r>
    </w:p>
  </w:endnote>
  <w:endnote w:type="continuationSeparator" w:id="0">
    <w:p w14:paraId="40AC3BCB" w14:textId="77777777" w:rsidR="00E1455C" w:rsidRDefault="00E14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E4C252" w14:textId="77777777" w:rsidR="00844C82" w:rsidRDefault="00000000">
    <w:pPr>
      <w:pStyle w:val="Footer"/>
      <w:jc w:val="right"/>
    </w:pPr>
    <w:r>
      <w:rPr>
        <w:color w:val="666666"/>
        <w:sz w:val="18"/>
      </w:rPr>
      <w:t xml:space="preserve">Page </w:t>
    </w:r>
    <w:r>
      <w:rPr>
        <w:color w:val="666666"/>
        <w:sz w:val="18"/>
      </w:rPr>
      <w:fldChar w:fldCharType="begin"/>
    </w:r>
    <w:r>
      <w:rPr>
        <w:color w:val="666666"/>
        <w:sz w:val="18"/>
      </w:rPr>
      <w:instrText xml:space="preserve"> PAGE </w:instrText>
    </w:r>
    <w:r w:rsidR="002673EB">
      <w:rPr>
        <w:color w:val="666666"/>
        <w:sz w:val="18"/>
      </w:rPr>
      <w:fldChar w:fldCharType="separate"/>
    </w:r>
    <w:r w:rsidR="002673EB">
      <w:rPr>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F9F02B" w14:textId="77777777" w:rsidR="00E1455C" w:rsidRDefault="00E1455C">
      <w:pPr>
        <w:spacing w:after="0" w:line="240" w:lineRule="auto"/>
      </w:pPr>
      <w:r>
        <w:separator/>
      </w:r>
    </w:p>
  </w:footnote>
  <w:footnote w:type="continuationSeparator" w:id="0">
    <w:p w14:paraId="340FE4D3" w14:textId="77777777" w:rsidR="00E1455C" w:rsidRDefault="00E145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2E3736" w14:textId="308667CE" w:rsidR="00844C82" w:rsidRDefault="00000000">
    <w:pPr>
      <w:pStyle w:val="Header"/>
      <w:jc w:val="right"/>
    </w:pPr>
    <w:r>
      <w:rPr>
        <w:color w:val="666666"/>
        <w:sz w:val="17"/>
      </w:rPr>
      <w:t>KARA  |  Fall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2887684">
    <w:abstractNumId w:val="8"/>
  </w:num>
  <w:num w:numId="2" w16cid:durableId="1311834601">
    <w:abstractNumId w:val="6"/>
  </w:num>
  <w:num w:numId="3" w16cid:durableId="1307510129">
    <w:abstractNumId w:val="5"/>
  </w:num>
  <w:num w:numId="4" w16cid:durableId="993070196">
    <w:abstractNumId w:val="4"/>
  </w:num>
  <w:num w:numId="5" w16cid:durableId="410279358">
    <w:abstractNumId w:val="7"/>
  </w:num>
  <w:num w:numId="6" w16cid:durableId="523641484">
    <w:abstractNumId w:val="3"/>
  </w:num>
  <w:num w:numId="7" w16cid:durableId="90442935">
    <w:abstractNumId w:val="2"/>
  </w:num>
  <w:num w:numId="8" w16cid:durableId="1175533582">
    <w:abstractNumId w:val="1"/>
  </w:num>
  <w:num w:numId="9" w16cid:durableId="20783575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583"/>
    <w:rsid w:val="0015074B"/>
    <w:rsid w:val="002673EB"/>
    <w:rsid w:val="0029639D"/>
    <w:rsid w:val="00326F90"/>
    <w:rsid w:val="00691BA8"/>
    <w:rsid w:val="00844C82"/>
    <w:rsid w:val="009E528C"/>
    <w:rsid w:val="00AA1D8D"/>
    <w:rsid w:val="00B47730"/>
    <w:rsid w:val="00CB0664"/>
    <w:rsid w:val="00D9465B"/>
    <w:rsid w:val="00DD438B"/>
    <w:rsid w:val="00E145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B18C2B"/>
  <w14:defaultImageDpi w14:val="300"/>
  <w15:docId w15:val="{5B2343CF-FC63-E843-8D70-8384A6F72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visor.mn.gov/statutes/cite/260E/full"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cf.gov/cb/report/child-maltreatment-202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cs.az.gov/reports/performance-measure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cs.az.gov/faq/investigation-outcome" TargetMode="External"/><Relationship Id="rId4" Type="http://schemas.openxmlformats.org/officeDocument/2006/relationships/settings" Target="settings.xml"/><Relationship Id="rId9" Type="http://schemas.openxmlformats.org/officeDocument/2006/relationships/hyperlink" Target="https://dcyf.mn.gov/child-welfare-data-dashboar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fa5be20-dc39-4186-a780-7e1bcec99d18}" enabled="1" method="Standard" siteId="{c5063431-d7f2-48db-ac62-eaeaa2e0bffc}"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1886</Words>
  <Characters>10753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Document Differences Between States</vt:lpstr>
    </vt:vector>
  </TitlesOfParts>
  <Manager/>
  <Company/>
  <LinksUpToDate>false</LinksUpToDate>
  <CharactersWithSpaces>12614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Differences Between States</dc:title>
  <dc:subject>Fall 2026 KARA State-by-State CPS Policy Comparison and Awards</dc:subject>
  <dc:creator>ASU Capstone Team 122</dc:creator>
  <cp:keywords>KARA, CPS, child welfare, state comparison, Fall 2026</cp:keywords>
  <dc:description>generated by python-docx</dc:description>
  <cp:lastModifiedBy>Yusra Zeeshan</cp:lastModifiedBy>
  <cp:revision>2</cp:revision>
  <dcterms:created xsi:type="dcterms:W3CDTF">2026-10-01T16:34:00Z</dcterms:created>
  <dcterms:modified xsi:type="dcterms:W3CDTF">2026-10-01T16:34:00Z</dcterms:modified>
  <cp:category/>
</cp:coreProperties>
</file>