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40"/>
      </w:pPr>
      <w:r>
        <w:rPr>
          <w:sz w:val="20"/>
          <w:szCs w:val="20"/>
        </w:rPr>
        <w:t xml:space="preserve"> </w:t>
      </w:r>
    </w:p>
    <w:p>
      <w:pPr>
        <w:spacing w:after="0" w:before="0"/>
        <w:jc w:val="center"/>
      </w:pPr>
      <w:r>
        <w:rPr>
          <w:rFonts w:ascii="Arial" w:cs="Arial" w:eastAsia="Arial" w:hAnsi="Arial"/>
          <w:b/>
          <w:bCs/>
          <w:color w:val="1B3A6B"/>
          <w:sz w:val="80"/>
          <w:szCs w:val="80"/>
        </w:rPr>
        <w:t xml:space="preserve">THE COMPLETE CSO</w:t>
      </w:r>
    </w:p>
    <w:p>
      <w:pPr>
        <w:spacing w:after="100" w:before="0"/>
        <w:jc w:val="center"/>
      </w:pPr>
      <w:r>
        <w:rPr>
          <w:rFonts w:ascii="Arial" w:cs="Arial" w:eastAsia="Arial" w:hAnsi="Arial"/>
          <w:b/>
          <w:bCs/>
          <w:color w:val="0E7C7B"/>
          <w:sz w:val="80"/>
          <w:szCs w:val="80"/>
        </w:rPr>
        <w:t xml:space="preserve">DIGITAL CURRICULUM</w:t>
      </w:r>
    </w:p>
    <w:p>
      <w:pPr>
        <w:spacing w:after="60" w:before="0"/>
        <w:jc w:val="center"/>
      </w:pPr>
      <w:r>
        <w:rPr>
          <w:rFonts w:ascii="Arial" w:cs="Arial" w:eastAsia="Arial" w:hAnsi="Arial"/>
          <w:b/>
          <w:bCs/>
          <w:color w:val="C96A1A"/>
          <w:sz w:val="28"/>
          <w:szCs w:val="28"/>
        </w:rPr>
        <w:t xml:space="preserve">FINAL EDITION</w:t>
      </w:r>
    </w:p>
    <w:p>
      <w:pPr>
        <w:spacing w:after="320" w:before="0"/>
        <w:jc w:val="center"/>
      </w:pPr>
      <w:r>
        <w:rPr>
          <w:rFonts w:ascii="Arial" w:cs="Arial" w:eastAsia="Arial" w:hAnsi="Arial"/>
          <w:i/>
          <w:iCs/>
          <w:color w:val="7B8394"/>
          <w:sz w:val="22"/>
          <w:szCs w:val="22"/>
        </w:rPr>
        <w:t xml:space="preserve">30 Modules  •  10 Simulators  •  12 Frameworks  •  Agentic AI Integration  •  Future-Proofed to 2030</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W w:type="dxa" w:w="7800"/>
            <w:tcBorders>
              <w:top w:val="single" w:color="C8D0DC" w:sz="1"/>
              <w:left w:val="single" w:color="C8D0DC" w:sz="1"/>
              <w:bottom w:val="single" w:color="C8D0DC" w:sz="1"/>
              <w:right w:val="single" w:color="C8D0DC" w:sz="1"/>
            </w:tcBorders>
            <w:shd w:fill="1B3A6B" w:val="clear"/>
            <w:tcMar>
              <w:top w:type="dxa" w:w="240"/>
              <w:left w:type="dxa" w:w="360"/>
              <w:bottom w:type="dxa" w:w="240"/>
              <w:right w:type="dxa" w:w="360"/>
            </w:tcMar>
          </w:tcPr>
          <w:p>
            <w:pPr>
              <w:jc w:val="center"/>
            </w:pPr>
            <w:r>
              <w:rPr>
                <w:rFonts w:ascii="Arial" w:cs="Arial" w:eastAsia="Arial" w:hAnsi="Arial"/>
                <w:b/>
                <w:bCs/>
                <w:color w:val="FFFFFF"/>
                <w:sz w:val="32"/>
                <w:szCs w:val="32"/>
              </w:rPr>
              <w:t xml:space="preserve">Dr Doju Cherian</w:t>
            </w:r>
          </w:p>
          <w:p>
            <w:pPr>
              <w:spacing w:before="50"/>
              <w:jc w:val="center"/>
            </w:pPr>
            <w:r>
              <w:rPr>
                <w:rFonts w:ascii="Arial" w:cs="Arial" w:eastAsia="Arial" w:hAnsi="Arial"/>
                <w:color w:val="C8DFF0"/>
                <w:sz w:val="22"/>
                <w:szCs w:val="22"/>
              </w:rPr>
              <w:t xml:space="preserve">MBBS  |  GMC Registered  |  Internal Medicine Trainee</w:t>
            </w:r>
          </w:p>
          <w:p>
            <w:pPr>
              <w:spacing w:before="30"/>
              <w:jc w:val="center"/>
            </w:pPr>
            <w:r>
              <w:rPr>
                <w:rFonts w:ascii="Arial" w:cs="Arial" w:eastAsia="Arial" w:hAnsi="Arial"/>
                <w:color w:val="C8DFF0"/>
                <w:sz w:val="22"/>
                <w:szCs w:val="22"/>
              </w:rPr>
              <w:t xml:space="preserve">Sheffield Teaching Hospitals NHS Foundation Trust</w:t>
            </w:r>
          </w:p>
          <w:p>
            <w:pPr>
              <w:spacing w:before="30"/>
              <w:jc w:val="center"/>
            </w:pPr>
            <w:r>
              <w:rPr>
                <w:rFonts w:ascii="Arial" w:cs="Arial" w:eastAsia="Arial" w:hAnsi="Arial"/>
                <w:color w:val="C8DFF0"/>
                <w:sz w:val="20"/>
                <w:szCs w:val="20"/>
              </w:rPr>
              <w:t xml:space="preserve">PubMed-Indexed Author  |  LLM Evaluator  |  Clinical AI Collaborator  |  CSO</w:t>
            </w:r>
          </w:p>
          <w:p>
            <w:pPr>
              <w:spacing w:after="20" w:before="20"/>
            </w:pPr>
            <w:r>
              <w:rPr>
                <w:sz w:val="20"/>
                <w:szCs w:val="20"/>
              </w:rPr>
              <w:t xml:space="preserve"> </w:t>
            </w:r>
          </w:p>
          <w:p>
            <w:pPr>
              <w:jc w:val="center"/>
            </w:pPr>
            <w:r>
              <w:rPr>
                <w:rFonts w:ascii="Arial" w:cs="Arial" w:eastAsia="Arial" w:hAnsi="Arial"/>
                <w:b/>
                <w:bCs/>
                <w:color w:val="C96A1A"/>
                <w:sz w:val="26"/>
                <w:szCs w:val="26"/>
              </w:rPr>
              <w:t xml:space="preserve">clinicalaisafety.co.uk</w:t>
            </w:r>
          </w:p>
        </w:tc>
      </w:tr>
    </w:tbl>
    <w:p>
      <w:pPr>
        <w:spacing w:after="90" w:before="90"/>
      </w:pPr>
      <w:r>
        <w:rPr>
          <w:sz w:val="20"/>
          <w:szCs w:val="20"/>
        </w:rPr>
        <w:t xml:space="preserve"> </w:t>
      </w:r>
    </w:p>
    <w:p>
      <w:pPr>
        <w:jc w:val="center"/>
      </w:pPr>
      <w:r>
        <w:rPr>
          <w:rFonts w:ascii="Arial" w:cs="Arial" w:eastAsia="Arial" w:hAnsi="Arial"/>
          <w:i/>
          <w:iCs/>
          <w:color w:val="2E3440"/>
          <w:sz w:val="22"/>
          <w:szCs w:val="22"/>
        </w:rPr>
        <w:t xml:space="preserve">The definitive practical guide for Clinical Safety Officers in the NHS.</w:t>
      </w:r>
    </w:p>
    <w:p>
      <w:pPr>
        <w:spacing w:before="30"/>
        <w:jc w:val="center"/>
      </w:pPr>
      <w:r>
        <w:rPr>
          <w:rFonts w:ascii="Arial" w:cs="Arial" w:eastAsia="Arial" w:hAnsi="Arial"/>
          <w:i/>
          <w:iCs/>
          <w:color w:val="7B8394"/>
          <w:sz w:val="21"/>
          <w:szCs w:val="21"/>
        </w:rPr>
        <w:t xml:space="preserve">Research-grounded. Conference-validated. Built to own a category.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30"/>
              <w:left w:type="dxa" w:w="260"/>
              <w:bottom w:type="dxa" w:w="130"/>
              <w:right w:type="dxa" w:w="260"/>
            </w:tcMar>
          </w:tcPr>
          <w:p>
            <w:r>
              <w:rPr>
                <w:rFonts w:ascii="Arial" w:cs="Arial" w:eastAsia="Arial" w:hAnsi="Arial"/>
                <w:b/>
                <w:bCs/>
                <w:color w:val="FFFFFF"/>
                <w:sz w:val="26"/>
                <w:szCs w:val="26"/>
              </w:rPr>
              <w:t xml:space="preserve">CONTENTS</w:t>
            </w:r>
          </w:p>
        </w:tc>
      </w:tr>
    </w:tbl>
    <w:p>
      <w:pPr>
        <w:spacing w:after="30" w:before="3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8D0DC" w:sz="1"/>
              <w:left w:val="single" w:color="C8D0DC" w:sz="1"/>
              <w:bottom w:val="single" w:color="C8D0DC" w:sz="1"/>
              <w:right w:val="single" w:color="C8D0DC" w:sz="1"/>
            </w:tcBorders>
            <w:shd w:fill="1B3A6B" w:val="clear"/>
            <w:tcMar>
              <w:top w:type="dxa" w:w="90"/>
              <w:left w:type="dxa" w:w="130"/>
              <w:bottom w:type="dxa" w:w="90"/>
              <w:right w:type="dxa" w:w="130"/>
            </w:tcMar>
          </w:tcPr>
          <w:p>
            <w:r>
              <w:rPr>
                <w:rFonts w:ascii="Arial" w:cs="Arial" w:eastAsia="Arial" w:hAnsi="Arial"/>
                <w:b/>
                <w:bCs/>
                <w:color w:val="1B3A6B"/>
                <w:sz w:val="20"/>
                <w:szCs w:val="20"/>
              </w:rPr>
              <w:t xml:space="preserve">SECTION</w:t>
            </w:r>
          </w:p>
        </w:tc>
        <w:tc>
          <w:tcPr>
            <w:tcW w:type="dxa" w:w="1800"/>
            <w:tcBorders>
              <w:top w:val="single" w:color="C8D0DC" w:sz="1"/>
              <w:left w:val="single" w:color="C8D0DC" w:sz="1"/>
              <w:bottom w:val="single" w:color="C8D0DC" w:sz="1"/>
              <w:right w:val="single" w:color="C8D0DC" w:sz="1"/>
            </w:tcBorders>
            <w:shd w:fill="1B3A6B" w:val="clear"/>
            <w:tcMar>
              <w:top w:type="dxa" w:w="90"/>
              <w:left w:type="dxa" w:w="130"/>
              <w:bottom w:type="dxa" w:w="90"/>
              <w:right w:type="dxa" w:w="130"/>
            </w:tcMar>
          </w:tcPr>
          <w:p>
            <w:r>
              <w:rPr>
                <w:rFonts w:ascii="Arial" w:cs="Arial" w:eastAsia="Arial" w:hAnsi="Arial"/>
                <w:b/>
                <w:bCs/>
                <w:color w:val="1B3A6B"/>
                <w:sz w:val="20"/>
                <w:szCs w:val="20"/>
              </w:rPr>
              <w:t xml:space="preserve">PAGE</w:t>
            </w:r>
          </w:p>
        </w:tc>
      </w:tr>
      <w:tr>
        <w:tc>
          <w:tcPr>
            <w:tcW w:type="dxa" w:w="7560"/>
            <w:tcBorders>
              <w:top w:val="single" w:color="C8D0DC" w:sz="1"/>
              <w:left w:val="single" w:color="C8D0DC" w:sz="1"/>
              <w:bottom w:val="single" w:color="C8D0DC" w:sz="1"/>
              <w:right w:val="single" w:color="C8D0DC" w:sz="1"/>
            </w:tcBorders>
            <w:shd w:fill="EBF4FA" w:val="clear"/>
            <w:tcMar>
              <w:top w:type="dxa" w:w="90"/>
              <w:left w:type="dxa" w:w="130"/>
              <w:bottom w:type="dxa" w:w="90"/>
              <w:right w:type="dxa" w:w="130"/>
            </w:tcMar>
          </w:tcPr>
          <w:p>
            <w:r>
              <w:rPr>
                <w:rFonts w:ascii="Arial" w:cs="Arial" w:eastAsia="Arial" w:hAnsi="Arial"/>
                <w:b w:val="false"/>
                <w:bCs w:val="false"/>
                <w:color w:val="2E3440"/>
                <w:sz w:val="20"/>
                <w:szCs w:val="20"/>
              </w:rPr>
              <w:t xml:space="preserve">1.  The Strategic Foundation — Why This Exists and Who It Is For</w:t>
            </w:r>
          </w:p>
        </w:tc>
        <w:tc>
          <w:tcPr>
            <w:tcW w:type="dxa" w:w="1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3</w:t>
            </w:r>
          </w:p>
        </w:tc>
      </w:tr>
      <w:tr>
        <w:tc>
          <w:tcPr>
            <w:tcW w:type="dxa" w:w="756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20"/>
                <w:szCs w:val="20"/>
              </w:rPr>
              <w:t xml:space="preserve">2.  The Market Evidence — Conferences, Research &amp; Future Trends</w:t>
            </w:r>
          </w:p>
        </w:tc>
        <w:tc>
          <w:tcPr>
            <w:tcW w:type="dxa" w:w="1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5</w:t>
            </w:r>
          </w:p>
        </w:tc>
      </w:tr>
      <w:tr>
        <w:tc>
          <w:tcPr>
            <w:tcW w:type="dxa" w:w="7560"/>
            <w:tcBorders>
              <w:top w:val="single" w:color="C8D0DC" w:sz="1"/>
              <w:left w:val="single" w:color="C8D0DC" w:sz="1"/>
              <w:bottom w:val="single" w:color="C8D0DC" w:sz="1"/>
              <w:right w:val="single" w:color="C8D0DC" w:sz="1"/>
            </w:tcBorders>
            <w:shd w:fill="EBF4FA" w:val="clear"/>
            <w:tcMar>
              <w:top w:type="dxa" w:w="90"/>
              <w:left w:type="dxa" w:w="130"/>
              <w:bottom w:type="dxa" w:w="90"/>
              <w:right w:type="dxa" w:w="130"/>
            </w:tcMar>
          </w:tcPr>
          <w:p>
            <w:r>
              <w:rPr>
                <w:rFonts w:ascii="Arial" w:cs="Arial" w:eastAsia="Arial" w:hAnsi="Arial"/>
                <w:b w:val="false"/>
                <w:bCs w:val="false"/>
                <w:color w:val="2E3440"/>
                <w:sz w:val="20"/>
                <w:szCs w:val="20"/>
              </w:rPr>
              <w:t xml:space="preserve">3.  The 12 Frameworks — Applied in Hospital Practice</w:t>
            </w:r>
          </w:p>
        </w:tc>
        <w:tc>
          <w:tcPr>
            <w:tcW w:type="dxa" w:w="1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9</w:t>
            </w:r>
          </w:p>
        </w:tc>
      </w:tr>
      <w:tr>
        <w:tc>
          <w:tcPr>
            <w:tcW w:type="dxa" w:w="756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20"/>
                <w:szCs w:val="20"/>
              </w:rPr>
              <w:t xml:space="preserve">4.  The Launch Strategy — 30-Day Live Plan</w:t>
            </w:r>
          </w:p>
        </w:tc>
        <w:tc>
          <w:tcPr>
            <w:tcW w:type="dxa" w:w="1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11</w:t>
            </w:r>
          </w:p>
        </w:tc>
      </w:tr>
      <w:tr>
        <w:tc>
          <w:tcPr>
            <w:tcW w:type="dxa" w:w="7560"/>
            <w:tcBorders>
              <w:top w:val="single" w:color="C8D0DC" w:sz="1"/>
              <w:left w:val="single" w:color="C8D0DC" w:sz="1"/>
              <w:bottom w:val="single" w:color="C8D0DC" w:sz="1"/>
              <w:right w:val="single" w:color="C8D0DC" w:sz="1"/>
            </w:tcBorders>
            <w:shd w:fill="EBF4FA" w:val="clear"/>
            <w:tcMar>
              <w:top w:type="dxa" w:w="90"/>
              <w:left w:type="dxa" w:w="130"/>
              <w:bottom w:type="dxa" w:w="90"/>
              <w:right w:type="dxa" w:w="130"/>
            </w:tcMar>
          </w:tcPr>
          <w:p>
            <w:r>
              <w:rPr>
                <w:rFonts w:ascii="Arial" w:cs="Arial" w:eastAsia="Arial" w:hAnsi="Arial"/>
                <w:b w:val="false"/>
                <w:bCs w:val="false"/>
                <w:color w:val="2E3440"/>
                <w:sz w:val="20"/>
                <w:szCs w:val="20"/>
              </w:rPr>
              <w:t xml:space="preserve">5.  The Complete 30-Module Curriculum</w:t>
            </w:r>
          </w:p>
        </w:tc>
        <w:tc>
          <w:tcPr>
            <w:tcW w:type="dxa" w:w="1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13</w:t>
            </w:r>
          </w:p>
        </w:tc>
      </w:tr>
      <w:tr>
        <w:tc>
          <w:tcPr>
            <w:tcW w:type="dxa" w:w="756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20"/>
                <w:szCs w:val="20"/>
              </w:rPr>
              <w:t xml:space="preserve">6.  The 10 Interactive Simulators</w:t>
            </w:r>
          </w:p>
        </w:tc>
        <w:tc>
          <w:tcPr>
            <w:tcW w:type="dxa" w:w="1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27</w:t>
            </w:r>
          </w:p>
        </w:tc>
      </w:tr>
      <w:tr>
        <w:tc>
          <w:tcPr>
            <w:tcW w:type="dxa" w:w="7560"/>
            <w:tcBorders>
              <w:top w:val="single" w:color="C8D0DC" w:sz="1"/>
              <w:left w:val="single" w:color="C8D0DC" w:sz="1"/>
              <w:bottom w:val="single" w:color="C8D0DC" w:sz="1"/>
              <w:right w:val="single" w:color="C8D0DC" w:sz="1"/>
            </w:tcBorders>
            <w:shd w:fill="EBF4FA" w:val="clear"/>
            <w:tcMar>
              <w:top w:type="dxa" w:w="90"/>
              <w:left w:type="dxa" w:w="130"/>
              <w:bottom w:type="dxa" w:w="90"/>
              <w:right w:type="dxa" w:w="130"/>
            </w:tcMar>
          </w:tcPr>
          <w:p>
            <w:r>
              <w:rPr>
                <w:rFonts w:ascii="Arial" w:cs="Arial" w:eastAsia="Arial" w:hAnsi="Arial"/>
                <w:b w:val="false"/>
                <w:bCs w:val="false"/>
                <w:color w:val="2E3440"/>
                <w:sz w:val="20"/>
                <w:szCs w:val="20"/>
              </w:rPr>
              <w:t xml:space="preserve">7.  The Agentic AI Integration Plan</w:t>
            </w:r>
          </w:p>
        </w:tc>
        <w:tc>
          <w:tcPr>
            <w:tcW w:type="dxa" w:w="1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31</w:t>
            </w:r>
          </w:p>
        </w:tc>
      </w:tr>
      <w:tr>
        <w:tc>
          <w:tcPr>
            <w:tcW w:type="dxa" w:w="756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20"/>
                <w:szCs w:val="20"/>
              </w:rPr>
              <w:t xml:space="preserve">8.  The Content Formula — 7-Part Module Structure</w:t>
            </w:r>
          </w:p>
        </w:tc>
        <w:tc>
          <w:tcPr>
            <w:tcW w:type="dxa" w:w="1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33</w:t>
            </w:r>
          </w:p>
        </w:tc>
      </w:tr>
      <w:tr>
        <w:tc>
          <w:tcPr>
            <w:tcW w:type="dxa" w:w="7560"/>
            <w:tcBorders>
              <w:top w:val="single" w:color="C8D0DC" w:sz="1"/>
              <w:left w:val="single" w:color="C8D0DC" w:sz="1"/>
              <w:bottom w:val="single" w:color="C8D0DC" w:sz="1"/>
              <w:right w:val="single" w:color="C8D0DC" w:sz="1"/>
            </w:tcBorders>
            <w:shd w:fill="EBF4FA" w:val="clear"/>
            <w:tcMar>
              <w:top w:type="dxa" w:w="90"/>
              <w:left w:type="dxa" w:w="130"/>
              <w:bottom w:type="dxa" w:w="90"/>
              <w:right w:type="dxa" w:w="130"/>
            </w:tcMar>
          </w:tcPr>
          <w:p>
            <w:r>
              <w:rPr>
                <w:rFonts w:ascii="Arial" w:cs="Arial" w:eastAsia="Arial" w:hAnsi="Arial"/>
                <w:b w:val="false"/>
                <w:bCs w:val="false"/>
                <w:color w:val="2E3440"/>
                <w:sz w:val="20"/>
                <w:szCs w:val="20"/>
              </w:rPr>
              <w:t xml:space="preserve">9.  The Website Architecture &amp; Technical Roadmap</w:t>
            </w:r>
          </w:p>
        </w:tc>
        <w:tc>
          <w:tcPr>
            <w:tcW w:type="dxa" w:w="1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35</w:t>
            </w:r>
          </w:p>
        </w:tc>
      </w:tr>
      <w:tr>
        <w:tc>
          <w:tcPr>
            <w:tcW w:type="dxa" w:w="756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20"/>
                <w:szCs w:val="20"/>
              </w:rPr>
              <w:t xml:space="preserve">10. The Career Integration — Fellowship, ValgrAI, Big Tech</w:t>
            </w:r>
          </w:p>
        </w:tc>
        <w:tc>
          <w:tcPr>
            <w:tcW w:type="dxa" w:w="1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37</w:t>
            </w:r>
          </w:p>
        </w:tc>
      </w:tr>
      <w:tr>
        <w:tc>
          <w:tcPr>
            <w:tcW w:type="dxa" w:w="7560"/>
            <w:tcBorders>
              <w:top w:val="single" w:color="C8D0DC" w:sz="1"/>
              <w:left w:val="single" w:color="C8D0DC" w:sz="1"/>
              <w:bottom w:val="single" w:color="C8D0DC" w:sz="1"/>
              <w:right w:val="single" w:color="C8D0DC" w:sz="1"/>
            </w:tcBorders>
            <w:shd w:fill="EBF4FA" w:val="clear"/>
            <w:tcMar>
              <w:top w:type="dxa" w:w="90"/>
              <w:left w:type="dxa" w:w="130"/>
              <w:bottom w:type="dxa" w:w="90"/>
              <w:right w:type="dxa" w:w="130"/>
            </w:tcMar>
          </w:tcPr>
          <w:p>
            <w:r>
              <w:rPr>
                <w:rFonts w:ascii="Arial" w:cs="Arial" w:eastAsia="Arial" w:hAnsi="Arial"/>
                <w:b w:val="false"/>
                <w:bCs w:val="false"/>
                <w:color w:val="2E3440"/>
                <w:sz w:val="20"/>
                <w:szCs w:val="20"/>
              </w:rPr>
              <w:t xml:space="preserve">11. The Commercial Model — Revenue Streams &amp; ROI</w:t>
            </w:r>
          </w:p>
        </w:tc>
        <w:tc>
          <w:tcPr>
            <w:tcW w:type="dxa" w:w="1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39</w:t>
            </w:r>
          </w:p>
        </w:tc>
      </w:tr>
      <w:tr>
        <w:tc>
          <w:tcPr>
            <w:tcW w:type="dxa" w:w="756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20"/>
                <w:szCs w:val="20"/>
              </w:rPr>
              <w:t xml:space="preserve">12. The Collaboration Workflow &amp; Next Steps</w:t>
            </w:r>
          </w:p>
        </w:tc>
        <w:tc>
          <w:tcPr>
            <w:tcW w:type="dxa" w:w="1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41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30"/>
              <w:left w:type="dxa" w:w="260"/>
              <w:bottom w:type="dxa" w:w="130"/>
              <w:right w:type="dxa" w:w="260"/>
            </w:tcMar>
          </w:tcPr>
          <w:p>
            <w:r>
              <w:rPr>
                <w:rFonts w:ascii="Arial" w:cs="Arial" w:eastAsia="Arial" w:hAnsi="Arial"/>
                <w:b/>
                <w:bCs/>
                <w:color w:val="FFFFFF"/>
                <w:sz w:val="26"/>
                <w:szCs w:val="26"/>
              </w:rPr>
              <w:t xml:space="preserve">SECTION 1 — THE STRATEGIC FOUNDATION</w:t>
            </w:r>
          </w:p>
        </w:tc>
      </w:tr>
    </w:tbl>
    <w:p>
      <w:pPr>
        <w:spacing w:after="40" w:before="40"/>
      </w:pPr>
      <w:r>
        <w:rPr>
          <w:sz w:val="20"/>
          <w:szCs w:val="20"/>
        </w:rPr>
        <w:t xml:space="preserve"> </w:t>
      </w:r>
    </w:p>
    <w:p>
      <w:pPr>
        <w:pBdr>
          <w:bottom w:val="single" w:color="0E7C7B" w:sz="3" w:space="1"/>
        </w:pBdr>
        <w:spacing w:after="80" w:before="220"/>
      </w:pPr>
      <w:r>
        <w:rPr>
          <w:rFonts w:ascii="Arial" w:cs="Arial" w:eastAsia="Arial" w:hAnsi="Arial"/>
          <w:b/>
          <w:bCs/>
          <w:color w:val="0E7C7B"/>
          <w:sz w:val="24"/>
          <w:szCs w:val="24"/>
        </w:rPr>
        <w:t xml:space="preserve">What This Is and What It Is Not</w:t>
      </w:r>
    </w:p>
    <w:p>
      <w:pPr>
        <w:spacing w:after="55" w:before="55"/>
      </w:pPr>
      <w:r>
        <w:rPr>
          <w:rFonts w:ascii="Arial" w:cs="Arial" w:eastAsia="Arial" w:hAnsi="Arial"/>
          <w:b w:val="false"/>
          <w:bCs w:val="false"/>
          <w:color w:val="2E3440"/>
          <w:sz w:val="22"/>
          <w:szCs w:val="22"/>
        </w:rPr>
        <w:t xml:space="preserve">This is not a blog. It is not a side project. It is not a collection of articles about clinical safety theory.</w:t>
      </w:r>
    </w:p>
    <w:p>
      <w:pPr>
        <w:spacing w:after="55" w:before="55"/>
      </w:pPr>
      <w:r>
        <w:rPr>
          <w:rFonts w:ascii="Arial" w:cs="Arial" w:eastAsia="Arial" w:hAnsi="Arial"/>
          <w:b w:val="false"/>
          <w:bCs w:val="false"/>
          <w:color w:val="2E3440"/>
          <w:sz w:val="22"/>
          <w:szCs w:val="22"/>
        </w:rPr>
        <w:t xml:space="preserve">This is a category ownership play. It is the deliberate, research-grounded construction of the definitive practical resource for Clinical Safety Officers in the NHS — before anyone else occupies that space.</w:t>
      </w:r>
    </w:p>
    <w:p>
      <w:pPr>
        <w:spacing w:after="55" w:before="55"/>
      </w:pPr>
      <w:r>
        <w:rPr>
          <w:rFonts w:ascii="Arial" w:cs="Arial" w:eastAsia="Arial" w:hAnsi="Arial"/>
          <w:b w:val="false"/>
          <w:bCs w:val="false"/>
          <w:color w:val="2E3440"/>
          <w:sz w:val="22"/>
          <w:szCs w:val="22"/>
        </w:rPr>
        <w:t xml:space="preserve">The timing is precise. The NHS 10 Year Plan is deploying AI at a scale never seen before. Every deployment legally requires a DCB-compliant CSO. Most CSOs do not know how to do their job in practice. No practical training resource exists. This curriculum fills that gap — and then becomes the authority that defines the field.</w:t>
      </w:r>
    </w:p>
    <w:p>
      <w:pPr>
        <w:spacing w:after="30" w:before="30"/>
      </w:pPr>
      <w:r>
        <w:rPr>
          <w:sz w:val="20"/>
          <w:szCs w:val="20"/>
        </w:rPr>
        <w:t xml:space="preserve"> </w:t>
      </w:r>
    </w:p>
    <w:p>
      <w:pPr>
        <w:pBdr>
          <w:bottom w:val="single" w:color="0E7C7B" w:sz="3" w:space="1"/>
        </w:pBdr>
        <w:spacing w:after="80" w:before="220"/>
      </w:pPr>
      <w:r>
        <w:rPr>
          <w:rFonts w:ascii="Arial" w:cs="Arial" w:eastAsia="Arial" w:hAnsi="Arial"/>
          <w:b/>
          <w:bCs/>
          <w:color w:val="0E7C7B"/>
          <w:sz w:val="24"/>
          <w:szCs w:val="24"/>
        </w:rPr>
        <w:t xml:space="preserve">The Real Problem — In the Words of Real CSOs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EBF4FA" w:val="clear"/>
            <w:tcMar>
              <w:top w:type="dxa" w:w="120"/>
              <w:left w:type="dxa" w:w="180"/>
              <w:bottom w:type="dxa" w:w="120"/>
              <w:right w:type="dxa" w:w="180"/>
            </w:tcMar>
          </w:tcPr>
          <w:p>
            <w:r>
              <w:rPr>
                <w:rFonts w:ascii="Arial" w:cs="Arial" w:eastAsia="Arial" w:hAnsi="Arial"/>
                <w:b/>
                <w:bCs/>
                <w:color w:val="1B3A6B"/>
                <w:sz w:val="22"/>
                <w:szCs w:val="22"/>
              </w:rPr>
              <w:t xml:space="preserve">The Core Insight — In Dr Doju Cherian's Own Words</w:t>
            </w:r>
          </w:p>
          <w:p>
            <w:pPr>
              <w:spacing w:before="35"/>
            </w:pPr>
            <w:r>
              <w:rPr>
                <w:rFonts w:ascii="Arial" w:cs="Arial" w:eastAsia="Arial" w:hAnsi="Arial"/>
                <w:color w:val="2E3440"/>
                <w:sz w:val="20"/>
                <w:szCs w:val="20"/>
              </w:rPr>
              <w:t xml:space="preserve">I completed the NHS DCB0129/0160 certification. I had a certificate. I had no idea how to write a Hazard Log for a real AI system, how to evaluate a supplier's safety case, how to run a Clinical Risk Assessment in an MDT, or what to do when a board had already signed a contract I had safety concerns about. Nobody had written the practical guide. This curriculum is that guide.</w:t>
            </w:r>
          </w:p>
        </w:tc>
      </w:tr>
    </w:tbl>
    <w:p>
      <w:pPr>
        <w:spacing w:after="40" w:before="4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B3A6B" w:val="clear"/>
            <w:tcMar>
              <w:top w:type="dxa" w:w="140"/>
              <w:left w:type="dxa" w:w="140"/>
              <w:bottom w:type="dxa" w:w="140"/>
              <w:right w:type="dxa" w:w="140"/>
            </w:tcMar>
          </w:tcPr>
          <w:p>
            <w:pPr>
              <w:jc w:val="center"/>
            </w:pPr>
            <w:r>
              <w:rPr>
                <w:rFonts w:ascii="Arial" w:cs="Arial" w:eastAsia="Arial" w:hAnsi="Arial"/>
                <w:b/>
                <w:bCs/>
                <w:color w:val="C96A1A"/>
                <w:sz w:val="44"/>
                <w:szCs w:val="44"/>
              </w:rPr>
              <w:t xml:space="preserve">&gt;10,000</w:t>
            </w:r>
          </w:p>
          <w:p>
            <w:pPr>
              <w:spacing w:before="30"/>
              <w:jc w:val="center"/>
            </w:pPr>
            <w:r>
              <w:rPr>
                <w:rFonts w:ascii="Arial" w:cs="Arial" w:eastAsia="Arial" w:hAnsi="Arial"/>
                <w:color w:val="FFFFFF"/>
                <w:sz w:val="18"/>
                <w:szCs w:val="18"/>
              </w:rPr>
              <w:t xml:space="preserve">DHTs deployed without safety assurance</w:t>
            </w:r>
          </w:p>
        </w:tc>
        <w:tc>
          <w:tcPr>
            <w:tcW w:type="dxa" w:w="2340"/>
            <w:tcBorders>
              <w:top w:val="none" w:color="FFFFFF" w:sz="0"/>
              <w:left w:val="none" w:color="FFFFFF" w:sz="0"/>
              <w:bottom w:val="none" w:color="FFFFFF" w:sz="0"/>
              <w:right w:val="none" w:color="FFFFFF" w:sz="0"/>
            </w:tcBorders>
            <w:shd w:fill="0A5454" w:val="clear"/>
            <w:tcMar>
              <w:top w:type="dxa" w:w="140"/>
              <w:left w:type="dxa" w:w="140"/>
              <w:bottom w:type="dxa" w:w="140"/>
              <w:right w:type="dxa" w:w="140"/>
            </w:tcMar>
          </w:tcPr>
          <w:p>
            <w:pPr>
              <w:jc w:val="center"/>
            </w:pPr>
            <w:r>
              <w:rPr>
                <w:rFonts w:ascii="Arial" w:cs="Arial" w:eastAsia="Arial" w:hAnsi="Arial"/>
                <w:b/>
                <w:bCs/>
                <w:color w:val="C96A1A"/>
                <w:sz w:val="44"/>
                <w:szCs w:val="44"/>
              </w:rPr>
              <w:t xml:space="preserve">3 in 4</w:t>
            </w:r>
          </w:p>
          <w:p>
            <w:pPr>
              <w:spacing w:before="30"/>
              <w:jc w:val="center"/>
            </w:pPr>
            <w:r>
              <w:rPr>
                <w:rFonts w:ascii="Arial" w:cs="Arial" w:eastAsia="Arial" w:hAnsi="Arial"/>
                <w:color w:val="FFFFFF"/>
                <w:sz w:val="18"/>
                <w:szCs w:val="18"/>
              </w:rPr>
              <w:t xml:space="preserve">NHS digital tools not DCB compliant</w:t>
            </w:r>
          </w:p>
        </w:tc>
        <w:tc>
          <w:tcPr>
            <w:tcW w:type="dxa" w:w="2340"/>
            <w:tcBorders>
              <w:top w:val="none" w:color="FFFFFF" w:sz="0"/>
              <w:left w:val="none" w:color="FFFFFF" w:sz="0"/>
              <w:bottom w:val="none" w:color="FFFFFF" w:sz="0"/>
              <w:right w:val="none" w:color="FFFFFF" w:sz="0"/>
            </w:tcBorders>
            <w:shd w:fill="1B3A6B" w:val="clear"/>
            <w:tcMar>
              <w:top w:type="dxa" w:w="140"/>
              <w:left w:type="dxa" w:w="140"/>
              <w:bottom w:type="dxa" w:w="140"/>
              <w:right w:type="dxa" w:w="140"/>
            </w:tcMar>
          </w:tcPr>
          <w:p>
            <w:pPr>
              <w:jc w:val="center"/>
            </w:pPr>
            <w:r>
              <w:rPr>
                <w:rFonts w:ascii="Arial" w:cs="Arial" w:eastAsia="Arial" w:hAnsi="Arial"/>
                <w:b/>
                <w:bCs/>
                <w:color w:val="C96A1A"/>
                <w:sz w:val="44"/>
                <w:szCs w:val="44"/>
              </w:rPr>
              <w:t xml:space="preserve">50%</w:t>
            </w:r>
          </w:p>
          <w:p>
            <w:pPr>
              <w:spacing w:before="30"/>
              <w:jc w:val="center"/>
            </w:pPr>
            <w:r>
              <w:rPr>
                <w:rFonts w:ascii="Arial" w:cs="Arial" w:eastAsia="Arial" w:hAnsi="Arial"/>
                <w:color w:val="FFFFFF"/>
                <w:sz w:val="18"/>
                <w:szCs w:val="18"/>
              </w:rPr>
              <w:t xml:space="preserve">CSOs surveyed do not understand their own role</w:t>
            </w:r>
          </w:p>
        </w:tc>
        <w:tc>
          <w:tcPr>
            <w:tcW w:type="dxa" w:w="2340"/>
            <w:tcBorders>
              <w:top w:val="none" w:color="FFFFFF" w:sz="0"/>
              <w:left w:val="none" w:color="FFFFFF" w:sz="0"/>
              <w:bottom w:val="none" w:color="FFFFFF" w:sz="0"/>
              <w:right w:val="none" w:color="FFFFFF" w:sz="0"/>
            </w:tcBorders>
            <w:shd w:fill="0A5454" w:val="clear"/>
            <w:tcMar>
              <w:top w:type="dxa" w:w="140"/>
              <w:left w:type="dxa" w:w="140"/>
              <w:bottom w:type="dxa" w:w="140"/>
              <w:right w:type="dxa" w:w="140"/>
            </w:tcMar>
          </w:tcPr>
          <w:p>
            <w:pPr>
              <w:jc w:val="center"/>
            </w:pPr>
            <w:r>
              <w:rPr>
                <w:rFonts w:ascii="Arial" w:cs="Arial" w:eastAsia="Arial" w:hAnsi="Arial"/>
                <w:b/>
                <w:bCs/>
                <w:color w:val="C96A1A"/>
                <w:sz w:val="44"/>
                <w:szCs w:val="44"/>
              </w:rPr>
              <w:t xml:space="preserve">75%</w:t>
            </w:r>
          </w:p>
          <w:p>
            <w:pPr>
              <w:spacing w:before="30"/>
              <w:jc w:val="center"/>
            </w:pPr>
            <w:r>
              <w:rPr>
                <w:rFonts w:ascii="Arial" w:cs="Arial" w:eastAsia="Arial" w:hAnsi="Arial"/>
                <w:color w:val="FFFFFF"/>
                <w:sz w:val="18"/>
                <w:szCs w:val="18"/>
              </w:rPr>
              <w:t xml:space="preserve">Organisations with no digital safety culture</w:t>
            </w:r>
          </w:p>
        </w:tc>
      </w:tr>
    </w:tbl>
    <w:p>
      <w:pPr>
        <w:spacing w:after="25" w:before="25"/>
      </w:pPr>
      <w:r>
        <w:rPr>
          <w:sz w:val="20"/>
          <w:szCs w:val="20"/>
        </w:rPr>
        <w:t xml:space="preserve"> </w:t>
      </w:r>
    </w:p>
    <w:p>
      <w:pPr>
        <w:spacing w:after="45" w:before="45"/>
      </w:pPr>
      <w:r>
        <w:rPr>
          <w:rFonts w:ascii="Arial" w:cs="Arial" w:eastAsia="Arial" w:hAnsi="Arial"/>
          <w:i/>
          <w:iCs/>
          <w:color w:val="7B8394"/>
          <w:sz w:val="21"/>
          <w:szCs w:val="21"/>
        </w:rPr>
        <w:t xml:space="preserve">Source: JMIR National Cross-Sectional Study, 2025 — 239 NHS organisations, 14,747 DHT deployments surveyed</w:t>
      </w:r>
    </w:p>
    <w:p>
      <w:pPr>
        <w:spacing w:after="40" w:before="40"/>
      </w:pPr>
      <w:r>
        <w:rPr>
          <w:sz w:val="20"/>
          <w:szCs w:val="20"/>
        </w:rPr>
        <w:t xml:space="preserve"> </w:t>
      </w:r>
    </w:p>
    <w:p>
      <w:pPr>
        <w:pBdr>
          <w:bottom w:val="single" w:color="0E7C7B" w:sz="3" w:space="1"/>
        </w:pBdr>
        <w:spacing w:after="80" w:before="220"/>
      </w:pPr>
      <w:r>
        <w:rPr>
          <w:rFonts w:ascii="Arial" w:cs="Arial" w:eastAsia="Arial" w:hAnsi="Arial"/>
          <w:b/>
          <w:bCs/>
          <w:color w:val="0E7C7B"/>
          <w:sz w:val="24"/>
          <w:szCs w:val="24"/>
        </w:rPr>
        <w:t xml:space="preserve">The Primary Audience</w:t>
      </w:r>
    </w:p>
    <w:p>
      <w:pPr>
        <w:spacing w:after="55" w:before="55"/>
      </w:pPr>
      <w:r>
        <w:rPr>
          <w:rFonts w:ascii="Arial" w:cs="Arial" w:eastAsia="Arial" w:hAnsi="Arial"/>
          <w:b w:val="false"/>
          <w:bCs w:val="false"/>
          <w:color w:val="2E3440"/>
          <w:sz w:val="22"/>
          <w:szCs w:val="22"/>
        </w:rPr>
        <w:t xml:space="preserve">This curriculum has one primary audience, defined precisely:</w:t>
      </w:r>
    </w:p>
    <w:p>
      <w:pPr>
        <w:spacing w:after="20" w:before="2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EBF4FA" w:val="clear"/>
            <w:tcMar>
              <w:top w:type="dxa" w:w="120"/>
              <w:left w:type="dxa" w:w="180"/>
              <w:bottom w:type="dxa" w:w="120"/>
              <w:right w:type="dxa" w:w="180"/>
            </w:tcMar>
          </w:tcPr>
          <w:p>
            <w:r>
              <w:rPr>
                <w:rFonts w:ascii="Arial" w:cs="Arial" w:eastAsia="Arial" w:hAnsi="Arial"/>
                <w:b/>
                <w:bCs/>
                <w:color w:val="1B3A6B"/>
                <w:sz w:val="22"/>
                <w:szCs w:val="22"/>
              </w:rPr>
              <w:t xml:space="preserve">Primary Audience</w:t>
            </w:r>
          </w:p>
          <w:p>
            <w:pPr>
              <w:spacing w:before="35"/>
            </w:pPr>
            <w:r>
              <w:rPr>
                <w:rFonts w:ascii="Arial" w:cs="Arial" w:eastAsia="Arial" w:hAnsi="Arial"/>
                <w:color w:val="2E3440"/>
                <w:sz w:val="20"/>
                <w:szCs w:val="20"/>
              </w:rPr>
              <w:t xml:space="preserve">NHS Clinical Safety Officers who are deploying or evaluating AI-enabled digital health technologies — and who know the theory of DCB0129/0160 but do not know how to apply it in a real hospital setting.</w:t>
            </w:r>
          </w:p>
        </w:tc>
      </w:tr>
    </w:tbl>
    <w:p>
      <w:pPr>
        <w:spacing w:after="25" w:before="25"/>
      </w:pPr>
      <w:r>
        <w:rPr>
          <w:sz w:val="20"/>
          <w:szCs w:val="20"/>
        </w:rPr>
        <w:t xml:space="preserve"> </w:t>
      </w:r>
    </w:p>
    <w:p>
      <w:pPr>
        <w:spacing w:after="55" w:before="55"/>
      </w:pPr>
      <w:r>
        <w:rPr>
          <w:rFonts w:ascii="Arial" w:cs="Arial" w:eastAsia="Arial" w:hAnsi="Arial"/>
          <w:b w:val="false"/>
          <w:bCs w:val="false"/>
          <w:color w:val="2E3440"/>
          <w:sz w:val="22"/>
          <w:szCs w:val="22"/>
        </w:rPr>
        <w:t xml:space="preserve">Secondary audiences — reached after primary audience is established:</w:t>
      </w:r>
    </w:p>
    <w:p>
      <w:pPr>
        <w:pStyle w:val="ListParagraph"/>
        <w:numPr>
          <w:ilvl w:val="0"/>
          <w:numId w:val="2"/>
        </w:numPr>
        <w:spacing w:after="38" w:before="38"/>
      </w:pPr>
      <w:r>
        <w:rPr>
          <w:rFonts w:ascii="Arial" w:cs="Arial" w:eastAsia="Arial" w:hAnsi="Arial"/>
          <w:color w:val="2E3440"/>
          <w:sz w:val="21"/>
          <w:szCs w:val="21"/>
        </w:rPr>
        <w:t xml:space="preserve">NHS clinicians preparing to become CSOs for the first time</w:t>
      </w:r>
    </w:p>
    <w:p>
      <w:pPr>
        <w:pStyle w:val="ListParagraph"/>
        <w:numPr>
          <w:ilvl w:val="0"/>
          <w:numId w:val="2"/>
        </w:numPr>
        <w:spacing w:after="38" w:before="38"/>
      </w:pPr>
      <w:r>
        <w:rPr>
          <w:rFonts w:ascii="Arial" w:cs="Arial" w:eastAsia="Arial" w:hAnsi="Arial"/>
          <w:color w:val="2E3440"/>
          <w:sz w:val="21"/>
          <w:szCs w:val="21"/>
        </w:rPr>
        <w:t xml:space="preserve">HealthTech suppliers who need to understand what a deploying organisation CSO will demand</w:t>
      </w:r>
    </w:p>
    <w:p>
      <w:pPr>
        <w:pStyle w:val="ListParagraph"/>
        <w:numPr>
          <w:ilvl w:val="0"/>
          <w:numId w:val="2"/>
        </w:numPr>
        <w:spacing w:after="38" w:before="38"/>
      </w:pPr>
      <w:r>
        <w:rPr>
          <w:rFonts w:ascii="Arial" w:cs="Arial" w:eastAsia="Arial" w:hAnsi="Arial"/>
          <w:color w:val="2E3440"/>
          <w:sz w:val="21"/>
          <w:szCs w:val="21"/>
        </w:rPr>
        <w:t xml:space="preserve">NHS digital leads and CCIOs overseeing clinical safety governance</w:t>
      </w:r>
    </w:p>
    <w:p>
      <w:pPr>
        <w:pStyle w:val="ListParagraph"/>
        <w:numPr>
          <w:ilvl w:val="0"/>
          <w:numId w:val="2"/>
        </w:numPr>
        <w:spacing w:after="38" w:before="38"/>
      </w:pPr>
      <w:r>
        <w:rPr>
          <w:rFonts w:ascii="Arial" w:cs="Arial" w:eastAsia="Arial" w:hAnsi="Arial"/>
          <w:color w:val="2E3440"/>
          <w:sz w:val="21"/>
          <w:szCs w:val="21"/>
        </w:rPr>
        <w:t xml:space="preserve">Clinical AI Fellows and fellowship applicants building their expertise</w:t>
      </w:r>
    </w:p>
    <w:p>
      <w:pPr>
        <w:spacing w:after="40" w:before="40"/>
      </w:pPr>
      <w:r>
        <w:rPr>
          <w:sz w:val="20"/>
          <w:szCs w:val="20"/>
        </w:rPr>
        <w:t xml:space="preserve"> </w:t>
      </w:r>
    </w:p>
    <w:p>
      <w:pPr>
        <w:pBdr>
          <w:bottom w:val="single" w:color="0E7C7B" w:sz="3" w:space="1"/>
        </w:pBdr>
        <w:spacing w:after="80" w:before="220"/>
      </w:pPr>
      <w:r>
        <w:rPr>
          <w:rFonts w:ascii="Arial" w:cs="Arial" w:eastAsia="Arial" w:hAnsi="Arial"/>
          <w:b/>
          <w:bCs/>
          <w:color w:val="0E7C7B"/>
          <w:sz w:val="24"/>
          <w:szCs w:val="24"/>
        </w:rPr>
        <w:t xml:space="preserve">The Four Things This Builds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0DC" w:sz="1"/>
              <w:left w:val="single" w:color="C8D0DC" w:sz="1"/>
              <w:bottom w:val="single" w:color="C8D0DC" w:sz="1"/>
              <w:right w:val="single" w:color="C8D0DC" w:sz="1"/>
            </w:tcBorders>
            <w:shd w:fill="1B3A6B" w:val="clear"/>
            <w:tcMar>
              <w:top w:type="dxa" w:w="90"/>
              <w:left w:type="dxa" w:w="130"/>
              <w:bottom w:type="dxa" w:w="90"/>
              <w:right w:type="dxa" w:w="130"/>
            </w:tcMar>
          </w:tcPr>
          <w:p>
            <w:r>
              <w:rPr>
                <w:rFonts w:ascii="Arial" w:cs="Arial" w:eastAsia="Arial" w:hAnsi="Arial"/>
                <w:b/>
                <w:bCs/>
                <w:color w:val="1B3A6B"/>
                <w:sz w:val="20"/>
                <w:szCs w:val="20"/>
              </w:rPr>
              <w:t xml:space="preserve">Layer</w:t>
            </w:r>
          </w:p>
        </w:tc>
        <w:tc>
          <w:tcPr>
            <w:tcW w:type="dxa" w:w="6960"/>
            <w:tcBorders>
              <w:top w:val="single" w:color="C8D0DC" w:sz="1"/>
              <w:left w:val="single" w:color="C8D0DC" w:sz="1"/>
              <w:bottom w:val="single" w:color="C8D0DC" w:sz="1"/>
              <w:right w:val="single" w:color="C8D0DC" w:sz="1"/>
            </w:tcBorders>
            <w:shd w:fill="1B3A6B" w:val="clear"/>
            <w:tcMar>
              <w:top w:type="dxa" w:w="90"/>
              <w:left w:type="dxa" w:w="130"/>
              <w:bottom w:type="dxa" w:w="90"/>
              <w:right w:type="dxa" w:w="130"/>
            </w:tcMar>
          </w:tcPr>
          <w:p>
            <w:r>
              <w:rPr>
                <w:rFonts w:ascii="Arial" w:cs="Arial" w:eastAsia="Arial" w:hAnsi="Arial"/>
                <w:b/>
                <w:bCs/>
                <w:color w:val="1B3A6B"/>
                <w:sz w:val="20"/>
                <w:szCs w:val="20"/>
              </w:rPr>
              <w:t xml:space="preserve">What It Creates</w:t>
            </w:r>
          </w:p>
        </w:tc>
      </w:tr>
      <w:tr>
        <w:tc>
          <w:tcPr>
            <w:tcW w:type="dxa" w:w="2400"/>
            <w:tcBorders>
              <w:top w:val="single" w:color="C8D0DC" w:sz="1"/>
              <w:left w:val="single" w:color="C8D0DC" w:sz="1"/>
              <w:bottom w:val="single" w:color="C8D0DC" w:sz="1"/>
              <w:right w:val="single" w:color="C8D0DC" w:sz="1"/>
            </w:tcBorders>
            <w:shd w:fill="EBF4FA" w:val="clear"/>
            <w:tcMar>
              <w:top w:type="dxa" w:w="90"/>
              <w:left w:type="dxa" w:w="130"/>
              <w:bottom w:type="dxa" w:w="90"/>
              <w:right w:type="dxa" w:w="130"/>
            </w:tcMar>
          </w:tcPr>
          <w:p>
            <w:r>
              <w:rPr>
                <w:rFonts w:ascii="Arial" w:cs="Arial" w:eastAsia="Arial" w:hAnsi="Arial"/>
                <w:b w:val="false"/>
                <w:bCs w:val="false"/>
                <w:color w:val="2E3440"/>
                <w:sz w:val="20"/>
                <w:szCs w:val="20"/>
              </w:rPr>
              <w:t xml:space="preserve">1. Education Platform</w:t>
            </w:r>
          </w:p>
        </w:tc>
        <w:tc>
          <w:tcPr>
            <w:tcW w:type="dxa" w:w="6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The only practical CSO training resource in the UK — modules, simulators, templates, tools</w:t>
            </w:r>
          </w:p>
        </w:tc>
      </w:tr>
      <w:tr>
        <w:tc>
          <w:tcPr>
            <w:tcW w:type="dxa" w:w="24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20"/>
                <w:szCs w:val="20"/>
              </w:rPr>
              <w:t xml:space="preserve">2. Authority Engine</w:t>
            </w:r>
          </w:p>
        </w:tc>
        <w:tc>
          <w:tcPr>
            <w:tcW w:type="dxa" w:w="6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Personal brand moat — Dr Doju Cherian becomes the go-to name in UK clinical AI safety</w:t>
            </w:r>
          </w:p>
        </w:tc>
      </w:tr>
      <w:tr>
        <w:tc>
          <w:tcPr>
            <w:tcW w:type="dxa" w:w="2400"/>
            <w:tcBorders>
              <w:top w:val="single" w:color="C8D0DC" w:sz="1"/>
              <w:left w:val="single" w:color="C8D0DC" w:sz="1"/>
              <w:bottom w:val="single" w:color="C8D0DC" w:sz="1"/>
              <w:right w:val="single" w:color="C8D0DC" w:sz="1"/>
            </w:tcBorders>
            <w:shd w:fill="EBF4FA" w:val="clear"/>
            <w:tcMar>
              <w:top w:type="dxa" w:w="90"/>
              <w:left w:type="dxa" w:w="130"/>
              <w:bottom w:type="dxa" w:w="90"/>
              <w:right w:type="dxa" w:w="130"/>
            </w:tcMar>
          </w:tcPr>
          <w:p>
            <w:r>
              <w:rPr>
                <w:rFonts w:ascii="Arial" w:cs="Arial" w:eastAsia="Arial" w:hAnsi="Arial"/>
                <w:b w:val="false"/>
                <w:bCs w:val="false"/>
                <w:color w:val="2E3440"/>
                <w:sz w:val="20"/>
                <w:szCs w:val="20"/>
              </w:rPr>
              <w:t xml:space="preserve">3. Lead Generation Funnel</w:t>
            </w:r>
          </w:p>
        </w:tc>
        <w:tc>
          <w:tcPr>
            <w:tcW w:type="dxa" w:w="6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Consulting enquiries, speaking invitations, fellowship applications, industry advisory roles</w:t>
            </w:r>
          </w:p>
        </w:tc>
      </w:tr>
      <w:tr>
        <w:tc>
          <w:tcPr>
            <w:tcW w:type="dxa" w:w="24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20"/>
                <w:szCs w:val="20"/>
              </w:rPr>
              <w:t xml:space="preserve">4. Product Business</w:t>
            </w:r>
          </w:p>
        </w:tc>
        <w:tc>
          <w:tcPr>
            <w:tcW w:type="dxa" w:w="6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Paid courses, enterprise training licences, AI CSO Assistant tool, template library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C7B" w:val="clear"/>
            <w:tcMar>
              <w:top w:type="dxa" w:w="130"/>
              <w:left w:type="dxa" w:w="260"/>
              <w:bottom w:type="dxa" w:w="130"/>
              <w:right w:type="dxa" w:w="260"/>
            </w:tcMar>
          </w:tcPr>
          <w:p>
            <w:r>
              <w:rPr>
                <w:rFonts w:ascii="Arial" w:cs="Arial" w:eastAsia="Arial" w:hAnsi="Arial"/>
                <w:b/>
                <w:bCs/>
                <w:color w:val="FFFFFF"/>
                <w:sz w:val="26"/>
                <w:szCs w:val="26"/>
              </w:rPr>
              <w:t xml:space="preserve">SECTION 2 — THE MARKET EVIDENCE</w:t>
            </w:r>
          </w:p>
        </w:tc>
      </w:tr>
    </w:tbl>
    <w:p>
      <w:pPr>
        <w:spacing w:after="40" w:before="40"/>
      </w:pPr>
      <w:r>
        <w:rPr>
          <w:sz w:val="20"/>
          <w:szCs w:val="20"/>
        </w:rPr>
        <w:t xml:space="preserve"> </w:t>
      </w:r>
    </w:p>
    <w:p>
      <w:pPr>
        <w:pBdr>
          <w:bottom w:val="single" w:color="0E7C7B" w:sz="3" w:space="1"/>
        </w:pBdr>
        <w:spacing w:after="80" w:before="220"/>
      </w:pPr>
      <w:r>
        <w:rPr>
          <w:rFonts w:ascii="Arial" w:cs="Arial" w:eastAsia="Arial" w:hAnsi="Arial"/>
          <w:b/>
          <w:bCs/>
          <w:color w:val="0E7C7B"/>
          <w:sz w:val="24"/>
          <w:szCs w:val="24"/>
        </w:rPr>
        <w:t xml:space="preserve">What Major Conferences Are Saying — 2024/2025</w:t>
      </w:r>
    </w:p>
    <w:p>
      <w:pPr>
        <w:spacing w:after="55" w:before="55"/>
      </w:pPr>
      <w:r>
        <w:rPr>
          <w:rFonts w:ascii="Arial" w:cs="Arial" w:eastAsia="Arial" w:hAnsi="Arial"/>
          <w:b w:val="false"/>
          <w:bCs w:val="false"/>
          <w:color w:val="2E3440"/>
          <w:sz w:val="22"/>
          <w:szCs w:val="22"/>
        </w:rPr>
        <w:t xml:space="preserve">This curriculum was built against the outputs of every major digital health and clinical AI conference. The field is giving clear signals about what CSOs need to know. Here is what emerged.</w:t>
      </w:r>
    </w:p>
    <w:p>
      <w:pPr>
        <w:spacing w:after="30" w:before="3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3600"/>
        <w:gridCol w:w="3800"/>
      </w:tblGrid>
      <w:tr>
        <w:tc>
          <w:tcPr>
            <w:tcW w:type="dxa" w:w="196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9"/>
                <w:szCs w:val="19"/>
              </w:rPr>
              <w:t xml:space="preserve">Conference</w:t>
            </w:r>
          </w:p>
        </w:tc>
        <w:tc>
          <w:tcPr>
            <w:tcW w:type="dxa" w:w="360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9"/>
                <w:szCs w:val="19"/>
              </w:rPr>
              <w:t xml:space="preserve">Core Themes &amp; Outcomes</w:t>
            </w:r>
          </w:p>
        </w:tc>
        <w:tc>
          <w:tcPr>
            <w:tcW w:type="dxa" w:w="380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9"/>
                <w:szCs w:val="19"/>
              </w:rPr>
              <w:t xml:space="preserve">CSO Curriculum Implication</w:t>
            </w:r>
          </w:p>
        </w:tc>
      </w:tr>
      <w:tr>
        <w:tc>
          <w:tcPr>
            <w:tcW w:type="dxa" w:w="1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HIMSS 2025 Las Vegas 28,000+ attendees</w:t>
            </w:r>
          </w:p>
        </w:tc>
        <w:tc>
          <w:tcPr>
            <w:tcW w:type="dxa" w:w="36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9"/>
                <w:szCs w:val="19"/>
              </w:rPr>
              <w:t xml:space="preserve">Six themes: AI, interoperability, cybersecurity, smart health, patient engagement, health equity. Key warning: new technology plus old organisation equals costly failure. AI moving from theory to real-world deployment.</w:t>
            </w:r>
          </w:p>
        </w:tc>
        <w:tc>
          <w:tcPr>
            <w:tcW w:type="dxa" w:w="3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Module needed: AI deployment without workflow redesign is the number-one cause of CSO incidents. CSOs must govern workflow change, not just technical assurance.</w:t>
            </w:r>
          </w:p>
        </w:tc>
      </w:tr>
      <w:tr>
        <w:tc>
          <w:tcPr>
            <w:tcW w:type="dxa" w:w="1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Digital Health Rewired 2025 Birmingham NEC</w:t>
            </w:r>
          </w:p>
        </w:tc>
        <w:tc>
          <w:tcPr>
            <w:tcW w:type="dxa" w:w="36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9"/>
                <w:szCs w:val="19"/>
              </w:rPr>
              <w:t xml:space="preserve">Ambient AI scribes going mainstream. NHS more cautious than US. Dedicated CSO panel at main stage for first time. Focus on integrating community care.</w:t>
            </w:r>
          </w:p>
        </w:tc>
        <w:tc>
          <w:tcPr>
            <w:tcW w:type="dxa" w:w="3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Module needed: Ambient AI scribe CSO obligations — fastest-growing deployment category with no specific CSO guidance anywhere.</w:t>
            </w:r>
          </w:p>
        </w:tc>
      </w:tr>
      <w:tr>
        <w:tc>
          <w:tcPr>
            <w:tcW w:type="dxa" w:w="1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Digital Health Rewired 2026 Announced</w:t>
            </w:r>
          </w:p>
        </w:tc>
        <w:tc>
          <w:tcPr>
            <w:tcW w:type="dxa" w:w="36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9"/>
                <w:szCs w:val="19"/>
              </w:rPr>
              <w:t xml:space="preserve">Three NHS shifts: prevention, community, digital. AI governance and data foundations as top priorities. 300+ speaker applications — record interest.</w:t>
            </w:r>
          </w:p>
        </w:tc>
        <w:tc>
          <w:tcPr>
            <w:tcW w:type="dxa" w:w="3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Module needed: CSO in shift to community care — entirely new settings not covered by any existing guidance.</w:t>
            </w:r>
          </w:p>
        </w:tc>
      </w:tr>
      <w:tr>
        <w:tc>
          <w:tcPr>
            <w:tcW w:type="dxa" w:w="1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HETT 2025 ExCeL London 4,500+ delegates</w:t>
            </w:r>
          </w:p>
        </w:tc>
        <w:tc>
          <w:tcPr>
            <w:tcW w:type="dxa" w:w="36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9"/>
                <w:szCs w:val="19"/>
              </w:rPr>
              <w:t xml:space="preserve">Turning NHS 10 Year Plan into action. People trust and culture are the real barriers. Responsible AI — not just aspirational. Bias and representation central themes.</w:t>
            </w:r>
          </w:p>
        </w:tc>
        <w:tc>
          <w:tcPr>
            <w:tcW w:type="dxa" w:w="3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Module needed: Culture change and human factors — the part of AI safety that no DCB standard addresses.</w:t>
            </w:r>
          </w:p>
        </w:tc>
      </w:tr>
      <w:tr>
        <w:tc>
          <w:tcPr>
            <w:tcW w:type="dxa" w:w="1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AI in Health Summit 2025 DigitalHealth.London</w:t>
            </w:r>
          </w:p>
        </w:tc>
        <w:tc>
          <w:tcPr>
            <w:tcW w:type="dxa" w:w="36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9"/>
                <w:szCs w:val="19"/>
              </w:rPr>
              <w:t xml:space="preserve">WHO, MHRA CEO, Coalition for Health AI all presented. Post-market surveillance as key regulatory mechanism. Clinical and consumer acceptance of AI.</w:t>
            </w:r>
          </w:p>
        </w:tc>
        <w:tc>
          <w:tcPr>
            <w:tcW w:type="dxa" w:w="3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Module needed: Patient and public involvement in AI safety — patient rights are a CSO obligation.</w:t>
            </w:r>
          </w:p>
        </w:tc>
      </w:tr>
      <w:tr>
        <w:tc>
          <w:tcPr>
            <w:tcW w:type="dxa" w:w="1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HIMSS Europe 2025 Paris</w:t>
            </w:r>
          </w:p>
        </w:tc>
        <w:tc>
          <w:tcPr>
            <w:tcW w:type="dxa" w:w="36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9"/>
                <w:szCs w:val="19"/>
              </w:rPr>
              <w:t xml:space="preserve">EU AI Act driving transformation. European Health Data Space. Cyber Resilience Act. Transparency and unbiased AI models.</w:t>
            </w:r>
          </w:p>
        </w:tc>
        <w:tc>
          <w:tcPr>
            <w:tcW w:type="dxa" w:w="3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Module needed: International regulatory alignment — EU AI Act obligations for CSOs advising cross-border companies.</w:t>
            </w:r>
          </w:p>
        </w:tc>
      </w:tr>
      <w:tr>
        <w:tc>
          <w:tcPr>
            <w:tcW w:type="dxa" w:w="1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Health Foundation AI in NHS 2025</w:t>
            </w:r>
          </w:p>
        </w:tc>
        <w:tc>
          <w:tcPr>
            <w:tcW w:type="dxa" w:w="36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9"/>
                <w:szCs w:val="19"/>
              </w:rPr>
              <w:t xml:space="preserve">Dedicated AI strategy needed. MHRA National Commission on AI Regulation launched October 2025. New regulatory framework due mid-2026.</w:t>
            </w:r>
          </w:p>
        </w:tc>
        <w:tc>
          <w:tcPr>
            <w:tcW w:type="dxa" w:w="3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Living module needed: MHRA National Commission — new statutory framework will change CSO obligations fundamentally.</w:t>
            </w:r>
          </w:p>
        </w:tc>
      </w:tr>
    </w:tbl>
    <w:p>
      <w:pPr>
        <w:spacing w:after="50" w:before="50"/>
      </w:pPr>
      <w:r>
        <w:rPr>
          <w:sz w:val="20"/>
          <w:szCs w:val="20"/>
        </w:rPr>
        <w:t xml:space="preserve"> </w:t>
      </w:r>
    </w:p>
    <w:p>
      <w:pPr>
        <w:pBdr>
          <w:bottom w:val="single" w:color="0E7C7B" w:sz="3" w:space="1"/>
        </w:pBdr>
        <w:spacing w:after="80" w:before="220"/>
      </w:pPr>
      <w:r>
        <w:rPr>
          <w:rFonts w:ascii="Arial" w:cs="Arial" w:eastAsia="Arial" w:hAnsi="Arial"/>
          <w:b/>
          <w:bCs/>
          <w:color w:val="0E7C7B"/>
          <w:sz w:val="24"/>
          <w:szCs w:val="24"/>
        </w:rPr>
        <w:t xml:space="preserve">The Next AI Wave — What CSOs Must Be Ready For (2026–2030)</w:t>
      </w:r>
    </w:p>
    <w:p>
      <w:pPr>
        <w:spacing w:after="55" w:before="55"/>
      </w:pPr>
      <w:r>
        <w:rPr>
          <w:rFonts w:ascii="Arial" w:cs="Arial" w:eastAsia="Arial" w:hAnsi="Arial"/>
          <w:b w:val="false"/>
          <w:bCs w:val="false"/>
          <w:color w:val="2E3440"/>
          <w:sz w:val="22"/>
          <w:szCs w:val="22"/>
        </w:rPr>
        <w:t xml:space="preserve">This curriculum must prepare CSOs not just for today but for what is coming. Based on conference outputs, peer-reviewed research, and industry forecasts, these are the forces that define the next wave.</w:t>
      </w:r>
    </w:p>
    <w:p>
      <w:pPr>
        <w:spacing w:after="30" w:before="3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9"/>
                <w:szCs w:val="19"/>
              </w:rPr>
              <w:t xml:space="preserve">Trend</w:t>
            </w:r>
          </w:p>
        </w:tc>
        <w:tc>
          <w:tcPr>
            <w:tcW w:type="dxa" w:w="348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9"/>
                <w:szCs w:val="19"/>
              </w:rPr>
              <w:t xml:space="preserve">What It Means</w:t>
            </w:r>
          </w:p>
        </w:tc>
        <w:tc>
          <w:tcPr>
            <w:tcW w:type="dxa" w:w="388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9"/>
                <w:szCs w:val="19"/>
              </w:rPr>
              <w:t xml:space="preserve">CSO Implication</w:t>
            </w:r>
          </w:p>
        </w:tc>
      </w:tr>
      <w:tr>
        <w:tc>
          <w:tcPr>
            <w:tcW w:type="dxa" w:w="20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Agentic AI — NOW to 2027</w:t>
            </w:r>
          </w:p>
        </w:tc>
        <w:tc>
          <w:tcPr>
            <w:tcW w:type="dxa" w:w="348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9"/>
                <w:szCs w:val="19"/>
              </w:rPr>
              <w:t xml:space="preserve">AI that acts autonomously — ordering tests, booking referrals, updating records without human input. 43% of health systems piloting. 61% investing. Called the biggest healthcare AI shift since EHRs.</w:t>
            </w:r>
          </w:p>
        </w:tc>
        <w:tc>
          <w:tcPr>
            <w:tcW w:type="dxa" w:w="388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Biggest unaddressed gap in all CSO training. Current standards assume AI advises. Agentic AI acts. Entirely new safety framework needed. Module 29.</w:t>
            </w:r>
          </w:p>
        </w:tc>
      </w:tr>
      <w:tr>
        <w:tc>
          <w:tcPr>
            <w:tcW w:type="dxa" w:w="20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Shadow AI — CRITICAL NOW</w:t>
            </w:r>
          </w:p>
        </w:tc>
        <w:tc>
          <w:tcPr>
            <w:tcW w:type="dxa" w:w="348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9"/>
                <w:szCs w:val="19"/>
              </w:rPr>
              <w:t xml:space="preserve">Clinicians using unapproved AI tools outside governance. Surged in 2025 due to burnout. 2026 called the year of governance. C-suites playing catch-up.</w:t>
            </w:r>
          </w:p>
        </w:tc>
        <w:tc>
          <w:tcPr>
            <w:tcW w:type="dxa" w:w="388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CSOs need a shadow AI detection and governance protocol. Not in any current standard. Module 20.</w:t>
            </w:r>
          </w:p>
        </w:tc>
      </w:tr>
      <w:tr>
        <w:tc>
          <w:tcPr>
            <w:tcW w:type="dxa" w:w="20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Ambient AI Scribes — NOW</w:t>
            </w:r>
          </w:p>
        </w:tc>
        <w:tc>
          <w:tcPr>
            <w:tcW w:type="dxa" w:w="348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9"/>
                <w:szCs w:val="19"/>
              </w:rPr>
              <w:t xml:space="preserve">AI listening to consultations and auto-generating notes. Becoming mainstream. NHS Ambient Registry launched — self-certification pathway, different from standard DCB.</w:t>
            </w:r>
          </w:p>
        </w:tc>
        <w:tc>
          <w:tcPr>
            <w:tcW w:type="dxa" w:w="388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Urgent practical module. Ambient Registry has different compliance pathway. Massive CSO confusion. Module 21.</w:t>
            </w:r>
          </w:p>
        </w:tc>
      </w:tr>
      <w:tr>
        <w:tc>
          <w:tcPr>
            <w:tcW w:type="dxa" w:w="20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Clinical Deskilling Risk — 2026 onwards</w:t>
            </w:r>
          </w:p>
        </w:tc>
        <w:tc>
          <w:tcPr>
            <w:tcW w:type="dxa" w:w="348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9"/>
                <w:szCs w:val="19"/>
              </w:rPr>
              <w:t xml:space="preserve">GenAI making clinicians unable to identify clinically invalid AI responses that sound authoritative. Concern at every major 2025 conference.</w:t>
            </w:r>
          </w:p>
        </w:tc>
        <w:tc>
          <w:tcPr>
            <w:tcW w:type="dxa" w:w="388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CSOs must include deskilling risk in hazard logs for any AI clinical decision support tool. Nobody is doing this.</w:t>
            </w:r>
          </w:p>
        </w:tc>
      </w:tr>
      <w:tr>
        <w:tc>
          <w:tcPr>
            <w:tcW w:type="dxa" w:w="20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MHRA National Commission — 2026</w:t>
            </w:r>
          </w:p>
        </w:tc>
        <w:tc>
          <w:tcPr>
            <w:tcW w:type="dxa" w:w="348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9"/>
                <w:szCs w:val="19"/>
              </w:rPr>
              <w:t xml:space="preserve">New statutory regulatory framework for AI as Medical Device due mid-2026. Will fundamentally change AIaMD governance.</w:t>
            </w:r>
          </w:p>
        </w:tc>
        <w:tc>
          <w:tcPr>
            <w:tcW w:type="dxa" w:w="388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Living module updated as Commission reports. CSOs who understand this before publication lead the field.</w:t>
            </w:r>
          </w:p>
        </w:tc>
      </w:tr>
      <w:tr>
        <w:tc>
          <w:tcPr>
            <w:tcW w:type="dxa" w:w="20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Physical AI — 2027 onwards</w:t>
            </w:r>
          </w:p>
        </w:tc>
        <w:tc>
          <w:tcPr>
            <w:tcW w:type="dxa" w:w="348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9"/>
                <w:szCs w:val="19"/>
              </w:rPr>
              <w:t xml:space="preserve">AI embedded in smart infusion pumps, surgical robots, wearables that act. Combines AI with hardware risks. New hazard categories.</w:t>
            </w:r>
          </w:p>
        </w:tc>
        <w:tc>
          <w:tcPr>
            <w:tcW w:type="dxa" w:w="388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Physical harm from AI-hardware combination not addressed in current standards. Future-proofing module.</w:t>
            </w:r>
          </w:p>
        </w:tc>
      </w:tr>
      <w:tr>
        <w:tc>
          <w:tcPr>
            <w:tcW w:type="dxa" w:w="20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Small Domain Models — 2026 onwards</w:t>
            </w:r>
          </w:p>
        </w:tc>
        <w:tc>
          <w:tcPr>
            <w:tcW w:type="dxa" w:w="348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9"/>
                <w:szCs w:val="19"/>
              </w:rPr>
              <w:t xml:space="preserve">LLMs shifting from large general-purpose to small specialty-specific models. More efficient but new validation challenges.</w:t>
            </w:r>
          </w:p>
        </w:tc>
        <w:tc>
          <w:tcPr>
            <w:tcW w:type="dxa" w:w="388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How do you assure a model trained only on gastroenterology data? New practical challenge for CSOs.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30"/>
              <w:left w:type="dxa" w:w="260"/>
              <w:bottom w:type="dxa" w:w="130"/>
              <w:right w:type="dxa" w:w="260"/>
            </w:tcMar>
          </w:tcPr>
          <w:p>
            <w:r>
              <w:rPr>
                <w:rFonts w:ascii="Arial" w:cs="Arial" w:eastAsia="Arial" w:hAnsi="Arial"/>
                <w:b/>
                <w:bCs/>
                <w:color w:val="FFFFFF"/>
                <w:sz w:val="26"/>
                <w:szCs w:val="26"/>
              </w:rPr>
              <w:t xml:space="preserve">SECTION 3 — THE 12 FRAMEWORKS APPLIED IN HOSPITAL PRACTICE</w:t>
            </w:r>
          </w:p>
        </w:tc>
      </w:tr>
    </w:tbl>
    <w:p>
      <w:pPr>
        <w:spacing w:after="40" w:before="40"/>
      </w:pPr>
      <w:r>
        <w:rPr>
          <w:sz w:val="20"/>
          <w:szCs w:val="20"/>
        </w:rPr>
        <w:t xml:space="preserve"> </w:t>
      </w:r>
    </w:p>
    <w:p>
      <w:pPr>
        <w:pBdr>
          <w:bottom w:val="single" w:color="0E7C7B" w:sz="3" w:space="1"/>
        </w:pBdr>
        <w:spacing w:after="80" w:before="220"/>
      </w:pPr>
      <w:r>
        <w:rPr>
          <w:rFonts w:ascii="Arial" w:cs="Arial" w:eastAsia="Arial" w:hAnsi="Arial"/>
          <w:b/>
          <w:bCs/>
          <w:color w:val="0E7C7B"/>
          <w:sz w:val="24"/>
          <w:szCs w:val="24"/>
        </w:rPr>
        <w:t xml:space="preserve">How Every Framework Is Taught</w:t>
      </w:r>
    </w:p>
    <w:p>
      <w:pPr>
        <w:spacing w:after="55" w:before="55"/>
      </w:pPr>
      <w:r>
        <w:rPr>
          <w:rFonts w:ascii="Arial" w:cs="Arial" w:eastAsia="Arial" w:hAnsi="Arial"/>
          <w:b w:val="false"/>
          <w:bCs w:val="false"/>
          <w:color w:val="2E3440"/>
          <w:sz w:val="22"/>
          <w:szCs w:val="22"/>
        </w:rPr>
        <w:t xml:space="preserve">Every framework in this curriculum is taught in three distinct ways — not just explained. This is the difference between education and training.</w:t>
      </w:r>
    </w:p>
    <w:p>
      <w:pPr>
        <w:spacing w:after="20" w:before="2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80"/>
        <w:gridCol w:w="2880"/>
        <w:gridCol w:w="3120"/>
      </w:tblGrid>
      <w:tr>
        <w:tc>
          <w:tcPr>
            <w:tcW w:type="dxa" w:w="48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8"/>
                <w:szCs w:val="18"/>
              </w:rPr>
              <w:t xml:space="preserve"/>
            </w:r>
          </w:p>
        </w:tc>
        <w:tc>
          <w:tcPr>
            <w:tcW w:type="dxa" w:w="288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8"/>
                <w:szCs w:val="18"/>
              </w:rPr>
              <w:t xml:space="preserve">Layer 1</w:t>
            </w:r>
          </w:p>
        </w:tc>
        <w:tc>
          <w:tcPr>
            <w:tcW w:type="dxa" w:w="288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8"/>
                <w:szCs w:val="18"/>
              </w:rPr>
              <w:t xml:space="preserve">Layer 2</w:t>
            </w:r>
          </w:p>
        </w:tc>
        <w:tc>
          <w:tcPr>
            <w:tcW w:type="dxa" w:w="312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8"/>
                <w:szCs w:val="18"/>
              </w:rPr>
              <w:t xml:space="preserve">Layer 3</w:t>
            </w:r>
          </w:p>
        </w:tc>
      </w:tr>
      <w:tr>
        <w:tc>
          <w:tcPr>
            <w:tcW w:type="dxa" w:w="48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Every framework</w:t>
            </w:r>
          </w:p>
        </w:tc>
        <w:tc>
          <w:tcPr>
            <w:tcW w:type="dxa" w:w="288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What it says — the standard clause in plain English</w:t>
            </w:r>
          </w:p>
        </w:tc>
        <w:tc>
          <w:tcPr>
            <w:tcW w:type="dxa" w:w="288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What it means — translated to your daily CSO reality</w:t>
            </w:r>
          </w:p>
        </w:tc>
        <w:tc>
          <w:tcPr>
            <w:tcW w:type="dxa" w:w="312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How to apply it — worked example in a named NHS hospital scenario</w:t>
            </w:r>
          </w:p>
        </w:tc>
      </w:tr>
    </w:tbl>
    <w:p>
      <w:pPr>
        <w:spacing w:after="40" w:before="4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120"/>
        <w:gridCol w:w="3000"/>
      </w:tblGrid>
      <w:tr>
        <w:tc>
          <w:tcPr>
            <w:tcW w:type="dxa" w:w="144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8"/>
                <w:szCs w:val="18"/>
              </w:rPr>
              <w:t xml:space="preserve">Framework</w:t>
            </w:r>
          </w:p>
        </w:tc>
        <w:tc>
          <w:tcPr>
            <w:tcW w:type="dxa" w:w="180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8"/>
                <w:szCs w:val="18"/>
              </w:rPr>
              <w:t xml:space="preserve">What It Is</w:t>
            </w:r>
          </w:p>
        </w:tc>
        <w:tc>
          <w:tcPr>
            <w:tcW w:type="dxa" w:w="312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8"/>
                <w:szCs w:val="18"/>
              </w:rPr>
              <w:t xml:space="preserve">Hospital Application Example</w:t>
            </w:r>
          </w:p>
        </w:tc>
        <w:tc>
          <w:tcPr>
            <w:tcW w:type="dxa" w:w="300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8"/>
                <w:szCs w:val="18"/>
              </w:rPr>
              <w:t xml:space="preserve">Curriculum Modules</w:t>
            </w:r>
          </w:p>
        </w:tc>
      </w:tr>
      <w:tr>
        <w:tc>
          <w:tcPr>
            <w:tcW w:type="dxa" w:w="144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DCB0160</w:t>
            </w:r>
          </w:p>
        </w:tc>
        <w:tc>
          <w:tcPr>
            <w:tcW w:type="dxa" w:w="18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Deploying organisation standard — your primary obligation as NHS CSO</w:t>
            </w:r>
          </w:p>
        </w:tc>
        <w:tc>
          <w:tcPr>
            <w:tcW w:type="dxa" w:w="312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Signing off the Hazard Log before a GP practice goes live with an AI triage tool</w:t>
            </w:r>
          </w:p>
        </w:tc>
        <w:tc>
          <w:tcPr>
            <w:tcW w:type="dxa" w:w="30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M1, M2, M5, M6, M7, M8, M9, M10</w:t>
            </w:r>
          </w:p>
        </w:tc>
      </w:tr>
      <w:tr>
        <w:tc>
          <w:tcPr>
            <w:tcW w:type="dxa" w:w="144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DCB0129</w:t>
            </w:r>
          </w:p>
        </w:tc>
        <w:tc>
          <w:tcPr>
            <w:tcW w:type="dxa" w:w="18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Manufacturer standard — what you must demand from AI suppliers</w:t>
            </w:r>
          </w:p>
        </w:tc>
        <w:tc>
          <w:tcPr>
            <w:tcW w:type="dxa" w:w="312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Reviewing a supplier's Clinical Safety Case Report before procurement decision</w:t>
            </w:r>
          </w:p>
        </w:tc>
        <w:tc>
          <w:tcPr>
            <w:tcW w:type="dxa" w:w="30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M1, M4, M7, M14, M18, M22</w:t>
            </w:r>
          </w:p>
        </w:tc>
      </w:tr>
      <w:tr>
        <w:tc>
          <w:tcPr>
            <w:tcW w:type="dxa" w:w="144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ISO 14971</w:t>
            </w:r>
          </w:p>
        </w:tc>
        <w:tc>
          <w:tcPr>
            <w:tcW w:type="dxa" w:w="18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International medical device risk management — the foundation of all risk scoring</w:t>
            </w:r>
          </w:p>
        </w:tc>
        <w:tc>
          <w:tcPr>
            <w:tcW w:type="dxa" w:w="312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Scoring Risk = Probability x Severity for an AI diagnostic tool in your trust</w:t>
            </w:r>
          </w:p>
        </w:tc>
        <w:tc>
          <w:tcPr>
            <w:tcW w:type="dxa" w:w="30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M16, all risk-scoring modules</w:t>
            </w:r>
          </w:p>
        </w:tc>
      </w:tr>
      <w:tr>
        <w:tc>
          <w:tcPr>
            <w:tcW w:type="dxa" w:w="144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BS AAMI 34971</w:t>
            </w:r>
          </w:p>
        </w:tc>
        <w:tc>
          <w:tcPr>
            <w:tcW w:type="dxa" w:w="18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Extends ISO 14971 for AI/ML — adds reversibility, bias, and drift assessment</w:t>
            </w:r>
          </w:p>
        </w:tc>
        <w:tc>
          <w:tcPr>
            <w:tcW w:type="dxa" w:w="312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Adding reversibility and bias scoring to your Hazard Log for an LLM-powered tool</w:t>
            </w:r>
          </w:p>
        </w:tc>
        <w:tc>
          <w:tcPr>
            <w:tcW w:type="dxa" w:w="30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M16, M12, M13, M15</w:t>
            </w:r>
          </w:p>
        </w:tc>
      </w:tr>
      <w:tr>
        <w:tc>
          <w:tcPr>
            <w:tcW w:type="dxa" w:w="144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AMLAS</w:t>
            </w:r>
          </w:p>
        </w:tc>
        <w:tc>
          <w:tcPr>
            <w:tcW w:type="dxa" w:w="18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NHS-endorsed assurance framework for AI safety cases</w:t>
            </w:r>
          </w:p>
        </w:tc>
        <w:tc>
          <w:tcPr>
            <w:tcW w:type="dxa" w:w="312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Reviewing a supplier's machine learning safety case — mapping claims to evidence</w:t>
            </w:r>
          </w:p>
        </w:tc>
        <w:tc>
          <w:tcPr>
            <w:tcW w:type="dxa" w:w="30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M17</w:t>
            </w:r>
          </w:p>
        </w:tc>
      </w:tr>
      <w:tr>
        <w:tc>
          <w:tcPr>
            <w:tcW w:type="dxa" w:w="144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DTAC v2 Apr 2026</w:t>
            </w:r>
          </w:p>
        </w:tc>
        <w:tc>
          <w:tcPr>
            <w:tcW w:type="dxa" w:w="18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National baseline criteria — new form mandatory from 6 April 2026</w:t>
            </w:r>
          </w:p>
        </w:tc>
        <w:tc>
          <w:tcPr>
            <w:tcW w:type="dxa" w:w="312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Pre-procurement checklist before your trust signs a new AI tool contract</w:t>
            </w:r>
          </w:p>
        </w:tc>
        <w:tc>
          <w:tcPr>
            <w:tcW w:type="dxa" w:w="30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M18, M14</w:t>
            </w:r>
          </w:p>
        </w:tc>
      </w:tr>
      <w:tr>
        <w:tc>
          <w:tcPr>
            <w:tcW w:type="dxa" w:w="144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PSIRF</w:t>
            </w:r>
          </w:p>
        </w:tc>
        <w:tc>
          <w:tcPr>
            <w:tcW w:type="dxa" w:w="18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NHS patient safety incident response — learning not blame</w:t>
            </w:r>
          </w:p>
        </w:tc>
        <w:tc>
          <w:tcPr>
            <w:tcW w:type="dxa" w:w="312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Choosing the right investigation method when AI contributes to patient harm</w:t>
            </w:r>
          </w:p>
        </w:tc>
        <w:tc>
          <w:tcPr>
            <w:tcW w:type="dxa" w:w="30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M19, M10</w:t>
            </w:r>
          </w:p>
        </w:tc>
      </w:tr>
      <w:tr>
        <w:tc>
          <w:tcPr>
            <w:tcW w:type="dxa" w:w="144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ECSF</w:t>
            </w:r>
          </w:p>
        </w:tc>
        <w:tc>
          <w:tcPr>
            <w:tcW w:type="dxa" w:w="18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Explainability-enabled clinical safety — 5 checkpoints across DCB lifecycle</w:t>
            </w:r>
          </w:p>
        </w:tc>
        <w:tc>
          <w:tcPr>
            <w:tcW w:type="dxa" w:w="312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Demanding SHAP and LIME outputs as structured safety evidence from an AI supplier</w:t>
            </w:r>
          </w:p>
        </w:tc>
        <w:tc>
          <w:tcPr>
            <w:tcW w:type="dxa" w:w="30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M15</w:t>
            </w:r>
          </w:p>
        </w:tc>
      </w:tr>
      <w:tr>
        <w:tc>
          <w:tcPr>
            <w:tcW w:type="dxa" w:w="144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EU AI Act</w:t>
            </w:r>
          </w:p>
        </w:tc>
        <w:tc>
          <w:tcPr>
            <w:tcW w:type="dxa" w:w="18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EU regulation for high-risk AI including most medical AI systems</w:t>
            </w:r>
          </w:p>
        </w:tc>
        <w:tc>
          <w:tcPr>
            <w:tcW w:type="dxa" w:w="312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Advising a company selling an AI diagnostic tool to both NHS and EU health systems</w:t>
            </w:r>
          </w:p>
        </w:tc>
        <w:tc>
          <w:tcPr>
            <w:tcW w:type="dxa" w:w="30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M28</w:t>
            </w:r>
          </w:p>
        </w:tc>
      </w:tr>
      <w:tr>
        <w:tc>
          <w:tcPr>
            <w:tcW w:type="dxa" w:w="144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UK GDPR / DPIA</w:t>
            </w:r>
          </w:p>
        </w:tc>
        <w:tc>
          <w:tcPr>
            <w:tcW w:type="dxa" w:w="18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Data protection — mandatory for all NHS AI processing patient data</w:t>
            </w:r>
          </w:p>
        </w:tc>
        <w:tc>
          <w:tcPr>
            <w:tcW w:type="dxa" w:w="312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Reviewing a supplier's Data Protection Impact Assessment as part of DTAC</w:t>
            </w:r>
          </w:p>
        </w:tc>
        <w:tc>
          <w:tcPr>
            <w:tcW w:type="dxa" w:w="30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M24</w:t>
            </w:r>
          </w:p>
        </w:tc>
      </w:tr>
      <w:tr>
        <w:tc>
          <w:tcPr>
            <w:tcW w:type="dxa" w:w="144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MHRA AIaMD</w:t>
            </w:r>
          </w:p>
        </w:tc>
        <w:tc>
          <w:tcPr>
            <w:tcW w:type="dxa" w:w="18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UK medical device regulation for AI — Airlock sandbox pathway</w:t>
            </w:r>
          </w:p>
        </w:tc>
        <w:tc>
          <w:tcPr>
            <w:tcW w:type="dxa" w:w="312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Guiding a HealthTech startup through the MHRA AI Airlock process</w:t>
            </w:r>
          </w:p>
        </w:tc>
        <w:tc>
          <w:tcPr>
            <w:tcW w:type="dxa" w:w="30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M14</w:t>
            </w:r>
          </w:p>
        </w:tc>
      </w:tr>
      <w:tr>
        <w:tc>
          <w:tcPr>
            <w:tcW w:type="dxa" w:w="144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NICE ESF</w:t>
            </w:r>
          </w:p>
        </w:tc>
        <w:tc>
          <w:tcPr>
            <w:tcW w:type="dxa" w:w="18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Evidence standards for digital health technologies</w:t>
            </w:r>
          </w:p>
        </w:tc>
        <w:tc>
          <w:tcPr>
            <w:tcW w:type="dxa" w:w="312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Understanding what clinical evidence to demand before approving deployment</w:t>
            </w:r>
          </w:p>
        </w:tc>
        <w:tc>
          <w:tcPr>
            <w:tcW w:type="dxa" w:w="30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M7, M14</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C7B" w:val="clear"/>
            <w:tcMar>
              <w:top w:type="dxa" w:w="130"/>
              <w:left w:type="dxa" w:w="260"/>
              <w:bottom w:type="dxa" w:w="130"/>
              <w:right w:type="dxa" w:w="260"/>
            </w:tcMar>
          </w:tcPr>
          <w:p>
            <w:r>
              <w:rPr>
                <w:rFonts w:ascii="Arial" w:cs="Arial" w:eastAsia="Arial" w:hAnsi="Arial"/>
                <w:b/>
                <w:bCs/>
                <w:color w:val="FFFFFF"/>
                <w:sz w:val="26"/>
                <w:szCs w:val="26"/>
              </w:rPr>
              <w:t xml:space="preserve">SECTION 4 — THE LAUNCH STRATEGY</w:t>
            </w:r>
          </w:p>
        </w:tc>
      </w:tr>
    </w:tbl>
    <w:p>
      <w:pPr>
        <w:spacing w:after="40" w:before="40"/>
      </w:pPr>
      <w:r>
        <w:rPr>
          <w:sz w:val="20"/>
          <w:szCs w:val="20"/>
        </w:rPr>
        <w:t xml:space="preserve"> </w:t>
      </w:r>
    </w:p>
    <w:p>
      <w:pPr>
        <w:pBdr>
          <w:bottom w:val="single" w:color="0E7C7B" w:sz="3" w:space="1"/>
        </w:pBdr>
        <w:spacing w:after="80" w:before="220"/>
      </w:pPr>
      <w:r>
        <w:rPr>
          <w:rFonts w:ascii="Arial" w:cs="Arial" w:eastAsia="Arial" w:hAnsi="Arial"/>
          <w:b/>
          <w:bCs/>
          <w:color w:val="0E7C7B"/>
          <w:sz w:val="24"/>
          <w:szCs w:val="24"/>
        </w:rPr>
        <w:t xml:space="preserve">The Strategic Review — What Was Right</w:t>
      </w:r>
    </w:p>
    <w:p>
      <w:pPr>
        <w:spacing w:after="55" w:before="55"/>
      </w:pPr>
      <w:r>
        <w:rPr>
          <w:rFonts w:ascii="Arial" w:cs="Arial" w:eastAsia="Arial" w:hAnsi="Arial"/>
          <w:b w:val="false"/>
          <w:bCs w:val="false"/>
          <w:color w:val="2E3440"/>
          <w:sz w:val="22"/>
          <w:szCs w:val="22"/>
        </w:rPr>
        <w:t xml:space="preserve">An independent strategic review of this curriculum was conducted. The core message was correct: launch faster with less, prove the concept, then build. The 30-module blueprint is not wasted — it is the long-term roadmap and the fellowship application evidence. But it should not be the launch plan.</w:t>
      </w:r>
    </w:p>
    <w:p>
      <w:pPr>
        <w:spacing w:after="30" w:before="3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EBF4FA" w:val="clear"/>
            <w:tcMar>
              <w:top w:type="dxa" w:w="120"/>
              <w:left w:type="dxa" w:w="180"/>
              <w:bottom w:type="dxa" w:w="120"/>
              <w:right w:type="dxa" w:w="180"/>
            </w:tcMar>
          </w:tcPr>
          <w:p>
            <w:r>
              <w:rPr>
                <w:rFonts w:ascii="Arial" w:cs="Arial" w:eastAsia="Arial" w:hAnsi="Arial"/>
                <w:b/>
                <w:bCs/>
                <w:color w:val="B03030"/>
                <w:sz w:val="22"/>
                <w:szCs w:val="22"/>
              </w:rPr>
              <w:t xml:space="preserve">The Perfectionism Risk</w:t>
            </w:r>
          </w:p>
          <w:p>
            <w:pPr>
              <w:spacing w:before="35"/>
            </w:pPr>
            <w:r>
              <w:rPr>
                <w:rFonts w:ascii="Arial" w:cs="Arial" w:eastAsia="Arial" w:hAnsi="Arial"/>
                <w:color w:val="2E3440"/>
                <w:sz w:val="20"/>
                <w:szCs w:val="20"/>
              </w:rPr>
              <w:t xml:space="preserve">The biggest threat to this project is not competition. It is the temptation to build everything before launching. Every week without a live site is a week without an audience, without feedback, without traction. The goal is to be live in 30 days — imperfect but real.</w:t>
            </w:r>
          </w:p>
        </w:tc>
      </w:tr>
    </w:tbl>
    <w:p>
      <w:pPr>
        <w:spacing w:after="40" w:before="40"/>
      </w:pPr>
      <w:r>
        <w:rPr>
          <w:sz w:val="20"/>
          <w:szCs w:val="20"/>
        </w:rPr>
        <w:t xml:space="preserve"> </w:t>
      </w:r>
    </w:p>
    <w:p>
      <w:pPr>
        <w:pBdr>
          <w:bottom w:val="single" w:color="0E7C7B" w:sz="3" w:space="1"/>
        </w:pBdr>
        <w:spacing w:after="80" w:before="220"/>
      </w:pPr>
      <w:r>
        <w:rPr>
          <w:rFonts w:ascii="Arial" w:cs="Arial" w:eastAsia="Arial" w:hAnsi="Arial"/>
          <w:b/>
          <w:bCs/>
          <w:color w:val="0E7C7B"/>
          <w:sz w:val="24"/>
          <w:szCs w:val="24"/>
        </w:rPr>
        <w:t xml:space="preserve">The 30-Day Live Plan — Minimum Viable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3720"/>
        <w:gridCol w:w="1800"/>
      </w:tblGrid>
      <w:tr>
        <w:tc>
          <w:tcPr>
            <w:tcW w:type="dxa" w:w="144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8"/>
                <w:szCs w:val="18"/>
              </w:rPr>
              <w:t xml:space="preserve">Week</w:t>
            </w:r>
          </w:p>
        </w:tc>
        <w:tc>
          <w:tcPr>
            <w:tcW w:type="dxa" w:w="240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8"/>
                <w:szCs w:val="18"/>
              </w:rPr>
              <w:t xml:space="preserve">Focus</w:t>
            </w:r>
          </w:p>
        </w:tc>
        <w:tc>
          <w:tcPr>
            <w:tcW w:type="dxa" w:w="372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8"/>
                <w:szCs w:val="18"/>
              </w:rPr>
              <w:t xml:space="preserve">Deliverable</w:t>
            </w:r>
          </w:p>
        </w:tc>
        <w:tc>
          <w:tcPr>
            <w:tcW w:type="dxa" w:w="180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8"/>
                <w:szCs w:val="18"/>
              </w:rPr>
              <w:t xml:space="preserve">Outcome</w:t>
            </w:r>
          </w:p>
        </w:tc>
      </w:tr>
      <w:tr>
        <w:tc>
          <w:tcPr>
            <w:tcW w:type="dxa" w:w="144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Week 1</w:t>
            </w:r>
          </w:p>
        </w:tc>
        <w:tc>
          <w:tcPr>
            <w:tcW w:type="dxa" w:w="24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Domain + Squarespace setup</w:t>
            </w:r>
          </w:p>
        </w:tc>
        <w:tc>
          <w:tcPr>
            <w:tcW w:type="dxa" w:w="372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clinicalaisafety.co.uk live with homepage, about page, and bio. Dr Doju Cherian's name, credentials, and mission statement published.</w:t>
            </w:r>
          </w:p>
        </w:tc>
        <w:tc>
          <w:tcPr>
            <w:tcW w:type="dxa" w:w="18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Website exists — searchable, shareable</w:t>
            </w:r>
          </w:p>
        </w:tc>
      </w:tr>
      <w:tr>
        <w:tc>
          <w:tcPr>
            <w:tcW w:type="dxa" w:w="144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Week 2</w:t>
            </w:r>
          </w:p>
        </w:tc>
        <w:tc>
          <w:tcPr>
            <w:tcW w:type="dxa" w:w="24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Module 1 published</w:t>
            </w:r>
          </w:p>
        </w:tc>
        <w:tc>
          <w:tcPr>
            <w:tcW w:type="dxa" w:w="372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How to Write a Hazard Log That Actually Works — full 7-part module with pre-filled template downloadable. First piece of content that solves a real daily CSO problem.</w:t>
            </w:r>
          </w:p>
        </w:tc>
        <w:tc>
          <w:tcPr>
            <w:tcW w:type="dxa" w:w="18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First Google-indexable content live</w:t>
            </w:r>
          </w:p>
        </w:tc>
      </w:tr>
      <w:tr>
        <w:tc>
          <w:tcPr>
            <w:tcW w:type="dxa" w:w="144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Week 3</w:t>
            </w:r>
          </w:p>
        </w:tc>
        <w:tc>
          <w:tcPr>
            <w:tcW w:type="dxa" w:w="24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Simulator 1 live</w:t>
            </w:r>
          </w:p>
        </w:tc>
        <w:tc>
          <w:tcPr>
            <w:tcW w:type="dxa" w:w="372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The Hazard Log Builder — interactive, embedded in Module 1 page. NHS AI triage tool scenario. Compare your output against the expert version.</w:t>
            </w:r>
          </w:p>
        </w:tc>
        <w:tc>
          <w:tcPr>
            <w:tcW w:type="dxa" w:w="18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The differentiator that makes this unforgettable</w:t>
            </w:r>
          </w:p>
        </w:tc>
      </w:tr>
      <w:tr>
        <w:tc>
          <w:tcPr>
            <w:tcW w:type="dxa" w:w="144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Week 4</w:t>
            </w:r>
          </w:p>
        </w:tc>
        <w:tc>
          <w:tcPr>
            <w:tcW w:type="dxa" w:w="24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Modules 2 and 3 + email capture</w:t>
            </w:r>
          </w:p>
        </w:tc>
        <w:tc>
          <w:tcPr>
            <w:tcW w:type="dxa" w:w="372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Module 2: Evaluating a Supplier Safety Case. Module 3: Why AI Breaks DCB Standards. Free downloadable CSO Pre-Go-Live Checklist as email lead magnet.</w:t>
            </w:r>
          </w:p>
        </w:tc>
        <w:tc>
          <w:tcPr>
            <w:tcW w:type="dxa" w:w="18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Email list begins. LinkedIn campaign launches.</w:t>
            </w:r>
          </w:p>
        </w:tc>
      </w:tr>
    </w:tbl>
    <w:p>
      <w:pPr>
        <w:spacing w:after="40" w:before="40"/>
      </w:pPr>
      <w:r>
        <w:rPr>
          <w:sz w:val="20"/>
          <w:szCs w:val="20"/>
        </w:rPr>
        <w:t xml:space="preserve"> </w:t>
      </w:r>
    </w:p>
    <w:p>
      <w:pPr>
        <w:pBdr>
          <w:bottom w:val="single" w:color="0E7C7B" w:sz="3" w:space="1"/>
        </w:pBdr>
        <w:spacing w:after="80" w:before="220"/>
      </w:pPr>
      <w:r>
        <w:rPr>
          <w:rFonts w:ascii="Arial" w:cs="Arial" w:eastAsia="Arial" w:hAnsi="Arial"/>
          <w:b/>
          <w:bCs/>
          <w:color w:val="0E7C7B"/>
          <w:sz w:val="24"/>
          <w:szCs w:val="24"/>
        </w:rPr>
        <w:t xml:space="preserve">The Three Flagship Launch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EBF4FA" w:val="clear"/>
            <w:tcMar>
              <w:top w:type="dxa" w:w="120"/>
              <w:left w:type="dxa" w:w="180"/>
              <w:bottom w:type="dxa" w:w="120"/>
              <w:right w:type="dxa" w:w="180"/>
            </w:tcMar>
          </w:tcPr>
          <w:p>
            <w:r>
              <w:rPr>
                <w:rFonts w:ascii="Arial" w:cs="Arial" w:eastAsia="Arial" w:hAnsi="Arial"/>
                <w:b/>
                <w:bCs/>
                <w:color w:val="0E7C7B"/>
                <w:sz w:val="22"/>
                <w:szCs w:val="22"/>
              </w:rPr>
              <w:t xml:space="preserve">Why These Three</w:t>
            </w:r>
          </w:p>
          <w:p>
            <w:pPr>
              <w:spacing w:before="35"/>
            </w:pPr>
            <w:r>
              <w:rPr>
                <w:rFonts w:ascii="Arial" w:cs="Arial" w:eastAsia="Arial" w:hAnsi="Arial"/>
                <w:color w:val="2E3440"/>
                <w:sz w:val="20"/>
                <w:szCs w:val="20"/>
              </w:rPr>
              <w:t xml:space="preserve">These three modules were chosen because each solves a specific, urgent, daily CSO problem. They are the three searches that a CSO with a problem right now would type into Google. They represent the three biggest gaps between DCB theory and NHS practice.</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360"/>
        <w:gridCol w:w="2760"/>
        <w:gridCol w:w="2760"/>
      </w:tblGrid>
      <w:tr>
        <w:tc>
          <w:tcPr>
            <w:tcW w:type="dxa" w:w="48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8"/>
                <w:szCs w:val="18"/>
              </w:rPr>
              <w:t xml:space="preserve"/>
            </w:r>
          </w:p>
        </w:tc>
        <w:tc>
          <w:tcPr>
            <w:tcW w:type="dxa" w:w="336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8"/>
                <w:szCs w:val="18"/>
              </w:rPr>
              <w:t xml:space="preserve">Module</w:t>
            </w:r>
          </w:p>
        </w:tc>
        <w:tc>
          <w:tcPr>
            <w:tcW w:type="dxa" w:w="276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8"/>
                <w:szCs w:val="18"/>
              </w:rPr>
              <w:t xml:space="preserve">The Problem It Solves</w:t>
            </w:r>
          </w:p>
        </w:tc>
        <w:tc>
          <w:tcPr>
            <w:tcW w:type="dxa" w:w="276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8"/>
                <w:szCs w:val="18"/>
              </w:rPr>
              <w:t xml:space="preserve">Why First</w:t>
            </w:r>
          </w:p>
        </w:tc>
      </w:tr>
      <w:tr>
        <w:tc>
          <w:tcPr>
            <w:tcW w:type="dxa" w:w="48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1</w:t>
            </w:r>
          </w:p>
        </w:tc>
        <w:tc>
          <w:tcPr>
            <w:tcW w:type="dxa" w:w="336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How to Write a Hazard Log That Actually Works</w:t>
            </w:r>
          </w:p>
        </w:tc>
        <w:tc>
          <w:tcPr>
            <w:tcW w:type="dxa" w:w="27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Everyone writes one, nobody knows if it is good enough. No benchmark exists anywhere.</w:t>
            </w:r>
          </w:p>
        </w:tc>
        <w:tc>
          <w:tcPr>
            <w:tcW w:type="dxa" w:w="276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Most searched CSO practical question. Simulator lives here. Most shareable asset.</w:t>
            </w:r>
          </w:p>
        </w:tc>
      </w:tr>
      <w:tr>
        <w:tc>
          <w:tcPr>
            <w:tcW w:type="dxa" w:w="48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2</w:t>
            </w:r>
          </w:p>
        </w:tc>
        <w:tc>
          <w:tcPr>
            <w:tcW w:type="dxa" w:w="336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Evaluating a Supplier Safety Case — What to Look For</w:t>
            </w:r>
          </w:p>
        </w:tc>
        <w:tc>
          <w:tcPr>
            <w:tcW w:type="dxa" w:w="27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CSOs routinely approve supplier safety cases they cannot properly evaluate. 10,000+ unassured DHTs are the result.</w:t>
            </w:r>
          </w:p>
        </w:tc>
        <w:tc>
          <w:tcPr>
            <w:tcW w:type="dxa" w:w="276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Directly solves an active procurement crisis happening in NHS trusts right now.</w:t>
            </w:r>
          </w:p>
        </w:tc>
      </w:tr>
      <w:tr>
        <w:tc>
          <w:tcPr>
            <w:tcW w:type="dxa" w:w="48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3</w:t>
            </w:r>
          </w:p>
        </w:tc>
        <w:tc>
          <w:tcPr>
            <w:tcW w:type="dxa" w:w="336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Why AI Breaks DCB Standards — And What to Do</w:t>
            </w:r>
          </w:p>
        </w:tc>
        <w:tc>
          <w:tcPr>
            <w:tcW w:type="dxa" w:w="27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DCB0129/0160 were built for deterministic software. Nobody has explained the practical adaptations for AI.</w:t>
            </w:r>
          </w:p>
        </w:tc>
        <w:tc>
          <w:tcPr>
            <w:tcW w:type="dxa" w:w="276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The gap nobody else has filled. The module that gets shared at conferences.</w:t>
            </w:r>
          </w:p>
        </w:tc>
      </w:tr>
    </w:tbl>
    <w:p>
      <w:pPr>
        <w:spacing w:after="40" w:before="40"/>
      </w:pPr>
      <w:r>
        <w:rPr>
          <w:sz w:val="20"/>
          <w:szCs w:val="20"/>
        </w:rPr>
        <w:t xml:space="preserve"> </w:t>
      </w:r>
    </w:p>
    <w:p>
      <w:pPr>
        <w:pBdr>
          <w:bottom w:val="single" w:color="0E7C7B" w:sz="3" w:space="1"/>
        </w:pBdr>
        <w:spacing w:after="80" w:before="220"/>
      </w:pPr>
      <w:r>
        <w:rPr>
          <w:rFonts w:ascii="Arial" w:cs="Arial" w:eastAsia="Arial" w:hAnsi="Arial"/>
          <w:b/>
          <w:bCs/>
          <w:color w:val="0E7C7B"/>
          <w:sz w:val="24"/>
          <w:szCs w:val="24"/>
        </w:rPr>
        <w:t xml:space="preserve">Growth Channels — How the Audience Builds</w:t>
      </w:r>
    </w:p>
    <w:p>
      <w:pPr>
        <w:spacing w:after="55" w:before="55"/>
      </w:pPr>
      <w:r>
        <w:rPr>
          <w:rFonts w:ascii="Arial" w:cs="Arial" w:eastAsia="Arial" w:hAnsi="Arial"/>
          <w:b w:val="false"/>
          <w:bCs w:val="false"/>
          <w:color w:val="2E3440"/>
          <w:sz w:val="22"/>
          <w:szCs w:val="22"/>
        </w:rPr>
        <w:t xml:space="preserve">SEO alone will not grow this. Your audience is niche and expert. Traffic will come from:</w:t>
      </w:r>
    </w:p>
    <w:p>
      <w:pPr>
        <w:spacing w:after="20" w:before="2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9"/>
                <w:szCs w:val="19"/>
              </w:rPr>
              <w:t xml:space="preserve">Channel</w:t>
            </w:r>
          </w:p>
        </w:tc>
        <w:tc>
          <w:tcPr>
            <w:tcW w:type="dxa" w:w="348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9"/>
                <w:szCs w:val="19"/>
              </w:rPr>
              <w:t xml:space="preserve">How to Use It</w:t>
            </w:r>
          </w:p>
        </w:tc>
        <w:tc>
          <w:tcPr>
            <w:tcW w:type="dxa" w:w="348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9"/>
                <w:szCs w:val="19"/>
              </w:rPr>
              <w:t xml:space="preserve">Timeline</w:t>
            </w:r>
          </w:p>
        </w:tc>
      </w:tr>
      <w:tr>
        <w:tc>
          <w:tcPr>
            <w:tcW w:type="dxa" w:w="24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LinkedIn</w:t>
            </w:r>
          </w:p>
        </w:tc>
        <w:tc>
          <w:tcPr>
            <w:tcW w:type="dxa" w:w="348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9"/>
                <w:szCs w:val="19"/>
              </w:rPr>
              <w:t xml:space="preserve">2 posts per week. Short video scripts from modules. Case studies. Polls asking CSOs about their biggest challenges. Link to new modules.</w:t>
            </w:r>
          </w:p>
        </w:tc>
        <w:tc>
          <w:tcPr>
            <w:tcW w:type="dxa" w:w="348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Month 1 onwards — this is the primary growth channel</w:t>
            </w:r>
          </w:p>
        </w:tc>
      </w:tr>
      <w:tr>
        <w:tc>
          <w:tcPr>
            <w:tcW w:type="dxa" w:w="24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CSO Council — Digital Health Networks</w:t>
            </w:r>
          </w:p>
        </w:tc>
        <w:tc>
          <w:tcPr>
            <w:tcW w:type="dxa" w:w="348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9"/>
                <w:szCs w:val="19"/>
              </w:rPr>
              <w:t xml:space="preserve">Join and contribute. Reference your free resources. The 158 CSOs surveyed in the 2024 white paper are your audience.</w:t>
            </w:r>
          </w:p>
        </w:tc>
        <w:tc>
          <w:tcPr>
            <w:tcW w:type="dxa" w:w="348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Month 2 onwards</w:t>
            </w:r>
          </w:p>
        </w:tc>
      </w:tr>
      <w:tr>
        <w:tc>
          <w:tcPr>
            <w:tcW w:type="dxa" w:w="24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NHS Digital Health Rewired 2026</w:t>
            </w:r>
          </w:p>
        </w:tc>
        <w:tc>
          <w:tcPr>
            <w:tcW w:type="dxa" w:w="348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9"/>
                <w:szCs w:val="19"/>
              </w:rPr>
              <w:t xml:space="preserve">Apply to speak at Rewired 2026 in March 2026. Topic: Practical CSO Training Gap — A Curriculum Approach.</w:t>
            </w:r>
          </w:p>
        </w:tc>
        <w:tc>
          <w:tcPr>
            <w:tcW w:type="dxa" w:w="348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Applications open now</w:t>
            </w:r>
          </w:p>
        </w:tc>
      </w:tr>
      <w:tr>
        <w:tc>
          <w:tcPr>
            <w:tcW w:type="dxa" w:w="24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Direct outreach</w:t>
            </w:r>
          </w:p>
        </w:tc>
        <w:tc>
          <w:tcPr>
            <w:tcW w:type="dxa" w:w="348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9"/>
                <w:szCs w:val="19"/>
              </w:rPr>
              <w:t xml:space="preserve">Email the lead CSOs referenced in published papers and the CSO panel at Rewired 2025. Share the free resources. Ask for feedback.</w:t>
            </w:r>
          </w:p>
        </w:tc>
        <w:tc>
          <w:tcPr>
            <w:tcW w:type="dxa" w:w="348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Month 2 onwards</w:t>
            </w:r>
          </w:p>
        </w:tc>
      </w:tr>
      <w:tr>
        <w:tc>
          <w:tcPr>
            <w:tcW w:type="dxa" w:w="24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Academic paper submission</w:t>
            </w:r>
          </w:p>
        </w:tc>
        <w:tc>
          <w:tcPr>
            <w:tcW w:type="dxa" w:w="348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9"/>
                <w:szCs w:val="19"/>
              </w:rPr>
              <w:t xml:space="preserve">Submit the curriculum framework paper to BMJ Digital Health or npj Digital Medicine. Drives citations and authority.</w:t>
            </w:r>
          </w:p>
        </w:tc>
        <w:tc>
          <w:tcPr>
            <w:tcW w:type="dxa" w:w="348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Month 4 to 6</w:t>
            </w:r>
          </w:p>
        </w:tc>
      </w:tr>
      <w:tr>
        <w:tc>
          <w:tcPr>
            <w:tcW w:type="dxa" w:w="24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Google Search — long term</w:t>
            </w:r>
          </w:p>
        </w:tc>
        <w:tc>
          <w:tcPr>
            <w:tcW w:type="dxa" w:w="348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9"/>
                <w:szCs w:val="19"/>
              </w:rPr>
              <w:t xml:space="preserve">Module content optimised for CSO practical search queries. Builds over 6 to 12 months as pages age and get linked.</w:t>
            </w:r>
          </w:p>
        </w:tc>
        <w:tc>
          <w:tcPr>
            <w:tcW w:type="dxa" w:w="348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Month 6 onwards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30"/>
              <w:left w:type="dxa" w:w="260"/>
              <w:bottom w:type="dxa" w:w="130"/>
              <w:right w:type="dxa" w:w="260"/>
            </w:tcMar>
          </w:tcPr>
          <w:p>
            <w:r>
              <w:rPr>
                <w:rFonts w:ascii="Arial" w:cs="Arial" w:eastAsia="Arial" w:hAnsi="Arial"/>
                <w:b/>
                <w:bCs/>
                <w:color w:val="FFFFFF"/>
                <w:sz w:val="26"/>
                <w:szCs w:val="26"/>
              </w:rPr>
              <w:t xml:space="preserve">SECTION 5 — THE COMPLETE 30-MODULE CURRICULUM</w:t>
            </w:r>
          </w:p>
        </w:tc>
      </w:tr>
    </w:tbl>
    <w:p>
      <w:pPr>
        <w:spacing w:after="40" w:before="40"/>
      </w:pPr>
      <w:r>
        <w:rPr>
          <w:sz w:val="20"/>
          <w:szCs w:val="20"/>
        </w:rPr>
        <w:t xml:space="preserve"> </w:t>
      </w:r>
    </w:p>
    <w:p>
      <w:pPr>
        <w:pBdr>
          <w:bottom w:val="single" w:color="0E7C7B" w:sz="3" w:space="1"/>
        </w:pBdr>
        <w:spacing w:after="80" w:before="220"/>
      </w:pPr>
      <w:r>
        <w:rPr>
          <w:rFonts w:ascii="Arial" w:cs="Arial" w:eastAsia="Arial" w:hAnsi="Arial"/>
          <w:b/>
          <w:bCs/>
          <w:color w:val="0E7C7B"/>
          <w:sz w:val="24"/>
          <w:szCs w:val="24"/>
        </w:rPr>
        <w:t xml:space="preserve">Curriculum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tcPr>
          <w:p>
            <w:pPr>
              <w:jc w:val="center"/>
            </w:pPr>
            <w:r>
              <w:rPr>
                <w:rFonts w:ascii="Arial" w:cs="Arial" w:eastAsia="Arial" w:hAnsi="Arial"/>
                <w:b/>
                <w:bCs/>
                <w:color w:val="FFFFFF"/>
                <w:sz w:val="24"/>
                <w:szCs w:val="24"/>
              </w:rPr>
              <w:t xml:space="preserve">TIER 1</w:t>
            </w:r>
          </w:p>
          <w:p>
            <w:pPr>
              <w:spacing w:before="30"/>
              <w:jc w:val="center"/>
            </w:pPr>
            <w:r>
              <w:rPr>
                <w:rFonts w:ascii="Arial" w:cs="Arial" w:eastAsia="Arial" w:hAnsi="Arial"/>
                <w:color w:val="C8DFF0"/>
                <w:sz w:val="20"/>
                <w:szCs w:val="20"/>
              </w:rPr>
              <w:t xml:space="preserve">Foundation</w:t>
            </w:r>
          </w:p>
          <w:p>
            <w:pPr>
              <w:spacing w:before="20"/>
              <w:jc w:val="center"/>
            </w:pPr>
            <w:r>
              <w:rPr>
                <w:rFonts w:ascii="Arial" w:cs="Arial" w:eastAsia="Arial" w:hAnsi="Arial"/>
                <w:color w:val="C8DFF0"/>
                <w:sz w:val="18"/>
                <w:szCs w:val="18"/>
              </w:rPr>
              <w:t xml:space="preserve">Modules 1 to 4</w:t>
            </w:r>
          </w:p>
        </w:tc>
        <w:tc>
          <w:tcPr>
            <w:tcW w:type="dxa" w:w="2340"/>
            <w:tcBorders>
              <w:top w:val="none" w:color="FFFFFF" w:sz="0"/>
              <w:left w:val="none" w:color="FFFFFF" w:sz="0"/>
              <w:bottom w:val="none" w:color="FFFFFF" w:sz="0"/>
              <w:right w:val="none" w:color="FFFFFF" w:sz="0"/>
            </w:tcBorders>
            <w:shd w:fill="0E7C7B" w:val="clear"/>
            <w:tcMar>
              <w:top w:type="dxa" w:w="120"/>
              <w:left w:type="dxa" w:w="100"/>
              <w:bottom w:type="dxa" w:w="120"/>
              <w:right w:type="dxa" w:w="100"/>
            </w:tcMar>
          </w:tcPr>
          <w:p>
            <w:pPr>
              <w:jc w:val="center"/>
            </w:pPr>
            <w:r>
              <w:rPr>
                <w:rFonts w:ascii="Arial" w:cs="Arial" w:eastAsia="Arial" w:hAnsi="Arial"/>
                <w:b/>
                <w:bCs/>
                <w:color w:val="FFFFFF"/>
                <w:sz w:val="24"/>
                <w:szCs w:val="24"/>
              </w:rPr>
              <w:t xml:space="preserve">TIER 2</w:t>
            </w:r>
          </w:p>
          <w:p>
            <w:pPr>
              <w:spacing w:before="30"/>
              <w:jc w:val="center"/>
            </w:pPr>
            <w:r>
              <w:rPr>
                <w:rFonts w:ascii="Arial" w:cs="Arial" w:eastAsia="Arial" w:hAnsi="Arial"/>
                <w:color w:val="C8DFF0"/>
                <w:sz w:val="20"/>
                <w:szCs w:val="20"/>
              </w:rPr>
              <w:t xml:space="preserve">Practical Skills</w:t>
            </w:r>
          </w:p>
          <w:p>
            <w:pPr>
              <w:spacing w:before="20"/>
              <w:jc w:val="center"/>
            </w:pPr>
            <w:r>
              <w:rPr>
                <w:rFonts w:ascii="Arial" w:cs="Arial" w:eastAsia="Arial" w:hAnsi="Arial"/>
                <w:color w:val="C8DFF0"/>
                <w:sz w:val="18"/>
                <w:szCs w:val="18"/>
              </w:rPr>
              <w:t xml:space="preserve">Modules 5 to 10</w:t>
            </w:r>
          </w:p>
        </w:tc>
        <w:tc>
          <w:tcPr>
            <w:tcW w:type="dxa" w:w="2340"/>
            <w:tcBorders>
              <w:top w:val="none" w:color="FFFFFF" w:sz="0"/>
              <w:left w:val="none" w:color="FFFFFF" w:sz="0"/>
              <w:bottom w:val="none" w:color="FFFFFF" w:sz="0"/>
              <w:right w:val="none" w:color="FFFFFF" w:sz="0"/>
            </w:tcBorders>
            <w:shd w:fill="C96A1A" w:val="clear"/>
            <w:tcMar>
              <w:top w:type="dxa" w:w="120"/>
              <w:left w:type="dxa" w:w="100"/>
              <w:bottom w:type="dxa" w:w="120"/>
              <w:right w:type="dxa" w:w="100"/>
            </w:tcMar>
          </w:tcPr>
          <w:p>
            <w:pPr>
              <w:jc w:val="center"/>
            </w:pPr>
            <w:r>
              <w:rPr>
                <w:rFonts w:ascii="Arial" w:cs="Arial" w:eastAsia="Arial" w:hAnsi="Arial"/>
                <w:b/>
                <w:bCs/>
                <w:color w:val="FFFFFF"/>
                <w:sz w:val="24"/>
                <w:szCs w:val="24"/>
              </w:rPr>
              <w:t xml:space="preserve">TIER 3</w:t>
            </w:r>
          </w:p>
          <w:p>
            <w:pPr>
              <w:spacing w:before="30"/>
              <w:jc w:val="center"/>
            </w:pPr>
            <w:r>
              <w:rPr>
                <w:rFonts w:ascii="Arial" w:cs="Arial" w:eastAsia="Arial" w:hAnsi="Arial"/>
                <w:color w:val="C8DFF0"/>
                <w:sz w:val="20"/>
                <w:szCs w:val="20"/>
              </w:rPr>
              <w:t xml:space="preserve">AI-Specific</w:t>
            </w:r>
          </w:p>
          <w:p>
            <w:pPr>
              <w:spacing w:before="20"/>
              <w:jc w:val="center"/>
            </w:pPr>
            <w:r>
              <w:rPr>
                <w:rFonts w:ascii="Arial" w:cs="Arial" w:eastAsia="Arial" w:hAnsi="Arial"/>
                <w:color w:val="C8DFF0"/>
                <w:sz w:val="18"/>
                <w:szCs w:val="18"/>
              </w:rPr>
              <w:t xml:space="preserve">Modules 11 to 16</w:t>
            </w:r>
          </w:p>
        </w:tc>
        <w:tc>
          <w:tcPr>
            <w:tcW w:type="dxa" w:w="2340"/>
            <w:tcBorders>
              <w:top w:val="none" w:color="FFFFFF" w:sz="0"/>
              <w:left w:val="none" w:color="FFFFFF" w:sz="0"/>
              <w:bottom w:val="none" w:color="FFFFFF" w:sz="0"/>
              <w:right w:val="none" w:color="FFFFFF" w:sz="0"/>
            </w:tcBorders>
            <w:shd w:fill="4A2080" w:val="clear"/>
            <w:tcMar>
              <w:top w:type="dxa" w:w="120"/>
              <w:left w:type="dxa" w:w="100"/>
              <w:bottom w:type="dxa" w:w="120"/>
              <w:right w:type="dxa" w:w="100"/>
            </w:tcMar>
          </w:tcPr>
          <w:p>
            <w:pPr>
              <w:jc w:val="center"/>
            </w:pPr>
            <w:r>
              <w:rPr>
                <w:rFonts w:ascii="Arial" w:cs="Arial" w:eastAsia="Arial" w:hAnsi="Arial"/>
                <w:b/>
                <w:bCs/>
                <w:color w:val="FFFFFF"/>
                <w:sz w:val="24"/>
                <w:szCs w:val="24"/>
              </w:rPr>
              <w:t xml:space="preserve">TIER 4</w:t>
            </w:r>
          </w:p>
          <w:p>
            <w:pPr>
              <w:spacing w:before="30"/>
              <w:jc w:val="center"/>
            </w:pPr>
            <w:r>
              <w:rPr>
                <w:rFonts w:ascii="Arial" w:cs="Arial" w:eastAsia="Arial" w:hAnsi="Arial"/>
                <w:color w:val="C8DFF0"/>
                <w:sz w:val="20"/>
                <w:szCs w:val="20"/>
              </w:rPr>
              <w:t xml:space="preserve">Strategic and Future</w:t>
            </w:r>
          </w:p>
          <w:p>
            <w:pPr>
              <w:spacing w:before="20"/>
              <w:jc w:val="center"/>
            </w:pPr>
            <w:r>
              <w:rPr>
                <w:rFonts w:ascii="Arial" w:cs="Arial" w:eastAsia="Arial" w:hAnsi="Arial"/>
                <w:color w:val="C8DFF0"/>
                <w:sz w:val="18"/>
                <w:szCs w:val="18"/>
              </w:rPr>
              <w:t xml:space="preserve">Modules 17 to 30</w:t>
            </w:r>
          </w:p>
        </w:tc>
      </w:tr>
    </w:tbl>
    <w:p>
      <w:pPr>
        <w:spacing w:after="40" w:before="4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30"/>
              <w:left w:type="dxa" w:w="260"/>
              <w:bottom w:type="dxa" w:w="130"/>
              <w:right w:type="dxa" w:w="260"/>
            </w:tcMar>
          </w:tcPr>
          <w:p>
            <w:r>
              <w:rPr>
                <w:rFonts w:ascii="Arial" w:cs="Arial" w:eastAsia="Arial" w:hAnsi="Arial"/>
                <w:b/>
                <w:bCs/>
                <w:color w:val="FFFFFF"/>
                <w:sz w:val="26"/>
                <w:szCs w:val="26"/>
              </w:rPr>
              <w:t xml:space="preserve">TIER 1 — FOUNDATION: What Every CSO Must Know From Day One</w:t>
            </w:r>
          </w:p>
        </w:tc>
      </w:tr>
    </w:tbl>
    <w:p>
      <w:pPr>
        <w:spacing w:after="30" w:before="3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B3A6B" w:val="clear"/>
            <w:tcMar>
              <w:top w:type="dxa" w:w="110"/>
              <w:left w:type="dxa" w:w="100"/>
              <w:bottom w:type="dxa" w:w="110"/>
              <w:right w:type="dxa" w:w="100"/>
            </w:tcMar>
          </w:tcPr>
          <w:p>
            <w:pPr>
              <w:jc w:val="center"/>
            </w:pPr>
            <w:r>
              <w:rPr>
                <w:rFonts w:ascii="Arial" w:cs="Arial" w:eastAsia="Arial" w:hAnsi="Arial"/>
                <w:b/>
                <w:bCs/>
                <w:color w:val="FFFFFF"/>
                <w:sz w:val="28"/>
                <w:szCs w:val="28"/>
              </w:rPr>
              <w:t xml:space="preserve">M1</w:t>
            </w:r>
          </w:p>
          <w:p>
            <w:pPr>
              <w:spacing w:before="30"/>
              <w:jc w:val="center"/>
            </w:pPr>
            <w:r>
              <w:rPr>
                <w:rFonts w:ascii="Arial" w:cs="Arial" w:eastAsia="Arial" w:hAnsi="Arial"/>
                <w:color w:val="D0E8FF"/>
                <w:sz w:val="14"/>
                <w:szCs w:val="14"/>
              </w:rPr>
              <w:t xml:space="preserve">T1</w:t>
            </w:r>
          </w:p>
        </w:tc>
        <w:tc>
          <w:tcPr>
            <w:tcW w:type="dxa" w:w="8360"/>
            <w:tcBorders>
              <w:top w:val="single" w:color="C8D0DC" w:sz="1"/>
              <w:left w:val="single" w:color="C8D0DC" w:sz="1"/>
              <w:bottom w:val="single" w:color="C8D0DC" w:sz="1"/>
              <w:right w:val="single" w:color="C8D0DC" w:sz="1"/>
            </w:tcBorders>
            <w:shd w:fill="F4F6FA" w:val="clear"/>
            <w:tcMar>
              <w:top w:type="dxa" w:w="110"/>
              <w:left w:type="dxa" w:w="160"/>
              <w:bottom w:type="dxa" w:w="110"/>
              <w:right w:type="dxa" w:w="160"/>
            </w:tcMar>
          </w:tcPr>
          <w:p>
            <w:r>
              <w:rPr>
                <w:rFonts w:ascii="Arial" w:cs="Arial" w:eastAsia="Arial" w:hAnsi="Arial"/>
                <w:b/>
                <w:bCs/>
                <w:color w:val="1B3A6B"/>
                <w:sz w:val="23"/>
                <w:szCs w:val="23"/>
              </w:rPr>
              <w:t xml:space="preserve">DCB0129/0160 in Plain English — With Real Hospital Examples</w:t>
            </w:r>
          </w:p>
          <w:p>
            <w:pPr>
              <w:spacing w:before="45"/>
            </w:pPr>
            <w:r>
              <w:rPr>
                <w:rFonts w:ascii="Arial" w:cs="Arial" w:eastAsia="Arial" w:hAnsi="Arial"/>
                <w:color w:val="9B2222"/>
                <w:sz w:val="18"/>
                <w:szCs w:val="18"/>
              </w:rPr>
              <w:t xml:space="preserve">CSO pain: Many CSOs believe DCB is about GDPR or general clinical governance. Neither is correct. This is the most common source of compliance failure.</w:t>
            </w:r>
          </w:p>
          <w:p>
            <w:pPr>
              <w:spacing w:before="30"/>
            </w:pPr>
            <w:r>
              <w:rPr>
                <w:rFonts w:ascii="Arial" w:cs="Arial" w:eastAsia="Arial" w:hAnsi="Arial"/>
                <w:color w:val="1A6B3A"/>
                <w:sz w:val="18"/>
                <w:szCs w:val="18"/>
              </w:rPr>
              <w:t xml:space="preserve">Practical: Every standard clause shown side-by-side: official text, plain English translation, what this means in your ward this week.</w:t>
            </w:r>
          </w:p>
          <w:p>
            <w:pPr>
              <w:spacing w:before="30"/>
            </w:pPr>
            <w:r>
              <w:rPr>
                <w:rFonts w:ascii="Arial" w:cs="Arial" w:eastAsia="Arial" w:hAnsi="Arial"/>
                <w:color w:val="0E7C7B"/>
                <w:sz w:val="18"/>
                <w:szCs w:val="18"/>
              </w:rPr>
              <w:t xml:space="preserve">Hospital application: Pre-deployment checklist for a GP practice going live with an AI triage tool. Every clause mapped to a real action.</w:t>
            </w:r>
          </w:p>
          <w:p>
            <w:pPr>
              <w:spacing w:before="30"/>
            </w:pPr>
            <w:r>
              <w:rPr>
                <w:rFonts w:ascii="Arial" w:cs="Arial" w:eastAsia="Arial" w:hAnsi="Arial"/>
                <w:color w:val="0A5454"/>
                <w:sz w:val="18"/>
                <w:szCs w:val="18"/>
              </w:rPr>
              <w:t xml:space="preserve">NHS 10yr Plan: Foundational for all 5 transformative NHS 10 Year Plan technologies — every deployment starts here.</w:t>
            </w:r>
          </w:p>
          <w:p>
            <w:pPr>
              <w:spacing w:before="30"/>
            </w:pPr>
            <w:r>
              <w:rPr>
                <w:rFonts w:ascii="Arial" w:cs="Arial" w:eastAsia="Arial" w:hAnsi="Arial"/>
                <w:color w:val="9A6B00"/>
                <w:sz w:val="18"/>
                <w:szCs w:val="18"/>
              </w:rPr>
              <w:t xml:space="preserve">Simulator: Simulator 1 — DCB Boundary Decider: 10 real NHS scenarios. Who is responsible — supplier, deployer, or both?</w:t>
            </w:r>
          </w:p>
          <w:p>
            <w:pPr>
              <w:spacing w:before="30"/>
            </w:pPr>
            <w:r>
              <w:rPr>
                <w:rFonts w:ascii="Arial" w:cs="Arial" w:eastAsia="Arial" w:hAnsi="Arial"/>
                <w:color w:val="4A2080"/>
                <w:sz w:val="18"/>
                <w:szCs w:val="18"/>
              </w:rPr>
              <w:t xml:space="preserve">Frameworks: DCB0129, DCB0160, DTAC v2, Health and Social Care Act 2012</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B3A6B" w:val="clear"/>
            <w:tcMar>
              <w:top w:type="dxa" w:w="110"/>
              <w:left w:type="dxa" w:w="100"/>
              <w:bottom w:type="dxa" w:w="110"/>
              <w:right w:type="dxa" w:w="100"/>
            </w:tcMar>
          </w:tcPr>
          <w:p>
            <w:pPr>
              <w:jc w:val="center"/>
            </w:pPr>
            <w:r>
              <w:rPr>
                <w:rFonts w:ascii="Arial" w:cs="Arial" w:eastAsia="Arial" w:hAnsi="Arial"/>
                <w:b/>
                <w:bCs/>
                <w:color w:val="FFFFFF"/>
                <w:sz w:val="28"/>
                <w:szCs w:val="28"/>
              </w:rPr>
              <w:t xml:space="preserve">M2</w:t>
            </w:r>
          </w:p>
          <w:p>
            <w:pPr>
              <w:spacing w:before="30"/>
              <w:jc w:val="center"/>
            </w:pPr>
            <w:r>
              <w:rPr>
                <w:rFonts w:ascii="Arial" w:cs="Arial" w:eastAsia="Arial" w:hAnsi="Arial"/>
                <w:color w:val="D0E8FF"/>
                <w:sz w:val="14"/>
                <w:szCs w:val="14"/>
              </w:rPr>
              <w:t xml:space="preserve">T1</w:t>
            </w:r>
          </w:p>
        </w:tc>
        <w:tc>
          <w:tcPr>
            <w:tcW w:type="dxa" w:w="8360"/>
            <w:tcBorders>
              <w:top w:val="single" w:color="C8D0DC" w:sz="1"/>
              <w:left w:val="single" w:color="C8D0DC" w:sz="1"/>
              <w:bottom w:val="single" w:color="C8D0DC" w:sz="1"/>
              <w:right w:val="single" w:color="C8D0DC" w:sz="1"/>
            </w:tcBorders>
            <w:shd w:fill="F4F6FA" w:val="clear"/>
            <w:tcMar>
              <w:top w:type="dxa" w:w="110"/>
              <w:left w:type="dxa" w:w="160"/>
              <w:bottom w:type="dxa" w:w="110"/>
              <w:right w:type="dxa" w:w="160"/>
            </w:tcMar>
          </w:tcPr>
          <w:p>
            <w:r>
              <w:rPr>
                <w:rFonts w:ascii="Arial" w:cs="Arial" w:eastAsia="Arial" w:hAnsi="Arial"/>
                <w:b/>
                <w:bCs/>
                <w:color w:val="1B3A6B"/>
                <w:sz w:val="23"/>
                <w:szCs w:val="23"/>
              </w:rPr>
              <w:t xml:space="preserve">The CSO Role — What You Are Actually Accountable For</w:t>
            </w:r>
          </w:p>
          <w:p>
            <w:pPr>
              <w:spacing w:before="45"/>
            </w:pPr>
            <w:r>
              <w:rPr>
                <w:rFonts w:ascii="Arial" w:cs="Arial" w:eastAsia="Arial" w:hAnsi="Arial"/>
                <w:color w:val="9B2222"/>
                <w:sz w:val="18"/>
                <w:szCs w:val="18"/>
              </w:rPr>
              <w:t xml:space="preserve">CSO pain: 50% of surveyed CSOs do not understand the legal boundaries of their own role, including what they can delegate.</w:t>
            </w:r>
          </w:p>
          <w:p>
            <w:pPr>
              <w:spacing w:before="30"/>
            </w:pPr>
            <w:r>
              <w:rPr>
                <w:rFonts w:ascii="Arial" w:cs="Arial" w:eastAsia="Arial" w:hAnsi="Arial"/>
                <w:color w:val="1A6B3A"/>
                <w:sz w:val="18"/>
                <w:szCs w:val="18"/>
              </w:rPr>
              <w:t xml:space="preserve">Practical: Day-in-the-life guide. Accountability map with named responsibilities. What happens when something goes wrong and you signed the safety case.</w:t>
            </w:r>
          </w:p>
          <w:p>
            <w:pPr>
              <w:spacing w:before="30"/>
            </w:pPr>
            <w:r>
              <w:rPr>
                <w:rFonts w:ascii="Arial" w:cs="Arial" w:eastAsia="Arial" w:hAnsi="Arial"/>
                <w:color w:val="0E7C7B"/>
                <w:sz w:val="18"/>
                <w:szCs w:val="18"/>
              </w:rPr>
              <w:t xml:space="preserve">Hospital application: Your first week as a newly appointed CSO — exactly what to do, in order, with named contacts.</w:t>
            </w:r>
          </w:p>
          <w:p>
            <w:pPr>
              <w:spacing w:before="30"/>
            </w:pPr>
            <w:r>
              <w:rPr>
                <w:rFonts w:ascii="Arial" w:cs="Arial" w:eastAsia="Arial" w:hAnsi="Arial"/>
                <w:color w:val="0A5454"/>
                <w:sz w:val="18"/>
                <w:szCs w:val="18"/>
              </w:rPr>
              <w:t xml:space="preserve">NHS 10yr Plan: NHS Digital-by-Default requires every trust to have a CSO who understands their authority and limits.</w:t>
            </w:r>
          </w:p>
          <w:p>
            <w:pPr>
              <w:spacing w:before="30"/>
            </w:pPr>
            <w:r>
              <w:rPr>
                <w:rFonts w:ascii="Arial" w:cs="Arial" w:eastAsia="Arial" w:hAnsi="Arial"/>
                <w:color w:val="9A6B00"/>
                <w:sz w:val="18"/>
                <w:szCs w:val="18"/>
              </w:rPr>
              <w:t xml:space="preserve">Simulator: Simulator 2 — The Accountability Map: AI tool causes patient harm. Trace legal and professional accountability step by step.</w:t>
            </w:r>
          </w:p>
          <w:p>
            <w:pPr>
              <w:spacing w:before="30"/>
            </w:pPr>
            <w:r>
              <w:rPr>
                <w:rFonts w:ascii="Arial" w:cs="Arial" w:eastAsia="Arial" w:hAnsi="Arial"/>
                <w:color w:val="4A2080"/>
                <w:sz w:val="18"/>
                <w:szCs w:val="18"/>
              </w:rPr>
              <w:t xml:space="preserve">Frameworks: DCB0160, GMC Good Medical Practice, Health and Social Care Act 2012, CQC standards</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B3A6B" w:val="clear"/>
            <w:tcMar>
              <w:top w:type="dxa" w:w="110"/>
              <w:left w:type="dxa" w:w="100"/>
              <w:bottom w:type="dxa" w:w="110"/>
              <w:right w:type="dxa" w:w="100"/>
            </w:tcMar>
          </w:tcPr>
          <w:p>
            <w:pPr>
              <w:jc w:val="center"/>
            </w:pPr>
            <w:r>
              <w:rPr>
                <w:rFonts w:ascii="Arial" w:cs="Arial" w:eastAsia="Arial" w:hAnsi="Arial"/>
                <w:b/>
                <w:bCs/>
                <w:color w:val="FFFFFF"/>
                <w:sz w:val="28"/>
                <w:szCs w:val="28"/>
              </w:rPr>
              <w:t xml:space="preserve">M3</w:t>
            </w:r>
          </w:p>
          <w:p>
            <w:pPr>
              <w:spacing w:before="30"/>
              <w:jc w:val="center"/>
            </w:pPr>
            <w:r>
              <w:rPr>
                <w:rFonts w:ascii="Arial" w:cs="Arial" w:eastAsia="Arial" w:hAnsi="Arial"/>
                <w:color w:val="D0E8FF"/>
                <w:sz w:val="14"/>
                <w:szCs w:val="14"/>
              </w:rPr>
              <w:t xml:space="preserve">T1</w:t>
            </w:r>
          </w:p>
        </w:tc>
        <w:tc>
          <w:tcPr>
            <w:tcW w:type="dxa" w:w="8360"/>
            <w:tcBorders>
              <w:top w:val="single" w:color="C8D0DC" w:sz="1"/>
              <w:left w:val="single" w:color="C8D0DC" w:sz="1"/>
              <w:bottom w:val="single" w:color="C8D0DC" w:sz="1"/>
              <w:right w:val="single" w:color="C8D0DC" w:sz="1"/>
            </w:tcBorders>
            <w:shd w:fill="F4F6FA" w:val="clear"/>
            <w:tcMar>
              <w:top w:type="dxa" w:w="110"/>
              <w:left w:type="dxa" w:w="160"/>
              <w:bottom w:type="dxa" w:w="110"/>
              <w:right w:type="dxa" w:w="160"/>
            </w:tcMar>
          </w:tcPr>
          <w:p>
            <w:r>
              <w:rPr>
                <w:rFonts w:ascii="Arial" w:cs="Arial" w:eastAsia="Arial" w:hAnsi="Arial"/>
                <w:b/>
                <w:bCs/>
                <w:color w:val="1B3A6B"/>
                <w:sz w:val="23"/>
                <w:szCs w:val="23"/>
              </w:rPr>
              <w:t xml:space="preserve">Getting Senior Leadership Buy-In — Scripts and Strategies</w:t>
            </w:r>
          </w:p>
          <w:p>
            <w:pPr>
              <w:spacing w:before="45"/>
            </w:pPr>
            <w:r>
              <w:rPr>
                <w:rFonts w:ascii="Arial" w:cs="Arial" w:eastAsia="Arial" w:hAnsi="Arial"/>
                <w:color w:val="9B2222"/>
                <w:sz w:val="18"/>
                <w:szCs w:val="18"/>
              </w:rPr>
              <w:t xml:space="preserve">CSO pain: 48% of CSOs lose leadership support the moment they raise a concern that blocks a project. This is the most professionally dangerous situation a CSO faces.</w:t>
            </w:r>
          </w:p>
          <w:p>
            <w:pPr>
              <w:spacing w:before="30"/>
            </w:pPr>
            <w:r>
              <w:rPr>
                <w:rFonts w:ascii="Arial" w:cs="Arial" w:eastAsia="Arial" w:hAnsi="Arial"/>
                <w:color w:val="1A6B3A"/>
                <w:sz w:val="18"/>
                <w:szCs w:val="18"/>
              </w:rPr>
              <w:t xml:space="preserve">Practical: Verbatim scripts for board conversations. How to frame safety in financial and reputational language. How to say no professionally without losing your position.</w:t>
            </w:r>
          </w:p>
          <w:p>
            <w:pPr>
              <w:spacing w:before="30"/>
            </w:pPr>
            <w:r>
              <w:rPr>
                <w:rFonts w:ascii="Arial" w:cs="Arial" w:eastAsia="Arial" w:hAnsi="Arial"/>
                <w:color w:val="0E7C7B"/>
                <w:sz w:val="18"/>
                <w:szCs w:val="18"/>
              </w:rPr>
              <w:t xml:space="preserve">Hospital application: Preparing for your first board presentation on digital clinical safety. What to put on each slide. What questions to expect.</w:t>
            </w:r>
          </w:p>
          <w:p>
            <w:pPr>
              <w:spacing w:before="30"/>
            </w:pPr>
            <w:r>
              <w:rPr>
                <w:rFonts w:ascii="Arial" w:cs="Arial" w:eastAsia="Arial" w:hAnsi="Arial"/>
                <w:color w:val="0A5454"/>
                <w:sz w:val="18"/>
                <w:szCs w:val="18"/>
              </w:rPr>
              <w:t xml:space="preserve">NHS 10yr Plan: Leadership buy-in is the rate-limiting factor for NHS AI adoption. The 10 Year Plan depends on it.</w:t>
            </w:r>
          </w:p>
          <w:p>
            <w:pPr>
              <w:spacing w:before="30"/>
            </w:pPr>
            <w:r>
              <w:rPr>
                <w:rFonts w:ascii="Arial" w:cs="Arial" w:eastAsia="Arial" w:hAnsi="Arial"/>
                <w:color w:val="9A6B00"/>
                <w:sz w:val="18"/>
                <w:szCs w:val="18"/>
              </w:rPr>
              <w:t xml:space="preserve">Simulator: Simulator 3 — The Leadership Conversation: branching dialogue where the board has already signed a contract you have concerns about.</w:t>
            </w:r>
          </w:p>
          <w:p>
            <w:pPr>
              <w:spacing w:before="30"/>
            </w:pPr>
            <w:r>
              <w:rPr>
                <w:rFonts w:ascii="Arial" w:cs="Arial" w:eastAsia="Arial" w:hAnsi="Arial"/>
                <w:color w:val="4A2080"/>
                <w:sz w:val="18"/>
                <w:szCs w:val="18"/>
              </w:rPr>
              <w:t xml:space="preserve">Frameworks: DCB0160, NHS governance frameworks, CQC regulatory expectations, HIMSS 2025 organisational transformation findings</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B3A6B" w:val="clear"/>
            <w:tcMar>
              <w:top w:type="dxa" w:w="110"/>
              <w:left w:type="dxa" w:w="100"/>
              <w:bottom w:type="dxa" w:w="110"/>
              <w:right w:type="dxa" w:w="100"/>
            </w:tcMar>
          </w:tcPr>
          <w:p>
            <w:pPr>
              <w:jc w:val="center"/>
            </w:pPr>
            <w:r>
              <w:rPr>
                <w:rFonts w:ascii="Arial" w:cs="Arial" w:eastAsia="Arial" w:hAnsi="Arial"/>
                <w:b/>
                <w:bCs/>
                <w:color w:val="FFFFFF"/>
                <w:sz w:val="28"/>
                <w:szCs w:val="28"/>
              </w:rPr>
              <w:t xml:space="preserve">M4</w:t>
            </w:r>
          </w:p>
          <w:p>
            <w:pPr>
              <w:spacing w:before="30"/>
              <w:jc w:val="center"/>
            </w:pPr>
            <w:r>
              <w:rPr>
                <w:rFonts w:ascii="Arial" w:cs="Arial" w:eastAsia="Arial" w:hAnsi="Arial"/>
                <w:color w:val="D0E8FF"/>
                <w:sz w:val="14"/>
                <w:szCs w:val="14"/>
              </w:rPr>
              <w:t xml:space="preserve">T1</w:t>
            </w:r>
          </w:p>
        </w:tc>
        <w:tc>
          <w:tcPr>
            <w:tcW w:type="dxa" w:w="8360"/>
            <w:tcBorders>
              <w:top w:val="single" w:color="C8D0DC" w:sz="1"/>
              <w:left w:val="single" w:color="C8D0DC" w:sz="1"/>
              <w:bottom w:val="single" w:color="C8D0DC" w:sz="1"/>
              <w:right w:val="single" w:color="C8D0DC" w:sz="1"/>
            </w:tcBorders>
            <w:shd w:fill="F4F6FA" w:val="clear"/>
            <w:tcMar>
              <w:top w:type="dxa" w:w="110"/>
              <w:left w:type="dxa" w:w="160"/>
              <w:bottom w:type="dxa" w:w="110"/>
              <w:right w:type="dxa" w:w="160"/>
            </w:tcMar>
          </w:tcPr>
          <w:p>
            <w:r>
              <w:rPr>
                <w:rFonts w:ascii="Arial" w:cs="Arial" w:eastAsia="Arial" w:hAnsi="Arial"/>
                <w:b/>
                <w:bCs/>
                <w:color w:val="1B3A6B"/>
                <w:sz w:val="23"/>
                <w:szCs w:val="23"/>
              </w:rPr>
              <w:t xml:space="preserve">Building a Digital Safety Culture From Scratch</w:t>
            </w:r>
          </w:p>
          <w:p>
            <w:pPr>
              <w:spacing w:before="45"/>
            </w:pPr>
            <w:r>
              <w:rPr>
                <w:rFonts w:ascii="Arial" w:cs="Arial" w:eastAsia="Arial" w:hAnsi="Arial"/>
                <w:color w:val="9B2222"/>
                <w:sz w:val="18"/>
                <w:szCs w:val="18"/>
              </w:rPr>
              <w:t xml:space="preserve">CSO pain: Only 25% of CSOs say digital safety is genuinely embedded in their organisation. 75% feel like a lone voice with no cultural support.</w:t>
            </w:r>
          </w:p>
          <w:p>
            <w:pPr>
              <w:spacing w:before="30"/>
            </w:pPr>
            <w:r>
              <w:rPr>
                <w:rFonts w:ascii="Arial" w:cs="Arial" w:eastAsia="Arial" w:hAnsi="Arial"/>
                <w:color w:val="1A6B3A"/>
                <w:sz w:val="18"/>
                <w:szCs w:val="18"/>
              </w:rPr>
              <w:t xml:space="preserve">Practical: First safety workshop template. How to bring clinical teams with you. Making safety a shared responsibility not a CSO burden. Using PSIRF principles to build learning not blame.</w:t>
            </w:r>
          </w:p>
          <w:p>
            <w:pPr>
              <w:spacing w:before="30"/>
            </w:pPr>
            <w:r>
              <w:rPr>
                <w:rFonts w:ascii="Arial" w:cs="Arial" w:eastAsia="Arial" w:hAnsi="Arial"/>
                <w:color w:val="0E7C7B"/>
                <w:sz w:val="18"/>
                <w:szCs w:val="18"/>
              </w:rPr>
              <w:t xml:space="preserve">Hospital application: 90-day culture change plan for a trust with no existing digital safety culture. Week-by-week actions.</w:t>
            </w:r>
          </w:p>
          <w:p>
            <w:pPr>
              <w:spacing w:before="30"/>
            </w:pPr>
            <w:r>
              <w:rPr>
                <w:rFonts w:ascii="Arial" w:cs="Arial" w:eastAsia="Arial" w:hAnsi="Arial"/>
                <w:color w:val="0A5454"/>
                <w:sz w:val="18"/>
                <w:szCs w:val="18"/>
              </w:rPr>
              <w:t xml:space="preserve">NHS 10yr Plan: Culture change is the prerequisite for the NHS 10 Year Plan AI ambitions. Technology does not transform care — people do.</w:t>
            </w:r>
          </w:p>
          <w:p>
            <w:pPr>
              <w:spacing w:before="30"/>
            </w:pPr>
            <w:r>
              <w:rPr>
                <w:rFonts w:ascii="Arial" w:cs="Arial" w:eastAsia="Arial" w:hAnsi="Arial"/>
                <w:color w:val="9A6B00"/>
                <w:sz w:val="18"/>
                <w:szCs w:val="18"/>
              </w:rPr>
              <w:t xml:space="preserve">Simulator: No simulator for this module — culture change is a leadership and facilitation skill not a process task.</w:t>
            </w:r>
          </w:p>
          <w:p>
            <w:pPr>
              <w:spacing w:before="30"/>
            </w:pPr>
            <w:r>
              <w:rPr>
                <w:rFonts w:ascii="Arial" w:cs="Arial" w:eastAsia="Arial" w:hAnsi="Arial"/>
                <w:color w:val="4A2080"/>
                <w:sz w:val="18"/>
                <w:szCs w:val="18"/>
              </w:rPr>
              <w:t xml:space="preserve">Frameworks: PSIRF, NHS Patient Safety Strategy, HETT 2025 people and culture findings</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C7B" w:val="clear"/>
            <w:tcMar>
              <w:top w:type="dxa" w:w="130"/>
              <w:left w:type="dxa" w:w="260"/>
              <w:bottom w:type="dxa" w:w="130"/>
              <w:right w:type="dxa" w:w="260"/>
            </w:tcMar>
          </w:tcPr>
          <w:p>
            <w:r>
              <w:rPr>
                <w:rFonts w:ascii="Arial" w:cs="Arial" w:eastAsia="Arial" w:hAnsi="Arial"/>
                <w:b/>
                <w:bCs/>
                <w:color w:val="FFFFFF"/>
                <w:sz w:val="26"/>
                <w:szCs w:val="26"/>
              </w:rPr>
              <w:t xml:space="preserve">TIER 2 — PRACTICAL SKILLS: Step-by-Step How to Do the Job</w:t>
            </w:r>
          </w:p>
        </w:tc>
      </w:tr>
    </w:tbl>
    <w:p>
      <w:pPr>
        <w:spacing w:after="30" w:before="3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E7C7B" w:val="clear"/>
            <w:tcMar>
              <w:top w:type="dxa" w:w="110"/>
              <w:left w:type="dxa" w:w="100"/>
              <w:bottom w:type="dxa" w:w="110"/>
              <w:right w:type="dxa" w:w="100"/>
            </w:tcMar>
          </w:tcPr>
          <w:p>
            <w:pPr>
              <w:jc w:val="center"/>
            </w:pPr>
            <w:r>
              <w:rPr>
                <w:rFonts w:ascii="Arial" w:cs="Arial" w:eastAsia="Arial" w:hAnsi="Arial"/>
                <w:b/>
                <w:bCs/>
                <w:color w:val="FFFFFF"/>
                <w:sz w:val="28"/>
                <w:szCs w:val="28"/>
              </w:rPr>
              <w:t xml:space="preserve">M5</w:t>
            </w:r>
          </w:p>
          <w:p>
            <w:pPr>
              <w:spacing w:before="30"/>
              <w:jc w:val="center"/>
            </w:pPr>
            <w:r>
              <w:rPr>
                <w:rFonts w:ascii="Arial" w:cs="Arial" w:eastAsia="Arial" w:hAnsi="Arial"/>
                <w:color w:val="D0E8FF"/>
                <w:sz w:val="14"/>
                <w:szCs w:val="14"/>
              </w:rPr>
              <w:t xml:space="preserve">T2</w:t>
            </w:r>
          </w:p>
        </w:tc>
        <w:tc>
          <w:tcPr>
            <w:tcW w:type="dxa" w:w="8360"/>
            <w:tcBorders>
              <w:top w:val="single" w:color="C8D0DC" w:sz="1"/>
              <w:left w:val="single" w:color="C8D0DC" w:sz="1"/>
              <w:bottom w:val="single" w:color="C8D0DC" w:sz="1"/>
              <w:right w:val="single" w:color="C8D0DC" w:sz="1"/>
            </w:tcBorders>
            <w:shd w:fill="F4F6FA" w:val="clear"/>
            <w:tcMar>
              <w:top w:type="dxa" w:w="110"/>
              <w:left w:type="dxa" w:w="160"/>
              <w:bottom w:type="dxa" w:w="110"/>
              <w:right w:type="dxa" w:w="160"/>
            </w:tcMar>
          </w:tcPr>
          <w:p>
            <w:r>
              <w:rPr>
                <w:rFonts w:ascii="Arial" w:cs="Arial" w:eastAsia="Arial" w:hAnsi="Arial"/>
                <w:b/>
                <w:bCs/>
                <w:color w:val="1B3A6B"/>
                <w:sz w:val="23"/>
                <w:szCs w:val="23"/>
              </w:rPr>
              <w:t xml:space="preserve">Writing a Hazard Log That Actually Works — LAUNCH MODULE 1</w:t>
            </w:r>
          </w:p>
          <w:p>
            <w:pPr>
              <w:spacing w:before="45"/>
            </w:pPr>
            <w:r>
              <w:rPr>
                <w:rFonts w:ascii="Arial" w:cs="Arial" w:eastAsia="Arial" w:hAnsi="Arial"/>
                <w:color w:val="9B2222"/>
                <w:sz w:val="18"/>
                <w:szCs w:val="18"/>
              </w:rPr>
              <w:t xml:space="preserve">CSO pain: Everyone writes a hazard log. Nobody knows if it is good enough because no practical benchmark exists anywhere.</w:t>
            </w:r>
          </w:p>
          <w:p>
            <w:pPr>
              <w:spacing w:before="30"/>
            </w:pPr>
            <w:r>
              <w:rPr>
                <w:rFonts w:ascii="Arial" w:cs="Arial" w:eastAsia="Arial" w:hAnsi="Arial"/>
                <w:color w:val="1A6B3A"/>
                <w:sz w:val="18"/>
                <w:szCs w:val="18"/>
              </w:rPr>
              <w:t xml:space="preserve">Practical: Real completed examples for AI tools. How granular to go. Who contributes and how to run the session. AI-specific hazard categories not in generic templates. What triggers a hazard log update.</w:t>
            </w:r>
          </w:p>
          <w:p>
            <w:pPr>
              <w:spacing w:before="30"/>
            </w:pPr>
            <w:r>
              <w:rPr>
                <w:rFonts w:ascii="Arial" w:cs="Arial" w:eastAsia="Arial" w:hAnsi="Arial"/>
                <w:color w:val="0E7C7B"/>
                <w:sz w:val="18"/>
                <w:szCs w:val="18"/>
              </w:rPr>
              <w:t xml:space="preserve">Hospital application: Building the complete hazard log for an ambient AI scribe deployment at Sheffield Teaching Hospitals. Every field completed with realistic content.</w:t>
            </w:r>
          </w:p>
          <w:p>
            <w:pPr>
              <w:spacing w:before="30"/>
            </w:pPr>
            <w:r>
              <w:rPr>
                <w:rFonts w:ascii="Arial" w:cs="Arial" w:eastAsia="Arial" w:hAnsi="Arial"/>
                <w:color w:val="0A5454"/>
                <w:sz w:val="18"/>
                <w:szCs w:val="18"/>
              </w:rPr>
              <w:t xml:space="preserve">NHS 10yr Plan: Every new AI scribe and diagnostic tool from 2025 requires a hazard log. The volume is about to multiply across every trust.</w:t>
            </w:r>
          </w:p>
          <w:p>
            <w:pPr>
              <w:spacing w:before="30"/>
            </w:pPr>
            <w:r>
              <w:rPr>
                <w:rFonts w:ascii="Arial" w:cs="Arial" w:eastAsia="Arial" w:hAnsi="Arial"/>
                <w:color w:val="9A6B00"/>
                <w:sz w:val="18"/>
                <w:szCs w:val="18"/>
              </w:rPr>
              <w:t xml:space="preserve">Simulator: Simulator 4 — Hazard Log Builder: build a live hazard log for an NHS AI triage tool. Compare your output against the expert version with explanations of every gap.</w:t>
            </w:r>
          </w:p>
          <w:p>
            <w:pPr>
              <w:spacing w:before="30"/>
            </w:pPr>
            <w:r>
              <w:rPr>
                <w:rFonts w:ascii="Arial" w:cs="Arial" w:eastAsia="Arial" w:hAnsi="Arial"/>
                <w:color w:val="4A2080"/>
                <w:sz w:val="18"/>
                <w:szCs w:val="18"/>
              </w:rPr>
              <w:t xml:space="preserve">Frameworks: DCB0160, ISO 14971, BS AAMI 34971</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E7C7B" w:val="clear"/>
            <w:tcMar>
              <w:top w:type="dxa" w:w="110"/>
              <w:left w:type="dxa" w:w="100"/>
              <w:bottom w:type="dxa" w:w="110"/>
              <w:right w:type="dxa" w:w="100"/>
            </w:tcMar>
          </w:tcPr>
          <w:p>
            <w:pPr>
              <w:jc w:val="center"/>
            </w:pPr>
            <w:r>
              <w:rPr>
                <w:rFonts w:ascii="Arial" w:cs="Arial" w:eastAsia="Arial" w:hAnsi="Arial"/>
                <w:b/>
                <w:bCs/>
                <w:color w:val="FFFFFF"/>
                <w:sz w:val="28"/>
                <w:szCs w:val="28"/>
              </w:rPr>
              <w:t xml:space="preserve">M6</w:t>
            </w:r>
          </w:p>
          <w:p>
            <w:pPr>
              <w:spacing w:before="30"/>
              <w:jc w:val="center"/>
            </w:pPr>
            <w:r>
              <w:rPr>
                <w:rFonts w:ascii="Arial" w:cs="Arial" w:eastAsia="Arial" w:hAnsi="Arial"/>
                <w:color w:val="D0E8FF"/>
                <w:sz w:val="14"/>
                <w:szCs w:val="14"/>
              </w:rPr>
              <w:t xml:space="preserve">T2</w:t>
            </w:r>
          </w:p>
        </w:tc>
        <w:tc>
          <w:tcPr>
            <w:tcW w:type="dxa" w:w="8360"/>
            <w:tcBorders>
              <w:top w:val="single" w:color="C8D0DC" w:sz="1"/>
              <w:left w:val="single" w:color="C8D0DC" w:sz="1"/>
              <w:bottom w:val="single" w:color="C8D0DC" w:sz="1"/>
              <w:right w:val="single" w:color="C8D0DC" w:sz="1"/>
            </w:tcBorders>
            <w:shd w:fill="F4F6FA" w:val="clear"/>
            <w:tcMar>
              <w:top w:type="dxa" w:w="110"/>
              <w:left w:type="dxa" w:w="160"/>
              <w:bottom w:type="dxa" w:w="110"/>
              <w:right w:type="dxa" w:w="160"/>
            </w:tcMar>
          </w:tcPr>
          <w:p>
            <w:r>
              <w:rPr>
                <w:rFonts w:ascii="Arial" w:cs="Arial" w:eastAsia="Arial" w:hAnsi="Arial"/>
                <w:b/>
                <w:bCs/>
                <w:color w:val="1B3A6B"/>
                <w:sz w:val="23"/>
                <w:szCs w:val="23"/>
              </w:rPr>
              <w:t xml:space="preserve">Running a Clinical Risk Assessment — The Workshop Guide</w:t>
            </w:r>
          </w:p>
          <w:p>
            <w:pPr>
              <w:spacing w:before="45"/>
            </w:pPr>
            <w:r>
              <w:rPr>
                <w:rFonts w:ascii="Arial" w:cs="Arial" w:eastAsia="Arial" w:hAnsi="Arial"/>
                <w:color w:val="9B2222"/>
                <w:sz w:val="18"/>
                <w:szCs w:val="18"/>
              </w:rPr>
              <w:t xml:space="preserve">CSO pain: CSOs either over-engineer an expensive process or produce a single page that covers nothing. The standard describes what to do but not how.</w:t>
            </w:r>
          </w:p>
          <w:p>
            <w:pPr>
              <w:spacing w:before="30"/>
            </w:pPr>
            <w:r>
              <w:rPr>
                <w:rFonts w:ascii="Arial" w:cs="Arial" w:eastAsia="Arial" w:hAnsi="Arial"/>
                <w:color w:val="1A6B3A"/>
                <w:sz w:val="18"/>
                <w:szCs w:val="18"/>
              </w:rPr>
              <w:t xml:space="preserve">Practical: Workshop format with precise timing guide. Who to invite and why. Facilitation techniques for extracting risks from non-clinical stakeholders. What acceptable residual risk looks like and how to document it.</w:t>
            </w:r>
          </w:p>
          <w:p>
            <w:pPr>
              <w:spacing w:before="30"/>
            </w:pPr>
            <w:r>
              <w:rPr>
                <w:rFonts w:ascii="Arial" w:cs="Arial" w:eastAsia="Arial" w:hAnsi="Arial"/>
                <w:color w:val="0E7C7B"/>
                <w:sz w:val="18"/>
                <w:szCs w:val="18"/>
              </w:rPr>
              <w:t xml:space="preserve">Hospital application: Running your first multidisciplinary risk assessment in 3 hours for an AI diagnostic tool deployment. Agenda, facilitation guide, output template.</w:t>
            </w:r>
          </w:p>
          <w:p>
            <w:pPr>
              <w:spacing w:before="30"/>
            </w:pPr>
            <w:r>
              <w:rPr>
                <w:rFonts w:ascii="Arial" w:cs="Arial" w:eastAsia="Arial" w:hAnsi="Arial"/>
                <w:color w:val="0A5454"/>
                <w:sz w:val="18"/>
                <w:szCs w:val="18"/>
              </w:rPr>
              <w:t xml:space="preserve">NHS 10yr Plan: Mandatory before every system deployment under NHS procurement framework launching 2026 to 2027.</w:t>
            </w:r>
          </w:p>
          <w:p>
            <w:pPr>
              <w:spacing w:before="30"/>
            </w:pPr>
            <w:r>
              <w:rPr>
                <w:rFonts w:ascii="Arial" w:cs="Arial" w:eastAsia="Arial" w:hAnsi="Arial"/>
                <w:color w:val="9A6B00"/>
                <w:sz w:val="18"/>
                <w:szCs w:val="18"/>
              </w:rPr>
              <w:t xml:space="preserve">Simulator: Simulator 5 — Risk Assessment Workshop: four stakeholders with conflicting views. Facilitate to a valid output.</w:t>
            </w:r>
          </w:p>
          <w:p>
            <w:pPr>
              <w:spacing w:before="30"/>
            </w:pPr>
            <w:r>
              <w:rPr>
                <w:rFonts w:ascii="Arial" w:cs="Arial" w:eastAsia="Arial" w:hAnsi="Arial"/>
                <w:color w:val="4A2080"/>
                <w:sz w:val="18"/>
                <w:szCs w:val="18"/>
              </w:rPr>
              <w:t xml:space="preserve">Frameworks: ISO 14971, DCB0160, DTAC v2</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E7C7B" w:val="clear"/>
            <w:tcMar>
              <w:top w:type="dxa" w:w="110"/>
              <w:left w:type="dxa" w:w="100"/>
              <w:bottom w:type="dxa" w:w="110"/>
              <w:right w:type="dxa" w:w="100"/>
            </w:tcMar>
          </w:tcPr>
          <w:p>
            <w:pPr>
              <w:jc w:val="center"/>
            </w:pPr>
            <w:r>
              <w:rPr>
                <w:rFonts w:ascii="Arial" w:cs="Arial" w:eastAsia="Arial" w:hAnsi="Arial"/>
                <w:b/>
                <w:bCs/>
                <w:color w:val="FFFFFF"/>
                <w:sz w:val="28"/>
                <w:szCs w:val="28"/>
              </w:rPr>
              <w:t xml:space="preserve">M7</w:t>
            </w:r>
          </w:p>
          <w:p>
            <w:pPr>
              <w:spacing w:before="30"/>
              <w:jc w:val="center"/>
            </w:pPr>
            <w:r>
              <w:rPr>
                <w:rFonts w:ascii="Arial" w:cs="Arial" w:eastAsia="Arial" w:hAnsi="Arial"/>
                <w:color w:val="D0E8FF"/>
                <w:sz w:val="14"/>
                <w:szCs w:val="14"/>
              </w:rPr>
              <w:t xml:space="preserve">T2</w:t>
            </w:r>
          </w:p>
        </w:tc>
        <w:tc>
          <w:tcPr>
            <w:tcW w:type="dxa" w:w="8360"/>
            <w:tcBorders>
              <w:top w:val="single" w:color="C8D0DC" w:sz="1"/>
              <w:left w:val="single" w:color="C8D0DC" w:sz="1"/>
              <w:bottom w:val="single" w:color="C8D0DC" w:sz="1"/>
              <w:right w:val="single" w:color="C8D0DC" w:sz="1"/>
            </w:tcBorders>
            <w:shd w:fill="F4F6FA" w:val="clear"/>
            <w:tcMar>
              <w:top w:type="dxa" w:w="110"/>
              <w:left w:type="dxa" w:w="160"/>
              <w:bottom w:type="dxa" w:w="110"/>
              <w:right w:type="dxa" w:w="160"/>
            </w:tcMar>
          </w:tcPr>
          <w:p>
            <w:r>
              <w:rPr>
                <w:rFonts w:ascii="Arial" w:cs="Arial" w:eastAsia="Arial" w:hAnsi="Arial"/>
                <w:b/>
                <w:bCs/>
                <w:color w:val="1B3A6B"/>
                <w:sz w:val="23"/>
                <w:szCs w:val="23"/>
              </w:rPr>
              <w:t xml:space="preserve">Evaluating a Supplier Safety Case — LAUNCH MODULE 2</w:t>
            </w:r>
          </w:p>
          <w:p>
            <w:pPr>
              <w:spacing w:before="45"/>
            </w:pPr>
            <w:r>
              <w:rPr>
                <w:rFonts w:ascii="Arial" w:cs="Arial" w:eastAsia="Arial" w:hAnsi="Arial"/>
                <w:color w:val="9B2222"/>
                <w:sz w:val="18"/>
                <w:szCs w:val="18"/>
              </w:rPr>
              <w:t xml:space="preserve">CSO pain: CSOs routinely approve supplier DCB0129 safety cases they cannot properly evaluate. They do not know what good looks like. The 10,000 unassured DHTs are the direct result.</w:t>
            </w:r>
          </w:p>
          <w:p>
            <w:pPr>
              <w:spacing w:before="30"/>
            </w:pPr>
            <w:r>
              <w:rPr>
                <w:rFonts w:ascii="Arial" w:cs="Arial" w:eastAsia="Arial" w:hAnsi="Arial"/>
                <w:color w:val="1A6B3A"/>
                <w:sz w:val="18"/>
                <w:szCs w:val="18"/>
              </w:rPr>
              <w:t xml:space="preserve">Practical: Detailed checklist of what a compliant DCB0129 safety case contains. Red flags that should block approval. Questions to ask suppliers. What to do when the safety case covers an older software version.</w:t>
            </w:r>
          </w:p>
          <w:p>
            <w:pPr>
              <w:spacing w:before="30"/>
            </w:pPr>
            <w:r>
              <w:rPr>
                <w:rFonts w:ascii="Arial" w:cs="Arial" w:eastAsia="Arial" w:hAnsi="Arial"/>
                <w:color w:val="0E7C7B"/>
                <w:sz w:val="18"/>
                <w:szCs w:val="18"/>
              </w:rPr>
              <w:t xml:space="preserve">Hospital application: Evaluating a real-format 12-page supplier CSCR before your trust signs the contract. Walking through every section with expert commentary.</w:t>
            </w:r>
          </w:p>
          <w:p>
            <w:pPr>
              <w:spacing w:before="30"/>
            </w:pPr>
            <w:r>
              <w:rPr>
                <w:rFonts w:ascii="Arial" w:cs="Arial" w:eastAsia="Arial" w:hAnsi="Arial"/>
                <w:color w:val="0A5454"/>
                <w:sz w:val="18"/>
                <w:szCs w:val="18"/>
              </w:rPr>
              <w:t xml:space="preserve">NHS 10yr Plan: New NHS procurement framework 2026 to 2027 makes CSO sign-off on supplier safety cases formally required.</w:t>
            </w:r>
          </w:p>
          <w:p>
            <w:pPr>
              <w:spacing w:before="30"/>
            </w:pPr>
            <w:r>
              <w:rPr>
                <w:rFonts w:ascii="Arial" w:cs="Arial" w:eastAsia="Arial" w:hAnsi="Arial"/>
                <w:color w:val="9A6B00"/>
                <w:sz w:val="18"/>
                <w:szCs w:val="18"/>
              </w:rPr>
              <w:t xml:space="preserve">Simulator: Simulator 6 — Supplier Safety Case Evaluator: a fictional DCB0129 CSCR with 8 deliberate gaps hidden inside. Find them before approving.</w:t>
            </w:r>
          </w:p>
          <w:p>
            <w:pPr>
              <w:spacing w:before="30"/>
            </w:pPr>
            <w:r>
              <w:rPr>
                <w:rFonts w:ascii="Arial" w:cs="Arial" w:eastAsia="Arial" w:hAnsi="Arial"/>
                <w:color w:val="4A2080"/>
                <w:sz w:val="18"/>
                <w:szCs w:val="18"/>
              </w:rPr>
              <w:t xml:space="preserve">Frameworks: DCB0129, DCB0160, DTAC v2, NICE ESF, AMLAS</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E7C7B" w:val="clear"/>
            <w:tcMar>
              <w:top w:type="dxa" w:w="110"/>
              <w:left w:type="dxa" w:w="100"/>
              <w:bottom w:type="dxa" w:w="110"/>
              <w:right w:type="dxa" w:w="100"/>
            </w:tcMar>
          </w:tcPr>
          <w:p>
            <w:pPr>
              <w:jc w:val="center"/>
            </w:pPr>
            <w:r>
              <w:rPr>
                <w:rFonts w:ascii="Arial" w:cs="Arial" w:eastAsia="Arial" w:hAnsi="Arial"/>
                <w:b/>
                <w:bCs/>
                <w:color w:val="FFFFFF"/>
                <w:sz w:val="28"/>
                <w:szCs w:val="28"/>
              </w:rPr>
              <w:t xml:space="preserve">M8</w:t>
            </w:r>
          </w:p>
          <w:p>
            <w:pPr>
              <w:spacing w:before="30"/>
              <w:jc w:val="center"/>
            </w:pPr>
            <w:r>
              <w:rPr>
                <w:rFonts w:ascii="Arial" w:cs="Arial" w:eastAsia="Arial" w:hAnsi="Arial"/>
                <w:color w:val="D0E8FF"/>
                <w:sz w:val="14"/>
                <w:szCs w:val="14"/>
              </w:rPr>
              <w:t xml:space="preserve">T2</w:t>
            </w:r>
          </w:p>
        </w:tc>
        <w:tc>
          <w:tcPr>
            <w:tcW w:type="dxa" w:w="8360"/>
            <w:tcBorders>
              <w:top w:val="single" w:color="C8D0DC" w:sz="1"/>
              <w:left w:val="single" w:color="C8D0DC" w:sz="1"/>
              <w:bottom w:val="single" w:color="C8D0DC" w:sz="1"/>
              <w:right w:val="single" w:color="C8D0DC" w:sz="1"/>
            </w:tcBorders>
            <w:shd w:fill="F4F6FA" w:val="clear"/>
            <w:tcMar>
              <w:top w:type="dxa" w:w="110"/>
              <w:left w:type="dxa" w:w="160"/>
              <w:bottom w:type="dxa" w:w="110"/>
              <w:right w:type="dxa" w:w="160"/>
            </w:tcMar>
          </w:tcPr>
          <w:p>
            <w:r>
              <w:rPr>
                <w:rFonts w:ascii="Arial" w:cs="Arial" w:eastAsia="Arial" w:hAnsi="Arial"/>
                <w:b/>
                <w:bCs/>
                <w:color w:val="1B3A6B"/>
                <w:sz w:val="23"/>
                <w:szCs w:val="23"/>
              </w:rPr>
              <w:t xml:space="preserve">Legacy Systems — Retrospective Compliance for Unassured DHTs</w:t>
            </w:r>
          </w:p>
          <w:p>
            <w:pPr>
              <w:spacing w:before="45"/>
            </w:pPr>
            <w:r>
              <w:rPr>
                <w:rFonts w:ascii="Arial" w:cs="Arial" w:eastAsia="Arial" w:hAnsi="Arial"/>
                <w:color w:val="9B2222"/>
                <w:sz w:val="18"/>
                <w:szCs w:val="18"/>
              </w:rPr>
              <w:t xml:space="preserve">CSO pain: Over 10,000 NHS DHTs are deployed without DCB assurance. CSOs have no practical guide for retrospective assessment of already-deployed systems.</w:t>
            </w:r>
          </w:p>
          <w:p>
            <w:pPr>
              <w:spacing w:before="30"/>
            </w:pPr>
            <w:r>
              <w:rPr>
                <w:rFonts w:ascii="Arial" w:cs="Arial" w:eastAsia="Arial" w:hAnsi="Arial"/>
                <w:color w:val="1A6B3A"/>
                <w:sz w:val="18"/>
                <w:szCs w:val="18"/>
              </w:rPr>
              <w:t xml:space="preserve">Practical: How to triage your trust portfolio by risk. Pragmatic retrospective assessment process. How to document gaps legally. When to escalate versus when to proceed with documented residual risk.</w:t>
            </w:r>
          </w:p>
          <w:p>
            <w:pPr>
              <w:spacing w:before="30"/>
            </w:pPr>
            <w:r>
              <w:rPr>
                <w:rFonts w:ascii="Arial" w:cs="Arial" w:eastAsia="Arial" w:hAnsi="Arial"/>
                <w:color w:val="0E7C7B"/>
                <w:sz w:val="18"/>
                <w:szCs w:val="18"/>
              </w:rPr>
              <w:t xml:space="preserve">Hospital application: Assessing your trust's 50 highest-risk unassured legacy systems — priority matrix, assessment template, escalation protocol.</w:t>
            </w:r>
          </w:p>
          <w:p>
            <w:pPr>
              <w:spacing w:before="30"/>
            </w:pPr>
            <w:r>
              <w:rPr>
                <w:rFonts w:ascii="Arial" w:cs="Arial" w:eastAsia="Arial" w:hAnsi="Arial"/>
                <w:color w:val="0A5454"/>
                <w:sz w:val="18"/>
                <w:szCs w:val="18"/>
              </w:rPr>
              <w:t xml:space="preserve">NHS 10yr Plan: The NHS 10 Year Plan cannot safely go digital-by-default while 75% of existing systems remain unassured.</w:t>
            </w:r>
          </w:p>
          <w:p>
            <w:pPr>
              <w:spacing w:before="30"/>
            </w:pPr>
            <w:r>
              <w:rPr>
                <w:rFonts w:ascii="Arial" w:cs="Arial" w:eastAsia="Arial" w:hAnsi="Arial"/>
                <w:color w:val="9A6B00"/>
                <w:sz w:val="18"/>
                <w:szCs w:val="18"/>
              </w:rPr>
              <w:t xml:space="preserve">Simulator: No simulator — this is portfolio management and prioritisation, not a single decision task.</w:t>
            </w:r>
          </w:p>
          <w:p>
            <w:pPr>
              <w:spacing w:before="30"/>
            </w:pPr>
            <w:r>
              <w:rPr>
                <w:rFonts w:ascii="Arial" w:cs="Arial" w:eastAsia="Arial" w:hAnsi="Arial"/>
                <w:color w:val="4A2080"/>
                <w:sz w:val="18"/>
                <w:szCs w:val="18"/>
              </w:rPr>
              <w:t xml:space="preserve">Frameworks: DCB0160, JMIR 2025 compliance study, DTAC v2</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E7C7B" w:val="clear"/>
            <w:tcMar>
              <w:top w:type="dxa" w:w="110"/>
              <w:left w:type="dxa" w:w="100"/>
              <w:bottom w:type="dxa" w:w="110"/>
              <w:right w:type="dxa" w:w="100"/>
            </w:tcMar>
          </w:tcPr>
          <w:p>
            <w:pPr>
              <w:jc w:val="center"/>
            </w:pPr>
            <w:r>
              <w:rPr>
                <w:rFonts w:ascii="Arial" w:cs="Arial" w:eastAsia="Arial" w:hAnsi="Arial"/>
                <w:b/>
                <w:bCs/>
                <w:color w:val="FFFFFF"/>
                <w:sz w:val="28"/>
                <w:szCs w:val="28"/>
              </w:rPr>
              <w:t xml:space="preserve">M9</w:t>
            </w:r>
          </w:p>
          <w:p>
            <w:pPr>
              <w:spacing w:before="30"/>
              <w:jc w:val="center"/>
            </w:pPr>
            <w:r>
              <w:rPr>
                <w:rFonts w:ascii="Arial" w:cs="Arial" w:eastAsia="Arial" w:hAnsi="Arial"/>
                <w:color w:val="D0E8FF"/>
                <w:sz w:val="14"/>
                <w:szCs w:val="14"/>
              </w:rPr>
              <w:t xml:space="preserve">T2</w:t>
            </w:r>
          </w:p>
        </w:tc>
        <w:tc>
          <w:tcPr>
            <w:tcW w:type="dxa" w:w="8360"/>
            <w:tcBorders>
              <w:top w:val="single" w:color="C8D0DC" w:sz="1"/>
              <w:left w:val="single" w:color="C8D0DC" w:sz="1"/>
              <w:bottom w:val="single" w:color="C8D0DC" w:sz="1"/>
              <w:right w:val="single" w:color="C8D0DC" w:sz="1"/>
            </w:tcBorders>
            <w:shd w:fill="F4F6FA" w:val="clear"/>
            <w:tcMar>
              <w:top w:type="dxa" w:w="110"/>
              <w:left w:type="dxa" w:w="160"/>
              <w:bottom w:type="dxa" w:w="110"/>
              <w:right w:type="dxa" w:w="160"/>
            </w:tcMar>
          </w:tcPr>
          <w:p>
            <w:r>
              <w:rPr>
                <w:rFonts w:ascii="Arial" w:cs="Arial" w:eastAsia="Arial" w:hAnsi="Arial"/>
                <w:b/>
                <w:bCs/>
                <w:color w:val="1B3A6B"/>
                <w:sz w:val="23"/>
                <w:szCs w:val="23"/>
              </w:rPr>
              <w:t xml:space="preserve">Managing Compliance Under Deadline Pressure</w:t>
            </w:r>
          </w:p>
          <w:p>
            <w:pPr>
              <w:spacing w:before="45"/>
            </w:pPr>
            <w:r>
              <w:rPr>
                <w:rFonts w:ascii="Arial" w:cs="Arial" w:eastAsia="Arial" w:hAnsi="Arial"/>
                <w:color w:val="9B2222"/>
                <w:sz w:val="18"/>
                <w:szCs w:val="18"/>
              </w:rPr>
              <w:t xml:space="preserve">CSO pain: The majority of CSOs report tick-box compliance driven by short deadlines. This is the most common route to patient harm from inadequate safety processes.</w:t>
            </w:r>
          </w:p>
          <w:p>
            <w:pPr>
              <w:spacing w:before="30"/>
            </w:pPr>
            <w:r>
              <w:rPr>
                <w:rFonts w:ascii="Arial" w:cs="Arial" w:eastAsia="Arial" w:hAnsi="Arial"/>
                <w:color w:val="1A6B3A"/>
                <w:sz w:val="18"/>
                <w:szCs w:val="18"/>
              </w:rPr>
              <w:t xml:space="preserve">Practical: CSO workload triage matrix. When minimum viable compliance is appropriate versus full compliance. How to document a risk-based decision to proceed under incomplete assurance. Scripts for pushing back on unrealistic timelines.</w:t>
            </w:r>
          </w:p>
          <w:p>
            <w:pPr>
              <w:spacing w:before="30"/>
            </w:pPr>
            <w:r>
              <w:rPr>
                <w:rFonts w:ascii="Arial" w:cs="Arial" w:eastAsia="Arial" w:hAnsi="Arial"/>
                <w:color w:val="0E7C7B"/>
                <w:sz w:val="18"/>
                <w:szCs w:val="18"/>
              </w:rPr>
              <w:t xml:space="preserve">Hospital application: Your trust wants to go live with an AI tool in two weeks. The safety case is incomplete. The board is pushing. What do you do — step by step.</w:t>
            </w:r>
          </w:p>
          <w:p>
            <w:pPr>
              <w:spacing w:before="30"/>
            </w:pPr>
            <w:r>
              <w:rPr>
                <w:rFonts w:ascii="Arial" w:cs="Arial" w:eastAsia="Arial" w:hAnsi="Arial"/>
                <w:color w:val="0A5454"/>
                <w:sz w:val="18"/>
                <w:szCs w:val="18"/>
              </w:rPr>
              <w:t xml:space="preserve">NHS 10yr Plan: NHS 10 Year Plan timelines are aggressive. CSOs must work efficiently and defensibly simultaneously.</w:t>
            </w:r>
          </w:p>
          <w:p>
            <w:pPr>
              <w:spacing w:before="30"/>
            </w:pPr>
            <w:r>
              <w:rPr>
                <w:rFonts w:ascii="Arial" w:cs="Arial" w:eastAsia="Arial" w:hAnsi="Arial"/>
                <w:color w:val="9A6B00"/>
                <w:sz w:val="18"/>
                <w:szCs w:val="18"/>
              </w:rPr>
              <w:t xml:space="preserve">Simulator: Simulator 7 — The Deadline Scenario: commercial and board pressure to go live with an incomplete safety case. Decision tree with consequences.</w:t>
            </w:r>
          </w:p>
          <w:p>
            <w:pPr>
              <w:spacing w:before="30"/>
            </w:pPr>
            <w:r>
              <w:rPr>
                <w:rFonts w:ascii="Arial" w:cs="Arial" w:eastAsia="Arial" w:hAnsi="Arial"/>
                <w:color w:val="4A2080"/>
                <w:sz w:val="18"/>
                <w:szCs w:val="18"/>
              </w:rPr>
              <w:t xml:space="preserve">Frameworks: DCB0160, DTAC v2, GMC Good Medical Practice, NHS governance</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E7C7B" w:val="clear"/>
            <w:tcMar>
              <w:top w:type="dxa" w:w="110"/>
              <w:left w:type="dxa" w:w="100"/>
              <w:bottom w:type="dxa" w:w="110"/>
              <w:right w:type="dxa" w:w="100"/>
            </w:tcMar>
          </w:tcPr>
          <w:p>
            <w:pPr>
              <w:jc w:val="center"/>
            </w:pPr>
            <w:r>
              <w:rPr>
                <w:rFonts w:ascii="Arial" w:cs="Arial" w:eastAsia="Arial" w:hAnsi="Arial"/>
                <w:b/>
                <w:bCs/>
                <w:color w:val="FFFFFF"/>
                <w:sz w:val="28"/>
                <w:szCs w:val="28"/>
              </w:rPr>
              <w:t xml:space="preserve">M10</w:t>
            </w:r>
          </w:p>
          <w:p>
            <w:pPr>
              <w:spacing w:before="30"/>
              <w:jc w:val="center"/>
            </w:pPr>
            <w:r>
              <w:rPr>
                <w:rFonts w:ascii="Arial" w:cs="Arial" w:eastAsia="Arial" w:hAnsi="Arial"/>
                <w:color w:val="D0E8FF"/>
                <w:sz w:val="14"/>
                <w:szCs w:val="14"/>
              </w:rPr>
              <w:t xml:space="preserve">T2</w:t>
            </w:r>
          </w:p>
        </w:tc>
        <w:tc>
          <w:tcPr>
            <w:tcW w:type="dxa" w:w="8360"/>
            <w:tcBorders>
              <w:top w:val="single" w:color="C8D0DC" w:sz="1"/>
              <w:left w:val="single" w:color="C8D0DC" w:sz="1"/>
              <w:bottom w:val="single" w:color="C8D0DC" w:sz="1"/>
              <w:right w:val="single" w:color="C8D0DC" w:sz="1"/>
            </w:tcBorders>
            <w:shd w:fill="F4F6FA" w:val="clear"/>
            <w:tcMar>
              <w:top w:type="dxa" w:w="110"/>
              <w:left w:type="dxa" w:w="160"/>
              <w:bottom w:type="dxa" w:w="110"/>
              <w:right w:type="dxa" w:w="160"/>
            </w:tcMar>
          </w:tcPr>
          <w:p>
            <w:r>
              <w:rPr>
                <w:rFonts w:ascii="Arial" w:cs="Arial" w:eastAsia="Arial" w:hAnsi="Arial"/>
                <w:b/>
                <w:bCs/>
                <w:color w:val="1B3A6B"/>
                <w:sz w:val="23"/>
                <w:szCs w:val="23"/>
              </w:rPr>
              <w:t xml:space="preserve">Digital Incident Investigation — PSIRF Applied to AI Systems</w:t>
            </w:r>
          </w:p>
          <w:p>
            <w:pPr>
              <w:spacing w:before="45"/>
            </w:pPr>
            <w:r>
              <w:rPr>
                <w:rFonts w:ascii="Arial" w:cs="Arial" w:eastAsia="Arial" w:hAnsi="Arial"/>
                <w:color w:val="9B2222"/>
                <w:sz w:val="18"/>
                <w:szCs w:val="18"/>
              </w:rPr>
              <w:t xml:space="preserve">CSO pain: Clinical incident frameworks do not map onto digital system failures. CSOs do not know how to investigate an AI-related incident or what PSIRF requires of them.</w:t>
            </w:r>
          </w:p>
          <w:p>
            <w:pPr>
              <w:spacing w:before="30"/>
            </w:pPr>
            <w:r>
              <w:rPr>
                <w:rFonts w:ascii="Arial" w:cs="Arial" w:eastAsia="Arial" w:hAnsi="Arial"/>
                <w:color w:val="1A6B3A"/>
                <w:sz w:val="18"/>
                <w:szCs w:val="18"/>
              </w:rPr>
              <w:t xml:space="preserve">Practical: Step-by-step digital incident investigation using PSIRF. Choosing PSII versus AAR versus MDM. How to update the hazard log post-incident. LFPSE reporting for digital safety events. Preserving the audit trail.</w:t>
            </w:r>
          </w:p>
          <w:p>
            <w:pPr>
              <w:spacing w:before="30"/>
            </w:pPr>
            <w:r>
              <w:rPr>
                <w:rFonts w:ascii="Arial" w:cs="Arial" w:eastAsia="Arial" w:hAnsi="Arial"/>
                <w:color w:val="0E7C7B"/>
                <w:sz w:val="18"/>
                <w:szCs w:val="18"/>
              </w:rPr>
              <w:t xml:space="preserve">Hospital application: An AI diagnostic tool has contributed to a delayed diagnosis at your trust. You receive the incident report. Full investigation guide from report to learning output.</w:t>
            </w:r>
          </w:p>
          <w:p>
            <w:pPr>
              <w:spacing w:before="30"/>
            </w:pPr>
            <w:r>
              <w:rPr>
                <w:rFonts w:ascii="Arial" w:cs="Arial" w:eastAsia="Arial" w:hAnsi="Arial"/>
                <w:color w:val="0A5454"/>
                <w:sz w:val="18"/>
                <w:szCs w:val="18"/>
              </w:rPr>
              <w:t xml:space="preserve">NHS 10yr Plan: PSIRF is the NHS incident response standard but its principles have not been formally extended to AI systems.</w:t>
            </w:r>
          </w:p>
          <w:p>
            <w:pPr>
              <w:spacing w:before="30"/>
            </w:pPr>
            <w:r>
              <w:rPr>
                <w:rFonts w:ascii="Arial" w:cs="Arial" w:eastAsia="Arial" w:hAnsi="Arial"/>
                <w:color w:val="9A6B00"/>
                <w:sz w:val="18"/>
                <w:szCs w:val="18"/>
              </w:rPr>
              <w:t xml:space="preserve">Simulator: Simulator 8 — Digital Incident Investigation: complete investigation from initial report to LFPSE submission including duty of candour obligations.</w:t>
            </w:r>
          </w:p>
          <w:p>
            <w:pPr>
              <w:spacing w:before="30"/>
            </w:pPr>
            <w:r>
              <w:rPr>
                <w:rFonts w:ascii="Arial" w:cs="Arial" w:eastAsia="Arial" w:hAnsi="Arial"/>
                <w:color w:val="4A2080"/>
                <w:sz w:val="18"/>
                <w:szCs w:val="18"/>
              </w:rPr>
              <w:t xml:space="preserve">Frameworks: PSIRF, LFPSE, DCB0160, Duty of Candour Regulation 2014</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96A1A" w:val="clear"/>
            <w:tcMar>
              <w:top w:type="dxa" w:w="130"/>
              <w:left w:type="dxa" w:w="260"/>
              <w:bottom w:type="dxa" w:w="130"/>
              <w:right w:type="dxa" w:w="260"/>
            </w:tcMar>
          </w:tcPr>
          <w:p>
            <w:r>
              <w:rPr>
                <w:rFonts w:ascii="Arial" w:cs="Arial" w:eastAsia="Arial" w:hAnsi="Arial"/>
                <w:b/>
                <w:bCs/>
                <w:color w:val="FFFFFF"/>
                <w:sz w:val="26"/>
                <w:szCs w:val="26"/>
              </w:rPr>
              <w:t xml:space="preserve">TIER 3 — AI-SPECIFIC: The Knowledge No Existing Training Provides</w:t>
            </w:r>
          </w:p>
        </w:tc>
      </w:tr>
    </w:tbl>
    <w:p>
      <w:pPr>
        <w:spacing w:after="30" w:before="3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96A1A" w:val="clear"/>
            <w:tcMar>
              <w:top w:type="dxa" w:w="110"/>
              <w:left w:type="dxa" w:w="100"/>
              <w:bottom w:type="dxa" w:w="110"/>
              <w:right w:type="dxa" w:w="100"/>
            </w:tcMar>
          </w:tcPr>
          <w:p>
            <w:pPr>
              <w:jc w:val="center"/>
            </w:pPr>
            <w:r>
              <w:rPr>
                <w:rFonts w:ascii="Arial" w:cs="Arial" w:eastAsia="Arial" w:hAnsi="Arial"/>
                <w:b/>
                <w:bCs/>
                <w:color w:val="FFFFFF"/>
                <w:sz w:val="28"/>
                <w:szCs w:val="28"/>
              </w:rPr>
              <w:t xml:space="preserve">M11</w:t>
            </w:r>
          </w:p>
          <w:p>
            <w:pPr>
              <w:spacing w:before="30"/>
              <w:jc w:val="center"/>
            </w:pPr>
            <w:r>
              <w:rPr>
                <w:rFonts w:ascii="Arial" w:cs="Arial" w:eastAsia="Arial" w:hAnsi="Arial"/>
                <w:color w:val="D0E8FF"/>
                <w:sz w:val="14"/>
                <w:szCs w:val="14"/>
              </w:rPr>
              <w:t xml:space="preserve">T3</w:t>
            </w:r>
          </w:p>
        </w:tc>
        <w:tc>
          <w:tcPr>
            <w:tcW w:type="dxa" w:w="8360"/>
            <w:tcBorders>
              <w:top w:val="single" w:color="C8D0DC" w:sz="1"/>
              <w:left w:val="single" w:color="C8D0DC" w:sz="1"/>
              <w:bottom w:val="single" w:color="C8D0DC" w:sz="1"/>
              <w:right w:val="single" w:color="C8D0DC" w:sz="1"/>
            </w:tcBorders>
            <w:shd w:fill="F4F6FA" w:val="clear"/>
            <w:tcMar>
              <w:top w:type="dxa" w:w="110"/>
              <w:left w:type="dxa" w:w="160"/>
              <w:bottom w:type="dxa" w:w="110"/>
              <w:right w:type="dxa" w:w="160"/>
            </w:tcMar>
          </w:tcPr>
          <w:p>
            <w:r>
              <w:rPr>
                <w:rFonts w:ascii="Arial" w:cs="Arial" w:eastAsia="Arial" w:hAnsi="Arial"/>
                <w:b/>
                <w:bCs/>
                <w:color w:val="1B3A6B"/>
                <w:sz w:val="23"/>
                <w:szCs w:val="23"/>
              </w:rPr>
              <w:t xml:space="preserve">Why AI Breaks DCB Standards — LAUNCH MODULE 3</w:t>
            </w:r>
          </w:p>
          <w:p>
            <w:pPr>
              <w:spacing w:before="45"/>
            </w:pPr>
            <w:r>
              <w:rPr>
                <w:rFonts w:ascii="Arial" w:cs="Arial" w:eastAsia="Arial" w:hAnsi="Arial"/>
                <w:color w:val="9B2222"/>
                <w:sz w:val="18"/>
                <w:szCs w:val="18"/>
              </w:rPr>
              <w:t xml:space="preserve">CSO pain: DCB0129 and DCB0160 were built for deterministic software. CSOs applying them unchanged to AI are using the wrong map. Nobody has explained this practically.</w:t>
            </w:r>
          </w:p>
          <w:p>
            <w:pPr>
              <w:spacing w:before="30"/>
            </w:pPr>
            <w:r>
              <w:rPr>
                <w:rFonts w:ascii="Arial" w:cs="Arial" w:eastAsia="Arial" w:hAnsi="Arial"/>
                <w:color w:val="1A6B3A"/>
                <w:sz w:val="18"/>
                <w:szCs w:val="18"/>
              </w:rPr>
              <w:t xml:space="preserve">Practical: The three core assumptions of DCB that AI violates. For each: what the standard says, why AI breaks it, what to do instead. Practical adaptations for each DCB clause when applied to AI systems.</w:t>
            </w:r>
          </w:p>
          <w:p>
            <w:pPr>
              <w:spacing w:before="30"/>
            </w:pPr>
            <w:r>
              <w:rPr>
                <w:rFonts w:ascii="Arial" w:cs="Arial" w:eastAsia="Arial" w:hAnsi="Arial"/>
                <w:color w:val="0E7C7B"/>
                <w:sz w:val="18"/>
                <w:szCs w:val="18"/>
              </w:rPr>
              <w:t xml:space="preserve">Hospital application: Annotating a standard DCB0160 CSCR to add AI-specific requirements for an LLM-powered triage tool.</w:t>
            </w:r>
          </w:p>
          <w:p>
            <w:pPr>
              <w:spacing w:before="30"/>
            </w:pPr>
            <w:r>
              <w:rPr>
                <w:rFonts w:ascii="Arial" w:cs="Arial" w:eastAsia="Arial" w:hAnsi="Arial"/>
                <w:color w:val="0A5454"/>
                <w:sz w:val="18"/>
                <w:szCs w:val="18"/>
              </w:rPr>
              <w:t xml:space="preserve">NHS 10yr Plan: Ambient AI scribe rollout begins 2025. Every deployment needs a CSO who understands this fundamental difference.</w:t>
            </w:r>
          </w:p>
          <w:p>
            <w:pPr>
              <w:spacing w:before="30"/>
            </w:pPr>
            <w:r>
              <w:rPr>
                <w:rFonts w:ascii="Arial" w:cs="Arial" w:eastAsia="Arial" w:hAnsi="Arial"/>
                <w:color w:val="9A6B00"/>
                <w:sz w:val="18"/>
                <w:szCs w:val="18"/>
              </w:rPr>
              <w:t xml:space="preserve">Simulator: No separate simulator — this module feeds directly into Simulators 4, 6, and 8.</w:t>
            </w:r>
          </w:p>
          <w:p>
            <w:pPr>
              <w:spacing w:before="30"/>
            </w:pPr>
            <w:r>
              <w:rPr>
                <w:rFonts w:ascii="Arial" w:cs="Arial" w:eastAsia="Arial" w:hAnsi="Arial"/>
                <w:color w:val="4A2080"/>
                <w:sz w:val="18"/>
                <w:szCs w:val="18"/>
              </w:rPr>
              <w:t xml:space="preserve">Frameworks: DCB0129, DCB0160, BS AAMI 34971, ECSF</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96A1A" w:val="clear"/>
            <w:tcMar>
              <w:top w:type="dxa" w:w="110"/>
              <w:left w:type="dxa" w:w="100"/>
              <w:bottom w:type="dxa" w:w="110"/>
              <w:right w:type="dxa" w:w="100"/>
            </w:tcMar>
          </w:tcPr>
          <w:p>
            <w:pPr>
              <w:jc w:val="center"/>
            </w:pPr>
            <w:r>
              <w:rPr>
                <w:rFonts w:ascii="Arial" w:cs="Arial" w:eastAsia="Arial" w:hAnsi="Arial"/>
                <w:b/>
                <w:bCs/>
                <w:color w:val="FFFFFF"/>
                <w:sz w:val="28"/>
                <w:szCs w:val="28"/>
              </w:rPr>
              <w:t xml:space="preserve">M12</w:t>
            </w:r>
          </w:p>
          <w:p>
            <w:pPr>
              <w:spacing w:before="30"/>
              <w:jc w:val="center"/>
            </w:pPr>
            <w:r>
              <w:rPr>
                <w:rFonts w:ascii="Arial" w:cs="Arial" w:eastAsia="Arial" w:hAnsi="Arial"/>
                <w:color w:val="D0E8FF"/>
                <w:sz w:val="14"/>
                <w:szCs w:val="14"/>
              </w:rPr>
              <w:t xml:space="preserve">T3</w:t>
            </w:r>
          </w:p>
        </w:tc>
        <w:tc>
          <w:tcPr>
            <w:tcW w:type="dxa" w:w="8360"/>
            <w:tcBorders>
              <w:top w:val="single" w:color="C8D0DC" w:sz="1"/>
              <w:left w:val="single" w:color="C8D0DC" w:sz="1"/>
              <w:bottom w:val="single" w:color="C8D0DC" w:sz="1"/>
              <w:right w:val="single" w:color="C8D0DC" w:sz="1"/>
            </w:tcBorders>
            <w:shd w:fill="F4F6FA" w:val="clear"/>
            <w:tcMar>
              <w:top w:type="dxa" w:w="110"/>
              <w:left w:type="dxa" w:w="160"/>
              <w:bottom w:type="dxa" w:w="110"/>
              <w:right w:type="dxa" w:w="160"/>
            </w:tcMar>
          </w:tcPr>
          <w:p>
            <w:r>
              <w:rPr>
                <w:rFonts w:ascii="Arial" w:cs="Arial" w:eastAsia="Arial" w:hAnsi="Arial"/>
                <w:b/>
                <w:bCs/>
                <w:color w:val="1B3A6B"/>
                <w:sz w:val="23"/>
                <w:szCs w:val="23"/>
              </w:rPr>
              <w:t xml:space="preserve">LLM Hallucination — The CSO Evaluation and Response Protocol</w:t>
            </w:r>
          </w:p>
          <w:p>
            <w:pPr>
              <w:spacing w:before="45"/>
            </w:pPr>
            <w:r>
              <w:rPr>
                <w:rFonts w:ascii="Arial" w:cs="Arial" w:eastAsia="Arial" w:hAnsi="Arial"/>
                <w:color w:val="9B2222"/>
                <w:sz w:val="18"/>
                <w:szCs w:val="18"/>
              </w:rPr>
              <w:t xml:space="preserve">CSO pain: 91.8% of clinicians have encountered medical AI hallucinations. 84.7% say they can cause patient harm. No CSO protocol exists anywhere.</w:t>
            </w:r>
          </w:p>
          <w:p>
            <w:pPr>
              <w:spacing w:before="30"/>
            </w:pPr>
            <w:r>
              <w:rPr>
                <w:rFonts w:ascii="Arial" w:cs="Arial" w:eastAsia="Arial" w:hAnsi="Arial"/>
                <w:color w:val="1A6B3A"/>
                <w:sz w:val="18"/>
                <w:szCs w:val="18"/>
              </w:rPr>
              <w:t xml:space="preserve">Practical: What hallucination is and why it is mathematically unavoidable in LLMs. Risk-stratified approach to human-in-the-loop requirements. How to specify anti-hallucination requirements in supplier contracts. Setting escalation thresholds.</w:t>
            </w:r>
          </w:p>
          <w:p>
            <w:pPr>
              <w:spacing w:before="30"/>
            </w:pPr>
            <w:r>
              <w:rPr>
                <w:rFonts w:ascii="Arial" w:cs="Arial" w:eastAsia="Arial" w:hAnsi="Arial"/>
                <w:color w:val="0E7C7B"/>
                <w:sz w:val="18"/>
                <w:szCs w:val="18"/>
              </w:rPr>
              <w:t xml:space="preserve">Hospital application: Creating a hallucination monitoring protocol for your trust's AI documentation tool. What to audit, how often, what threshold triggers suspension.</w:t>
            </w:r>
          </w:p>
          <w:p>
            <w:pPr>
              <w:spacing w:before="30"/>
            </w:pPr>
            <w:r>
              <w:rPr>
                <w:rFonts w:ascii="Arial" w:cs="Arial" w:eastAsia="Arial" w:hAnsi="Arial"/>
                <w:color w:val="0A5454"/>
                <w:sz w:val="18"/>
                <w:szCs w:val="18"/>
              </w:rPr>
              <w:t xml:space="preserve">NHS 10yr Plan: LLM-powered tools are the fastest-growing NHS AI deployment category. Hallucination is the primary safety risk.</w:t>
            </w:r>
          </w:p>
          <w:p>
            <w:pPr>
              <w:spacing w:before="30"/>
            </w:pPr>
            <w:r>
              <w:rPr>
                <w:rFonts w:ascii="Arial" w:cs="Arial" w:eastAsia="Arial" w:hAnsi="Arial"/>
                <w:color w:val="9A6B00"/>
                <w:sz w:val="18"/>
                <w:szCs w:val="18"/>
              </w:rPr>
              <w:t xml:space="preserve">Simulator: Simulator 9 — Hallucination Audit: review 20 AI outputs, identify risk-bearing hallucinations, score severity using BS AAMI 34971.</w:t>
            </w:r>
          </w:p>
          <w:p>
            <w:pPr>
              <w:spacing w:before="30"/>
            </w:pPr>
            <w:r>
              <w:rPr>
                <w:rFonts w:ascii="Arial" w:cs="Arial" w:eastAsia="Arial" w:hAnsi="Arial"/>
                <w:color w:val="4A2080"/>
                <w:sz w:val="18"/>
                <w:szCs w:val="18"/>
              </w:rPr>
              <w:t xml:space="preserve">Frameworks: BS AAMI 34971, ECSF, DCB0160</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96A1A" w:val="clear"/>
            <w:tcMar>
              <w:top w:type="dxa" w:w="110"/>
              <w:left w:type="dxa" w:w="100"/>
              <w:bottom w:type="dxa" w:w="110"/>
              <w:right w:type="dxa" w:w="100"/>
            </w:tcMar>
          </w:tcPr>
          <w:p>
            <w:pPr>
              <w:jc w:val="center"/>
            </w:pPr>
            <w:r>
              <w:rPr>
                <w:rFonts w:ascii="Arial" w:cs="Arial" w:eastAsia="Arial" w:hAnsi="Arial"/>
                <w:b/>
                <w:bCs/>
                <w:color w:val="FFFFFF"/>
                <w:sz w:val="28"/>
                <w:szCs w:val="28"/>
              </w:rPr>
              <w:t xml:space="preserve">M13</w:t>
            </w:r>
          </w:p>
          <w:p>
            <w:pPr>
              <w:spacing w:before="30"/>
              <w:jc w:val="center"/>
            </w:pPr>
            <w:r>
              <w:rPr>
                <w:rFonts w:ascii="Arial" w:cs="Arial" w:eastAsia="Arial" w:hAnsi="Arial"/>
                <w:color w:val="D0E8FF"/>
                <w:sz w:val="14"/>
                <w:szCs w:val="14"/>
              </w:rPr>
              <w:t xml:space="preserve">T3</w:t>
            </w:r>
          </w:p>
        </w:tc>
        <w:tc>
          <w:tcPr>
            <w:tcW w:type="dxa" w:w="8360"/>
            <w:tcBorders>
              <w:top w:val="single" w:color="C8D0DC" w:sz="1"/>
              <w:left w:val="single" w:color="C8D0DC" w:sz="1"/>
              <w:bottom w:val="single" w:color="C8D0DC" w:sz="1"/>
              <w:right w:val="single" w:color="C8D0DC" w:sz="1"/>
            </w:tcBorders>
            <w:shd w:fill="F4F6FA" w:val="clear"/>
            <w:tcMar>
              <w:top w:type="dxa" w:w="110"/>
              <w:left w:type="dxa" w:w="160"/>
              <w:bottom w:type="dxa" w:w="110"/>
              <w:right w:type="dxa" w:w="160"/>
            </w:tcMar>
          </w:tcPr>
          <w:p>
            <w:r>
              <w:rPr>
                <w:rFonts w:ascii="Arial" w:cs="Arial" w:eastAsia="Arial" w:hAnsi="Arial"/>
                <w:b/>
                <w:bCs/>
                <w:color w:val="1B3A6B"/>
                <w:sz w:val="23"/>
                <w:szCs w:val="23"/>
              </w:rPr>
              <w:t xml:space="preserve">Monitoring AI Model Drift — What CSOs Must Do</w:t>
            </w:r>
          </w:p>
          <w:p>
            <w:pPr>
              <w:spacing w:before="45"/>
            </w:pPr>
            <w:r>
              <w:rPr>
                <w:rFonts w:ascii="Arial" w:cs="Arial" w:eastAsia="Arial" w:hAnsi="Arial"/>
                <w:color w:val="9B2222"/>
                <w:sz w:val="18"/>
                <w:szCs w:val="18"/>
              </w:rPr>
              <w:t xml:space="preserve">CSO pain: Drift is invisible until harm has already occurred. No practical monitoring protocol exists for NHS CSOs.</w:t>
            </w:r>
          </w:p>
          <w:p>
            <w:pPr>
              <w:spacing w:before="30"/>
            </w:pPr>
            <w:r>
              <w:rPr>
                <w:rFonts w:ascii="Arial" w:cs="Arial" w:eastAsia="Arial" w:hAnsi="Arial"/>
                <w:color w:val="1A6B3A"/>
                <w:sz w:val="18"/>
                <w:szCs w:val="18"/>
              </w:rPr>
              <w:t xml:space="preserve">Practical: What drift looks like in practice with real examples. How to set up a proportionate monitoring protocol. Leading versus lagging indicators. When to escalate and suspend. How to document in a post-market surveillance plan.</w:t>
            </w:r>
          </w:p>
          <w:p>
            <w:pPr>
              <w:spacing w:before="30"/>
            </w:pPr>
            <w:r>
              <w:rPr>
                <w:rFonts w:ascii="Arial" w:cs="Arial" w:eastAsia="Arial" w:hAnsi="Arial"/>
                <w:color w:val="0E7C7B"/>
                <w:sz w:val="18"/>
                <w:szCs w:val="18"/>
              </w:rPr>
              <w:t xml:space="preserve">Hospital application: Designing a drift monitoring protocol for your trust's top five AI systems. Dashboard metrics, review frequency, escalation triggers.</w:t>
            </w:r>
          </w:p>
          <w:p>
            <w:pPr>
              <w:spacing w:before="30"/>
            </w:pPr>
            <w:r>
              <w:rPr>
                <w:rFonts w:ascii="Arial" w:cs="Arial" w:eastAsia="Arial" w:hAnsi="Arial"/>
                <w:color w:val="0A5454"/>
                <w:sz w:val="18"/>
                <w:szCs w:val="18"/>
              </w:rPr>
              <w:t xml:space="preserve">NHS 10yr Plan: Post-market surveillance of AI is a formal CSO responsibility as NHS AI deployments scale under the 10 Year Plan.</w:t>
            </w:r>
          </w:p>
          <w:p>
            <w:pPr>
              <w:spacing w:before="30"/>
            </w:pPr>
            <w:r>
              <w:rPr>
                <w:rFonts w:ascii="Arial" w:cs="Arial" w:eastAsia="Arial" w:hAnsi="Arial"/>
                <w:color w:val="9A6B00"/>
                <w:sz w:val="18"/>
                <w:szCs w:val="18"/>
              </w:rPr>
              <w:t xml:space="preserve">Simulator: Simulator 10 — Drift Monitor: six-month AI performance dashboard. Identify at what point the drift became clinically significant and what you should have done.</w:t>
            </w:r>
          </w:p>
          <w:p>
            <w:pPr>
              <w:spacing w:before="30"/>
            </w:pPr>
            <w:r>
              <w:rPr>
                <w:rFonts w:ascii="Arial" w:cs="Arial" w:eastAsia="Arial" w:hAnsi="Arial"/>
                <w:color w:val="4A2080"/>
                <w:sz w:val="18"/>
                <w:szCs w:val="18"/>
              </w:rPr>
              <w:t xml:space="preserve">Frameworks: DCB0160, BS AAMI 34971, DTAC v2 post-market surveillance requirements</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96A1A" w:val="clear"/>
            <w:tcMar>
              <w:top w:type="dxa" w:w="110"/>
              <w:left w:type="dxa" w:w="100"/>
              <w:bottom w:type="dxa" w:w="110"/>
              <w:right w:type="dxa" w:w="100"/>
            </w:tcMar>
          </w:tcPr>
          <w:p>
            <w:pPr>
              <w:jc w:val="center"/>
            </w:pPr>
            <w:r>
              <w:rPr>
                <w:rFonts w:ascii="Arial" w:cs="Arial" w:eastAsia="Arial" w:hAnsi="Arial"/>
                <w:b/>
                <w:bCs/>
                <w:color w:val="FFFFFF"/>
                <w:sz w:val="28"/>
                <w:szCs w:val="28"/>
              </w:rPr>
              <w:t xml:space="preserve">M14</w:t>
            </w:r>
          </w:p>
          <w:p>
            <w:pPr>
              <w:spacing w:before="30"/>
              <w:jc w:val="center"/>
            </w:pPr>
            <w:r>
              <w:rPr>
                <w:rFonts w:ascii="Arial" w:cs="Arial" w:eastAsia="Arial" w:hAnsi="Arial"/>
                <w:color w:val="D0E8FF"/>
                <w:sz w:val="14"/>
                <w:szCs w:val="14"/>
              </w:rPr>
              <w:t xml:space="preserve">T3</w:t>
            </w:r>
          </w:p>
        </w:tc>
        <w:tc>
          <w:tcPr>
            <w:tcW w:type="dxa" w:w="8360"/>
            <w:tcBorders>
              <w:top w:val="single" w:color="C8D0DC" w:sz="1"/>
              <w:left w:val="single" w:color="C8D0DC" w:sz="1"/>
              <w:bottom w:val="single" w:color="C8D0DC" w:sz="1"/>
              <w:right w:val="single" w:color="C8D0DC" w:sz="1"/>
            </w:tcBorders>
            <w:shd w:fill="F4F6FA" w:val="clear"/>
            <w:tcMar>
              <w:top w:type="dxa" w:w="110"/>
              <w:left w:type="dxa" w:w="160"/>
              <w:bottom w:type="dxa" w:w="110"/>
              <w:right w:type="dxa" w:w="160"/>
            </w:tcMar>
          </w:tcPr>
          <w:p>
            <w:r>
              <w:rPr>
                <w:rFonts w:ascii="Arial" w:cs="Arial" w:eastAsia="Arial" w:hAnsi="Arial"/>
                <w:b/>
                <w:bCs/>
                <w:color w:val="1B3A6B"/>
                <w:sz w:val="23"/>
                <w:szCs w:val="23"/>
              </w:rPr>
              <w:t xml:space="preserve">AI as a Medical Device — MHRA Airlock and AIaMD Explained</w:t>
            </w:r>
          </w:p>
          <w:p>
            <w:pPr>
              <w:spacing w:before="45"/>
            </w:pPr>
            <w:r>
              <w:rPr>
                <w:rFonts w:ascii="Arial" w:cs="Arial" w:eastAsia="Arial" w:hAnsi="Arial"/>
                <w:color w:val="9B2222"/>
                <w:sz w:val="18"/>
                <w:szCs w:val="18"/>
              </w:rPr>
              <w:t xml:space="preserve">CSO pain: The MHRA AI Airlock process is completely opaque to most CSOs. They do not know whether a tool requires it or what their role is if it does.</w:t>
            </w:r>
          </w:p>
          <w:p>
            <w:pPr>
              <w:spacing w:before="30"/>
            </w:pPr>
            <w:r>
              <w:rPr>
                <w:rFonts w:ascii="Arial" w:cs="Arial" w:eastAsia="Arial" w:hAnsi="Arial"/>
                <w:color w:val="1A6B3A"/>
                <w:sz w:val="18"/>
                <w:szCs w:val="18"/>
              </w:rPr>
              <w:t xml:space="preserve">Practical: Decision tree: does this AI tool meet the AIaMD definition? What the MHRA AI Airlock requires step by step. How DCB fits into the MHRA process. MHRA National Commission 2026 — what changes and when.</w:t>
            </w:r>
          </w:p>
          <w:p>
            <w:pPr>
              <w:spacing w:before="30"/>
            </w:pPr>
            <w:r>
              <w:rPr>
                <w:rFonts w:ascii="Arial" w:cs="Arial" w:eastAsia="Arial" w:hAnsi="Arial"/>
                <w:color w:val="0E7C7B"/>
                <w:sz w:val="18"/>
                <w:szCs w:val="18"/>
              </w:rPr>
              <w:t xml:space="preserve">Hospital application: Advising a HealthTech startup on whether their AI triage tool requires MHRA registration, UKCA marking, or the AI Airlock pathway.</w:t>
            </w:r>
          </w:p>
          <w:p>
            <w:pPr>
              <w:spacing w:before="30"/>
            </w:pPr>
            <w:r>
              <w:rPr>
                <w:rFonts w:ascii="Arial" w:cs="Arial" w:eastAsia="Arial" w:hAnsi="Arial"/>
                <w:color w:val="0A5454"/>
                <w:sz w:val="18"/>
                <w:szCs w:val="18"/>
              </w:rPr>
              <w:t xml:space="preserve">NHS 10yr Plan: MHRA Airlock becomes the standard route for novel AI testing from 2025 to 2027. Every CSO needs to understand it.</w:t>
            </w:r>
          </w:p>
          <w:p>
            <w:pPr>
              <w:spacing w:before="30"/>
            </w:pPr>
            <w:r>
              <w:rPr>
                <w:rFonts w:ascii="Arial" w:cs="Arial" w:eastAsia="Arial" w:hAnsi="Arial"/>
                <w:color w:val="9A6B00"/>
                <w:sz w:val="18"/>
                <w:szCs w:val="18"/>
              </w:rPr>
              <w:t xml:space="preserve">Simulator: No standalone simulator — integrated into Simulator 6: supplier safety case evaluation includes MHRA classification check.</w:t>
            </w:r>
          </w:p>
          <w:p>
            <w:pPr>
              <w:spacing w:before="30"/>
            </w:pPr>
            <w:r>
              <w:rPr>
                <w:rFonts w:ascii="Arial" w:cs="Arial" w:eastAsia="Arial" w:hAnsi="Arial"/>
                <w:color w:val="4A2080"/>
                <w:sz w:val="18"/>
                <w:szCs w:val="18"/>
              </w:rPr>
              <w:t xml:space="preserve">Frameworks: MHRA AIaMD guidance, DCB0129, EU AI Act, DTAC v2</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96A1A" w:val="clear"/>
            <w:tcMar>
              <w:top w:type="dxa" w:w="110"/>
              <w:left w:type="dxa" w:w="100"/>
              <w:bottom w:type="dxa" w:w="110"/>
              <w:right w:type="dxa" w:w="100"/>
            </w:tcMar>
          </w:tcPr>
          <w:p>
            <w:pPr>
              <w:jc w:val="center"/>
            </w:pPr>
            <w:r>
              <w:rPr>
                <w:rFonts w:ascii="Arial" w:cs="Arial" w:eastAsia="Arial" w:hAnsi="Arial"/>
                <w:b/>
                <w:bCs/>
                <w:color w:val="FFFFFF"/>
                <w:sz w:val="28"/>
                <w:szCs w:val="28"/>
              </w:rPr>
              <w:t xml:space="preserve">M15</w:t>
            </w:r>
          </w:p>
          <w:p>
            <w:pPr>
              <w:spacing w:before="30"/>
              <w:jc w:val="center"/>
            </w:pPr>
            <w:r>
              <w:rPr>
                <w:rFonts w:ascii="Arial" w:cs="Arial" w:eastAsia="Arial" w:hAnsi="Arial"/>
                <w:color w:val="D0E8FF"/>
                <w:sz w:val="14"/>
                <w:szCs w:val="14"/>
              </w:rPr>
              <w:t xml:space="preserve">T3</w:t>
            </w:r>
          </w:p>
        </w:tc>
        <w:tc>
          <w:tcPr>
            <w:tcW w:type="dxa" w:w="8360"/>
            <w:tcBorders>
              <w:top w:val="single" w:color="C8D0DC" w:sz="1"/>
              <w:left w:val="single" w:color="C8D0DC" w:sz="1"/>
              <w:bottom w:val="single" w:color="C8D0DC" w:sz="1"/>
              <w:right w:val="single" w:color="C8D0DC" w:sz="1"/>
            </w:tcBorders>
            <w:shd w:fill="F4F6FA" w:val="clear"/>
            <w:tcMar>
              <w:top w:type="dxa" w:w="110"/>
              <w:left w:type="dxa" w:w="160"/>
              <w:bottom w:type="dxa" w:w="110"/>
              <w:right w:type="dxa" w:w="160"/>
            </w:tcMar>
          </w:tcPr>
          <w:p>
            <w:r>
              <w:rPr>
                <w:rFonts w:ascii="Arial" w:cs="Arial" w:eastAsia="Arial" w:hAnsi="Arial"/>
                <w:b/>
                <w:bCs/>
                <w:color w:val="1B3A6B"/>
                <w:sz w:val="23"/>
                <w:szCs w:val="23"/>
              </w:rPr>
              <w:t xml:space="preserve">Explainability and Bias — What CSOs Must Demand From Suppliers</w:t>
            </w:r>
          </w:p>
          <w:p>
            <w:pPr>
              <w:spacing w:before="45"/>
            </w:pPr>
            <w:r>
              <w:rPr>
                <w:rFonts w:ascii="Arial" w:cs="Arial" w:eastAsia="Arial" w:hAnsi="Arial"/>
                <w:color w:val="9B2222"/>
                <w:sz w:val="18"/>
                <w:szCs w:val="18"/>
              </w:rPr>
              <w:t xml:space="preserve">CSO pain: CSOs do not know what explainability evidence to demand or how to assess bias risk in their specific patient population.</w:t>
            </w:r>
          </w:p>
          <w:p>
            <w:pPr>
              <w:spacing w:before="30"/>
            </w:pPr>
            <w:r>
              <w:rPr>
                <w:rFonts w:ascii="Arial" w:cs="Arial" w:eastAsia="Arial" w:hAnsi="Arial"/>
                <w:color w:val="1A6B3A"/>
                <w:sz w:val="18"/>
                <w:szCs w:val="18"/>
              </w:rPr>
              <w:t xml:space="preserve">Practical: The ECSF five explainability checkpoints mapped to the DCB lifecycle. Practical techniques — SHAP, LIME, attention visualisation — what they produce and what you check. How to write explainability requirements into supplier contracts.</w:t>
            </w:r>
          </w:p>
          <w:p>
            <w:pPr>
              <w:spacing w:before="30"/>
            </w:pPr>
            <w:r>
              <w:rPr>
                <w:rFonts w:ascii="Arial" w:cs="Arial" w:eastAsia="Arial" w:hAnsi="Arial"/>
                <w:color w:val="0E7C7B"/>
                <w:sz w:val="18"/>
                <w:szCs w:val="18"/>
              </w:rPr>
              <w:t xml:space="preserve">Hospital application: Evaluating an AI diagnostic tool's explainability evidence pack. What counts as acceptable evidence. What is a red flag. When to reject.</w:t>
            </w:r>
          </w:p>
          <w:p>
            <w:pPr>
              <w:spacing w:before="30"/>
            </w:pPr>
            <w:r>
              <w:rPr>
                <w:rFonts w:ascii="Arial" w:cs="Arial" w:eastAsia="Arial" w:hAnsi="Arial"/>
                <w:color w:val="0A5454"/>
                <w:sz w:val="18"/>
                <w:szCs w:val="18"/>
              </w:rPr>
              <w:t xml:space="preserve">NHS 10yr Plan: NHS 10 Year Plan commits to equitable AI. Bias assessment is a formal CSO obligation from 2026.</w:t>
            </w:r>
          </w:p>
          <w:p>
            <w:pPr>
              <w:spacing w:before="30"/>
            </w:pPr>
            <w:r>
              <w:rPr>
                <w:rFonts w:ascii="Arial" w:cs="Arial" w:eastAsia="Arial" w:hAnsi="Arial"/>
                <w:color w:val="9A6B00"/>
                <w:sz w:val="18"/>
                <w:szCs w:val="18"/>
              </w:rPr>
              <w:t xml:space="preserve">Simulator: Integrated into Simulator 6 — Supplier Safety Case Evaluator includes explainability section with red flags.</w:t>
            </w:r>
          </w:p>
          <w:p>
            <w:pPr>
              <w:spacing w:before="30"/>
            </w:pPr>
            <w:r>
              <w:rPr>
                <w:rFonts w:ascii="Arial" w:cs="Arial" w:eastAsia="Arial" w:hAnsi="Arial"/>
                <w:color w:val="4A2080"/>
                <w:sz w:val="18"/>
                <w:szCs w:val="18"/>
              </w:rPr>
              <w:t xml:space="preserve">Frameworks: ECSF, BS AAMI 34971, EU AI Act, NHS AI fairness guidance</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96A1A" w:val="clear"/>
            <w:tcMar>
              <w:top w:type="dxa" w:w="110"/>
              <w:left w:type="dxa" w:w="100"/>
              <w:bottom w:type="dxa" w:w="110"/>
              <w:right w:type="dxa" w:w="100"/>
            </w:tcMar>
          </w:tcPr>
          <w:p>
            <w:pPr>
              <w:jc w:val="center"/>
            </w:pPr>
            <w:r>
              <w:rPr>
                <w:rFonts w:ascii="Arial" w:cs="Arial" w:eastAsia="Arial" w:hAnsi="Arial"/>
                <w:b/>
                <w:bCs/>
                <w:color w:val="FFFFFF"/>
                <w:sz w:val="28"/>
                <w:szCs w:val="28"/>
              </w:rPr>
              <w:t xml:space="preserve">M16</w:t>
            </w:r>
          </w:p>
          <w:p>
            <w:pPr>
              <w:spacing w:before="30"/>
              <w:jc w:val="center"/>
            </w:pPr>
            <w:r>
              <w:rPr>
                <w:rFonts w:ascii="Arial" w:cs="Arial" w:eastAsia="Arial" w:hAnsi="Arial"/>
                <w:color w:val="D0E8FF"/>
                <w:sz w:val="14"/>
                <w:szCs w:val="14"/>
              </w:rPr>
              <w:t xml:space="preserve">T3</w:t>
            </w:r>
          </w:p>
        </w:tc>
        <w:tc>
          <w:tcPr>
            <w:tcW w:type="dxa" w:w="8360"/>
            <w:tcBorders>
              <w:top w:val="single" w:color="C8D0DC" w:sz="1"/>
              <w:left w:val="single" w:color="C8D0DC" w:sz="1"/>
              <w:bottom w:val="single" w:color="C8D0DC" w:sz="1"/>
              <w:right w:val="single" w:color="C8D0DC" w:sz="1"/>
            </w:tcBorders>
            <w:shd w:fill="F4F6FA" w:val="clear"/>
            <w:tcMar>
              <w:top w:type="dxa" w:w="110"/>
              <w:left w:type="dxa" w:w="160"/>
              <w:bottom w:type="dxa" w:w="110"/>
              <w:right w:type="dxa" w:w="160"/>
            </w:tcMar>
          </w:tcPr>
          <w:p>
            <w:r>
              <w:rPr>
                <w:rFonts w:ascii="Arial" w:cs="Arial" w:eastAsia="Arial" w:hAnsi="Arial"/>
                <w:b/>
                <w:bCs/>
                <w:color w:val="1B3A6B"/>
                <w:sz w:val="23"/>
                <w:szCs w:val="23"/>
              </w:rPr>
              <w:t xml:space="preserve">ISO 14971 and BS AAMI 34971 — International Standards Applied in the NHS</w:t>
            </w:r>
          </w:p>
          <w:p>
            <w:pPr>
              <w:spacing w:before="45"/>
            </w:pPr>
            <w:r>
              <w:rPr>
                <w:rFonts w:ascii="Arial" w:cs="Arial" w:eastAsia="Arial" w:hAnsi="Arial"/>
                <w:color w:val="9B2222"/>
                <w:sz w:val="18"/>
                <w:szCs w:val="18"/>
              </w:rPr>
              <w:t xml:space="preserve">CSO pain: Many CSOs treat ISO 14971 and DCB0129 as separate or contradictory processes. This creates confusion and costly duplication.</w:t>
            </w:r>
          </w:p>
          <w:p>
            <w:pPr>
              <w:spacing w:before="30"/>
            </w:pPr>
            <w:r>
              <w:rPr>
                <w:rFonts w:ascii="Arial" w:cs="Arial" w:eastAsia="Arial" w:hAnsi="Arial"/>
                <w:color w:val="1A6B3A"/>
                <w:sz w:val="18"/>
                <w:szCs w:val="18"/>
              </w:rPr>
              <w:t xml:space="preserve">Practical: How DCB0129 was derived from ISO 14971 and where they diverge. BS AAMI 34971 — what it adds for AI specifically: data bias, overtrust, adaptive algorithms, reversibility. How to apply both in a single risk management process.</w:t>
            </w:r>
          </w:p>
          <w:p>
            <w:pPr>
              <w:spacing w:before="30"/>
            </w:pPr>
            <w:r>
              <w:rPr>
                <w:rFonts w:ascii="Arial" w:cs="Arial" w:eastAsia="Arial" w:hAnsi="Arial"/>
                <w:color w:val="0E7C7B"/>
                <w:sz w:val="18"/>
                <w:szCs w:val="18"/>
              </w:rPr>
              <w:t xml:space="preserve">Hospital application: Completing a risk management file that satisfies DCB0160, ISO 14971, and BS AAMI 34971 simultaneously for an AI radiology tool.</w:t>
            </w:r>
          </w:p>
          <w:p>
            <w:pPr>
              <w:spacing w:before="30"/>
            </w:pPr>
            <w:r>
              <w:rPr>
                <w:rFonts w:ascii="Arial" w:cs="Arial" w:eastAsia="Arial" w:hAnsi="Arial"/>
                <w:color w:val="0A5454"/>
                <w:sz w:val="18"/>
                <w:szCs w:val="18"/>
              </w:rPr>
              <w:t xml:space="preserve">NHS 10yr Plan: DCB0129 version 2 is expected to formally align with ISO 14971. Understanding this now puts you ahead of the revision.</w:t>
            </w:r>
          </w:p>
          <w:p>
            <w:pPr>
              <w:spacing w:before="30"/>
            </w:pPr>
            <w:r>
              <w:rPr>
                <w:rFonts w:ascii="Arial" w:cs="Arial" w:eastAsia="Arial" w:hAnsi="Arial"/>
                <w:color w:val="9A6B00"/>
                <w:sz w:val="18"/>
                <w:szCs w:val="18"/>
              </w:rPr>
              <w:t xml:space="preserve">Simulator: Integrated into Simulator 4 — Hazard Log Builder includes BS AAMI 34971 reversibility and bias scoring.</w:t>
            </w:r>
          </w:p>
          <w:p>
            <w:pPr>
              <w:spacing w:before="30"/>
            </w:pPr>
            <w:r>
              <w:rPr>
                <w:rFonts w:ascii="Arial" w:cs="Arial" w:eastAsia="Arial" w:hAnsi="Arial"/>
                <w:color w:val="4A2080"/>
                <w:sz w:val="18"/>
                <w:szCs w:val="18"/>
              </w:rPr>
              <w:t xml:space="preserve">Frameworks: ISO 14971, BS AAMI 34971, DCB0129, DCB0160</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080" w:val="clear"/>
            <w:tcMar>
              <w:top w:type="dxa" w:w="130"/>
              <w:left w:type="dxa" w:w="260"/>
              <w:bottom w:type="dxa" w:w="130"/>
              <w:right w:type="dxa" w:w="260"/>
            </w:tcMar>
          </w:tcPr>
          <w:p>
            <w:r>
              <w:rPr>
                <w:rFonts w:ascii="Arial" w:cs="Arial" w:eastAsia="Arial" w:hAnsi="Arial"/>
                <w:b/>
                <w:bCs/>
                <w:color w:val="FFFFFF"/>
                <w:sz w:val="26"/>
                <w:szCs w:val="26"/>
              </w:rPr>
              <w:t xml:space="preserve">TIER 4 — STRATEGIC AND FUTURE-PROOFING: Leading the Field</w:t>
            </w:r>
          </w:p>
        </w:tc>
      </w:tr>
    </w:tbl>
    <w:p>
      <w:pPr>
        <w:spacing w:after="30" w:before="3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4A2080" w:val="clear"/>
            <w:tcMar>
              <w:top w:type="dxa" w:w="110"/>
              <w:left w:type="dxa" w:w="100"/>
              <w:bottom w:type="dxa" w:w="110"/>
              <w:right w:type="dxa" w:w="100"/>
            </w:tcMar>
          </w:tcPr>
          <w:p>
            <w:pPr>
              <w:jc w:val="center"/>
            </w:pPr>
            <w:r>
              <w:rPr>
                <w:rFonts w:ascii="Arial" w:cs="Arial" w:eastAsia="Arial" w:hAnsi="Arial"/>
                <w:b/>
                <w:bCs/>
                <w:color w:val="FFFFFF"/>
                <w:sz w:val="28"/>
                <w:szCs w:val="28"/>
              </w:rPr>
              <w:t xml:space="preserve">M17</w:t>
            </w:r>
          </w:p>
          <w:p>
            <w:pPr>
              <w:spacing w:before="30"/>
              <w:jc w:val="center"/>
            </w:pPr>
            <w:r>
              <w:rPr>
                <w:rFonts w:ascii="Arial" w:cs="Arial" w:eastAsia="Arial" w:hAnsi="Arial"/>
                <w:color w:val="D0E8FF"/>
                <w:sz w:val="14"/>
                <w:szCs w:val="14"/>
              </w:rPr>
              <w:t xml:space="preserve">T4</w:t>
            </w:r>
          </w:p>
        </w:tc>
        <w:tc>
          <w:tcPr>
            <w:tcW w:type="dxa" w:w="8360"/>
            <w:tcBorders>
              <w:top w:val="single" w:color="C8D0DC" w:sz="1"/>
              <w:left w:val="single" w:color="C8D0DC" w:sz="1"/>
              <w:bottom w:val="single" w:color="C8D0DC" w:sz="1"/>
              <w:right w:val="single" w:color="C8D0DC" w:sz="1"/>
            </w:tcBorders>
            <w:shd w:fill="F4F6FA" w:val="clear"/>
            <w:tcMar>
              <w:top w:type="dxa" w:w="110"/>
              <w:left w:type="dxa" w:w="160"/>
              <w:bottom w:type="dxa" w:w="110"/>
              <w:right w:type="dxa" w:w="160"/>
            </w:tcMar>
          </w:tcPr>
          <w:p>
            <w:r>
              <w:rPr>
                <w:rFonts w:ascii="Arial" w:cs="Arial" w:eastAsia="Arial" w:hAnsi="Arial"/>
                <w:b/>
                <w:bCs/>
                <w:color w:val="1B3A6B"/>
                <w:sz w:val="23"/>
                <w:szCs w:val="23"/>
              </w:rPr>
              <w:t xml:space="preserve">AMLAS — Practical Application for CSOs</w:t>
            </w:r>
          </w:p>
          <w:p>
            <w:pPr>
              <w:spacing w:before="45"/>
            </w:pPr>
            <w:r>
              <w:rPr>
                <w:rFonts w:ascii="Arial" w:cs="Arial" w:eastAsia="Arial" w:hAnsi="Arial"/>
                <w:color w:val="9B2222"/>
                <w:sz w:val="18"/>
                <w:szCs w:val="18"/>
              </w:rPr>
              <w:t xml:space="preserve">CSO pain: NHS England is actively upskilling CSOs in AMLAS but no step-by-step practical guide exists anywhere.</w:t>
            </w:r>
          </w:p>
          <w:p>
            <w:pPr>
              <w:spacing w:before="30"/>
            </w:pPr>
            <w:r>
              <w:rPr>
                <w:rFonts w:ascii="Arial" w:cs="Arial" w:eastAsia="Arial" w:hAnsi="Arial"/>
                <w:color w:val="1A6B3A"/>
                <w:sz w:val="18"/>
                <w:szCs w:val="18"/>
              </w:rPr>
              <w:t xml:space="preserve">Practical: What AMLAS is and the parts that CSOs need versus the parts that belong to manufacturers. How to map AMLAS assurance claims to DCB0129 artefacts. What to ask suppliers who claim AMLAS compliance.</w:t>
            </w:r>
          </w:p>
          <w:p>
            <w:pPr>
              <w:spacing w:before="30"/>
            </w:pPr>
            <w:r>
              <w:rPr>
                <w:rFonts w:ascii="Arial" w:cs="Arial" w:eastAsia="Arial" w:hAnsi="Arial"/>
                <w:color w:val="0E7C7B"/>
                <w:sz w:val="18"/>
                <w:szCs w:val="18"/>
              </w:rPr>
              <w:t xml:space="preserve">Hospital application: Reviewing a supplier's AMLAS-based machine learning safety case for an AI radiology tool. What counts as valid evidence. What is missing.</w:t>
            </w:r>
          </w:p>
          <w:p>
            <w:pPr>
              <w:spacing w:before="30"/>
            </w:pPr>
            <w:r>
              <w:rPr>
                <w:rFonts w:ascii="Arial" w:cs="Arial" w:eastAsia="Arial" w:hAnsi="Arial"/>
                <w:color w:val="0A5454"/>
                <w:sz w:val="18"/>
                <w:szCs w:val="18"/>
              </w:rPr>
              <w:t xml:space="preserve">NHS 10yr Plan: NHS recommends AMLAS as the AI assurance framework. Every AI safety case review will reference it from 2026.</w:t>
            </w:r>
          </w:p>
          <w:p>
            <w:pPr>
              <w:spacing w:before="30"/>
            </w:pPr>
            <w:r>
              <w:rPr>
                <w:rFonts w:ascii="Arial" w:cs="Arial" w:eastAsia="Arial" w:hAnsi="Arial"/>
                <w:color w:val="9A6B00"/>
                <w:sz w:val="18"/>
                <w:szCs w:val="18"/>
              </w:rPr>
              <w:t xml:space="preserve">Simulator: Integrated into Simulator 6 — includes an AMLAS-annotated section of the fictional supplier safety case.</w:t>
            </w:r>
          </w:p>
          <w:p>
            <w:pPr>
              <w:spacing w:before="30"/>
            </w:pPr>
            <w:r>
              <w:rPr>
                <w:rFonts w:ascii="Arial" w:cs="Arial" w:eastAsia="Arial" w:hAnsi="Arial"/>
                <w:color w:val="4A2080"/>
                <w:sz w:val="18"/>
                <w:szCs w:val="18"/>
              </w:rPr>
              <w:t xml:space="preserve">Frameworks: AMLAS, DCB0129, BS AAMI 34971</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4A2080" w:val="clear"/>
            <w:tcMar>
              <w:top w:type="dxa" w:w="110"/>
              <w:left w:type="dxa" w:w="100"/>
              <w:bottom w:type="dxa" w:w="110"/>
              <w:right w:type="dxa" w:w="100"/>
            </w:tcMar>
          </w:tcPr>
          <w:p>
            <w:pPr>
              <w:jc w:val="center"/>
            </w:pPr>
            <w:r>
              <w:rPr>
                <w:rFonts w:ascii="Arial" w:cs="Arial" w:eastAsia="Arial" w:hAnsi="Arial"/>
                <w:b/>
                <w:bCs/>
                <w:color w:val="FFFFFF"/>
                <w:sz w:val="28"/>
                <w:szCs w:val="28"/>
              </w:rPr>
              <w:t xml:space="preserve">M18</w:t>
            </w:r>
          </w:p>
          <w:p>
            <w:pPr>
              <w:spacing w:before="30"/>
              <w:jc w:val="center"/>
            </w:pPr>
            <w:r>
              <w:rPr>
                <w:rFonts w:ascii="Arial" w:cs="Arial" w:eastAsia="Arial" w:hAnsi="Arial"/>
                <w:color w:val="D0E8FF"/>
                <w:sz w:val="14"/>
                <w:szCs w:val="14"/>
              </w:rPr>
              <w:t xml:space="preserve">T4</w:t>
            </w:r>
          </w:p>
        </w:tc>
        <w:tc>
          <w:tcPr>
            <w:tcW w:type="dxa" w:w="8360"/>
            <w:tcBorders>
              <w:top w:val="single" w:color="C8D0DC" w:sz="1"/>
              <w:left w:val="single" w:color="C8D0DC" w:sz="1"/>
              <w:bottom w:val="single" w:color="C8D0DC" w:sz="1"/>
              <w:right w:val="single" w:color="C8D0DC" w:sz="1"/>
            </w:tcBorders>
            <w:shd w:fill="F4F6FA" w:val="clear"/>
            <w:tcMar>
              <w:top w:type="dxa" w:w="110"/>
              <w:left w:type="dxa" w:w="160"/>
              <w:bottom w:type="dxa" w:w="110"/>
              <w:right w:type="dxa" w:w="160"/>
            </w:tcMar>
          </w:tcPr>
          <w:p>
            <w:r>
              <w:rPr>
                <w:rFonts w:ascii="Arial" w:cs="Arial" w:eastAsia="Arial" w:hAnsi="Arial"/>
                <w:b/>
                <w:bCs/>
                <w:color w:val="1B3A6B"/>
                <w:sz w:val="23"/>
                <w:szCs w:val="23"/>
              </w:rPr>
              <w:t xml:space="preserve">DTAC v2 — The New Framework From April 2026</w:t>
            </w:r>
          </w:p>
          <w:p>
            <w:pPr>
              <w:spacing w:before="45"/>
            </w:pPr>
            <w:r>
              <w:rPr>
                <w:rFonts w:ascii="Arial" w:cs="Arial" w:eastAsia="Arial" w:hAnsi="Arial"/>
                <w:color w:val="9B2222"/>
                <w:sz w:val="18"/>
                <w:szCs w:val="18"/>
              </w:rPr>
              <w:t xml:space="preserve">CSO pain: New DTAC form mandatory from 6 April 2026. Old form cannot be used from that date. Most CSOs do not know what has changed or how to complete the new form.</w:t>
            </w:r>
          </w:p>
          <w:p>
            <w:pPr>
              <w:spacing w:before="30"/>
            </w:pPr>
            <w:r>
              <w:rPr>
                <w:rFonts w:ascii="Arial" w:cs="Arial" w:eastAsia="Arial" w:hAnsi="Arial"/>
                <w:color w:val="1A6B3A"/>
                <w:sz w:val="18"/>
                <w:szCs w:val="18"/>
              </w:rPr>
              <w:t xml:space="preserve">Practical: What changed and why. The 25% reduction in questions — what was removed and what remains. Revised NICE alignment. How to complete the new form correctly. Common mistakes and how to avoid them.</w:t>
            </w:r>
          </w:p>
          <w:p>
            <w:pPr>
              <w:spacing w:before="30"/>
            </w:pPr>
            <w:r>
              <w:rPr>
                <w:rFonts w:ascii="Arial" w:cs="Arial" w:eastAsia="Arial" w:hAnsi="Arial"/>
                <w:color w:val="0E7C7B"/>
                <w:sz w:val="18"/>
                <w:szCs w:val="18"/>
              </w:rPr>
              <w:t xml:space="preserve">Hospital application: Completing a DTAC v2 assessment for a new AI procurement at your trust. Field by field guidance.</w:t>
            </w:r>
          </w:p>
          <w:p>
            <w:pPr>
              <w:spacing w:before="30"/>
            </w:pPr>
            <w:r>
              <w:rPr>
                <w:rFonts w:ascii="Arial" w:cs="Arial" w:eastAsia="Arial" w:hAnsi="Arial"/>
                <w:color w:val="0A5454"/>
                <w:sz w:val="18"/>
                <w:szCs w:val="18"/>
              </w:rPr>
              <w:t xml:space="preserve">NHS 10yr Plan: DTAC is the mandatory national baseline for every NHS digital technology. The new form is live from April 2026.</w:t>
            </w:r>
          </w:p>
          <w:p>
            <w:pPr>
              <w:spacing w:before="30"/>
            </w:pPr>
            <w:r>
              <w:rPr>
                <w:rFonts w:ascii="Arial" w:cs="Arial" w:eastAsia="Arial" w:hAnsi="Arial"/>
                <w:color w:val="9A6B00"/>
                <w:sz w:val="18"/>
                <w:szCs w:val="18"/>
              </w:rPr>
              <w:t xml:space="preserve">Simulator: Integrated into Simulator 7 — Deadline Scenario includes a DTAC v2 compliance check as one of the decision gates.</w:t>
            </w:r>
          </w:p>
          <w:p>
            <w:pPr>
              <w:spacing w:before="30"/>
            </w:pPr>
            <w:r>
              <w:rPr>
                <w:rFonts w:ascii="Arial" w:cs="Arial" w:eastAsia="Arial" w:hAnsi="Arial"/>
                <w:color w:val="4A2080"/>
                <w:sz w:val="18"/>
                <w:szCs w:val="18"/>
              </w:rPr>
              <w:t xml:space="preserve">Frameworks: DTAC v2 February 2026, DCB0129, DCB0160, NICE ESF</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4A2080" w:val="clear"/>
            <w:tcMar>
              <w:top w:type="dxa" w:w="110"/>
              <w:left w:type="dxa" w:w="100"/>
              <w:bottom w:type="dxa" w:w="110"/>
              <w:right w:type="dxa" w:w="100"/>
            </w:tcMar>
          </w:tcPr>
          <w:p>
            <w:pPr>
              <w:jc w:val="center"/>
            </w:pPr>
            <w:r>
              <w:rPr>
                <w:rFonts w:ascii="Arial" w:cs="Arial" w:eastAsia="Arial" w:hAnsi="Arial"/>
                <w:b/>
                <w:bCs/>
                <w:color w:val="FFFFFF"/>
                <w:sz w:val="28"/>
                <w:szCs w:val="28"/>
              </w:rPr>
              <w:t xml:space="preserve">M19</w:t>
            </w:r>
          </w:p>
          <w:p>
            <w:pPr>
              <w:spacing w:before="30"/>
              <w:jc w:val="center"/>
            </w:pPr>
            <w:r>
              <w:rPr>
                <w:rFonts w:ascii="Arial" w:cs="Arial" w:eastAsia="Arial" w:hAnsi="Arial"/>
                <w:color w:val="D0E8FF"/>
                <w:sz w:val="14"/>
                <w:szCs w:val="14"/>
              </w:rPr>
              <w:t xml:space="preserve">T4</w:t>
            </w:r>
          </w:p>
        </w:tc>
        <w:tc>
          <w:tcPr>
            <w:tcW w:type="dxa" w:w="8360"/>
            <w:tcBorders>
              <w:top w:val="single" w:color="C8D0DC" w:sz="1"/>
              <w:left w:val="single" w:color="C8D0DC" w:sz="1"/>
              <w:bottom w:val="single" w:color="C8D0DC" w:sz="1"/>
              <w:right w:val="single" w:color="C8D0DC" w:sz="1"/>
            </w:tcBorders>
            <w:shd w:fill="F4F6FA" w:val="clear"/>
            <w:tcMar>
              <w:top w:type="dxa" w:w="110"/>
              <w:left w:type="dxa" w:w="160"/>
              <w:bottom w:type="dxa" w:w="110"/>
              <w:right w:type="dxa" w:w="160"/>
            </w:tcMar>
          </w:tcPr>
          <w:p>
            <w:r>
              <w:rPr>
                <w:rFonts w:ascii="Arial" w:cs="Arial" w:eastAsia="Arial" w:hAnsi="Arial"/>
                <w:b/>
                <w:bCs/>
                <w:color w:val="1B3A6B"/>
                <w:sz w:val="23"/>
                <w:szCs w:val="23"/>
              </w:rPr>
              <w:t xml:space="preserve">Duty of Candour in Digital Safety Incidents</w:t>
            </w:r>
          </w:p>
          <w:p>
            <w:pPr>
              <w:spacing w:before="45"/>
            </w:pPr>
            <w:r>
              <w:rPr>
                <w:rFonts w:ascii="Arial" w:cs="Arial" w:eastAsia="Arial" w:hAnsi="Arial"/>
                <w:color w:val="9B2222"/>
                <w:sz w:val="18"/>
                <w:szCs w:val="18"/>
              </w:rPr>
              <w:t xml:space="preserve">CSO pain: When AI contributes to patient harm — who tells the patient, how, and when? This is completely undefined in any existing guidance.</w:t>
            </w:r>
          </w:p>
          <w:p>
            <w:pPr>
              <w:spacing w:before="30"/>
            </w:pPr>
            <w:r>
              <w:rPr>
                <w:rFonts w:ascii="Arial" w:cs="Arial" w:eastAsia="Arial" w:hAnsi="Arial"/>
                <w:color w:val="1A6B3A"/>
                <w:sz w:val="18"/>
                <w:szCs w:val="18"/>
              </w:rPr>
              <w:t xml:space="preserve">Practical: The statutory Duty of Candour applied to AI-related incidents. The shared duty between deploying trust and supplier. Scripts for communicating AI-related harm to patients. How to document the candour process.</w:t>
            </w:r>
          </w:p>
          <w:p>
            <w:pPr>
              <w:spacing w:before="30"/>
            </w:pPr>
            <w:r>
              <w:rPr>
                <w:rFonts w:ascii="Arial" w:cs="Arial" w:eastAsia="Arial" w:hAnsi="Arial"/>
                <w:color w:val="0E7C7B"/>
                <w:sz w:val="18"/>
                <w:szCs w:val="18"/>
              </w:rPr>
              <w:t xml:space="preserve">Hospital application: Your trust's AI tool has contributed to a delayed diagnosis. The duty of candour process step by step — who contacts the patient, what they say, what is documented.</w:t>
            </w:r>
          </w:p>
          <w:p>
            <w:pPr>
              <w:spacing w:before="30"/>
            </w:pPr>
            <w:r>
              <w:rPr>
                <w:rFonts w:ascii="Arial" w:cs="Arial" w:eastAsia="Arial" w:hAnsi="Arial"/>
                <w:color w:val="0A5454"/>
                <w:sz w:val="18"/>
                <w:szCs w:val="18"/>
              </w:rPr>
              <w:t xml:space="preserve">NHS 10yr Plan: Patient rights under the NHS 10 Year Plan include transparency about AI. The Duty of Candour is the legal mechanism.</w:t>
            </w:r>
          </w:p>
          <w:p>
            <w:pPr>
              <w:spacing w:before="30"/>
            </w:pPr>
            <w:r>
              <w:rPr>
                <w:rFonts w:ascii="Arial" w:cs="Arial" w:eastAsia="Arial" w:hAnsi="Arial"/>
                <w:color w:val="9A6B00"/>
                <w:sz w:val="18"/>
                <w:szCs w:val="18"/>
              </w:rPr>
              <w:t xml:space="preserve">Simulator: Simulator 8 — Digital Incident Investigation includes duty of candour obligations as a mandatory output.</w:t>
            </w:r>
          </w:p>
          <w:p>
            <w:pPr>
              <w:spacing w:before="30"/>
            </w:pPr>
            <w:r>
              <w:rPr>
                <w:rFonts w:ascii="Arial" w:cs="Arial" w:eastAsia="Arial" w:hAnsi="Arial"/>
                <w:color w:val="4A2080"/>
                <w:sz w:val="18"/>
                <w:szCs w:val="18"/>
              </w:rPr>
              <w:t xml:space="preserve">Frameworks: Duty of Candour Regulation 2014, PSIRF, DCB0160, CQC standards</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4A2080" w:val="clear"/>
            <w:tcMar>
              <w:top w:type="dxa" w:w="110"/>
              <w:left w:type="dxa" w:w="100"/>
              <w:bottom w:type="dxa" w:w="110"/>
              <w:right w:type="dxa" w:w="100"/>
            </w:tcMar>
          </w:tcPr>
          <w:p>
            <w:pPr>
              <w:jc w:val="center"/>
            </w:pPr>
            <w:r>
              <w:rPr>
                <w:rFonts w:ascii="Arial" w:cs="Arial" w:eastAsia="Arial" w:hAnsi="Arial"/>
                <w:b/>
                <w:bCs/>
                <w:color w:val="FFFFFF"/>
                <w:sz w:val="28"/>
                <w:szCs w:val="28"/>
              </w:rPr>
              <w:t xml:space="preserve">M20</w:t>
            </w:r>
          </w:p>
          <w:p>
            <w:pPr>
              <w:spacing w:before="30"/>
              <w:jc w:val="center"/>
            </w:pPr>
            <w:r>
              <w:rPr>
                <w:rFonts w:ascii="Arial" w:cs="Arial" w:eastAsia="Arial" w:hAnsi="Arial"/>
                <w:color w:val="D0E8FF"/>
                <w:sz w:val="14"/>
                <w:szCs w:val="14"/>
              </w:rPr>
              <w:t xml:space="preserve">T4</w:t>
            </w:r>
          </w:p>
        </w:tc>
        <w:tc>
          <w:tcPr>
            <w:tcW w:type="dxa" w:w="8360"/>
            <w:tcBorders>
              <w:top w:val="single" w:color="C8D0DC" w:sz="1"/>
              <w:left w:val="single" w:color="C8D0DC" w:sz="1"/>
              <w:bottom w:val="single" w:color="C8D0DC" w:sz="1"/>
              <w:right w:val="single" w:color="C8D0DC" w:sz="1"/>
            </w:tcBorders>
            <w:shd w:fill="F4F6FA" w:val="clear"/>
            <w:tcMar>
              <w:top w:type="dxa" w:w="110"/>
              <w:left w:type="dxa" w:w="160"/>
              <w:bottom w:type="dxa" w:w="110"/>
              <w:right w:type="dxa" w:w="160"/>
            </w:tcMar>
          </w:tcPr>
          <w:p>
            <w:r>
              <w:rPr>
                <w:rFonts w:ascii="Arial" w:cs="Arial" w:eastAsia="Arial" w:hAnsi="Arial"/>
                <w:b/>
                <w:bCs/>
                <w:color w:val="1B3A6B"/>
                <w:sz w:val="23"/>
                <w:szCs w:val="23"/>
              </w:rPr>
              <w:t xml:space="preserve">Shadow AI — Detection, Governance and the CSO Protocol</w:t>
            </w:r>
          </w:p>
          <w:p>
            <w:pPr>
              <w:spacing w:before="45"/>
            </w:pPr>
            <w:r>
              <w:rPr>
                <w:rFonts w:ascii="Arial" w:cs="Arial" w:eastAsia="Arial" w:hAnsi="Arial"/>
                <w:color w:val="9B2222"/>
                <w:sz w:val="18"/>
                <w:szCs w:val="18"/>
              </w:rPr>
              <w:t xml:space="preserve">CSO pain: Shadow AI surged in 2025 as clinicians used unapproved tools to cope with burnout. 2026 is called the year of governance. No CSO protocol exists.</w:t>
            </w:r>
          </w:p>
          <w:p>
            <w:pPr>
              <w:spacing w:before="30"/>
            </w:pPr>
            <w:r>
              <w:rPr>
                <w:rFonts w:ascii="Arial" w:cs="Arial" w:eastAsia="Arial" w:hAnsi="Arial"/>
                <w:color w:val="1A6B3A"/>
                <w:sz w:val="18"/>
                <w:szCs w:val="18"/>
              </w:rPr>
              <w:t xml:space="preserve">Practical: What shadow AI is and why it is a patient safety risk not just a data governance issue. How to detect it in your trust. A proportionate governance policy. How to create safe AI experimentation zones.</w:t>
            </w:r>
          </w:p>
          <w:p>
            <w:pPr>
              <w:spacing w:before="30"/>
            </w:pPr>
            <w:r>
              <w:rPr>
                <w:rFonts w:ascii="Arial" w:cs="Arial" w:eastAsia="Arial" w:hAnsi="Arial"/>
                <w:color w:val="0E7C7B"/>
                <w:sz w:val="18"/>
                <w:szCs w:val="18"/>
              </w:rPr>
              <w:t xml:space="preserve">Hospital application: Your trust's shadow AI audit and governance framework. Detection method, risk triage, policy template, communication strategy.</w:t>
            </w:r>
          </w:p>
          <w:p>
            <w:pPr>
              <w:spacing w:before="30"/>
            </w:pPr>
            <w:r>
              <w:rPr>
                <w:rFonts w:ascii="Arial" w:cs="Arial" w:eastAsia="Arial" w:hAnsi="Arial"/>
                <w:color w:val="0A5454"/>
                <w:sz w:val="18"/>
                <w:szCs w:val="18"/>
              </w:rPr>
              <w:t xml:space="preserve">NHS 10yr Plan: 2026 is the year of governance. Shadow AI is the primary unmanaged risk in NHS AI right now.</w:t>
            </w:r>
          </w:p>
          <w:p>
            <w:pPr>
              <w:spacing w:before="30"/>
            </w:pPr>
            <w:r>
              <w:rPr>
                <w:rFonts w:ascii="Arial" w:cs="Arial" w:eastAsia="Arial" w:hAnsi="Arial"/>
                <w:color w:val="9A6B00"/>
                <w:sz w:val="18"/>
                <w:szCs w:val="18"/>
              </w:rPr>
              <w:t xml:space="preserve">Simulator: No simulator — this is governance and policy design not a single decision task.</w:t>
            </w:r>
          </w:p>
          <w:p>
            <w:pPr>
              <w:spacing w:before="30"/>
            </w:pPr>
            <w:r>
              <w:rPr>
                <w:rFonts w:ascii="Arial" w:cs="Arial" w:eastAsia="Arial" w:hAnsi="Arial"/>
                <w:color w:val="4A2080"/>
                <w:sz w:val="18"/>
                <w:szCs w:val="18"/>
              </w:rPr>
              <w:t xml:space="preserve">Frameworks: DTAC v2, NHS DSPT, HIMSS 2025 findings, Wolters Kluwer 2026 forecast</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4A2080" w:val="clear"/>
            <w:tcMar>
              <w:top w:type="dxa" w:w="110"/>
              <w:left w:type="dxa" w:w="100"/>
              <w:bottom w:type="dxa" w:w="110"/>
              <w:right w:type="dxa" w:w="100"/>
            </w:tcMar>
          </w:tcPr>
          <w:p>
            <w:pPr>
              <w:jc w:val="center"/>
            </w:pPr>
            <w:r>
              <w:rPr>
                <w:rFonts w:ascii="Arial" w:cs="Arial" w:eastAsia="Arial" w:hAnsi="Arial"/>
                <w:b/>
                <w:bCs/>
                <w:color w:val="FFFFFF"/>
                <w:sz w:val="28"/>
                <w:szCs w:val="28"/>
              </w:rPr>
              <w:t xml:space="preserve">M21</w:t>
            </w:r>
          </w:p>
          <w:p>
            <w:pPr>
              <w:spacing w:before="30"/>
              <w:jc w:val="center"/>
            </w:pPr>
            <w:r>
              <w:rPr>
                <w:rFonts w:ascii="Arial" w:cs="Arial" w:eastAsia="Arial" w:hAnsi="Arial"/>
                <w:color w:val="D0E8FF"/>
                <w:sz w:val="14"/>
                <w:szCs w:val="14"/>
              </w:rPr>
              <w:t xml:space="preserve">T4</w:t>
            </w:r>
          </w:p>
        </w:tc>
        <w:tc>
          <w:tcPr>
            <w:tcW w:type="dxa" w:w="8360"/>
            <w:tcBorders>
              <w:top w:val="single" w:color="C8D0DC" w:sz="1"/>
              <w:left w:val="single" w:color="C8D0DC" w:sz="1"/>
              <w:bottom w:val="single" w:color="C8D0DC" w:sz="1"/>
              <w:right w:val="single" w:color="C8D0DC" w:sz="1"/>
            </w:tcBorders>
            <w:shd w:fill="F4F6FA" w:val="clear"/>
            <w:tcMar>
              <w:top w:type="dxa" w:w="110"/>
              <w:left w:type="dxa" w:w="160"/>
              <w:bottom w:type="dxa" w:w="110"/>
              <w:right w:type="dxa" w:w="160"/>
            </w:tcMar>
          </w:tcPr>
          <w:p>
            <w:r>
              <w:rPr>
                <w:rFonts w:ascii="Arial" w:cs="Arial" w:eastAsia="Arial" w:hAnsi="Arial"/>
                <w:b/>
                <w:bCs/>
                <w:color w:val="1B3A6B"/>
                <w:sz w:val="23"/>
                <w:szCs w:val="23"/>
              </w:rPr>
              <w:t xml:space="preserve">Ambient AI Scribes — The CSO Practical Guide</w:t>
            </w:r>
          </w:p>
          <w:p>
            <w:pPr>
              <w:spacing w:before="45"/>
            </w:pPr>
            <w:r>
              <w:rPr>
                <w:rFonts w:ascii="Arial" w:cs="Arial" w:eastAsia="Arial" w:hAnsi="Arial"/>
                <w:color w:val="9B2222"/>
                <w:sz w:val="18"/>
                <w:szCs w:val="18"/>
              </w:rPr>
              <w:t xml:space="preserve">CSO pain: Ambient scribes are the fastest NHS AI deployment category. CSOs have no specific guidance. The NHS Ambient Registry uses a different compliance pathway that most CSOs do not know about.</w:t>
            </w:r>
          </w:p>
          <w:p>
            <w:pPr>
              <w:spacing w:before="30"/>
            </w:pPr>
            <w:r>
              <w:rPr>
                <w:rFonts w:ascii="Arial" w:cs="Arial" w:eastAsia="Arial" w:hAnsi="Arial"/>
                <w:color w:val="1A6B3A"/>
                <w:sz w:val="18"/>
                <w:szCs w:val="18"/>
              </w:rPr>
              <w:t xml:space="preserve">Practical: What ambient AI scribes are. The NHS Ambient Registry — what self-certification covers and what it does not. Additional CSO obligations that remain. How to evaluate an ambient scribe supplier's safety case.</w:t>
            </w:r>
          </w:p>
          <w:p>
            <w:pPr>
              <w:spacing w:before="30"/>
            </w:pPr>
            <w:r>
              <w:rPr>
                <w:rFonts w:ascii="Arial" w:cs="Arial" w:eastAsia="Arial" w:hAnsi="Arial"/>
                <w:color w:val="0E7C7B"/>
                <w:sz w:val="18"/>
                <w:szCs w:val="18"/>
              </w:rPr>
              <w:t xml:space="preserve">Hospital application: Deploying an ambient AI scribe in your outpatient clinic — the complete CSO checklist from procurement to go-live.</w:t>
            </w:r>
          </w:p>
          <w:p>
            <w:pPr>
              <w:spacing w:before="30"/>
            </w:pPr>
            <w:r>
              <w:rPr>
                <w:rFonts w:ascii="Arial" w:cs="Arial" w:eastAsia="Arial" w:hAnsi="Arial"/>
                <w:color w:val="0A5454"/>
                <w:sz w:val="18"/>
                <w:szCs w:val="18"/>
              </w:rPr>
              <w:t xml:space="preserve">NHS 10yr Plan: Ambient AI scribe rollout is a core NHS 10 Year Plan deliverable for 2025 to 2026.</w:t>
            </w:r>
          </w:p>
          <w:p>
            <w:pPr>
              <w:spacing w:before="30"/>
            </w:pPr>
            <w:r>
              <w:rPr>
                <w:rFonts w:ascii="Arial" w:cs="Arial" w:eastAsia="Arial" w:hAnsi="Arial"/>
                <w:color w:val="9A6B00"/>
                <w:sz w:val="18"/>
                <w:szCs w:val="18"/>
              </w:rPr>
              <w:t xml:space="preserve">Simulator: Integrated into Simulator 4 — Hazard Log Builder includes an ambient scribe scenario as an option.</w:t>
            </w:r>
          </w:p>
          <w:p>
            <w:pPr>
              <w:spacing w:before="30"/>
            </w:pPr>
            <w:r>
              <w:rPr>
                <w:rFonts w:ascii="Arial" w:cs="Arial" w:eastAsia="Arial" w:hAnsi="Arial"/>
                <w:color w:val="4A2080"/>
                <w:sz w:val="18"/>
                <w:szCs w:val="18"/>
              </w:rPr>
              <w:t xml:space="preserve">Frameworks: NHS Ambient Registry, DCB0160, DTAC v2, PSIRF</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4A2080" w:val="clear"/>
            <w:tcMar>
              <w:top w:type="dxa" w:w="110"/>
              <w:left w:type="dxa" w:w="100"/>
              <w:bottom w:type="dxa" w:w="110"/>
              <w:right w:type="dxa" w:w="100"/>
            </w:tcMar>
          </w:tcPr>
          <w:p>
            <w:pPr>
              <w:jc w:val="center"/>
            </w:pPr>
            <w:r>
              <w:rPr>
                <w:rFonts w:ascii="Arial" w:cs="Arial" w:eastAsia="Arial" w:hAnsi="Arial"/>
                <w:b/>
                <w:bCs/>
                <w:color w:val="FFFFFF"/>
                <w:sz w:val="28"/>
                <w:szCs w:val="28"/>
              </w:rPr>
              <w:t xml:space="preserve">M22</w:t>
            </w:r>
          </w:p>
          <w:p>
            <w:pPr>
              <w:spacing w:before="30"/>
              <w:jc w:val="center"/>
            </w:pPr>
            <w:r>
              <w:rPr>
                <w:rFonts w:ascii="Arial" w:cs="Arial" w:eastAsia="Arial" w:hAnsi="Arial"/>
                <w:color w:val="D0E8FF"/>
                <w:sz w:val="14"/>
                <w:szCs w:val="14"/>
              </w:rPr>
              <w:t xml:space="preserve">T4</w:t>
            </w:r>
          </w:p>
        </w:tc>
        <w:tc>
          <w:tcPr>
            <w:tcW w:type="dxa" w:w="8360"/>
            <w:tcBorders>
              <w:top w:val="single" w:color="C8D0DC" w:sz="1"/>
              <w:left w:val="single" w:color="C8D0DC" w:sz="1"/>
              <w:bottom w:val="single" w:color="C8D0DC" w:sz="1"/>
              <w:right w:val="single" w:color="C8D0DC" w:sz="1"/>
            </w:tcBorders>
            <w:shd w:fill="F4F6FA" w:val="clear"/>
            <w:tcMar>
              <w:top w:type="dxa" w:w="110"/>
              <w:left w:type="dxa" w:w="160"/>
              <w:bottom w:type="dxa" w:w="110"/>
              <w:right w:type="dxa" w:w="160"/>
            </w:tcMar>
          </w:tcPr>
          <w:p>
            <w:r>
              <w:rPr>
                <w:rFonts w:ascii="Arial" w:cs="Arial" w:eastAsia="Arial" w:hAnsi="Arial"/>
                <w:b/>
                <w:bCs/>
                <w:color w:val="1B3A6B"/>
                <w:sz w:val="23"/>
                <w:szCs w:val="23"/>
              </w:rPr>
              <w:t xml:space="preserve">CSO Role in AI Procurement — Getting Involved Before It Is Too Late</w:t>
            </w:r>
          </w:p>
          <w:p>
            <w:pPr>
              <w:spacing w:before="45"/>
            </w:pPr>
            <w:r>
              <w:rPr>
                <w:rFonts w:ascii="Arial" w:cs="Arial" w:eastAsia="Arial" w:hAnsi="Arial"/>
                <w:color w:val="9B2222"/>
                <w:sz w:val="18"/>
                <w:szCs w:val="18"/>
              </w:rPr>
              <w:t xml:space="preserve">CSO pain: CSOs are consistently brought in after contracts are signed. Too late to influence clinical safety design. The 10,000 unassured DHTs are evidence of what happens when procurement ignores clinical safety.</w:t>
            </w:r>
          </w:p>
          <w:p>
            <w:pPr>
              <w:spacing w:before="30"/>
            </w:pPr>
            <w:r>
              <w:rPr>
                <w:rFonts w:ascii="Arial" w:cs="Arial" w:eastAsia="Arial" w:hAnsi="Arial"/>
                <w:color w:val="1A6B3A"/>
                <w:sz w:val="18"/>
                <w:szCs w:val="18"/>
              </w:rPr>
              <w:t xml:space="preserve">Practical: At exactly what stage the CSO must be involved. Clinical safety requirements to include in tender specifications. What to do when procurement overrules your objections. How to write enforceable safety requirements into contracts.</w:t>
            </w:r>
          </w:p>
          <w:p>
            <w:pPr>
              <w:spacing w:before="30"/>
            </w:pPr>
            <w:r>
              <w:rPr>
                <w:rFonts w:ascii="Arial" w:cs="Arial" w:eastAsia="Arial" w:hAnsi="Arial"/>
                <w:color w:val="0E7C7B"/>
                <w:sz w:val="18"/>
                <w:szCs w:val="18"/>
              </w:rPr>
              <w:t xml:space="preserve">Hospital application: Your trust is running a procurement for an AI diagnostic tool — CSO involvement guide from first specification to contract signature.</w:t>
            </w:r>
          </w:p>
          <w:p>
            <w:pPr>
              <w:spacing w:before="30"/>
            </w:pPr>
            <w:r>
              <w:rPr>
                <w:rFonts w:ascii="Arial" w:cs="Arial" w:eastAsia="Arial" w:hAnsi="Arial"/>
                <w:color w:val="0A5454"/>
                <w:sz w:val="18"/>
                <w:szCs w:val="18"/>
              </w:rPr>
              <w:t xml:space="preserve">NHS 10yr Plan: New NHS procurement framework 2026 to 2027 creates a formal route for CSO input before contract.</w:t>
            </w:r>
          </w:p>
          <w:p>
            <w:pPr>
              <w:spacing w:before="30"/>
            </w:pPr>
            <w:r>
              <w:rPr>
                <w:rFonts w:ascii="Arial" w:cs="Arial" w:eastAsia="Arial" w:hAnsi="Arial"/>
                <w:color w:val="9A6B00"/>
                <w:sz w:val="18"/>
                <w:szCs w:val="18"/>
              </w:rPr>
              <w:t xml:space="preserve">Simulator: Simulator — Procurement Red Flag Spotter: find 8 clinical safety red flags hidden in a fictional NHS AI procurement process.</w:t>
            </w:r>
          </w:p>
          <w:p>
            <w:pPr>
              <w:spacing w:before="30"/>
            </w:pPr>
            <w:r>
              <w:rPr>
                <w:rFonts w:ascii="Arial" w:cs="Arial" w:eastAsia="Arial" w:hAnsi="Arial"/>
                <w:color w:val="4A2080"/>
                <w:sz w:val="18"/>
                <w:szCs w:val="18"/>
              </w:rPr>
              <w:t xml:space="preserve">Frameworks: DTAC v2, DCB0129, NICE ESF, NHS procurement regulations</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4A2080" w:val="clear"/>
            <w:tcMar>
              <w:top w:type="dxa" w:w="110"/>
              <w:left w:type="dxa" w:w="100"/>
              <w:bottom w:type="dxa" w:w="110"/>
              <w:right w:type="dxa" w:w="100"/>
            </w:tcMar>
          </w:tcPr>
          <w:p>
            <w:pPr>
              <w:jc w:val="center"/>
            </w:pPr>
            <w:r>
              <w:rPr>
                <w:rFonts w:ascii="Arial" w:cs="Arial" w:eastAsia="Arial" w:hAnsi="Arial"/>
                <w:b/>
                <w:bCs/>
                <w:color w:val="FFFFFF"/>
                <w:sz w:val="28"/>
                <w:szCs w:val="28"/>
              </w:rPr>
              <w:t xml:space="preserve">M23</w:t>
            </w:r>
          </w:p>
          <w:p>
            <w:pPr>
              <w:spacing w:before="30"/>
              <w:jc w:val="center"/>
            </w:pPr>
            <w:r>
              <w:rPr>
                <w:rFonts w:ascii="Arial" w:cs="Arial" w:eastAsia="Arial" w:hAnsi="Arial"/>
                <w:color w:val="D0E8FF"/>
                <w:sz w:val="14"/>
                <w:szCs w:val="14"/>
              </w:rPr>
              <w:t xml:space="preserve">T4</w:t>
            </w:r>
          </w:p>
        </w:tc>
        <w:tc>
          <w:tcPr>
            <w:tcW w:type="dxa" w:w="8360"/>
            <w:tcBorders>
              <w:top w:val="single" w:color="C8D0DC" w:sz="1"/>
              <w:left w:val="single" w:color="C8D0DC" w:sz="1"/>
              <w:bottom w:val="single" w:color="C8D0DC" w:sz="1"/>
              <w:right w:val="single" w:color="C8D0DC" w:sz="1"/>
            </w:tcBorders>
            <w:shd w:fill="F4F6FA" w:val="clear"/>
            <w:tcMar>
              <w:top w:type="dxa" w:w="110"/>
              <w:left w:type="dxa" w:w="160"/>
              <w:bottom w:type="dxa" w:w="110"/>
              <w:right w:type="dxa" w:w="160"/>
            </w:tcMar>
          </w:tcPr>
          <w:p>
            <w:r>
              <w:rPr>
                <w:rFonts w:ascii="Arial" w:cs="Arial" w:eastAsia="Arial" w:hAnsi="Arial"/>
                <w:b/>
                <w:bCs/>
                <w:color w:val="1B3A6B"/>
                <w:sz w:val="23"/>
                <w:szCs w:val="23"/>
              </w:rPr>
              <w:t xml:space="preserve">Patient and Public Involvement in AI Safety</w:t>
            </w:r>
          </w:p>
          <w:p>
            <w:pPr>
              <w:spacing w:before="45"/>
            </w:pPr>
            <w:r>
              <w:rPr>
                <w:rFonts w:ascii="Arial" w:cs="Arial" w:eastAsia="Arial" w:hAnsi="Arial"/>
                <w:color w:val="9B2222"/>
                <w:sz w:val="18"/>
                <w:szCs w:val="18"/>
              </w:rPr>
              <w:t xml:space="preserve">CSO pain: AI safety is framed as a technical governance issue. The patient perspective is almost entirely absent from CSO practice — despite being a legal obligation.</w:t>
            </w:r>
          </w:p>
          <w:p>
            <w:pPr>
              <w:spacing w:before="30"/>
            </w:pPr>
            <w:r>
              <w:rPr>
                <w:rFonts w:ascii="Arial" w:cs="Arial" w:eastAsia="Arial" w:hAnsi="Arial"/>
                <w:color w:val="1A6B3A"/>
                <w:sz w:val="18"/>
                <w:szCs w:val="18"/>
              </w:rPr>
              <w:t xml:space="preserve">Practical: Why patient involvement in AI safety matters legally and ethically. How to include patient voice in risk assessments. Health literacy and accessibility requirements. How to communicate AI risks in plain language.</w:t>
            </w:r>
          </w:p>
          <w:p>
            <w:pPr>
              <w:spacing w:before="30"/>
            </w:pPr>
            <w:r>
              <w:rPr>
                <w:rFonts w:ascii="Arial" w:cs="Arial" w:eastAsia="Arial" w:hAnsi="Arial"/>
                <w:color w:val="0E7C7B"/>
                <w:sz w:val="18"/>
                <w:szCs w:val="18"/>
              </w:rPr>
              <w:t xml:space="preserve">Hospital application: Running a patient panel on AI safety for your trust's new AI triage tool. Questions to ask, outputs to capture, how to feed findings into the hazard log.</w:t>
            </w:r>
          </w:p>
          <w:p>
            <w:pPr>
              <w:spacing w:before="30"/>
            </w:pPr>
            <w:r>
              <w:rPr>
                <w:rFonts w:ascii="Arial" w:cs="Arial" w:eastAsia="Arial" w:hAnsi="Arial"/>
                <w:color w:val="0A5454"/>
                <w:sz w:val="18"/>
                <w:szCs w:val="18"/>
              </w:rPr>
              <w:t xml:space="preserve">NHS 10yr Plan: NHS 10 Year Plan commits to patients as partners. AI safety is a patient rights issue not just a technical one.</w:t>
            </w:r>
          </w:p>
          <w:p>
            <w:pPr>
              <w:spacing w:before="30"/>
            </w:pPr>
            <w:r>
              <w:rPr>
                <w:rFonts w:ascii="Arial" w:cs="Arial" w:eastAsia="Arial" w:hAnsi="Arial"/>
                <w:color w:val="9A6B00"/>
                <w:sz w:val="18"/>
                <w:szCs w:val="18"/>
              </w:rPr>
              <w:t xml:space="preserve">Simulator: Integrated into Simulator 8 — patient communication is a required output of the digital incident investigation.</w:t>
            </w:r>
          </w:p>
          <w:p>
            <w:pPr>
              <w:spacing w:before="30"/>
            </w:pPr>
            <w:r>
              <w:rPr>
                <w:rFonts w:ascii="Arial" w:cs="Arial" w:eastAsia="Arial" w:hAnsi="Arial"/>
                <w:color w:val="4A2080"/>
                <w:sz w:val="18"/>
                <w:szCs w:val="18"/>
              </w:rPr>
              <w:t xml:space="preserve">Frameworks: NHS Constitution, NHS Patient Safety Strategy, AI in Health Summit 2025 WHO and CHAI outputs</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4A2080" w:val="clear"/>
            <w:tcMar>
              <w:top w:type="dxa" w:w="110"/>
              <w:left w:type="dxa" w:w="100"/>
              <w:bottom w:type="dxa" w:w="110"/>
              <w:right w:type="dxa" w:w="100"/>
            </w:tcMar>
          </w:tcPr>
          <w:p>
            <w:pPr>
              <w:jc w:val="center"/>
            </w:pPr>
            <w:r>
              <w:rPr>
                <w:rFonts w:ascii="Arial" w:cs="Arial" w:eastAsia="Arial" w:hAnsi="Arial"/>
                <w:b/>
                <w:bCs/>
                <w:color w:val="FFFFFF"/>
                <w:sz w:val="28"/>
                <w:szCs w:val="28"/>
              </w:rPr>
              <w:t xml:space="preserve">M24</w:t>
            </w:r>
          </w:p>
          <w:p>
            <w:pPr>
              <w:spacing w:before="30"/>
              <w:jc w:val="center"/>
            </w:pPr>
            <w:r>
              <w:rPr>
                <w:rFonts w:ascii="Arial" w:cs="Arial" w:eastAsia="Arial" w:hAnsi="Arial"/>
                <w:color w:val="D0E8FF"/>
                <w:sz w:val="14"/>
                <w:szCs w:val="14"/>
              </w:rPr>
              <w:t xml:space="preserve">T4</w:t>
            </w:r>
          </w:p>
        </w:tc>
        <w:tc>
          <w:tcPr>
            <w:tcW w:type="dxa" w:w="8360"/>
            <w:tcBorders>
              <w:top w:val="single" w:color="C8D0DC" w:sz="1"/>
              <w:left w:val="single" w:color="C8D0DC" w:sz="1"/>
              <w:bottom w:val="single" w:color="C8D0DC" w:sz="1"/>
              <w:right w:val="single" w:color="C8D0DC" w:sz="1"/>
            </w:tcBorders>
            <w:shd w:fill="F4F6FA" w:val="clear"/>
            <w:tcMar>
              <w:top w:type="dxa" w:w="110"/>
              <w:left w:type="dxa" w:w="160"/>
              <w:bottom w:type="dxa" w:w="110"/>
              <w:right w:type="dxa" w:w="160"/>
            </w:tcMar>
          </w:tcPr>
          <w:p>
            <w:r>
              <w:rPr>
                <w:rFonts w:ascii="Arial" w:cs="Arial" w:eastAsia="Arial" w:hAnsi="Arial"/>
                <w:b/>
                <w:bCs/>
                <w:color w:val="1B3A6B"/>
                <w:sz w:val="23"/>
                <w:szCs w:val="23"/>
              </w:rPr>
              <w:t xml:space="preserve">UK GDPR, DPIA and Data Protection for CSOs</w:t>
            </w:r>
          </w:p>
          <w:p>
            <w:pPr>
              <w:spacing w:before="45"/>
            </w:pPr>
            <w:r>
              <w:rPr>
                <w:rFonts w:ascii="Arial" w:cs="Arial" w:eastAsia="Arial" w:hAnsi="Arial"/>
                <w:color w:val="9B2222"/>
                <w:sz w:val="18"/>
                <w:szCs w:val="18"/>
              </w:rPr>
              <w:t xml:space="preserve">CSO pain: DTAC v2 requires a DPIA for all NHS AI deployments processing patient data. Most CSOs do not know what a DPIA is or where their role ends and the DPO's begins.</w:t>
            </w:r>
          </w:p>
          <w:p>
            <w:pPr>
              <w:spacing w:before="30"/>
            </w:pPr>
            <w:r>
              <w:rPr>
                <w:rFonts w:ascii="Arial" w:cs="Arial" w:eastAsia="Arial" w:hAnsi="Arial"/>
                <w:color w:val="1A6B3A"/>
                <w:sz w:val="18"/>
                <w:szCs w:val="18"/>
              </w:rPr>
              <w:t xml:space="preserve">Practical: What a DPIA is and when it is required. How it overlaps with the Hazard Log without duplicating it. The CSO role versus the DPO role. Caldicott Principles applied to AI data flows.</w:t>
            </w:r>
          </w:p>
          <w:p>
            <w:pPr>
              <w:spacing w:before="30"/>
            </w:pPr>
            <w:r>
              <w:rPr>
                <w:rFonts w:ascii="Arial" w:cs="Arial" w:eastAsia="Arial" w:hAnsi="Arial"/>
                <w:color w:val="0E7C7B"/>
                <w:sz w:val="18"/>
                <w:szCs w:val="18"/>
              </w:rPr>
              <w:t xml:space="preserve">Hospital application: Your trust is deploying an AI symptom checker. Completing the DPIA and the Hazard Log together — how to coordinate without duplicating.</w:t>
            </w:r>
          </w:p>
          <w:p>
            <w:pPr>
              <w:spacing w:before="30"/>
            </w:pPr>
            <w:r>
              <w:rPr>
                <w:rFonts w:ascii="Arial" w:cs="Arial" w:eastAsia="Arial" w:hAnsi="Arial"/>
                <w:color w:val="0A5454"/>
                <w:sz w:val="18"/>
                <w:szCs w:val="18"/>
              </w:rPr>
              <w:t xml:space="preserve">NHS 10yr Plan: All NHS AI deployments processing patient data require DPIA. This is mandatory under DTAC v2.</w:t>
            </w:r>
          </w:p>
          <w:p>
            <w:pPr>
              <w:spacing w:before="30"/>
            </w:pPr>
            <w:r>
              <w:rPr>
                <w:rFonts w:ascii="Arial" w:cs="Arial" w:eastAsia="Arial" w:hAnsi="Arial"/>
                <w:color w:val="9A6B00"/>
                <w:sz w:val="18"/>
                <w:szCs w:val="18"/>
              </w:rPr>
              <w:t xml:space="preserve">Simulator: No simulator — document review and cross-functional coordination task.</w:t>
            </w:r>
          </w:p>
          <w:p>
            <w:pPr>
              <w:spacing w:before="30"/>
            </w:pPr>
            <w:r>
              <w:rPr>
                <w:rFonts w:ascii="Arial" w:cs="Arial" w:eastAsia="Arial" w:hAnsi="Arial"/>
                <w:color w:val="4A2080"/>
                <w:sz w:val="18"/>
                <w:szCs w:val="18"/>
              </w:rPr>
              <w:t xml:space="preserve">Frameworks: UK GDPR, DTAC v2, Caldicott Principles, ICO guidance</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4A2080" w:val="clear"/>
            <w:tcMar>
              <w:top w:type="dxa" w:w="110"/>
              <w:left w:type="dxa" w:w="100"/>
              <w:bottom w:type="dxa" w:w="110"/>
              <w:right w:type="dxa" w:w="100"/>
            </w:tcMar>
          </w:tcPr>
          <w:p>
            <w:pPr>
              <w:jc w:val="center"/>
            </w:pPr>
            <w:r>
              <w:rPr>
                <w:rFonts w:ascii="Arial" w:cs="Arial" w:eastAsia="Arial" w:hAnsi="Arial"/>
                <w:b/>
                <w:bCs/>
                <w:color w:val="FFFFFF"/>
                <w:sz w:val="28"/>
                <w:szCs w:val="28"/>
              </w:rPr>
              <w:t xml:space="preserve">M25</w:t>
            </w:r>
          </w:p>
          <w:p>
            <w:pPr>
              <w:spacing w:before="30"/>
              <w:jc w:val="center"/>
            </w:pPr>
            <w:r>
              <w:rPr>
                <w:rFonts w:ascii="Arial" w:cs="Arial" w:eastAsia="Arial" w:hAnsi="Arial"/>
                <w:color w:val="D0E8FF"/>
                <w:sz w:val="14"/>
                <w:szCs w:val="14"/>
              </w:rPr>
              <w:t xml:space="preserve">T4</w:t>
            </w:r>
          </w:p>
        </w:tc>
        <w:tc>
          <w:tcPr>
            <w:tcW w:type="dxa" w:w="8360"/>
            <w:tcBorders>
              <w:top w:val="single" w:color="C8D0DC" w:sz="1"/>
              <w:left w:val="single" w:color="C8D0DC" w:sz="1"/>
              <w:bottom w:val="single" w:color="C8D0DC" w:sz="1"/>
              <w:right w:val="single" w:color="C8D0DC" w:sz="1"/>
            </w:tcBorders>
            <w:shd w:fill="F4F6FA" w:val="clear"/>
            <w:tcMar>
              <w:top w:type="dxa" w:w="110"/>
              <w:left w:type="dxa" w:w="160"/>
              <w:bottom w:type="dxa" w:w="110"/>
              <w:right w:type="dxa" w:w="160"/>
            </w:tcMar>
          </w:tcPr>
          <w:p>
            <w:r>
              <w:rPr>
                <w:rFonts w:ascii="Arial" w:cs="Arial" w:eastAsia="Arial" w:hAnsi="Arial"/>
                <w:b/>
                <w:bCs/>
                <w:color w:val="1B3A6B"/>
                <w:sz w:val="23"/>
                <w:szCs w:val="23"/>
              </w:rPr>
              <w:t xml:space="preserve">Cyber Security and Clinical Safety — Knowing Your Boundary</w:t>
            </w:r>
          </w:p>
          <w:p>
            <w:pPr>
              <w:spacing w:before="45"/>
            </w:pPr>
            <w:r>
              <w:rPr>
                <w:rFonts w:ascii="Arial" w:cs="Arial" w:eastAsia="Arial" w:hAnsi="Arial"/>
                <w:color w:val="9B2222"/>
                <w:sz w:val="18"/>
                <w:szCs w:val="18"/>
              </w:rPr>
              <w:t xml:space="preserve">CSO pain: Ransomware attacks on NHS trusts are clinical safety incidents. CSOs do not know where their remit starts and the CISO's ends.</w:t>
            </w:r>
          </w:p>
          <w:p>
            <w:pPr>
              <w:spacing w:before="30"/>
            </w:pPr>
            <w:r>
              <w:rPr>
                <w:rFonts w:ascii="Arial" w:cs="Arial" w:eastAsia="Arial" w:hAnsi="Arial"/>
                <w:color w:val="1A6B3A"/>
                <w:sz w:val="18"/>
                <w:szCs w:val="18"/>
              </w:rPr>
              <w:t xml:space="preserve">Practical: How cyber incidents create clinical safety risks. The CSO remit versus CISO remit — overlap and handoff points. DTAC v2 technical security requirements and what the CSO must assess versus delegate.</w:t>
            </w:r>
          </w:p>
          <w:p>
            <w:pPr>
              <w:spacing w:before="30"/>
            </w:pPr>
            <w:r>
              <w:rPr>
                <w:rFonts w:ascii="Arial" w:cs="Arial" w:eastAsia="Arial" w:hAnsi="Arial"/>
                <w:color w:val="0E7C7B"/>
                <w:sz w:val="18"/>
                <w:szCs w:val="18"/>
              </w:rPr>
              <w:t xml:space="preserve">Hospital application: A ransomware attack has affected your trust's AI diagnostic platform. CSO immediate actions, escalation protocol, and hazard log update process.</w:t>
            </w:r>
          </w:p>
          <w:p>
            <w:pPr>
              <w:spacing w:before="30"/>
            </w:pPr>
            <w:r>
              <w:rPr>
                <w:rFonts w:ascii="Arial" w:cs="Arial" w:eastAsia="Arial" w:hAnsi="Arial"/>
                <w:color w:val="0A5454"/>
                <w:sz w:val="18"/>
                <w:szCs w:val="18"/>
              </w:rPr>
              <w:t xml:space="preserve">NHS 10yr Plan: NHS cybersecurity incidents are growing. HETT 2025 dedicated an entire stage to the cyber-clinical intersection.</w:t>
            </w:r>
          </w:p>
          <w:p>
            <w:pPr>
              <w:spacing w:before="30"/>
            </w:pPr>
            <w:r>
              <w:rPr>
                <w:rFonts w:ascii="Arial" w:cs="Arial" w:eastAsia="Arial" w:hAnsi="Arial"/>
                <w:color w:val="9A6B00"/>
                <w:sz w:val="18"/>
                <w:szCs w:val="18"/>
              </w:rPr>
              <w:t xml:space="preserve">Simulator: No simulator — crisis response and governance coordination.</w:t>
            </w:r>
          </w:p>
          <w:p>
            <w:pPr>
              <w:spacing w:before="30"/>
            </w:pPr>
            <w:r>
              <w:rPr>
                <w:rFonts w:ascii="Arial" w:cs="Arial" w:eastAsia="Arial" w:hAnsi="Arial"/>
                <w:color w:val="4A2080"/>
                <w:sz w:val="18"/>
                <w:szCs w:val="18"/>
              </w:rPr>
              <w:t xml:space="preserve">Frameworks: DTAC v2, NHS DSPT, DCB0160, PSIRF</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4A2080" w:val="clear"/>
            <w:tcMar>
              <w:top w:type="dxa" w:w="110"/>
              <w:left w:type="dxa" w:w="100"/>
              <w:bottom w:type="dxa" w:w="110"/>
              <w:right w:type="dxa" w:w="100"/>
            </w:tcMar>
          </w:tcPr>
          <w:p>
            <w:pPr>
              <w:jc w:val="center"/>
            </w:pPr>
            <w:r>
              <w:rPr>
                <w:rFonts w:ascii="Arial" w:cs="Arial" w:eastAsia="Arial" w:hAnsi="Arial"/>
                <w:b/>
                <w:bCs/>
                <w:color w:val="FFFFFF"/>
                <w:sz w:val="28"/>
                <w:szCs w:val="28"/>
              </w:rPr>
              <w:t xml:space="preserve">M26</w:t>
            </w:r>
          </w:p>
          <w:p>
            <w:pPr>
              <w:spacing w:before="30"/>
              <w:jc w:val="center"/>
            </w:pPr>
            <w:r>
              <w:rPr>
                <w:rFonts w:ascii="Arial" w:cs="Arial" w:eastAsia="Arial" w:hAnsi="Arial"/>
                <w:color w:val="D0E8FF"/>
                <w:sz w:val="14"/>
                <w:szCs w:val="14"/>
              </w:rPr>
              <w:t xml:space="preserve">T4</w:t>
            </w:r>
          </w:p>
        </w:tc>
        <w:tc>
          <w:tcPr>
            <w:tcW w:type="dxa" w:w="8360"/>
            <w:tcBorders>
              <w:top w:val="single" w:color="C8D0DC" w:sz="1"/>
              <w:left w:val="single" w:color="C8D0DC" w:sz="1"/>
              <w:bottom w:val="single" w:color="C8D0DC" w:sz="1"/>
              <w:right w:val="single" w:color="C8D0DC" w:sz="1"/>
            </w:tcBorders>
            <w:shd w:fill="F4F6FA" w:val="clear"/>
            <w:tcMar>
              <w:top w:type="dxa" w:w="110"/>
              <w:left w:type="dxa" w:w="160"/>
              <w:bottom w:type="dxa" w:w="110"/>
              <w:right w:type="dxa" w:w="160"/>
            </w:tcMar>
          </w:tcPr>
          <w:p>
            <w:r>
              <w:rPr>
                <w:rFonts w:ascii="Arial" w:cs="Arial" w:eastAsia="Arial" w:hAnsi="Arial"/>
                <w:b/>
                <w:bCs/>
                <w:color w:val="1B3A6B"/>
                <w:sz w:val="23"/>
                <w:szCs w:val="23"/>
              </w:rPr>
              <w:t xml:space="preserve">DCB0129 Version 2 — Preparing for the Revision</w:t>
            </w:r>
          </w:p>
          <w:p>
            <w:pPr>
              <w:spacing w:before="45"/>
            </w:pPr>
            <w:r>
              <w:rPr>
                <w:rFonts w:ascii="Arial" w:cs="Arial" w:eastAsia="Arial" w:hAnsi="Arial"/>
                <w:color w:val="9B2222"/>
                <w:sz w:val="18"/>
                <w:szCs w:val="18"/>
              </w:rPr>
              <w:t xml:space="preserve">CSO pain: The DCB standards are under active review by NHS England. CSOs who prepare now will lead the field when version 2 is published.</w:t>
            </w:r>
          </w:p>
          <w:p>
            <w:pPr>
              <w:spacing w:before="30"/>
            </w:pPr>
            <w:r>
              <w:rPr>
                <w:rFonts w:ascii="Arial" w:cs="Arial" w:eastAsia="Arial" w:hAnsi="Arial"/>
                <w:color w:val="1A6B3A"/>
                <w:sz w:val="18"/>
                <w:szCs w:val="18"/>
              </w:rPr>
              <w:t xml:space="preserve">Practical: What is known about the proposed changes from NHS England focus groups. How ISO 14971 alignment will change DCB practice. What AMLAS integration means practically. How to contribute to the public consultation.</w:t>
            </w:r>
          </w:p>
          <w:p>
            <w:pPr>
              <w:spacing w:before="30"/>
            </w:pPr>
            <w:r>
              <w:rPr>
                <w:rFonts w:ascii="Arial" w:cs="Arial" w:eastAsia="Arial" w:hAnsi="Arial"/>
                <w:color w:val="0E7C7B"/>
                <w:sz w:val="18"/>
                <w:szCs w:val="18"/>
              </w:rPr>
              <w:t xml:space="preserve">Hospital application: Gap analysis of your trust's current DCB practice against the anticipated version 2 requirements. Where to invest now to be ready.</w:t>
            </w:r>
          </w:p>
          <w:p>
            <w:pPr>
              <w:spacing w:before="30"/>
            </w:pPr>
            <w:r>
              <w:rPr>
                <w:rFonts w:ascii="Arial" w:cs="Arial" w:eastAsia="Arial" w:hAnsi="Arial"/>
                <w:color w:val="0A5454"/>
                <w:sz w:val="18"/>
                <w:szCs w:val="18"/>
              </w:rPr>
              <w:t xml:space="preserve">NHS 10yr Plan: NHS England has committed to revise DCB0129 and DCB0160. The revision is expected within 12 months.</w:t>
            </w:r>
          </w:p>
          <w:p>
            <w:pPr>
              <w:spacing w:before="30"/>
            </w:pPr>
            <w:r>
              <w:rPr>
                <w:rFonts w:ascii="Arial" w:cs="Arial" w:eastAsia="Arial" w:hAnsi="Arial"/>
                <w:color w:val="9A6B00"/>
                <w:sz w:val="18"/>
                <w:szCs w:val="18"/>
              </w:rPr>
              <w:t xml:space="preserve">Simulator: No simulator — strategic planning and policy input.</w:t>
            </w:r>
          </w:p>
          <w:p>
            <w:pPr>
              <w:spacing w:before="30"/>
            </w:pPr>
            <w:r>
              <w:rPr>
                <w:rFonts w:ascii="Arial" w:cs="Arial" w:eastAsia="Arial" w:hAnsi="Arial"/>
                <w:color w:val="4A2080"/>
                <w:sz w:val="18"/>
                <w:szCs w:val="18"/>
              </w:rPr>
              <w:t xml:space="preserve">Frameworks: NHS England DCB review 2025, ISO 14971, AMLAS, EU AI Act</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4A2080" w:val="clear"/>
            <w:tcMar>
              <w:top w:type="dxa" w:w="110"/>
              <w:left w:type="dxa" w:w="100"/>
              <w:bottom w:type="dxa" w:w="110"/>
              <w:right w:type="dxa" w:w="100"/>
            </w:tcMar>
          </w:tcPr>
          <w:p>
            <w:pPr>
              <w:jc w:val="center"/>
            </w:pPr>
            <w:r>
              <w:rPr>
                <w:rFonts w:ascii="Arial" w:cs="Arial" w:eastAsia="Arial" w:hAnsi="Arial"/>
                <w:b/>
                <w:bCs/>
                <w:color w:val="FFFFFF"/>
                <w:sz w:val="28"/>
                <w:szCs w:val="28"/>
              </w:rPr>
              <w:t xml:space="preserve">M27</w:t>
            </w:r>
          </w:p>
          <w:p>
            <w:pPr>
              <w:spacing w:before="30"/>
              <w:jc w:val="center"/>
            </w:pPr>
            <w:r>
              <w:rPr>
                <w:rFonts w:ascii="Arial" w:cs="Arial" w:eastAsia="Arial" w:hAnsi="Arial"/>
                <w:color w:val="D0E8FF"/>
                <w:sz w:val="14"/>
                <w:szCs w:val="14"/>
              </w:rPr>
              <w:t xml:space="preserve">T4</w:t>
            </w:r>
          </w:p>
        </w:tc>
        <w:tc>
          <w:tcPr>
            <w:tcW w:type="dxa" w:w="8360"/>
            <w:tcBorders>
              <w:top w:val="single" w:color="C8D0DC" w:sz="1"/>
              <w:left w:val="single" w:color="C8D0DC" w:sz="1"/>
              <w:bottom w:val="single" w:color="C8D0DC" w:sz="1"/>
              <w:right w:val="single" w:color="C8D0DC" w:sz="1"/>
            </w:tcBorders>
            <w:shd w:fill="F4F6FA" w:val="clear"/>
            <w:tcMar>
              <w:top w:type="dxa" w:w="110"/>
              <w:left w:type="dxa" w:w="160"/>
              <w:bottom w:type="dxa" w:w="110"/>
              <w:right w:type="dxa" w:w="160"/>
            </w:tcMar>
          </w:tcPr>
          <w:p>
            <w:r>
              <w:rPr>
                <w:rFonts w:ascii="Arial" w:cs="Arial" w:eastAsia="Arial" w:hAnsi="Arial"/>
                <w:b/>
                <w:bCs/>
                <w:color w:val="1B3A6B"/>
                <w:sz w:val="23"/>
                <w:szCs w:val="23"/>
              </w:rPr>
              <w:t xml:space="preserve">CSO Role in the NHS 10 Year Plan — Your Strategic Seat</w:t>
            </w:r>
          </w:p>
          <w:p>
            <w:pPr>
              <w:spacing w:before="45"/>
            </w:pPr>
            <w:r>
              <w:rPr>
                <w:rFonts w:ascii="Arial" w:cs="Arial" w:eastAsia="Arial" w:hAnsi="Arial"/>
                <w:color w:val="9B2222"/>
                <w:sz w:val="18"/>
                <w:szCs w:val="18"/>
              </w:rPr>
              <w:t xml:space="preserve">CSO pain: CSOs see themselves as compliance officers. They do not recognise their strategic importance in the largest digital transformation in NHS history.</w:t>
            </w:r>
          </w:p>
          <w:p>
            <w:pPr>
              <w:spacing w:before="30"/>
            </w:pPr>
            <w:r>
              <w:rPr>
                <w:rFonts w:ascii="Arial" w:cs="Arial" w:eastAsia="Arial" w:hAnsi="Arial"/>
                <w:color w:val="1A6B3A"/>
                <w:sz w:val="18"/>
                <w:szCs w:val="18"/>
              </w:rPr>
              <w:t xml:space="preserve">Practical: How each of the 5 transformative technologies creates specific CSO obligations. The three NHS shifts and what each means for digital safety. How to position yourself as a strategic leader not just a sign-off function.</w:t>
            </w:r>
          </w:p>
          <w:p>
            <w:pPr>
              <w:spacing w:before="30"/>
            </w:pPr>
            <w:r>
              <w:rPr>
                <w:rFonts w:ascii="Arial" w:cs="Arial" w:eastAsia="Arial" w:hAnsi="Arial"/>
                <w:color w:val="0E7C7B"/>
                <w:sz w:val="18"/>
                <w:szCs w:val="18"/>
              </w:rPr>
              <w:t xml:space="preserve">Hospital application: Presenting your trust's digital clinical safety strategy to the board — aligned with the NHS 10 Year Plan. One-page strategy document template.</w:t>
            </w:r>
          </w:p>
          <w:p>
            <w:pPr>
              <w:spacing w:before="30"/>
            </w:pPr>
            <w:r>
              <w:rPr>
                <w:rFonts w:ascii="Arial" w:cs="Arial" w:eastAsia="Arial" w:hAnsi="Arial"/>
                <w:color w:val="0A5454"/>
                <w:sz w:val="18"/>
                <w:szCs w:val="18"/>
              </w:rPr>
              <w:t xml:space="preserve">NHS 10yr Plan: CSOs are legally required for every NHS 10 Year Plan digital deployment. They are not optional overhead.</w:t>
            </w:r>
          </w:p>
          <w:p>
            <w:pPr>
              <w:spacing w:before="30"/>
            </w:pPr>
            <w:r>
              <w:rPr>
                <w:rFonts w:ascii="Arial" w:cs="Arial" w:eastAsia="Arial" w:hAnsi="Arial"/>
                <w:color w:val="9A6B00"/>
                <w:sz w:val="18"/>
                <w:szCs w:val="18"/>
              </w:rPr>
              <w:t xml:space="preserve">Simulator: No simulator — leadership and strategy.</w:t>
            </w:r>
          </w:p>
          <w:p>
            <w:pPr>
              <w:spacing w:before="30"/>
            </w:pPr>
            <w:r>
              <w:rPr>
                <w:rFonts w:ascii="Arial" w:cs="Arial" w:eastAsia="Arial" w:hAnsi="Arial"/>
                <w:color w:val="4A2080"/>
                <w:sz w:val="18"/>
                <w:szCs w:val="18"/>
              </w:rPr>
              <w:t xml:space="preserve">Frameworks: NHS 10 Year Plan, DCB0160, Digital Health Rewired 2025 and 2026</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4A2080" w:val="clear"/>
            <w:tcMar>
              <w:top w:type="dxa" w:w="110"/>
              <w:left w:type="dxa" w:w="100"/>
              <w:bottom w:type="dxa" w:w="110"/>
              <w:right w:type="dxa" w:w="100"/>
            </w:tcMar>
          </w:tcPr>
          <w:p>
            <w:pPr>
              <w:jc w:val="center"/>
            </w:pPr>
            <w:r>
              <w:rPr>
                <w:rFonts w:ascii="Arial" w:cs="Arial" w:eastAsia="Arial" w:hAnsi="Arial"/>
                <w:b/>
                <w:bCs/>
                <w:color w:val="FFFFFF"/>
                <w:sz w:val="28"/>
                <w:szCs w:val="28"/>
              </w:rPr>
              <w:t xml:space="preserve">M28</w:t>
            </w:r>
          </w:p>
          <w:p>
            <w:pPr>
              <w:spacing w:before="30"/>
              <w:jc w:val="center"/>
            </w:pPr>
            <w:r>
              <w:rPr>
                <w:rFonts w:ascii="Arial" w:cs="Arial" w:eastAsia="Arial" w:hAnsi="Arial"/>
                <w:color w:val="D0E8FF"/>
                <w:sz w:val="14"/>
                <w:szCs w:val="14"/>
              </w:rPr>
              <w:t xml:space="preserve">T4</w:t>
            </w:r>
          </w:p>
        </w:tc>
        <w:tc>
          <w:tcPr>
            <w:tcW w:type="dxa" w:w="8360"/>
            <w:tcBorders>
              <w:top w:val="single" w:color="C8D0DC" w:sz="1"/>
              <w:left w:val="single" w:color="C8D0DC" w:sz="1"/>
              <w:bottom w:val="single" w:color="C8D0DC" w:sz="1"/>
              <w:right w:val="single" w:color="C8D0DC" w:sz="1"/>
            </w:tcBorders>
            <w:shd w:fill="F4F6FA" w:val="clear"/>
            <w:tcMar>
              <w:top w:type="dxa" w:w="110"/>
              <w:left w:type="dxa" w:w="160"/>
              <w:bottom w:type="dxa" w:w="110"/>
              <w:right w:type="dxa" w:w="160"/>
            </w:tcMar>
          </w:tcPr>
          <w:p>
            <w:r>
              <w:rPr>
                <w:rFonts w:ascii="Arial" w:cs="Arial" w:eastAsia="Arial" w:hAnsi="Arial"/>
                <w:b/>
                <w:bCs/>
                <w:color w:val="1B3A6B"/>
                <w:sz w:val="23"/>
                <w:szCs w:val="23"/>
              </w:rPr>
              <w:t xml:space="preserve">International Regulatory Alignment — EU AI Act, FDA, MHRA</w:t>
            </w:r>
          </w:p>
          <w:p>
            <w:pPr>
              <w:spacing w:before="45"/>
            </w:pPr>
            <w:r>
              <w:rPr>
                <w:rFonts w:ascii="Arial" w:cs="Arial" w:eastAsia="Arial" w:hAnsi="Arial"/>
                <w:color w:val="9B2222"/>
                <w:sz w:val="18"/>
                <w:szCs w:val="18"/>
              </w:rPr>
              <w:t xml:space="preserve">CSO pain: UK HealthTech companies often sell to NHS and European health systems simultaneously. CSOs advising them need cross-regulatory fluency.</w:t>
            </w:r>
          </w:p>
          <w:p>
            <w:pPr>
              <w:spacing w:before="30"/>
            </w:pPr>
            <w:r>
              <w:rPr>
                <w:rFonts w:ascii="Arial" w:cs="Arial" w:eastAsia="Arial" w:hAnsi="Arial"/>
                <w:color w:val="1A6B3A"/>
                <w:sz w:val="18"/>
                <w:szCs w:val="18"/>
              </w:rPr>
              <w:t xml:space="preserve">Practical: EU AI Act obligations for high-risk AI in healthcare — timeline and what CSOs must know. How UK MHRA relates to EU AI Act. Good Machine Learning Practice — the internationally agreed principles.</w:t>
            </w:r>
          </w:p>
          <w:p>
            <w:pPr>
              <w:spacing w:before="30"/>
            </w:pPr>
            <w:r>
              <w:rPr>
                <w:rFonts w:ascii="Arial" w:cs="Arial" w:eastAsia="Arial" w:hAnsi="Arial"/>
                <w:color w:val="0E7C7B"/>
                <w:sz w:val="18"/>
                <w:szCs w:val="18"/>
              </w:rPr>
              <w:t xml:space="preserve">Hospital application: Advising a company selling an AI diagnostic tool to both NHS trusts and German hospitals. Which obligations apply where, and how they overlap.</w:t>
            </w:r>
          </w:p>
          <w:p>
            <w:pPr>
              <w:spacing w:before="30"/>
            </w:pPr>
            <w:r>
              <w:rPr>
                <w:rFonts w:ascii="Arial" w:cs="Arial" w:eastAsia="Arial" w:hAnsi="Arial"/>
                <w:color w:val="0A5454"/>
                <w:sz w:val="18"/>
                <w:szCs w:val="18"/>
              </w:rPr>
              <w:t xml:space="preserve">NHS 10yr Plan: UK is positioned as global benchmark for digital clinical safety. International regulatory literacy is a career differentiator.</w:t>
            </w:r>
          </w:p>
          <w:p>
            <w:pPr>
              <w:spacing w:before="30"/>
            </w:pPr>
            <w:r>
              <w:rPr>
                <w:rFonts w:ascii="Arial" w:cs="Arial" w:eastAsia="Arial" w:hAnsi="Arial"/>
                <w:color w:val="9A6B00"/>
                <w:sz w:val="18"/>
                <w:szCs w:val="18"/>
              </w:rPr>
              <w:t xml:space="preserve">Simulator: No simulator — regulatory analysis and advisory task.</w:t>
            </w:r>
          </w:p>
          <w:p>
            <w:pPr>
              <w:spacing w:before="30"/>
            </w:pPr>
            <w:r>
              <w:rPr>
                <w:rFonts w:ascii="Arial" w:cs="Arial" w:eastAsia="Arial" w:hAnsi="Arial"/>
                <w:color w:val="4A2080"/>
                <w:sz w:val="18"/>
                <w:szCs w:val="18"/>
              </w:rPr>
              <w:t xml:space="preserve">Frameworks: EU AI Act, MHRA AIaMD, FDA SaMD guidance, Good Machine Learning Practice</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4A2080" w:val="clear"/>
            <w:tcMar>
              <w:top w:type="dxa" w:w="110"/>
              <w:left w:type="dxa" w:w="100"/>
              <w:bottom w:type="dxa" w:w="110"/>
              <w:right w:type="dxa" w:w="100"/>
            </w:tcMar>
          </w:tcPr>
          <w:p>
            <w:pPr>
              <w:jc w:val="center"/>
            </w:pPr>
            <w:r>
              <w:rPr>
                <w:rFonts w:ascii="Arial" w:cs="Arial" w:eastAsia="Arial" w:hAnsi="Arial"/>
                <w:b/>
                <w:bCs/>
                <w:color w:val="FFFFFF"/>
                <w:sz w:val="28"/>
                <w:szCs w:val="28"/>
              </w:rPr>
              <w:t xml:space="preserve">M29</w:t>
            </w:r>
          </w:p>
          <w:p>
            <w:pPr>
              <w:spacing w:before="30"/>
              <w:jc w:val="center"/>
            </w:pPr>
            <w:r>
              <w:rPr>
                <w:rFonts w:ascii="Arial" w:cs="Arial" w:eastAsia="Arial" w:hAnsi="Arial"/>
                <w:color w:val="D0E8FF"/>
                <w:sz w:val="14"/>
                <w:szCs w:val="14"/>
              </w:rPr>
              <w:t xml:space="preserve">T4</w:t>
            </w:r>
          </w:p>
        </w:tc>
        <w:tc>
          <w:tcPr>
            <w:tcW w:type="dxa" w:w="8360"/>
            <w:tcBorders>
              <w:top w:val="single" w:color="C8D0DC" w:sz="1"/>
              <w:left w:val="single" w:color="C8D0DC" w:sz="1"/>
              <w:bottom w:val="single" w:color="C8D0DC" w:sz="1"/>
              <w:right w:val="single" w:color="C8D0DC" w:sz="1"/>
            </w:tcBorders>
            <w:shd w:fill="F4F6FA" w:val="clear"/>
            <w:tcMar>
              <w:top w:type="dxa" w:w="110"/>
              <w:left w:type="dxa" w:w="160"/>
              <w:bottom w:type="dxa" w:w="110"/>
              <w:right w:type="dxa" w:w="160"/>
            </w:tcMar>
          </w:tcPr>
          <w:p>
            <w:r>
              <w:rPr>
                <w:rFonts w:ascii="Arial" w:cs="Arial" w:eastAsia="Arial" w:hAnsi="Arial"/>
                <w:b/>
                <w:bCs/>
                <w:color w:val="1B3A6B"/>
                <w:sz w:val="23"/>
                <w:szCs w:val="23"/>
              </w:rPr>
              <w:t xml:space="preserve">Agentic AI — The Safety Framework That Does Not Yet Exist</w:t>
            </w:r>
          </w:p>
          <w:p>
            <w:pPr>
              <w:spacing w:before="45"/>
            </w:pPr>
            <w:r>
              <w:rPr>
                <w:rFonts w:ascii="Arial" w:cs="Arial" w:eastAsia="Arial" w:hAnsi="Arial"/>
                <w:color w:val="9B2222"/>
                <w:sz w:val="18"/>
                <w:szCs w:val="18"/>
              </w:rPr>
              <w:t xml:space="preserve">CSO pain: Agentic AI that acts autonomously is coming to the NHS. Current DCB standards assume AI advises. 43% of global health systems are already piloting agentic AI.</w:t>
            </w:r>
          </w:p>
          <w:p>
            <w:pPr>
              <w:spacing w:before="30"/>
            </w:pPr>
            <w:r>
              <w:rPr>
                <w:rFonts w:ascii="Arial" w:cs="Arial" w:eastAsia="Arial" w:hAnsi="Arial"/>
                <w:color w:val="1A6B3A"/>
                <w:sz w:val="18"/>
                <w:szCs w:val="18"/>
              </w:rPr>
              <w:t xml:space="preserve">Practical: What agentic AI is and how it differs from standard AI. Why current DCB standards do not cover autonomous action. A proposed CSO framework — accountability, reversibility, override mechanisms. How to write requirements into supplier contracts.</w:t>
            </w:r>
          </w:p>
          <w:p>
            <w:pPr>
              <w:spacing w:before="30"/>
            </w:pPr>
            <w:r>
              <w:rPr>
                <w:rFonts w:ascii="Arial" w:cs="Arial" w:eastAsia="Arial" w:hAnsi="Arial"/>
                <w:color w:val="0E7C7B"/>
                <w:sz w:val="18"/>
                <w:szCs w:val="18"/>
              </w:rPr>
              <w:t xml:space="preserve">Hospital application: Your trust is piloting an AI agent that can book referrals autonomously. What does the CSO need to define, document, and monitor? Step-by-step first principles approach.</w:t>
            </w:r>
          </w:p>
          <w:p>
            <w:pPr>
              <w:spacing w:before="30"/>
            </w:pPr>
            <w:r>
              <w:rPr>
                <w:rFonts w:ascii="Arial" w:cs="Arial" w:eastAsia="Arial" w:hAnsi="Arial"/>
                <w:color w:val="0A5454"/>
                <w:sz w:val="18"/>
                <w:szCs w:val="18"/>
              </w:rPr>
              <w:t xml:space="preserve">NHS 10yr Plan: Agentic AI is the next major wave. NHS will follow global adoption. CSOs who develop the framework now will define the standard.</w:t>
            </w:r>
          </w:p>
          <w:p>
            <w:pPr>
              <w:spacing w:before="30"/>
            </w:pPr>
            <w:r>
              <w:rPr>
                <w:rFonts w:ascii="Arial" w:cs="Arial" w:eastAsia="Arial" w:hAnsi="Arial"/>
                <w:color w:val="9A6B00"/>
                <w:sz w:val="18"/>
                <w:szCs w:val="18"/>
              </w:rPr>
              <w:t xml:space="preserve">Simulator: No simulator — frontier module. Framework is being built, not applied.</w:t>
            </w:r>
          </w:p>
          <w:p>
            <w:pPr>
              <w:spacing w:before="30"/>
            </w:pPr>
            <w:r>
              <w:rPr>
                <w:rFonts w:ascii="Arial" w:cs="Arial" w:eastAsia="Arial" w:hAnsi="Arial"/>
                <w:color w:val="4A2080"/>
                <w:sz w:val="18"/>
                <w:szCs w:val="18"/>
              </w:rPr>
              <w:t xml:space="preserve">Frameworks: Deloitte 2026, Microsoft NEJM 2026 agentic AI research, DCB0160 first principles</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4A2080" w:val="clear"/>
            <w:tcMar>
              <w:top w:type="dxa" w:w="110"/>
              <w:left w:type="dxa" w:w="100"/>
              <w:bottom w:type="dxa" w:w="110"/>
              <w:right w:type="dxa" w:w="100"/>
            </w:tcMar>
          </w:tcPr>
          <w:p>
            <w:pPr>
              <w:jc w:val="center"/>
            </w:pPr>
            <w:r>
              <w:rPr>
                <w:rFonts w:ascii="Arial" w:cs="Arial" w:eastAsia="Arial" w:hAnsi="Arial"/>
                <w:b/>
                <w:bCs/>
                <w:color w:val="FFFFFF"/>
                <w:sz w:val="28"/>
                <w:szCs w:val="28"/>
              </w:rPr>
              <w:t xml:space="preserve">M30</w:t>
            </w:r>
          </w:p>
          <w:p>
            <w:pPr>
              <w:spacing w:before="30"/>
              <w:jc w:val="center"/>
            </w:pPr>
            <w:r>
              <w:rPr>
                <w:rFonts w:ascii="Arial" w:cs="Arial" w:eastAsia="Arial" w:hAnsi="Arial"/>
                <w:color w:val="D0E8FF"/>
                <w:sz w:val="14"/>
                <w:szCs w:val="14"/>
              </w:rPr>
              <w:t xml:space="preserve">T4</w:t>
            </w:r>
          </w:p>
        </w:tc>
        <w:tc>
          <w:tcPr>
            <w:tcW w:type="dxa" w:w="8360"/>
            <w:tcBorders>
              <w:top w:val="single" w:color="C8D0DC" w:sz="1"/>
              <w:left w:val="single" w:color="C8D0DC" w:sz="1"/>
              <w:bottom w:val="single" w:color="C8D0DC" w:sz="1"/>
              <w:right w:val="single" w:color="C8D0DC" w:sz="1"/>
            </w:tcBorders>
            <w:shd w:fill="F4F6FA" w:val="clear"/>
            <w:tcMar>
              <w:top w:type="dxa" w:w="110"/>
              <w:left w:type="dxa" w:w="160"/>
              <w:bottom w:type="dxa" w:w="110"/>
              <w:right w:type="dxa" w:w="160"/>
            </w:tcMar>
          </w:tcPr>
          <w:p>
            <w:r>
              <w:rPr>
                <w:rFonts w:ascii="Arial" w:cs="Arial" w:eastAsia="Arial" w:hAnsi="Arial"/>
                <w:b/>
                <w:bCs/>
                <w:color w:val="1B3A6B"/>
                <w:sz w:val="23"/>
                <w:szCs w:val="23"/>
              </w:rPr>
              <w:t xml:space="preserve">Your CSO Career Pathway — From Compliance to Clinical AI Leadership</w:t>
            </w:r>
          </w:p>
          <w:p>
            <w:pPr>
              <w:spacing w:before="45"/>
            </w:pPr>
            <w:r>
              <w:rPr>
                <w:rFonts w:ascii="Arial" w:cs="Arial" w:eastAsia="Arial" w:hAnsi="Arial"/>
                <w:color w:val="9B2222"/>
                <w:sz w:val="18"/>
                <w:szCs w:val="18"/>
              </w:rPr>
              <w:t xml:space="preserve">CSO pain: CSOs do not see a career progression. The role feels like an isolated compliance burden with no future and no recognition.</w:t>
            </w:r>
          </w:p>
          <w:p>
            <w:pPr>
              <w:spacing w:before="30"/>
            </w:pPr>
            <w:r>
              <w:rPr>
                <w:rFonts w:ascii="Arial" w:cs="Arial" w:eastAsia="Arial" w:hAnsi="Arial"/>
                <w:color w:val="1A6B3A"/>
                <w:sz w:val="18"/>
                <w:szCs w:val="18"/>
              </w:rPr>
              <w:t xml:space="preserve">Practical: The complete career roadmap: CSO to CCIO to Clinical AI Fellow to NHS Fellowship to Industry Consultant. How to document CSO work as fellowship application evidence. What skills big tech companies look for in clinical AI consultants.</w:t>
            </w:r>
          </w:p>
          <w:p>
            <w:pPr>
              <w:spacing w:before="30"/>
            </w:pPr>
            <w:r>
              <w:rPr>
                <w:rFonts w:ascii="Arial" w:cs="Arial" w:eastAsia="Arial" w:hAnsi="Arial"/>
                <w:color w:val="0E7C7B"/>
                <w:sz w:val="18"/>
                <w:szCs w:val="18"/>
              </w:rPr>
              <w:t xml:space="preserve">Hospital application: Building your CSO portfolio for the NHS Clinical AI Fellowship application. What to include, how to frame it, what selectors notice.</w:t>
            </w:r>
          </w:p>
          <w:p>
            <w:pPr>
              <w:spacing w:before="30"/>
            </w:pPr>
            <w:r>
              <w:rPr>
                <w:rFonts w:ascii="Arial" w:cs="Arial" w:eastAsia="Arial" w:hAnsi="Arial"/>
                <w:color w:val="0A5454"/>
                <w:sz w:val="18"/>
                <w:szCs w:val="18"/>
              </w:rPr>
              <w:t xml:space="preserve">NHS 10yr Plan: NHS 10 Year Plan creates entirely new clinical AI leadership roles. CSOs are the talent pipeline that nobody is investing in yet.</w:t>
            </w:r>
          </w:p>
          <w:p>
            <w:pPr>
              <w:spacing w:before="30"/>
            </w:pPr>
            <w:r>
              <w:rPr>
                <w:rFonts w:ascii="Arial" w:cs="Arial" w:eastAsia="Arial" w:hAnsi="Arial"/>
                <w:color w:val="9A6B00"/>
                <w:sz w:val="18"/>
                <w:szCs w:val="18"/>
              </w:rPr>
              <w:t xml:space="preserve">Simulator: No simulator — career planning and portfolio development.</w:t>
            </w:r>
          </w:p>
          <w:p>
            <w:pPr>
              <w:spacing w:before="30"/>
            </w:pPr>
            <w:r>
              <w:rPr>
                <w:rFonts w:ascii="Arial" w:cs="Arial" w:eastAsia="Arial" w:hAnsi="Arial"/>
                <w:color w:val="4A2080"/>
                <w:sz w:val="18"/>
                <w:szCs w:val="18"/>
              </w:rPr>
              <w:t xml:space="preserve">Frameworks: NHS Clinical AI Fellowship, ValgrAI, Google Health, Microsoft, DeepMind clinical advisory roles</w:t>
            </w:r>
          </w:p>
        </w:tc>
      </w:tr>
    </w:tbl>
    <w:p>
      <w:pPr>
        <w:spacing w:after="25" w:before="25"/>
      </w:pPr>
      <w:r>
        <w:rPr>
          <w:sz w:val="20"/>
          <w:szCs w:val="20"/>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C7B" w:val="clear"/>
            <w:tcMar>
              <w:top w:type="dxa" w:w="130"/>
              <w:left w:type="dxa" w:w="260"/>
              <w:bottom w:type="dxa" w:w="130"/>
              <w:right w:type="dxa" w:w="260"/>
            </w:tcMar>
          </w:tcPr>
          <w:p>
            <w:r>
              <w:rPr>
                <w:rFonts w:ascii="Arial" w:cs="Arial" w:eastAsia="Arial" w:hAnsi="Arial"/>
                <w:b/>
                <w:bCs/>
                <w:color w:val="FFFFFF"/>
                <w:sz w:val="26"/>
                <w:szCs w:val="26"/>
              </w:rPr>
              <w:t xml:space="preserve">SECTION 6 — THE 10 INTERACTIVE SIMULATORS</w:t>
            </w:r>
          </w:p>
        </w:tc>
      </w:tr>
    </w:tbl>
    <w:p>
      <w:pPr>
        <w:spacing w:after="40" w:before="40"/>
      </w:pPr>
      <w:r>
        <w:rPr>
          <w:sz w:val="20"/>
          <w:szCs w:val="20"/>
        </w:rPr>
        <w:t xml:space="preserve"> </w:t>
      </w:r>
    </w:p>
    <w:p>
      <w:pPr>
        <w:pBdr>
          <w:bottom w:val="single" w:color="0E7C7B" w:sz="3" w:space="1"/>
        </w:pBdr>
        <w:spacing w:after="80" w:before="220"/>
      </w:pPr>
      <w:r>
        <w:rPr>
          <w:rFonts w:ascii="Arial" w:cs="Arial" w:eastAsia="Arial" w:hAnsi="Arial"/>
          <w:b/>
          <w:bCs/>
          <w:color w:val="0E7C7B"/>
          <w:sz w:val="24"/>
          <w:szCs w:val="24"/>
        </w:rPr>
        <w:t xml:space="preserve">The Design Philosophy</w:t>
      </w:r>
    </w:p>
    <w:p>
      <w:pPr>
        <w:spacing w:after="55" w:before="55"/>
      </w:pPr>
      <w:r>
        <w:rPr>
          <w:rFonts w:ascii="Arial" w:cs="Arial" w:eastAsia="Arial" w:hAnsi="Arial"/>
          <w:b w:val="false"/>
          <w:bCs w:val="false"/>
          <w:color w:val="2E3440"/>
          <w:sz w:val="22"/>
          <w:szCs w:val="22"/>
        </w:rPr>
        <w:t xml:space="preserve">Every simulator follows the same structure. Real NHS hospital scenario. CSO must make decisions using specific frameworks. Wrong decisions show clinical consequences. Correct decisions explained with exact framework clause references. CSO output compared against expert version. The gap between what the CSO produced and what the expert produced IS the learning.</w:t>
      </w:r>
    </w:p>
    <w:p>
      <w:pPr>
        <w:spacing w:after="55" w:before="55"/>
      </w:pPr>
      <w:r>
        <w:rPr>
          <w:rFonts w:ascii="Arial" w:cs="Arial" w:eastAsia="Arial" w:hAnsi="Arial"/>
          <w:b w:val="false"/>
          <w:bCs w:val="false"/>
          <w:color w:val="2E3440"/>
          <w:sz w:val="22"/>
          <w:szCs w:val="22"/>
        </w:rPr>
        <w:t xml:space="preserve">Nobody learns clinical safety by reading about it. Pilots do not learn to fly by reading a manual. Surgeons do not learn to operate by watching a slideshow. These simulators are the first time a CSO training resource has said: try it yourself before you do it for real.</w:t>
      </w:r>
    </w:p>
    <w:p>
      <w:pPr>
        <w:spacing w:after="30" w:before="3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FFF6E8" w:val="clear"/>
            <w:tcMar>
              <w:top w:type="dxa" w:w="120"/>
              <w:left w:type="dxa" w:w="180"/>
              <w:bottom w:type="dxa" w:w="120"/>
              <w:right w:type="dxa" w:w="180"/>
            </w:tcMar>
          </w:tcPr>
          <w:p>
            <w:r>
              <w:rPr>
                <w:rFonts w:ascii="Arial" w:cs="Arial" w:eastAsia="Arial" w:hAnsi="Arial"/>
                <w:b/>
                <w:bCs/>
                <w:color w:val="C96A1A"/>
                <w:sz w:val="22"/>
                <w:szCs w:val="22"/>
              </w:rPr>
              <w:t xml:space="preserve">SIMULATOR 1: DCB Boundary Decider</w:t>
            </w:r>
          </w:p>
          <w:p>
            <w:pPr>
              <w:spacing w:before="35"/>
            </w:pPr>
            <w:r>
              <w:rPr>
                <w:rFonts w:ascii="Arial" w:cs="Arial" w:eastAsia="Arial" w:hAnsi="Arial"/>
                <w:i/>
                <w:iCs/>
                <w:color w:val="7B8394"/>
                <w:sz w:val="18"/>
                <w:szCs w:val="18"/>
              </w:rPr>
              <w:t xml:space="preserve">Embedded in: Module 1 — DCB0129/0160 in Plain English</w:t>
            </w:r>
          </w:p>
          <w:p>
            <w:pPr>
              <w:spacing w:before="55"/>
            </w:pPr>
            <w:r>
              <w:rPr>
                <w:rFonts w:ascii="Arial" w:cs="Arial" w:eastAsia="Arial" w:hAnsi="Arial"/>
                <w:color w:val="2E3440"/>
                <w:sz w:val="19"/>
                <w:szCs w:val="19"/>
              </w:rPr>
              <w:t xml:space="preserve">Scenario: Ten real NHS scenarios presented one at a time. Software update released by supplier. Multi-site deployment across two trusts. AI algorithm changed without notification. Legacy system being decommissioned.</w:t>
            </w:r>
          </w:p>
          <w:p>
            <w:pPr>
              <w:spacing w:before="35"/>
            </w:pPr>
            <w:r>
              <w:rPr>
                <w:rFonts w:ascii="Arial" w:cs="Arial" w:eastAsia="Arial" w:hAnsi="Arial"/>
                <w:color w:val="2E3440"/>
                <w:sz w:val="19"/>
                <w:szCs w:val="19"/>
              </w:rPr>
              <w:t xml:space="preserve">CSO task: For each scenario, allocate responsibility: supplier DCB0129, deployer DCB0160, or both. Receive immediate explanation of correct answer and the DCB clause that determines it.</w:t>
            </w:r>
          </w:p>
          <w:p>
            <w:pPr>
              <w:spacing w:before="35"/>
            </w:pPr>
            <w:r>
              <w:rPr>
                <w:rFonts w:ascii="Arial" w:cs="Arial" w:eastAsia="Arial" w:hAnsi="Arial"/>
                <w:color w:val="4A2080"/>
                <w:sz w:val="19"/>
                <w:szCs w:val="19"/>
              </w:rPr>
              <w:t xml:space="preserve">Frameworks applied: DCB0129, DCB0160</w:t>
            </w:r>
          </w:p>
          <w:p>
            <w:pPr>
              <w:spacing w:before="35"/>
            </w:pPr>
            <w:r>
              <w:rPr>
                <w:rFonts w:ascii="Arial" w:cs="Arial" w:eastAsia="Arial" w:hAnsi="Arial"/>
                <w:b/>
                <w:bCs/>
                <w:color w:val="1A6B3A"/>
                <w:sz w:val="19"/>
                <w:szCs w:val="19"/>
              </w:rPr>
              <w:t xml:space="preserve">Learning outcome: Eliminate the most common source of CSO compliance failure — confusion over who is responsible for what.</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FFF6E8" w:val="clear"/>
            <w:tcMar>
              <w:top w:type="dxa" w:w="120"/>
              <w:left w:type="dxa" w:w="180"/>
              <w:bottom w:type="dxa" w:w="120"/>
              <w:right w:type="dxa" w:w="180"/>
            </w:tcMar>
          </w:tcPr>
          <w:p>
            <w:r>
              <w:rPr>
                <w:rFonts w:ascii="Arial" w:cs="Arial" w:eastAsia="Arial" w:hAnsi="Arial"/>
                <w:b/>
                <w:bCs/>
                <w:color w:val="C96A1A"/>
                <w:sz w:val="22"/>
                <w:szCs w:val="22"/>
              </w:rPr>
              <w:t xml:space="preserve">SIMULATOR 2: The Accountability Map</w:t>
            </w:r>
          </w:p>
          <w:p>
            <w:pPr>
              <w:spacing w:before="35"/>
            </w:pPr>
            <w:r>
              <w:rPr>
                <w:rFonts w:ascii="Arial" w:cs="Arial" w:eastAsia="Arial" w:hAnsi="Arial"/>
                <w:i/>
                <w:iCs/>
                <w:color w:val="7B8394"/>
                <w:sz w:val="18"/>
                <w:szCs w:val="18"/>
              </w:rPr>
              <w:t xml:space="preserve">Embedded in: Module 2 — The CSO Role</w:t>
            </w:r>
          </w:p>
          <w:p>
            <w:pPr>
              <w:spacing w:before="55"/>
            </w:pPr>
            <w:r>
              <w:rPr>
                <w:rFonts w:ascii="Arial" w:cs="Arial" w:eastAsia="Arial" w:hAnsi="Arial"/>
                <w:color w:val="2E3440"/>
                <w:sz w:val="19"/>
                <w:szCs w:val="19"/>
              </w:rPr>
              <w:t xml:space="preserve">Scenario: An AI diagnostic tool has contributed to a patient receiving incorrect treatment. The patient has been harmed. Multiple parties are involved — the trust, the supplier, the CSO, the clinician who relied on the output.</w:t>
            </w:r>
          </w:p>
          <w:p>
            <w:pPr>
              <w:spacing w:before="35"/>
            </w:pPr>
            <w:r>
              <w:rPr>
                <w:rFonts w:ascii="Arial" w:cs="Arial" w:eastAsia="Arial" w:hAnsi="Arial"/>
                <w:color w:val="2E3440"/>
                <w:sz w:val="19"/>
                <w:szCs w:val="19"/>
              </w:rPr>
              <w:t xml:space="preserve">CSO task: Trace legal and professional accountability through the decision chain. Identify where the failure occurred. Determine who had the obligation to act at each stage.</w:t>
            </w:r>
          </w:p>
          <w:p>
            <w:pPr>
              <w:spacing w:before="35"/>
            </w:pPr>
            <w:r>
              <w:rPr>
                <w:rFonts w:ascii="Arial" w:cs="Arial" w:eastAsia="Arial" w:hAnsi="Arial"/>
                <w:color w:val="4A2080"/>
                <w:sz w:val="19"/>
                <w:szCs w:val="19"/>
              </w:rPr>
              <w:t xml:space="preserve">Frameworks applied: DCB0160, Health and Social Care Act 2012, GMC Good Medical Practice, CQC standards</w:t>
            </w:r>
          </w:p>
          <w:p>
            <w:pPr>
              <w:spacing w:before="35"/>
            </w:pPr>
            <w:r>
              <w:rPr>
                <w:rFonts w:ascii="Arial" w:cs="Arial" w:eastAsia="Arial" w:hAnsi="Arial"/>
                <w:b/>
                <w:bCs/>
                <w:color w:val="1A6B3A"/>
                <w:sz w:val="19"/>
                <w:szCs w:val="19"/>
              </w:rPr>
              <w:t xml:space="preserve">Learning outcome: Understand what you personally signed off on, what it legally means, and how to protect yourself and your patients.</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FFF6E8" w:val="clear"/>
            <w:tcMar>
              <w:top w:type="dxa" w:w="120"/>
              <w:left w:type="dxa" w:w="180"/>
              <w:bottom w:type="dxa" w:w="120"/>
              <w:right w:type="dxa" w:w="180"/>
            </w:tcMar>
          </w:tcPr>
          <w:p>
            <w:r>
              <w:rPr>
                <w:rFonts w:ascii="Arial" w:cs="Arial" w:eastAsia="Arial" w:hAnsi="Arial"/>
                <w:b/>
                <w:bCs/>
                <w:color w:val="C96A1A"/>
                <w:sz w:val="22"/>
                <w:szCs w:val="22"/>
              </w:rPr>
              <w:t xml:space="preserve">SIMULATOR 3: The Leadership Conversation</w:t>
            </w:r>
          </w:p>
          <w:p>
            <w:pPr>
              <w:spacing w:before="35"/>
            </w:pPr>
            <w:r>
              <w:rPr>
                <w:rFonts w:ascii="Arial" w:cs="Arial" w:eastAsia="Arial" w:hAnsi="Arial"/>
                <w:i/>
                <w:iCs/>
                <w:color w:val="7B8394"/>
                <w:sz w:val="18"/>
                <w:szCs w:val="18"/>
              </w:rPr>
              <w:t xml:space="preserve">Embedded in: Module 3 — Getting Senior Leadership Buy-In</w:t>
            </w:r>
          </w:p>
          <w:p>
            <w:pPr>
              <w:spacing w:before="55"/>
            </w:pPr>
            <w:r>
              <w:rPr>
                <w:rFonts w:ascii="Arial" w:cs="Arial" w:eastAsia="Arial" w:hAnsi="Arial"/>
                <w:color w:val="2E3440"/>
                <w:sz w:val="19"/>
                <w:szCs w:val="19"/>
              </w:rPr>
              <w:t xml:space="preserve">Scenario: The board has signed a contract for an AI triage tool. You have identified a significant safety concern — the supplier's safety case does not cover the current software version. The board wants to go live in two weeks.</w:t>
            </w:r>
          </w:p>
          <w:p>
            <w:pPr>
              <w:spacing w:before="35"/>
            </w:pPr>
            <w:r>
              <w:rPr>
                <w:rFonts w:ascii="Arial" w:cs="Arial" w:eastAsia="Arial" w:hAnsi="Arial"/>
                <w:color w:val="2E3440"/>
                <w:sz w:val="19"/>
                <w:szCs w:val="19"/>
              </w:rPr>
              <w:t xml:space="preserve">CSO task: Branching dialogue simulator. Choose your response from options at each stage. Different paths lead to different outcomes — escalation, delay, overruling, or suspension. Each path shows the consequences.</w:t>
            </w:r>
          </w:p>
          <w:p>
            <w:pPr>
              <w:spacing w:before="35"/>
            </w:pPr>
            <w:r>
              <w:rPr>
                <w:rFonts w:ascii="Arial" w:cs="Arial" w:eastAsia="Arial" w:hAnsi="Arial"/>
                <w:color w:val="4A2080"/>
                <w:sz w:val="19"/>
                <w:szCs w:val="19"/>
              </w:rPr>
              <w:t xml:space="preserve">Frameworks applied: DCB0160, NHS board governance, GMC Good Medical Practice</w:t>
            </w:r>
          </w:p>
          <w:p>
            <w:pPr>
              <w:spacing w:before="35"/>
            </w:pPr>
            <w:r>
              <w:rPr>
                <w:rFonts w:ascii="Arial" w:cs="Arial" w:eastAsia="Arial" w:hAnsi="Arial"/>
                <w:b/>
                <w:bCs/>
                <w:color w:val="1A6B3A"/>
                <w:sz w:val="19"/>
                <w:szCs w:val="19"/>
              </w:rPr>
              <w:t xml:space="preserve">Learning outcome: Develop the language and confidence for the hardest professional conversation a CSO faces.</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FFF6E8" w:val="clear"/>
            <w:tcMar>
              <w:top w:type="dxa" w:w="120"/>
              <w:left w:type="dxa" w:w="180"/>
              <w:bottom w:type="dxa" w:w="120"/>
              <w:right w:type="dxa" w:w="180"/>
            </w:tcMar>
          </w:tcPr>
          <w:p>
            <w:r>
              <w:rPr>
                <w:rFonts w:ascii="Arial" w:cs="Arial" w:eastAsia="Arial" w:hAnsi="Arial"/>
                <w:b/>
                <w:bCs/>
                <w:color w:val="C96A1A"/>
                <w:sz w:val="22"/>
                <w:szCs w:val="22"/>
              </w:rPr>
              <w:t xml:space="preserve">SIMULATOR 4: Hazard Log Builder</w:t>
            </w:r>
          </w:p>
          <w:p>
            <w:pPr>
              <w:spacing w:before="35"/>
            </w:pPr>
            <w:r>
              <w:rPr>
                <w:rFonts w:ascii="Arial" w:cs="Arial" w:eastAsia="Arial" w:hAnsi="Arial"/>
                <w:i/>
                <w:iCs/>
                <w:color w:val="7B8394"/>
                <w:sz w:val="18"/>
                <w:szCs w:val="18"/>
              </w:rPr>
              <w:t xml:space="preserve">Embedded in: Module 5 — Writing a Hazard Log — LAUNCH SIMULATOR</w:t>
            </w:r>
          </w:p>
          <w:p>
            <w:pPr>
              <w:spacing w:before="55"/>
            </w:pPr>
            <w:r>
              <w:rPr>
                <w:rFonts w:ascii="Arial" w:cs="Arial" w:eastAsia="Arial" w:hAnsi="Arial"/>
                <w:color w:val="2E3440"/>
                <w:sz w:val="19"/>
                <w:szCs w:val="19"/>
              </w:rPr>
              <w:t xml:space="preserve">Scenario: Your trust is deploying an AI triage tool that assesses patient symptoms via the NHS App before they see a GP. No human review before recommendations reach patients. The supplier's safety case was written for the previous rules-based version.</w:t>
            </w:r>
          </w:p>
          <w:p>
            <w:pPr>
              <w:spacing w:before="35"/>
            </w:pPr>
            <w:r>
              <w:rPr>
                <w:rFonts w:ascii="Arial" w:cs="Arial" w:eastAsia="Arial" w:hAnsi="Arial"/>
                <w:color w:val="2E3440"/>
                <w:sz w:val="19"/>
                <w:szCs w:val="19"/>
              </w:rPr>
              <w:t xml:space="preserve">CSO task: Build the hazard log from scratch. Identify hazards, score severity and likelihood using ISO 14971 and BS AAMI 34971 reversibility, assign mitigations, set monitoring triggers. Submit and compare against the expert version with explanations of every gap.</w:t>
            </w:r>
          </w:p>
          <w:p>
            <w:pPr>
              <w:spacing w:before="35"/>
            </w:pPr>
            <w:r>
              <w:rPr>
                <w:rFonts w:ascii="Arial" w:cs="Arial" w:eastAsia="Arial" w:hAnsi="Arial"/>
                <w:color w:val="4A2080"/>
                <w:sz w:val="19"/>
                <w:szCs w:val="19"/>
              </w:rPr>
              <w:t xml:space="preserve">Frameworks applied: DCB0160, ISO 14971, BS AAMI 34971</w:t>
            </w:r>
          </w:p>
          <w:p>
            <w:pPr>
              <w:spacing w:before="35"/>
            </w:pPr>
            <w:r>
              <w:rPr>
                <w:rFonts w:ascii="Arial" w:cs="Arial" w:eastAsia="Arial" w:hAnsi="Arial"/>
                <w:b/>
                <w:bCs/>
                <w:color w:val="1A6B3A"/>
                <w:sz w:val="19"/>
                <w:szCs w:val="19"/>
              </w:rPr>
              <w:t xml:space="preserve">Learning outcome: See every hazard you missed and understand why each matters clinically. The gap between your output and the expert version is the learning.</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FFF6E8" w:val="clear"/>
            <w:tcMar>
              <w:top w:type="dxa" w:w="120"/>
              <w:left w:type="dxa" w:w="180"/>
              <w:bottom w:type="dxa" w:w="120"/>
              <w:right w:type="dxa" w:w="180"/>
            </w:tcMar>
          </w:tcPr>
          <w:p>
            <w:r>
              <w:rPr>
                <w:rFonts w:ascii="Arial" w:cs="Arial" w:eastAsia="Arial" w:hAnsi="Arial"/>
                <w:b/>
                <w:bCs/>
                <w:color w:val="C96A1A"/>
                <w:sz w:val="22"/>
                <w:szCs w:val="22"/>
              </w:rPr>
              <w:t xml:space="preserve">SIMULATOR 5: Risk Assessment Workshop</w:t>
            </w:r>
          </w:p>
          <w:p>
            <w:pPr>
              <w:spacing w:before="35"/>
            </w:pPr>
            <w:r>
              <w:rPr>
                <w:rFonts w:ascii="Arial" w:cs="Arial" w:eastAsia="Arial" w:hAnsi="Arial"/>
                <w:i/>
                <w:iCs/>
                <w:color w:val="7B8394"/>
                <w:sz w:val="18"/>
                <w:szCs w:val="18"/>
              </w:rPr>
              <w:t xml:space="preserve">Embedded in: Module 6 — Running a Clinical Risk Assessment</w:t>
            </w:r>
          </w:p>
          <w:p>
            <w:pPr>
              <w:spacing w:before="55"/>
            </w:pPr>
            <w:r>
              <w:rPr>
                <w:rFonts w:ascii="Arial" w:cs="Arial" w:eastAsia="Arial" w:hAnsi="Arial"/>
                <w:color w:val="2E3440"/>
                <w:sz w:val="19"/>
                <w:szCs w:val="19"/>
              </w:rPr>
              <w:t xml:space="preserve">Scenario: You are chairing a multidisciplinary risk assessment for a new AI diagnostic tool. Four stakeholders present conflicting views — IT lead says it is technically fine, ward nurse raises patient safety concerns, supplier rep is defensive, clinical lead is enthusiastic.</w:t>
            </w:r>
          </w:p>
          <w:p>
            <w:pPr>
              <w:spacing w:before="35"/>
            </w:pPr>
            <w:r>
              <w:rPr>
                <w:rFonts w:ascii="Arial" w:cs="Arial" w:eastAsia="Arial" w:hAnsi="Arial"/>
                <w:color w:val="2E3440"/>
                <w:sz w:val="19"/>
                <w:szCs w:val="19"/>
              </w:rPr>
              <w:t xml:space="preserve">CSO task: Facilitate the discussion. Ask the right questions. Identify risks from the stakeholder inputs. Produce a valid risk assessment output. Manage the conflict professionally.</w:t>
            </w:r>
          </w:p>
          <w:p>
            <w:pPr>
              <w:spacing w:before="35"/>
            </w:pPr>
            <w:r>
              <w:rPr>
                <w:rFonts w:ascii="Arial" w:cs="Arial" w:eastAsia="Arial" w:hAnsi="Arial"/>
                <w:color w:val="4A2080"/>
                <w:sz w:val="19"/>
                <w:szCs w:val="19"/>
              </w:rPr>
              <w:t xml:space="preserve">Frameworks applied: ISO 14971, DCB0160, facilitation skills</w:t>
            </w:r>
          </w:p>
          <w:p>
            <w:pPr>
              <w:spacing w:before="35"/>
            </w:pPr>
            <w:r>
              <w:rPr>
                <w:rFonts w:ascii="Arial" w:cs="Arial" w:eastAsia="Arial" w:hAnsi="Arial"/>
                <w:b/>
                <w:bCs/>
                <w:color w:val="1A6B3A"/>
                <w:sz w:val="19"/>
                <w:szCs w:val="19"/>
              </w:rPr>
              <w:t xml:space="preserve">Learning outcome: Risk assessment is a facilitation skill not just a documentation task. Most CSOs have never practised this before doing it for real.</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FFF6E8" w:val="clear"/>
            <w:tcMar>
              <w:top w:type="dxa" w:w="120"/>
              <w:left w:type="dxa" w:w="180"/>
              <w:bottom w:type="dxa" w:w="120"/>
              <w:right w:type="dxa" w:w="180"/>
            </w:tcMar>
          </w:tcPr>
          <w:p>
            <w:r>
              <w:rPr>
                <w:rFonts w:ascii="Arial" w:cs="Arial" w:eastAsia="Arial" w:hAnsi="Arial"/>
                <w:b/>
                <w:bCs/>
                <w:color w:val="C96A1A"/>
                <w:sz w:val="22"/>
                <w:szCs w:val="22"/>
              </w:rPr>
              <w:t xml:space="preserve">SIMULATOR 6: Supplier Safety Case Evaluator</w:t>
            </w:r>
          </w:p>
          <w:p>
            <w:pPr>
              <w:spacing w:before="35"/>
            </w:pPr>
            <w:r>
              <w:rPr>
                <w:rFonts w:ascii="Arial" w:cs="Arial" w:eastAsia="Arial" w:hAnsi="Arial"/>
                <w:i/>
                <w:iCs/>
                <w:color w:val="7B8394"/>
                <w:sz w:val="18"/>
                <w:szCs w:val="18"/>
              </w:rPr>
              <w:t xml:space="preserve">Embedded in: Module 7 — Evaluating a Supplier Safety Case — LAUNCH SIMULATOR</w:t>
            </w:r>
          </w:p>
          <w:p>
            <w:pPr>
              <w:spacing w:before="55"/>
            </w:pPr>
            <w:r>
              <w:rPr>
                <w:rFonts w:ascii="Arial" w:cs="Arial" w:eastAsia="Arial" w:hAnsi="Arial"/>
                <w:color w:val="2E3440"/>
                <w:sz w:val="19"/>
                <w:szCs w:val="19"/>
              </w:rPr>
              <w:t xml:space="preserve">Scenario: A supplier has sent you their DCB0129 Clinical Safety Case Report for an AI diagnostic tool your trust is considering procuring. The document is 12 pages, professionally formatted, and looks complete. It contains 8 deliberate gaps and red flags.</w:t>
            </w:r>
          </w:p>
          <w:p>
            <w:pPr>
              <w:spacing w:before="35"/>
            </w:pPr>
            <w:r>
              <w:rPr>
                <w:rFonts w:ascii="Arial" w:cs="Arial" w:eastAsia="Arial" w:hAnsi="Arial"/>
                <w:color w:val="2E3440"/>
                <w:sz w:val="19"/>
                <w:szCs w:val="19"/>
              </w:rPr>
              <w:t xml:space="preserve">CSO task: Review and annotate the document. Mark what is missing, what is a red flag, and what constitutes non-compliance. Decide: approve, reject, or request more information. Reveal which gaps you found and which you missed.</w:t>
            </w:r>
          </w:p>
          <w:p>
            <w:pPr>
              <w:spacing w:before="35"/>
            </w:pPr>
            <w:r>
              <w:rPr>
                <w:rFonts w:ascii="Arial" w:cs="Arial" w:eastAsia="Arial" w:hAnsi="Arial"/>
                <w:color w:val="4A2080"/>
                <w:sz w:val="19"/>
                <w:szCs w:val="19"/>
              </w:rPr>
              <w:t xml:space="preserve">Frameworks applied: DCB0129, AMLAS, DTAC v2, ECSF, NICE ESF</w:t>
            </w:r>
          </w:p>
          <w:p>
            <w:pPr>
              <w:spacing w:before="35"/>
            </w:pPr>
            <w:r>
              <w:rPr>
                <w:rFonts w:ascii="Arial" w:cs="Arial" w:eastAsia="Arial" w:hAnsi="Arial"/>
                <w:b/>
                <w:bCs/>
                <w:color w:val="1A6B3A"/>
                <w:sz w:val="19"/>
                <w:szCs w:val="19"/>
              </w:rPr>
              <w:t xml:space="preserve">Learning outcome: Develop the critical eye for supplier documentation that most CSOs never acquire — and that currently allows 10,000 unassured DHTs to remain in NHS use.</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FFF6E8" w:val="clear"/>
            <w:tcMar>
              <w:top w:type="dxa" w:w="120"/>
              <w:left w:type="dxa" w:w="180"/>
              <w:bottom w:type="dxa" w:w="120"/>
              <w:right w:type="dxa" w:w="180"/>
            </w:tcMar>
          </w:tcPr>
          <w:p>
            <w:r>
              <w:rPr>
                <w:rFonts w:ascii="Arial" w:cs="Arial" w:eastAsia="Arial" w:hAnsi="Arial"/>
                <w:b/>
                <w:bCs/>
                <w:color w:val="C96A1A"/>
                <w:sz w:val="22"/>
                <w:szCs w:val="22"/>
              </w:rPr>
              <w:t xml:space="preserve">SIMULATOR 7: The Deadline Scenario</w:t>
            </w:r>
          </w:p>
          <w:p>
            <w:pPr>
              <w:spacing w:before="35"/>
            </w:pPr>
            <w:r>
              <w:rPr>
                <w:rFonts w:ascii="Arial" w:cs="Arial" w:eastAsia="Arial" w:hAnsi="Arial"/>
                <w:i/>
                <w:iCs/>
                <w:color w:val="7B8394"/>
                <w:sz w:val="18"/>
                <w:szCs w:val="18"/>
              </w:rPr>
              <w:t xml:space="preserve">Embedded in: Module 9 — Managing Compliance Under Pressure</w:t>
            </w:r>
          </w:p>
          <w:p>
            <w:pPr>
              <w:spacing w:before="55"/>
            </w:pPr>
            <w:r>
              <w:rPr>
                <w:rFonts w:ascii="Arial" w:cs="Arial" w:eastAsia="Arial" w:hAnsi="Arial"/>
                <w:color w:val="2E3440"/>
                <w:sz w:val="19"/>
                <w:szCs w:val="19"/>
              </w:rPr>
              <w:t xml:space="preserve">Scenario: The board wants to go live with an AI tool in two weeks. The DTAC v2 assessment is incomplete. The supplier's safety case does not cover the current algorithm version. There is commercial pressure from the CEO.</w:t>
            </w:r>
          </w:p>
          <w:p>
            <w:pPr>
              <w:spacing w:before="35"/>
            </w:pPr>
            <w:r>
              <w:rPr>
                <w:rFonts w:ascii="Arial" w:cs="Arial" w:eastAsia="Arial" w:hAnsi="Arial"/>
                <w:color w:val="2E3440"/>
                <w:sz w:val="19"/>
                <w:szCs w:val="19"/>
              </w:rPr>
              <w:t xml:space="preserve">CSO task: Decision tree simulator. At each stage choose your action and see the consequences. Options include escalating, requesting delay, documenting residual risk, or approving with conditions. Each path shows what happens next.</w:t>
            </w:r>
          </w:p>
          <w:p>
            <w:pPr>
              <w:spacing w:before="35"/>
            </w:pPr>
            <w:r>
              <w:rPr>
                <w:rFonts w:ascii="Arial" w:cs="Arial" w:eastAsia="Arial" w:hAnsi="Arial"/>
                <w:color w:val="4A2080"/>
                <w:sz w:val="19"/>
                <w:szCs w:val="19"/>
              </w:rPr>
              <w:t xml:space="preserve">Frameworks applied: DCB0160, DTAC v2, GMC Good Medical Practice</w:t>
            </w:r>
          </w:p>
          <w:p>
            <w:pPr>
              <w:spacing w:before="35"/>
            </w:pPr>
            <w:r>
              <w:rPr>
                <w:rFonts w:ascii="Arial" w:cs="Arial" w:eastAsia="Arial" w:hAnsi="Arial"/>
                <w:b/>
                <w:bCs/>
                <w:color w:val="1A6B3A"/>
                <w:sz w:val="19"/>
                <w:szCs w:val="19"/>
              </w:rPr>
              <w:t xml:space="preserve">Learning outcome: Learn how to defend patient safety under commercial pressure while remaining professionally effective rather than professionally isolated.</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FFF6E8" w:val="clear"/>
            <w:tcMar>
              <w:top w:type="dxa" w:w="120"/>
              <w:left w:type="dxa" w:w="180"/>
              <w:bottom w:type="dxa" w:w="120"/>
              <w:right w:type="dxa" w:w="180"/>
            </w:tcMar>
          </w:tcPr>
          <w:p>
            <w:r>
              <w:rPr>
                <w:rFonts w:ascii="Arial" w:cs="Arial" w:eastAsia="Arial" w:hAnsi="Arial"/>
                <w:b/>
                <w:bCs/>
                <w:color w:val="C96A1A"/>
                <w:sz w:val="22"/>
                <w:szCs w:val="22"/>
              </w:rPr>
              <w:t xml:space="preserve">SIMULATOR 8: Digital Incident Investigation</w:t>
            </w:r>
          </w:p>
          <w:p>
            <w:pPr>
              <w:spacing w:before="35"/>
            </w:pPr>
            <w:r>
              <w:rPr>
                <w:rFonts w:ascii="Arial" w:cs="Arial" w:eastAsia="Arial" w:hAnsi="Arial"/>
                <w:i/>
                <w:iCs/>
                <w:color w:val="7B8394"/>
                <w:sz w:val="18"/>
                <w:szCs w:val="18"/>
              </w:rPr>
              <w:t xml:space="preserve">Embedded in: Module 10 — Digital Incident Investigation</w:t>
            </w:r>
          </w:p>
          <w:p>
            <w:pPr>
              <w:spacing w:before="55"/>
            </w:pPr>
            <w:r>
              <w:rPr>
                <w:rFonts w:ascii="Arial" w:cs="Arial" w:eastAsia="Arial" w:hAnsi="Arial"/>
                <w:color w:val="2E3440"/>
                <w:sz w:val="19"/>
                <w:szCs w:val="19"/>
              </w:rPr>
              <w:t xml:space="preserve">Scenario: An AI diagnostic tool appears to have contributed to a delayed diagnosis at your trust. You receive the incident report. The patient has been harmed. Multiple system and human factors are involved.</w:t>
            </w:r>
          </w:p>
          <w:p>
            <w:pPr>
              <w:spacing w:before="35"/>
            </w:pPr>
            <w:r>
              <w:rPr>
                <w:rFonts w:ascii="Arial" w:cs="Arial" w:eastAsia="Arial" w:hAnsi="Arial"/>
                <w:color w:val="2E3440"/>
                <w:sz w:val="19"/>
                <w:szCs w:val="19"/>
              </w:rPr>
              <w:t xml:space="preserve">CSO task: Work through the full PSIRF investigation process. Interview virtual staff members. Review system logs. Identify root cause from multiple plausible explanations. Update the hazard log. Write the investigation report. Complete the LFPSE notification. Apply the duty of candour.</w:t>
            </w:r>
          </w:p>
          <w:p>
            <w:pPr>
              <w:spacing w:before="35"/>
            </w:pPr>
            <w:r>
              <w:rPr>
                <w:rFonts w:ascii="Arial" w:cs="Arial" w:eastAsia="Arial" w:hAnsi="Arial"/>
                <w:color w:val="4A2080"/>
                <w:sz w:val="19"/>
                <w:szCs w:val="19"/>
              </w:rPr>
              <w:t xml:space="preserve">Frameworks applied: PSIRF, LFPSE, DCB0160, Duty of Candour Regulation 2014</w:t>
            </w:r>
          </w:p>
          <w:p>
            <w:pPr>
              <w:spacing w:before="35"/>
            </w:pPr>
            <w:r>
              <w:rPr>
                <w:rFonts w:ascii="Arial" w:cs="Arial" w:eastAsia="Arial" w:hAnsi="Arial"/>
                <w:b/>
                <w:bCs/>
                <w:color w:val="1A6B3A"/>
                <w:sz w:val="19"/>
                <w:szCs w:val="19"/>
              </w:rPr>
              <w:t xml:space="preserve">Learning outcome: Conduct a complete digital incident investigation from initial report to learning output — the skill most CSOs have never practised before needing it.</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FFF6E8" w:val="clear"/>
            <w:tcMar>
              <w:top w:type="dxa" w:w="120"/>
              <w:left w:type="dxa" w:w="180"/>
              <w:bottom w:type="dxa" w:w="120"/>
              <w:right w:type="dxa" w:w="180"/>
            </w:tcMar>
          </w:tcPr>
          <w:p>
            <w:r>
              <w:rPr>
                <w:rFonts w:ascii="Arial" w:cs="Arial" w:eastAsia="Arial" w:hAnsi="Arial"/>
                <w:b/>
                <w:bCs/>
                <w:color w:val="C96A1A"/>
                <w:sz w:val="22"/>
                <w:szCs w:val="22"/>
              </w:rPr>
              <w:t xml:space="preserve">SIMULATOR 9: Hallucination Audit</w:t>
            </w:r>
          </w:p>
          <w:p>
            <w:pPr>
              <w:spacing w:before="35"/>
            </w:pPr>
            <w:r>
              <w:rPr>
                <w:rFonts w:ascii="Arial" w:cs="Arial" w:eastAsia="Arial" w:hAnsi="Arial"/>
                <w:i/>
                <w:iCs/>
                <w:color w:val="7B8394"/>
                <w:sz w:val="18"/>
                <w:szCs w:val="18"/>
              </w:rPr>
              <w:t xml:space="preserve">Embedded in: Module 12 — LLM Hallucination Protocol</w:t>
            </w:r>
          </w:p>
          <w:p>
            <w:pPr>
              <w:spacing w:before="55"/>
            </w:pPr>
            <w:r>
              <w:rPr>
                <w:rFonts w:ascii="Arial" w:cs="Arial" w:eastAsia="Arial" w:hAnsi="Arial"/>
                <w:color w:val="2E3440"/>
                <w:sz w:val="19"/>
                <w:szCs w:val="19"/>
              </w:rPr>
              <w:t xml:space="preserve">Scenario: Twenty AI-generated clinical outputs are presented. They come from an LLM-powered documentation tool deployed at your trust. Some contain hallucinations — invented clinical pathways, fabricated references, clinically invalid recommendations that sound authoritative.</w:t>
            </w:r>
          </w:p>
          <w:p>
            <w:pPr>
              <w:spacing w:before="35"/>
            </w:pPr>
            <w:r>
              <w:rPr>
                <w:rFonts w:ascii="Arial" w:cs="Arial" w:eastAsia="Arial" w:hAnsi="Arial"/>
                <w:color w:val="2E3440"/>
                <w:sz w:val="19"/>
                <w:szCs w:val="19"/>
              </w:rPr>
              <w:t xml:space="preserve">CSO task: Review each output. Identify hallucinations. Score their severity using BS AAMI 34971 harm categories. Determine which require immediate escalation versus monitoring versus logging.</w:t>
            </w:r>
          </w:p>
          <w:p>
            <w:pPr>
              <w:spacing w:before="35"/>
            </w:pPr>
            <w:r>
              <w:rPr>
                <w:rFonts w:ascii="Arial" w:cs="Arial" w:eastAsia="Arial" w:hAnsi="Arial"/>
                <w:color w:val="4A2080"/>
                <w:sz w:val="19"/>
                <w:szCs w:val="19"/>
              </w:rPr>
              <w:t xml:space="preserve">Frameworks applied: BS AAMI 34971, ECSF, DCB0160</w:t>
            </w:r>
          </w:p>
          <w:p>
            <w:pPr>
              <w:spacing w:before="35"/>
            </w:pPr>
            <w:r>
              <w:rPr>
                <w:rFonts w:ascii="Arial" w:cs="Arial" w:eastAsia="Arial" w:hAnsi="Arial"/>
                <w:b/>
                <w:bCs/>
                <w:color w:val="1A6B3A"/>
                <w:sz w:val="19"/>
                <w:szCs w:val="19"/>
              </w:rPr>
              <w:t xml:space="preserve">Learning outcome: Recognise clinically dangerous AI outputs before they reach patients or clinical records. The skill that no existing training even acknowledges as necessary.</w:t>
            </w:r>
          </w:p>
        </w:tc>
      </w:tr>
    </w:tbl>
    <w:p>
      <w:pPr>
        <w:spacing w:after="25" w:before="25"/>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FFF6E8" w:val="clear"/>
            <w:tcMar>
              <w:top w:type="dxa" w:w="120"/>
              <w:left w:type="dxa" w:w="180"/>
              <w:bottom w:type="dxa" w:w="120"/>
              <w:right w:type="dxa" w:w="180"/>
            </w:tcMar>
          </w:tcPr>
          <w:p>
            <w:r>
              <w:rPr>
                <w:rFonts w:ascii="Arial" w:cs="Arial" w:eastAsia="Arial" w:hAnsi="Arial"/>
                <w:b/>
                <w:bCs/>
                <w:color w:val="C96A1A"/>
                <w:sz w:val="22"/>
                <w:szCs w:val="22"/>
              </w:rPr>
              <w:t xml:space="preserve">SIMULATOR 10: Drift Monitor</w:t>
            </w:r>
          </w:p>
          <w:p>
            <w:pPr>
              <w:spacing w:before="35"/>
            </w:pPr>
            <w:r>
              <w:rPr>
                <w:rFonts w:ascii="Arial" w:cs="Arial" w:eastAsia="Arial" w:hAnsi="Arial"/>
                <w:i/>
                <w:iCs/>
                <w:color w:val="7B8394"/>
                <w:sz w:val="18"/>
                <w:szCs w:val="18"/>
              </w:rPr>
              <w:t xml:space="preserve">Embedded in: Module 13 — AI Model Drift Monitoring</w:t>
            </w:r>
          </w:p>
          <w:p>
            <w:pPr>
              <w:spacing w:before="55"/>
            </w:pPr>
            <w:r>
              <w:rPr>
                <w:rFonts w:ascii="Arial" w:cs="Arial" w:eastAsia="Arial" w:hAnsi="Arial"/>
                <w:color w:val="2E3440"/>
                <w:sz w:val="19"/>
                <w:szCs w:val="19"/>
              </w:rPr>
              <w:t xml:space="preserve">Scenario: A dashboard presents six months of performance data from an AI diagnostic tool deployed at your trust. Performance metrics, sample outputs, and patient outcome data are shown across the timeline. Subtle drift has occurred.</w:t>
            </w:r>
          </w:p>
          <w:p>
            <w:pPr>
              <w:spacing w:before="35"/>
            </w:pPr>
            <w:r>
              <w:rPr>
                <w:rFonts w:ascii="Arial" w:cs="Arial" w:eastAsia="Arial" w:hAnsi="Arial"/>
                <w:color w:val="2E3440"/>
                <w:sz w:val="19"/>
                <w:szCs w:val="19"/>
              </w:rPr>
              <w:t xml:space="preserve">CSO task: Review the dashboard. Identify at what point drift became clinically significant. Determine what early warning signs were available. Decide what action should have been taken and when. Write the post-market surveillance report.</w:t>
            </w:r>
          </w:p>
          <w:p>
            <w:pPr>
              <w:spacing w:before="35"/>
            </w:pPr>
            <w:r>
              <w:rPr>
                <w:rFonts w:ascii="Arial" w:cs="Arial" w:eastAsia="Arial" w:hAnsi="Arial"/>
                <w:color w:val="4A2080"/>
                <w:sz w:val="19"/>
                <w:szCs w:val="19"/>
              </w:rPr>
              <w:t xml:space="preserve">Frameworks applied: DCB0160, BS AAMI 34971, DTAC v2 post-market surveillance</w:t>
            </w:r>
          </w:p>
          <w:p>
            <w:pPr>
              <w:spacing w:before="35"/>
            </w:pPr>
            <w:r>
              <w:rPr>
                <w:rFonts w:ascii="Arial" w:cs="Arial" w:eastAsia="Arial" w:hAnsi="Arial"/>
                <w:b/>
                <w:bCs/>
                <w:color w:val="1A6B3A"/>
                <w:sz w:val="19"/>
                <w:szCs w:val="19"/>
              </w:rPr>
              <w:t xml:space="preserve">Learning outcome: Recognise AI model drift before it causes patient harm. The skill that no existing training resource even addresses.</w:t>
            </w:r>
          </w:p>
        </w:tc>
      </w:tr>
    </w:tbl>
    <w:p>
      <w:pPr>
        <w:spacing w:after="25" w:before="25"/>
      </w:pPr>
      <w:r>
        <w:rPr>
          <w:sz w:val="20"/>
          <w:szCs w:val="20"/>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080" w:val="clear"/>
            <w:tcMar>
              <w:top w:type="dxa" w:w="130"/>
              <w:left w:type="dxa" w:w="260"/>
              <w:bottom w:type="dxa" w:w="130"/>
              <w:right w:type="dxa" w:w="260"/>
            </w:tcMar>
          </w:tcPr>
          <w:p>
            <w:r>
              <w:rPr>
                <w:rFonts w:ascii="Arial" w:cs="Arial" w:eastAsia="Arial" w:hAnsi="Arial"/>
                <w:b/>
                <w:bCs/>
                <w:color w:val="FFFFFF"/>
                <w:sz w:val="26"/>
                <w:szCs w:val="26"/>
              </w:rPr>
              <w:t xml:space="preserve">SECTION 7 — THE AGENTIC AI INTEGRATION PLAN</w:t>
            </w:r>
          </w:p>
        </w:tc>
      </w:tr>
    </w:tbl>
    <w:p>
      <w:pPr>
        <w:spacing w:after="40" w:before="40"/>
      </w:pPr>
      <w:r>
        <w:rPr>
          <w:sz w:val="20"/>
          <w:szCs w:val="20"/>
        </w:rPr>
        <w:t xml:space="preserve"> </w:t>
      </w:r>
    </w:p>
    <w:p>
      <w:pPr>
        <w:pBdr>
          <w:bottom w:val="single" w:color="0E7C7B" w:sz="3" w:space="1"/>
        </w:pBdr>
        <w:spacing w:after="80" w:before="220"/>
      </w:pPr>
      <w:r>
        <w:rPr>
          <w:rFonts w:ascii="Arial" w:cs="Arial" w:eastAsia="Arial" w:hAnsi="Arial"/>
          <w:b/>
          <w:bCs/>
          <w:color w:val="0E7C7B"/>
          <w:sz w:val="24"/>
          <w:szCs w:val="24"/>
        </w:rPr>
        <w:t xml:space="preserve">The Non-Technical Reality</w:t>
      </w:r>
    </w:p>
    <w:p>
      <w:pPr>
        <w:spacing w:after="55" w:before="55"/>
      </w:pPr>
      <w:r>
        <w:rPr>
          <w:rFonts w:ascii="Arial" w:cs="Arial" w:eastAsia="Arial" w:hAnsi="Arial"/>
          <w:b w:val="false"/>
          <w:bCs w:val="false"/>
          <w:color w:val="2E3440"/>
          <w:sz w:val="22"/>
          <w:szCs w:val="22"/>
        </w:rPr>
        <w:t xml:space="preserve">Dr Doju Cherian is a clinician, not a software developer. The agentic AI features in this plan require zero technical knowledge to deploy. Claude builds them. They are embedded in the website with a single line of code — like adding a YouTube video to a webpage. The clinical knowledge and approval are the only requirements from Dr Doju Cherian.</w:t>
      </w:r>
    </w:p>
    <w:p>
      <w:pPr>
        <w:spacing w:after="30" w:before="30"/>
      </w:pPr>
      <w:r>
        <w:rPr>
          <w:sz w:val="20"/>
          <w:szCs w:val="20"/>
        </w:rPr>
        <w:t xml:space="preserve"> </w:t>
      </w:r>
    </w:p>
    <w:p>
      <w:pPr>
        <w:pBdr>
          <w:bottom w:val="single" w:color="0E7C7B" w:sz="3" w:space="1"/>
        </w:pBdr>
        <w:spacing w:after="80" w:before="220"/>
      </w:pPr>
      <w:r>
        <w:rPr>
          <w:rFonts w:ascii="Arial" w:cs="Arial" w:eastAsia="Arial" w:hAnsi="Arial"/>
          <w:b/>
          <w:bCs/>
          <w:color w:val="0E7C7B"/>
          <w:sz w:val="24"/>
          <w:szCs w:val="24"/>
        </w:rPr>
        <w:t xml:space="preserve">Three Agentic AI Features — Phased by Year</w:t>
      </w:r>
    </w:p>
    <w:p>
      <w:pPr>
        <w:spacing w:after="20" w:before="2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EBF4FA" w:val="clear"/>
            <w:tcMar>
              <w:top w:type="dxa" w:w="120"/>
              <w:left w:type="dxa" w:w="180"/>
              <w:bottom w:type="dxa" w:w="120"/>
              <w:right w:type="dxa" w:w="180"/>
            </w:tcMar>
          </w:tcPr>
          <w:p>
            <w:r>
              <w:rPr>
                <w:rFonts w:ascii="Arial" w:cs="Arial" w:eastAsia="Arial" w:hAnsi="Arial"/>
                <w:b/>
                <w:bCs/>
                <w:color w:val="4A2080"/>
                <w:sz w:val="22"/>
                <w:szCs w:val="22"/>
              </w:rPr>
              <w:t xml:space="preserve">Phase 1 — Year 1: The AI CSO Assistant (Launch with MVP Website)</w:t>
            </w:r>
          </w:p>
          <w:p>
            <w:pPr>
              <w:spacing w:before="35"/>
            </w:pPr>
            <w:r>
              <w:rPr>
                <w:rFonts w:ascii="Arial" w:cs="Arial" w:eastAsia="Arial" w:hAnsi="Arial"/>
                <w:color w:val="2E3440"/>
                <w:sz w:val="20"/>
                <w:szCs w:val="20"/>
              </w:rPr>
              <w:t xml:space="preserve">What it does: CSO describes their real deployment scenario. Agent asks clarifying questions. Generates a personalised hazard log structure for their specific system. Identifies which frameworks apply. Points to the relevant modules.</w:t>
            </w:r>
          </w:p>
          <w:p>
            <w:pPr>
              <w:spacing w:before="35"/>
            </w:pPr>
            <w:r>
              <w:rPr>
                <w:rFonts w:ascii="Arial" w:cs="Arial" w:eastAsia="Arial" w:hAnsi="Arial"/>
                <w:color w:val="2E3440"/>
                <w:sz w:val="20"/>
                <w:szCs w:val="20"/>
              </w:rPr>
              <w:t xml:space="preserve">How it works: Claude API with conversational interface embedded in the website.</w:t>
            </w:r>
          </w:p>
          <w:p>
            <w:pPr>
              <w:spacing w:before="35"/>
            </w:pPr>
            <w:r>
              <w:rPr>
                <w:rFonts w:ascii="Arial" w:cs="Arial" w:eastAsia="Arial" w:hAnsi="Arial"/>
                <w:color w:val="2E3440"/>
                <w:sz w:val="20"/>
                <w:szCs w:val="20"/>
              </w:rPr>
              <w:t xml:space="preserve">What it replaces: A CSO spending hours reading generic guidance and trying to apply it to their system.</w:t>
            </w:r>
          </w:p>
          <w:p>
            <w:pPr>
              <w:spacing w:before="35"/>
            </w:pPr>
            <w:r>
              <w:rPr>
                <w:rFonts w:ascii="Arial" w:cs="Arial" w:eastAsia="Arial" w:hAnsi="Arial"/>
                <w:color w:val="2E3440"/>
                <w:sz w:val="20"/>
                <w:szCs w:val="20"/>
              </w:rPr>
              <w:t xml:space="preserve">Why it matters: This is the moment the website becomes a tool, not just a resource. CSOs return daily. They share it. It becomes the reason clinicalaisafety.co.uk is the first thing every NHS CSO bookmarks.</w:t>
            </w:r>
          </w:p>
          <w:p>
            <w:pPr>
              <w:spacing w:before="35"/>
            </w:pPr>
            <w:r>
              <w:rPr>
                <w:rFonts w:ascii="Arial" w:cs="Arial" w:eastAsia="Arial" w:hAnsi="Arial"/>
                <w:color w:val="2E3440"/>
                <w:sz w:val="20"/>
                <w:szCs w:val="20"/>
              </w:rPr>
              <w:t xml:space="preserve">Dr Doju's role: Describe the scenarios, review the outputs, approve the clinical accuracy. Claude builds and embeds everything.</w:t>
            </w:r>
          </w:p>
        </w:tc>
      </w:tr>
    </w:tbl>
    <w:p>
      <w:pPr>
        <w:spacing w:after="30" w:before="3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F4F6FA" w:val="clear"/>
            <w:tcMar>
              <w:top w:type="dxa" w:w="120"/>
              <w:left w:type="dxa" w:w="180"/>
              <w:bottom w:type="dxa" w:w="120"/>
              <w:right w:type="dxa" w:w="180"/>
            </w:tcMar>
          </w:tcPr>
          <w:p>
            <w:r>
              <w:rPr>
                <w:rFonts w:ascii="Arial" w:cs="Arial" w:eastAsia="Arial" w:hAnsi="Arial"/>
                <w:b/>
                <w:bCs/>
                <w:color w:val="4A2080"/>
                <w:sz w:val="22"/>
                <w:szCs w:val="22"/>
              </w:rPr>
              <w:t xml:space="preserve">Phase 2 — Year 2: The Living Curriculum Agent</w:t>
            </w:r>
          </w:p>
          <w:p>
            <w:pPr>
              <w:spacing w:before="35"/>
            </w:pPr>
            <w:r>
              <w:rPr>
                <w:rFonts w:ascii="Arial" w:cs="Arial" w:eastAsia="Arial" w:hAnsi="Arial"/>
                <w:color w:val="2E3440"/>
                <w:sz w:val="20"/>
                <w:szCs w:val="20"/>
              </w:rPr>
              <w:t xml:space="preserve">What it does: Runs in the background monitoring NHS England, MHRA, DTAC, and NICE for regulatory updates. Automatically flags which modules need updating when standards change. Drafts update notifications to email subscribers.</w:t>
            </w:r>
          </w:p>
          <w:p>
            <w:pPr>
              <w:spacing w:before="35"/>
            </w:pPr>
            <w:r>
              <w:rPr>
                <w:rFonts w:ascii="Arial" w:cs="Arial" w:eastAsia="Arial" w:hAnsi="Arial"/>
                <w:color w:val="2E3440"/>
                <w:sz w:val="20"/>
                <w:szCs w:val="20"/>
              </w:rPr>
              <w:t xml:space="preserve">Why it matters: Your curriculum self-updates while every competitor's goes stale. This is the unfair advantage that compounds over time.</w:t>
            </w:r>
          </w:p>
          <w:p>
            <w:pPr>
              <w:spacing w:before="35"/>
            </w:pPr>
            <w:r>
              <w:rPr>
                <w:rFonts w:ascii="Arial" w:cs="Arial" w:eastAsia="Arial" w:hAnsi="Arial"/>
                <w:color w:val="2E3440"/>
                <w:sz w:val="20"/>
                <w:szCs w:val="20"/>
              </w:rPr>
              <w:t xml:space="preserve">Dr Doju's role: Review and approve flagged updates. The agent does the monitoring and drafting.</w:t>
            </w:r>
          </w:p>
        </w:tc>
      </w:tr>
    </w:tbl>
    <w:p>
      <w:pPr>
        <w:spacing w:after="30" w:before="3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EBF4FA" w:val="clear"/>
            <w:tcMar>
              <w:top w:type="dxa" w:w="120"/>
              <w:left w:type="dxa" w:w="180"/>
              <w:bottom w:type="dxa" w:w="120"/>
              <w:right w:type="dxa" w:w="180"/>
            </w:tcMar>
          </w:tcPr>
          <w:p>
            <w:r>
              <w:rPr>
                <w:rFonts w:ascii="Arial" w:cs="Arial" w:eastAsia="Arial" w:hAnsi="Arial"/>
                <w:b/>
                <w:bCs/>
                <w:color w:val="4A2080"/>
                <w:sz w:val="22"/>
                <w:szCs w:val="22"/>
              </w:rPr>
              <w:t xml:space="preserve">Phase 3 — Year 3: The Adaptive Learning Platform</w:t>
            </w:r>
          </w:p>
          <w:p>
            <w:pPr>
              <w:spacing w:before="35"/>
            </w:pPr>
            <w:r>
              <w:rPr>
                <w:rFonts w:ascii="Arial" w:cs="Arial" w:eastAsia="Arial" w:hAnsi="Arial"/>
                <w:color w:val="2E3440"/>
                <w:sz w:val="20"/>
                <w:szCs w:val="20"/>
              </w:rPr>
              <w:t xml:space="preserve">What it does: Assesses each CSO's knowledge level through dynamic questioning. Maps their trust type, specialty, and current systems. Creates a personalised learning pathway through the 30 modules. Tracks progress. Issues competency certificates.</w:t>
            </w:r>
          </w:p>
          <w:p>
            <w:pPr>
              <w:spacing w:before="35"/>
            </w:pPr>
            <w:r>
              <w:rPr>
                <w:rFonts w:ascii="Arial" w:cs="Arial" w:eastAsia="Arial" w:hAnsi="Arial"/>
                <w:color w:val="2E3440"/>
                <w:sz w:val="20"/>
                <w:szCs w:val="20"/>
              </w:rPr>
              <w:t xml:space="preserve">Why it matters: This transforms the website from an education platform into a learning management system with certification. This is a commercial product — the foundation for enterprise training licences.</w:t>
            </w:r>
          </w:p>
          <w:p>
            <w:pPr>
              <w:spacing w:before="35"/>
            </w:pPr>
            <w:r>
              <w:rPr>
                <w:rFonts w:ascii="Arial" w:cs="Arial" w:eastAsia="Arial" w:hAnsi="Arial"/>
                <w:color w:val="2E3440"/>
                <w:sz w:val="20"/>
                <w:szCs w:val="20"/>
              </w:rPr>
              <w:t xml:space="preserve">Dr Doju's role: Define the competency framework and certificate standards. The agent handles the personalisation and tracking.</w:t>
            </w:r>
          </w:p>
        </w:tc>
      </w:tr>
    </w:tbl>
    <w:p>
      <w:pPr>
        <w:spacing w:after="40" w:before="40"/>
      </w:pPr>
      <w:r>
        <w:rPr>
          <w:sz w:val="20"/>
          <w:szCs w:val="20"/>
        </w:rPr>
        <w:t xml:space="preserve"> </w:t>
      </w:r>
    </w:p>
    <w:p>
      <w:pPr>
        <w:pBdr>
          <w:bottom w:val="single" w:color="0E7C7B" w:sz="3" w:space="1"/>
        </w:pBdr>
        <w:spacing w:after="80" w:before="220"/>
      </w:pPr>
      <w:r>
        <w:rPr>
          <w:rFonts w:ascii="Arial" w:cs="Arial" w:eastAsia="Arial" w:hAnsi="Arial"/>
          <w:b/>
          <w:bCs/>
          <w:color w:val="0E7C7B"/>
          <w:sz w:val="24"/>
          <w:szCs w:val="24"/>
        </w:rPr>
        <w:t xml:space="preserve">Why Agentic AI Makes This Career-Defining</w:t>
      </w:r>
    </w:p>
    <w:p>
      <w:pPr>
        <w:spacing w:after="55" w:before="55"/>
      </w:pPr>
      <w:r>
        <w:rPr>
          <w:rFonts w:ascii="Arial" w:cs="Arial" w:eastAsia="Arial" w:hAnsi="Arial"/>
          <w:b w:val="false"/>
          <w:bCs w:val="false"/>
          <w:color w:val="2E3440"/>
          <w:sz w:val="22"/>
          <w:szCs w:val="22"/>
        </w:rPr>
        <w:t xml:space="preserve">Most people will miss why this is strategically important. Here is the actual significance:</w:t>
      </w:r>
    </w:p>
    <w:p>
      <w:pPr>
        <w:spacing w:after="20" w:before="20"/>
      </w:pPr>
      <w:r>
        <w:rPr>
          <w:sz w:val="20"/>
          <w:szCs w:val="20"/>
        </w:rPr>
        <w:t xml:space="preserve"> </w:t>
      </w:r>
    </w:p>
    <w:p>
      <w:pPr>
        <w:pStyle w:val="ListParagraph"/>
        <w:numPr>
          <w:ilvl w:val="0"/>
          <w:numId w:val="2"/>
        </w:numPr>
        <w:spacing w:after="38" w:before="38"/>
      </w:pPr>
      <w:r>
        <w:rPr>
          <w:rFonts w:ascii="Arial" w:cs="Arial" w:eastAsia="Arial" w:hAnsi="Arial"/>
          <w:color w:val="2E3440"/>
          <w:sz w:val="21"/>
          <w:szCs w:val="21"/>
        </w:rPr>
        <w:t xml:space="preserve">You are already an LLM evaluator — you have hands-on experience assessing AI outputs in clinical contexts</w:t>
      </w:r>
    </w:p>
    <w:p>
      <w:pPr>
        <w:pStyle w:val="ListParagraph"/>
        <w:numPr>
          <w:ilvl w:val="0"/>
          <w:numId w:val="2"/>
        </w:numPr>
        <w:spacing w:after="38" w:before="38"/>
      </w:pPr>
      <w:r>
        <w:rPr>
          <w:rFonts w:ascii="Arial" w:cs="Arial" w:eastAsia="Arial" w:hAnsi="Arial"/>
          <w:color w:val="2E3440"/>
          <w:sz w:val="21"/>
          <w:szCs w:val="21"/>
        </w:rPr>
        <w:t xml:space="preserve">Building a clinical safety AI agent and publishing about the process gives you a live product to demonstrate</w:t>
      </w:r>
    </w:p>
    <w:p>
      <w:pPr>
        <w:pStyle w:val="ListParagraph"/>
        <w:numPr>
          <w:ilvl w:val="0"/>
          <w:numId w:val="2"/>
        </w:numPr>
        <w:spacing w:after="38" w:before="38"/>
      </w:pPr>
      <w:r>
        <w:rPr>
          <w:rFonts w:ascii="Arial" w:cs="Arial" w:eastAsia="Arial" w:hAnsi="Arial"/>
          <w:color w:val="2E3440"/>
          <w:sz w:val="21"/>
          <w:szCs w:val="21"/>
        </w:rPr>
        <w:t xml:space="preserve">A paper titled 'Building an Agentic Clinical Safety Assistant: Practical and Governance Lessons' is publishable in npj Digital Medicine</w:t>
      </w:r>
    </w:p>
    <w:p>
      <w:pPr>
        <w:pStyle w:val="ListParagraph"/>
        <w:numPr>
          <w:ilvl w:val="0"/>
          <w:numId w:val="2"/>
        </w:numPr>
        <w:spacing w:after="38" w:before="38"/>
      </w:pPr>
      <w:r>
        <w:rPr>
          <w:rFonts w:ascii="Arial" w:cs="Arial" w:eastAsia="Arial" w:hAnsi="Arial"/>
          <w:color w:val="2E3440"/>
          <w:sz w:val="21"/>
          <w:szCs w:val="21"/>
        </w:rPr>
        <w:t xml:space="preserve">Google Health, Microsoft, and DeepMind are all building exactly this — and are looking for clinicians who understand both the clinical and the AI dimensions</w:t>
      </w:r>
    </w:p>
    <w:p>
      <w:pPr>
        <w:pStyle w:val="ListParagraph"/>
        <w:numPr>
          <w:ilvl w:val="0"/>
          <w:numId w:val="2"/>
        </w:numPr>
        <w:spacing w:after="38" w:before="38"/>
      </w:pPr>
      <w:r>
        <w:rPr>
          <w:rFonts w:ascii="Arial" w:cs="Arial" w:eastAsia="Arial" w:hAnsi="Arial"/>
          <w:color w:val="2E3440"/>
          <w:sz w:val="21"/>
          <w:szCs w:val="21"/>
        </w:rPr>
        <w:t xml:space="preserve">The NHS Fellowship in Clinical AI explicitly values real-world AI deployment experience — and you will have built one</w:t>
      </w:r>
    </w:p>
    <w:p>
      <w:pPr>
        <w:spacing w:after="20" w:before="2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EBF4FA" w:val="clear"/>
            <w:tcMar>
              <w:top w:type="dxa" w:w="120"/>
              <w:left w:type="dxa" w:w="180"/>
              <w:bottom w:type="dxa" w:w="120"/>
              <w:right w:type="dxa" w:w="180"/>
            </w:tcMar>
          </w:tcPr>
          <w:p>
            <w:r>
              <w:rPr>
                <w:rFonts w:ascii="Arial" w:cs="Arial" w:eastAsia="Arial" w:hAnsi="Arial"/>
                <w:b/>
                <w:bCs/>
                <w:color w:val="1B3A6B"/>
                <w:sz w:val="22"/>
                <w:szCs w:val="22"/>
              </w:rPr>
              <w:t xml:space="preserve">The Career Implication</w:t>
            </w:r>
          </w:p>
          <w:p>
            <w:pPr>
              <w:spacing w:before="35"/>
            </w:pPr>
            <w:r>
              <w:rPr>
                <w:rFonts w:ascii="Arial" w:cs="Arial" w:eastAsia="Arial" w:hAnsi="Arial"/>
                <w:color w:val="2E3440"/>
                <w:sz w:val="20"/>
                <w:szCs w:val="20"/>
              </w:rPr>
              <w:t xml:space="preserve">You are not building a feature for your website. You are becoming the clinician who built the world's first agentic clinical safety assistant for the NHS — and published the governance lessons. That is a career-defining credential that no CV template can replicate.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C7B" w:val="clear"/>
            <w:tcMar>
              <w:top w:type="dxa" w:w="130"/>
              <w:left w:type="dxa" w:w="260"/>
              <w:bottom w:type="dxa" w:w="130"/>
              <w:right w:type="dxa" w:w="260"/>
            </w:tcMar>
          </w:tcPr>
          <w:p>
            <w:r>
              <w:rPr>
                <w:rFonts w:ascii="Arial" w:cs="Arial" w:eastAsia="Arial" w:hAnsi="Arial"/>
                <w:b/>
                <w:bCs/>
                <w:color w:val="FFFFFF"/>
                <w:sz w:val="26"/>
                <w:szCs w:val="26"/>
              </w:rPr>
              <w:t xml:space="preserve">SECTION 8 — THE CONTENT FORMULA</w:t>
            </w:r>
          </w:p>
        </w:tc>
      </w:tr>
    </w:tbl>
    <w:p>
      <w:pPr>
        <w:spacing w:after="40" w:before="40"/>
      </w:pPr>
      <w:r>
        <w:rPr>
          <w:sz w:val="20"/>
          <w:szCs w:val="20"/>
        </w:rPr>
        <w:t xml:space="preserve"> </w:t>
      </w:r>
    </w:p>
    <w:p>
      <w:pPr>
        <w:pBdr>
          <w:bottom w:val="single" w:color="0E7C7B" w:sz="3" w:space="1"/>
        </w:pBdr>
        <w:spacing w:after="80" w:before="220"/>
      </w:pPr>
      <w:r>
        <w:rPr>
          <w:rFonts w:ascii="Arial" w:cs="Arial" w:eastAsia="Arial" w:hAnsi="Arial"/>
          <w:b/>
          <w:bCs/>
          <w:color w:val="0E7C7B"/>
          <w:sz w:val="24"/>
          <w:szCs w:val="24"/>
        </w:rPr>
        <w:t xml:space="preserve">The 7-Part Module Structure — Non-Negotiable</w:t>
      </w:r>
    </w:p>
    <w:p>
      <w:pPr>
        <w:spacing w:after="55" w:before="55"/>
      </w:pPr>
      <w:r>
        <w:rPr>
          <w:rFonts w:ascii="Arial" w:cs="Arial" w:eastAsia="Arial" w:hAnsi="Arial"/>
          <w:b w:val="false"/>
          <w:bCs w:val="false"/>
          <w:color w:val="2E3440"/>
          <w:sz w:val="22"/>
          <w:szCs w:val="22"/>
        </w:rPr>
        <w:t xml:space="preserve">Every single module on the website follows this exact structure. CSOs know exactly what they will get. Consistency builds trust. Trust builds authority.</w:t>
      </w:r>
    </w:p>
    <w:p>
      <w:pPr>
        <w:spacing w:after="30" w:before="3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040"/>
        <w:gridCol w:w="3360"/>
        <w:gridCol w:w="3600"/>
      </w:tblGrid>
      <w:tr>
        <w:tc>
          <w:tcPr>
            <w:tcW w:type="dxa" w:w="36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8"/>
                <w:szCs w:val="18"/>
              </w:rPr>
              <w:t xml:space="preserve"/>
            </w:r>
          </w:p>
        </w:tc>
        <w:tc>
          <w:tcPr>
            <w:tcW w:type="dxa" w:w="204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8"/>
                <w:szCs w:val="18"/>
              </w:rPr>
              <w:t xml:space="preserve">Section</w:t>
            </w:r>
          </w:p>
        </w:tc>
        <w:tc>
          <w:tcPr>
            <w:tcW w:type="dxa" w:w="336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8"/>
                <w:szCs w:val="18"/>
              </w:rPr>
              <w:t xml:space="preserve">What It Contains</w:t>
            </w:r>
          </w:p>
        </w:tc>
        <w:tc>
          <w:tcPr>
            <w:tcW w:type="dxa" w:w="360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8"/>
                <w:szCs w:val="18"/>
              </w:rPr>
              <w:t xml:space="preserve">Why This Section Exists</w:t>
            </w:r>
          </w:p>
        </w:tc>
      </w:tr>
      <w:tr>
        <w:tc>
          <w:tcPr>
            <w:tcW w:type="dxa" w:w="3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1</w:t>
            </w:r>
          </w:p>
        </w:tc>
        <w:tc>
          <w:tcPr>
            <w:tcW w:type="dxa" w:w="204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The Real Problem</w:t>
            </w:r>
          </w:p>
        </w:tc>
        <w:tc>
          <w:tcPr>
            <w:tcW w:type="dxa" w:w="33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Opening in Dr Doju Cherian's authentic voice: 'I completed the DCB training and had no idea how to do this in practice. Here is what I wished existed.'</w:t>
            </w:r>
          </w:p>
        </w:tc>
        <w:tc>
          <w:tcPr>
            <w:tcW w:type="dxa" w:w="36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Creates immediate trust. The author has lived this problem. Not a consultant who studied it.</w:t>
            </w:r>
          </w:p>
        </w:tc>
      </w:tr>
      <w:tr>
        <w:tc>
          <w:tcPr>
            <w:tcW w:type="dxa" w:w="3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2</w:t>
            </w:r>
          </w:p>
        </w:tc>
        <w:tc>
          <w:tcPr>
            <w:tcW w:type="dxa" w:w="204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What the Framework Says</w:t>
            </w:r>
          </w:p>
        </w:tc>
        <w:tc>
          <w:tcPr>
            <w:tcW w:type="dxa" w:w="33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Plain English translation of the relevant standard clause. Side by side: official text and what it actually means. Jargon buster for every technical term.</w:t>
            </w:r>
          </w:p>
        </w:tc>
        <w:tc>
          <w:tcPr>
            <w:tcW w:type="dxa" w:w="36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The theory — concise, precise, no padding.</w:t>
            </w:r>
          </w:p>
        </w:tc>
      </w:tr>
      <w:tr>
        <w:tc>
          <w:tcPr>
            <w:tcW w:type="dxa" w:w="3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3</w:t>
            </w:r>
          </w:p>
        </w:tc>
        <w:tc>
          <w:tcPr>
            <w:tcW w:type="dxa" w:w="204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How to Apply It in Hospital</w:t>
            </w:r>
          </w:p>
        </w:tc>
        <w:tc>
          <w:tcPr>
            <w:tcW w:type="dxa" w:w="33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Step-by-step practical guide with a named NHS hospital scenario. Specific enough to follow tomorrow. Named stakeholders, realistic timelines, actual documents.</w:t>
            </w:r>
          </w:p>
        </w:tc>
        <w:tc>
          <w:tcPr>
            <w:tcW w:type="dxa" w:w="36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The core. Practical knowledge applied to clinical reality. This is what exists nowhere else.</w:t>
            </w:r>
          </w:p>
        </w:tc>
      </w:tr>
      <w:tr>
        <w:tc>
          <w:tcPr>
            <w:tcW w:type="dxa" w:w="3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4</w:t>
            </w:r>
          </w:p>
        </w:tc>
        <w:tc>
          <w:tcPr>
            <w:tcW w:type="dxa" w:w="204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Common Mistakes and Red Flags</w:t>
            </w:r>
          </w:p>
        </w:tc>
        <w:tc>
          <w:tcPr>
            <w:tcW w:type="dxa" w:w="33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The five most common CSO errors on this topic. How to recognise them. How to avoid them. What goes wrong when they happen.</w:t>
            </w:r>
          </w:p>
        </w:tc>
        <w:tc>
          <w:tcPr>
            <w:tcW w:type="dxa" w:w="36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Experience-based learning. Faster than making the mistakes yourself.</w:t>
            </w:r>
          </w:p>
        </w:tc>
      </w:tr>
      <w:tr>
        <w:tc>
          <w:tcPr>
            <w:tcW w:type="dxa" w:w="3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5</w:t>
            </w:r>
          </w:p>
        </w:tc>
        <w:tc>
          <w:tcPr>
            <w:tcW w:type="dxa" w:w="204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NHS 10 Year Plan Connection</w:t>
            </w:r>
          </w:p>
        </w:tc>
        <w:tc>
          <w:tcPr>
            <w:tcW w:type="dxa" w:w="33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Explicit link: which NHS deployment type makes this module urgent right now and why. Named timelines.</w:t>
            </w:r>
          </w:p>
        </w:tc>
        <w:tc>
          <w:tcPr>
            <w:tcW w:type="dxa" w:w="36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Context. This is not abstract theory. It is happening in your trust this year.</w:t>
            </w:r>
          </w:p>
        </w:tc>
      </w:tr>
      <w:tr>
        <w:tc>
          <w:tcPr>
            <w:tcW w:type="dxa" w:w="3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6</w:t>
            </w:r>
          </w:p>
        </w:tc>
        <w:tc>
          <w:tcPr>
            <w:tcW w:type="dxa" w:w="204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Interactive Simulator</w:t>
            </w:r>
          </w:p>
        </w:tc>
        <w:tc>
          <w:tcPr>
            <w:tcW w:type="dxa" w:w="33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Browser-based simulation embedded in the page. Real NHS scenario. Decisions, consequences, expert comparison.</w:t>
            </w:r>
          </w:p>
        </w:tc>
        <w:tc>
          <w:tcPr>
            <w:tcW w:type="dxa" w:w="36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Practice. The only way to develop clinical safety judgment without real-world risk.</w:t>
            </w:r>
          </w:p>
        </w:tc>
      </w:tr>
      <w:tr>
        <w:tc>
          <w:tcPr>
            <w:tcW w:type="dxa" w:w="3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7</w:t>
            </w:r>
          </w:p>
        </w:tc>
        <w:tc>
          <w:tcPr>
            <w:tcW w:type="dxa" w:w="204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Practical Assets</w:t>
            </w:r>
          </w:p>
        </w:tc>
        <w:tc>
          <w:tcPr>
            <w:tcW w:type="dxa" w:w="33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8"/>
                <w:szCs w:val="18"/>
              </w:rPr>
              <w:t xml:space="preserve">Pre-filled template, decision flowchart, checklist, case study, further reading. All downloadable.</w:t>
            </w:r>
          </w:p>
        </w:tc>
        <w:tc>
          <w:tcPr>
            <w:tcW w:type="dxa" w:w="36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8"/>
                <w:szCs w:val="18"/>
              </w:rPr>
              <w:t xml:space="preserve">Application. Leave with tools you can use today.</w:t>
            </w:r>
          </w:p>
        </w:tc>
      </w:tr>
    </w:tbl>
    <w:p>
      <w:pPr>
        <w:spacing w:after="40" w:before="40"/>
      </w:pPr>
      <w:r>
        <w:rPr>
          <w:sz w:val="20"/>
          <w:szCs w:val="20"/>
        </w:rPr>
        <w:t xml:space="preserve"> </w:t>
      </w:r>
    </w:p>
    <w:p>
      <w:pPr>
        <w:pBdr>
          <w:bottom w:val="single" w:color="0E7C7B" w:sz="3" w:space="1"/>
        </w:pBdr>
        <w:spacing w:after="80" w:before="220"/>
      </w:pPr>
      <w:r>
        <w:rPr>
          <w:rFonts w:ascii="Arial" w:cs="Arial" w:eastAsia="Arial" w:hAnsi="Arial"/>
          <w:b/>
          <w:bCs/>
          <w:color w:val="0E7C7B"/>
          <w:sz w:val="24"/>
          <w:szCs w:val="24"/>
        </w:rPr>
        <w:t xml:space="preserve">The Author Voice —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EBF4FA" w:val="clear"/>
            <w:tcMar>
              <w:top w:type="dxa" w:w="120"/>
              <w:left w:type="dxa" w:w="180"/>
              <w:bottom w:type="dxa" w:w="120"/>
              <w:right w:type="dxa" w:w="180"/>
            </w:tcMar>
          </w:tcPr>
          <w:p>
            <w:r>
              <w:rPr>
                <w:rFonts w:ascii="Arial" w:cs="Arial" w:eastAsia="Arial" w:hAnsi="Arial"/>
                <w:b/>
                <w:bCs/>
                <w:color w:val="1B3A6B"/>
                <w:sz w:val="22"/>
                <w:szCs w:val="22"/>
              </w:rPr>
              <w:t xml:space="preserve">Every Module Opens Like This</w:t>
            </w:r>
          </w:p>
          <w:p>
            <w:pPr>
              <w:spacing w:before="35"/>
            </w:pPr>
            <w:r>
              <w:rPr>
                <w:rFonts w:ascii="Arial" w:cs="Arial" w:eastAsia="Arial" w:hAnsi="Arial"/>
                <w:color w:val="2E3440"/>
                <w:sz w:val="20"/>
                <w:szCs w:val="20"/>
              </w:rPr>
              <w:t xml:space="preserve">'I completed the NHS DCB certification. I had a certificate. I had no idea how to write a Hazard Log for a real AI system in a real NHS trust. No benchmark existed. No example existed. Nobody could tell me if what I was doing was right. This module is what I needed then. I wrote it so you do not have to figure it out alone.' — Dr Doju Cherian</w:t>
            </w:r>
          </w:p>
        </w:tc>
      </w:tr>
    </w:tbl>
    <w:p>
      <w:pPr>
        <w:spacing w:after="25" w:before="25"/>
      </w:pPr>
      <w:r>
        <w:rPr>
          <w:sz w:val="20"/>
          <w:szCs w:val="20"/>
        </w:rPr>
        <w:t xml:space="preserve"> </w:t>
      </w:r>
    </w:p>
    <w:p>
      <w:pPr>
        <w:spacing w:after="55" w:before="55"/>
      </w:pPr>
      <w:r>
        <w:rPr>
          <w:rFonts w:ascii="Arial" w:cs="Arial" w:eastAsia="Arial" w:hAnsi="Arial"/>
          <w:b w:val="false"/>
          <w:bCs w:val="false"/>
          <w:color w:val="2E3440"/>
          <w:sz w:val="22"/>
          <w:szCs w:val="22"/>
        </w:rPr>
        <w:t xml:space="preserve">This is not a textbook. It is not a policy document. It is the practical knowledge of a clinician who navigated this confusion — written for every CSO who faces the same wall. This voice is what makes the curriculum trusted and shared. Generic educational content can be replicated. This voice cannot.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30"/>
              <w:left w:type="dxa" w:w="260"/>
              <w:bottom w:type="dxa" w:w="130"/>
              <w:right w:type="dxa" w:w="260"/>
            </w:tcMar>
          </w:tcPr>
          <w:p>
            <w:r>
              <w:rPr>
                <w:rFonts w:ascii="Arial" w:cs="Arial" w:eastAsia="Arial" w:hAnsi="Arial"/>
                <w:b/>
                <w:bCs/>
                <w:color w:val="FFFFFF"/>
                <w:sz w:val="26"/>
                <w:szCs w:val="26"/>
              </w:rPr>
              <w:t xml:space="preserve">SECTION 9 — WEBSITE ARCHITECTURE AND TECHNICAL ROADMAP</w:t>
            </w:r>
          </w:p>
        </w:tc>
      </w:tr>
    </w:tbl>
    <w:p>
      <w:pPr>
        <w:spacing w:after="40" w:before="40"/>
      </w:pPr>
      <w:r>
        <w:rPr>
          <w:sz w:val="20"/>
          <w:szCs w:val="20"/>
        </w:rPr>
        <w:t xml:space="preserve"> </w:t>
      </w:r>
    </w:p>
    <w:p>
      <w:pPr>
        <w:pBdr>
          <w:bottom w:val="single" w:color="0E7C7B" w:sz="3" w:space="1"/>
        </w:pBdr>
        <w:spacing w:after="80" w:before="220"/>
      </w:pPr>
      <w:r>
        <w:rPr>
          <w:rFonts w:ascii="Arial" w:cs="Arial" w:eastAsia="Arial" w:hAnsi="Arial"/>
          <w:b/>
          <w:bCs/>
          <w:color w:val="0E7C7B"/>
          <w:sz w:val="24"/>
          <w:szCs w:val="24"/>
        </w:rPr>
        <w:t xml:space="preserve">Domain and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0DC" w:sz="1"/>
              <w:left w:val="single" w:color="C8D0DC" w:sz="1"/>
              <w:bottom w:val="single" w:color="C8D0DC" w:sz="1"/>
              <w:right w:val="single" w:color="C8D0DC" w:sz="1"/>
            </w:tcBorders>
            <w:shd w:fill="1B3A6B" w:val="clear"/>
            <w:tcMar>
              <w:top w:type="dxa" w:w="90"/>
              <w:left w:type="dxa" w:w="130"/>
              <w:bottom w:type="dxa" w:w="90"/>
              <w:right w:type="dxa" w:w="130"/>
            </w:tcMar>
          </w:tcPr>
          <w:p>
            <w:r>
              <w:rPr>
                <w:rFonts w:ascii="Arial" w:cs="Arial" w:eastAsia="Arial" w:hAnsi="Arial"/>
                <w:b/>
                <w:bCs/>
                <w:color w:val="1B3A6B"/>
                <w:sz w:val="20"/>
                <w:szCs w:val="20"/>
              </w:rPr>
              <w:t xml:space="preserve">Decision</w:t>
            </w:r>
          </w:p>
        </w:tc>
        <w:tc>
          <w:tcPr>
            <w:tcW w:type="dxa" w:w="6960"/>
            <w:tcBorders>
              <w:top w:val="single" w:color="C8D0DC" w:sz="1"/>
              <w:left w:val="single" w:color="C8D0DC" w:sz="1"/>
              <w:bottom w:val="single" w:color="C8D0DC" w:sz="1"/>
              <w:right w:val="single" w:color="C8D0DC" w:sz="1"/>
            </w:tcBorders>
            <w:shd w:fill="1B3A6B" w:val="clear"/>
            <w:tcMar>
              <w:top w:type="dxa" w:w="90"/>
              <w:left w:type="dxa" w:w="130"/>
              <w:bottom w:type="dxa" w:w="90"/>
              <w:right w:type="dxa" w:w="130"/>
            </w:tcMar>
          </w:tcPr>
          <w:p>
            <w:r>
              <w:rPr>
                <w:rFonts w:ascii="Arial" w:cs="Arial" w:eastAsia="Arial" w:hAnsi="Arial"/>
                <w:b/>
                <w:bCs/>
                <w:color w:val="1B3A6B"/>
                <w:sz w:val="20"/>
                <w:szCs w:val="20"/>
              </w:rPr>
              <w:t xml:space="preserve">Recommendation</w:t>
            </w:r>
          </w:p>
        </w:tc>
      </w:tr>
      <w:tr>
        <w:tc>
          <w:tcPr>
            <w:tcW w:type="dxa" w:w="2400"/>
            <w:tcBorders>
              <w:top w:val="single" w:color="C8D0DC" w:sz="1"/>
              <w:left w:val="single" w:color="C8D0DC" w:sz="1"/>
              <w:bottom w:val="single" w:color="C8D0DC" w:sz="1"/>
              <w:right w:val="single" w:color="C8D0DC" w:sz="1"/>
            </w:tcBorders>
            <w:shd w:fill="EBF4FA" w:val="clear"/>
            <w:tcMar>
              <w:top w:type="dxa" w:w="90"/>
              <w:left w:type="dxa" w:w="130"/>
              <w:bottom w:type="dxa" w:w="90"/>
              <w:right w:type="dxa" w:w="130"/>
            </w:tcMar>
          </w:tcPr>
          <w:p>
            <w:r>
              <w:rPr>
                <w:rFonts w:ascii="Arial" w:cs="Arial" w:eastAsia="Arial" w:hAnsi="Arial"/>
                <w:b w:val="false"/>
                <w:bCs w:val="false"/>
                <w:color w:val="2E3440"/>
                <w:sz w:val="20"/>
                <w:szCs w:val="20"/>
              </w:rPr>
              <w:t xml:space="preserve">Primary domain</w:t>
            </w:r>
          </w:p>
        </w:tc>
        <w:tc>
          <w:tcPr>
            <w:tcW w:type="dxa" w:w="6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clinicalaisafety.co.uk — check availability immediately. If taken, csoguide.co.uk or practicalcso.co.uk as alternatives.</w:t>
            </w:r>
          </w:p>
        </w:tc>
      </w:tr>
      <w:tr>
        <w:tc>
          <w:tcPr>
            <w:tcW w:type="dxa" w:w="24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20"/>
                <w:szCs w:val="20"/>
              </w:rPr>
              <w:t xml:space="preserve">Personal domain</w:t>
            </w:r>
          </w:p>
        </w:tc>
        <w:tc>
          <w:tcPr>
            <w:tcW w:type="dxa" w:w="6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dojucherian.com — register alongside primary domain. Links to clinicalaisafety.co.uk. Used for fellowship and job applications.</w:t>
            </w:r>
          </w:p>
        </w:tc>
      </w:tr>
      <w:tr>
        <w:tc>
          <w:tcPr>
            <w:tcW w:type="dxa" w:w="2400"/>
            <w:tcBorders>
              <w:top w:val="single" w:color="C8D0DC" w:sz="1"/>
              <w:left w:val="single" w:color="C8D0DC" w:sz="1"/>
              <w:bottom w:val="single" w:color="C8D0DC" w:sz="1"/>
              <w:right w:val="single" w:color="C8D0DC" w:sz="1"/>
            </w:tcBorders>
            <w:shd w:fill="EBF4FA" w:val="clear"/>
            <w:tcMar>
              <w:top w:type="dxa" w:w="90"/>
              <w:left w:type="dxa" w:w="130"/>
              <w:bottom w:type="dxa" w:w="90"/>
              <w:right w:type="dxa" w:w="130"/>
            </w:tcMar>
          </w:tcPr>
          <w:p>
            <w:r>
              <w:rPr>
                <w:rFonts w:ascii="Arial" w:cs="Arial" w:eastAsia="Arial" w:hAnsi="Arial"/>
                <w:b w:val="false"/>
                <w:bCs w:val="false"/>
                <w:color w:val="2E3440"/>
                <w:sz w:val="20"/>
                <w:szCs w:val="20"/>
              </w:rPr>
              <w:t xml:space="preserve">Launch platform</w:t>
            </w:r>
          </w:p>
        </w:tc>
        <w:tc>
          <w:tcPr>
            <w:tcW w:type="dxa" w:w="6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Squarespace — no coding, drag and drop, approximately 15 pounds per month. Suitable for months 1 to 12.</w:t>
            </w:r>
          </w:p>
        </w:tc>
      </w:tr>
      <w:tr>
        <w:tc>
          <w:tcPr>
            <w:tcW w:type="dxa" w:w="24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20"/>
                <w:szCs w:val="20"/>
              </w:rPr>
              <w:t xml:space="preserve">Year 2 platform</w:t>
            </w:r>
          </w:p>
        </w:tc>
        <w:tc>
          <w:tcPr>
            <w:tcW w:type="dxa" w:w="6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Webflow or Next.js custom build. Required when simulators, gated accounts, and progress tracking exceed Squarespace capability.</w:t>
            </w:r>
          </w:p>
        </w:tc>
      </w:tr>
      <w:tr>
        <w:tc>
          <w:tcPr>
            <w:tcW w:type="dxa" w:w="2400"/>
            <w:tcBorders>
              <w:top w:val="single" w:color="C8D0DC" w:sz="1"/>
              <w:left w:val="single" w:color="C8D0DC" w:sz="1"/>
              <w:bottom w:val="single" w:color="C8D0DC" w:sz="1"/>
              <w:right w:val="single" w:color="C8D0DC" w:sz="1"/>
            </w:tcBorders>
            <w:shd w:fill="EBF4FA" w:val="clear"/>
            <w:tcMar>
              <w:top w:type="dxa" w:w="90"/>
              <w:left w:type="dxa" w:w="130"/>
              <w:bottom w:type="dxa" w:w="90"/>
              <w:right w:type="dxa" w:w="130"/>
            </w:tcMar>
          </w:tcPr>
          <w:p>
            <w:r>
              <w:rPr>
                <w:rFonts w:ascii="Arial" w:cs="Arial" w:eastAsia="Arial" w:hAnsi="Arial"/>
                <w:b w:val="false"/>
                <w:bCs w:val="false"/>
                <w:color w:val="2E3440"/>
                <w:sz w:val="20"/>
                <w:szCs w:val="20"/>
              </w:rPr>
              <w:t xml:space="preserve">Legal disclaimer</w:t>
            </w:r>
          </w:p>
        </w:tc>
        <w:tc>
          <w:tcPr>
            <w:tcW w:type="dxa" w:w="6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Footer on all pages: 'Independent educational resource — not affiliated with NHS England or any regulatory body. For educational use only.'</w:t>
            </w:r>
          </w:p>
        </w:tc>
      </w:tr>
      <w:tr>
        <w:tc>
          <w:tcPr>
            <w:tcW w:type="dxa" w:w="24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20"/>
                <w:szCs w:val="20"/>
              </w:rPr>
              <w:t xml:space="preserve">Content licence</w:t>
            </w:r>
          </w:p>
        </w:tc>
        <w:tc>
          <w:tcPr>
            <w:tcW w:type="dxa" w:w="6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Creative Commons Attribution — free to use with attribution. Builds citations and AI visibility.</w:t>
            </w:r>
          </w:p>
        </w:tc>
      </w:tr>
    </w:tbl>
    <w:p>
      <w:pPr>
        <w:spacing w:after="40" w:before="40"/>
      </w:pPr>
      <w:r>
        <w:rPr>
          <w:sz w:val="20"/>
          <w:szCs w:val="20"/>
        </w:rPr>
        <w:t xml:space="preserve"> </w:t>
      </w:r>
    </w:p>
    <w:p>
      <w:pPr>
        <w:pBdr>
          <w:bottom w:val="single" w:color="0E7C7B" w:sz="3" w:space="1"/>
        </w:pBdr>
        <w:spacing w:after="80" w:before="220"/>
      </w:pPr>
      <w:r>
        <w:rPr>
          <w:rFonts w:ascii="Arial" w:cs="Arial" w:eastAsia="Arial" w:hAnsi="Arial"/>
          <w:b/>
          <w:bCs/>
          <w:color w:val="0E7C7B"/>
          <w:sz w:val="24"/>
          <w:szCs w:val="24"/>
        </w:rPr>
        <w:t xml:space="preserve">Site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0DC" w:sz="1"/>
              <w:left w:val="single" w:color="C8D0DC" w:sz="1"/>
              <w:bottom w:val="single" w:color="C8D0DC" w:sz="1"/>
              <w:right w:val="single" w:color="C8D0DC" w:sz="1"/>
            </w:tcBorders>
            <w:shd w:fill="1B3A6B" w:val="clear"/>
            <w:tcMar>
              <w:top w:type="dxa" w:w="90"/>
              <w:left w:type="dxa" w:w="130"/>
              <w:bottom w:type="dxa" w:w="90"/>
              <w:right w:type="dxa" w:w="130"/>
            </w:tcMar>
          </w:tcPr>
          <w:p>
            <w:r>
              <w:rPr>
                <w:rFonts w:ascii="Arial" w:cs="Arial" w:eastAsia="Arial" w:hAnsi="Arial"/>
                <w:b/>
                <w:bCs/>
                <w:color w:val="1B3A6B"/>
                <w:sz w:val="20"/>
                <w:szCs w:val="20"/>
              </w:rPr>
              <w:t xml:space="preserve">Page</w:t>
            </w:r>
          </w:p>
        </w:tc>
        <w:tc>
          <w:tcPr>
            <w:tcW w:type="dxa" w:w="6960"/>
            <w:tcBorders>
              <w:top w:val="single" w:color="C8D0DC" w:sz="1"/>
              <w:left w:val="single" w:color="C8D0DC" w:sz="1"/>
              <w:bottom w:val="single" w:color="C8D0DC" w:sz="1"/>
              <w:right w:val="single" w:color="C8D0DC" w:sz="1"/>
            </w:tcBorders>
            <w:shd w:fill="1B3A6B" w:val="clear"/>
            <w:tcMar>
              <w:top w:type="dxa" w:w="90"/>
              <w:left w:type="dxa" w:w="130"/>
              <w:bottom w:type="dxa" w:w="90"/>
              <w:right w:type="dxa" w:w="130"/>
            </w:tcMar>
          </w:tcPr>
          <w:p>
            <w:r>
              <w:rPr>
                <w:rFonts w:ascii="Arial" w:cs="Arial" w:eastAsia="Arial" w:hAnsi="Arial"/>
                <w:b/>
                <w:bCs/>
                <w:color w:val="1B3A6B"/>
                <w:sz w:val="20"/>
                <w:szCs w:val="20"/>
              </w:rPr>
              <w:t xml:space="preserve">Content</w:t>
            </w:r>
          </w:p>
        </w:tc>
      </w:tr>
      <w:tr>
        <w:tc>
          <w:tcPr>
            <w:tcW w:type="dxa" w:w="2400"/>
            <w:tcBorders>
              <w:top w:val="single" w:color="C8D0DC" w:sz="1"/>
              <w:left w:val="single" w:color="C8D0DC" w:sz="1"/>
              <w:bottom w:val="single" w:color="C8D0DC" w:sz="1"/>
              <w:right w:val="single" w:color="C8D0DC" w:sz="1"/>
            </w:tcBorders>
            <w:shd w:fill="EBF4FA" w:val="clear"/>
            <w:tcMar>
              <w:top w:type="dxa" w:w="90"/>
              <w:left w:type="dxa" w:w="130"/>
              <w:bottom w:type="dxa" w:w="90"/>
              <w:right w:type="dxa" w:w="130"/>
            </w:tcMar>
          </w:tcPr>
          <w:p>
            <w:r>
              <w:rPr>
                <w:rFonts w:ascii="Arial" w:cs="Arial" w:eastAsia="Arial" w:hAnsi="Arial"/>
                <w:b w:val="false"/>
                <w:bCs w:val="false"/>
                <w:color w:val="2E3440"/>
                <w:sz w:val="20"/>
                <w:szCs w:val="20"/>
              </w:rPr>
              <w:t xml:space="preserve">Homepage</w:t>
            </w:r>
          </w:p>
        </w:tc>
        <w:tc>
          <w:tcPr>
            <w:tcW w:type="dxa" w:w="6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Mission statement, the problem statement, who this is for, three launch modules, email capture, CSO Readiness Checker link</w:t>
            </w:r>
          </w:p>
        </w:tc>
      </w:tr>
      <w:tr>
        <w:tc>
          <w:tcPr>
            <w:tcW w:type="dxa" w:w="24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20"/>
                <w:szCs w:val="20"/>
              </w:rPr>
              <w:t xml:space="preserve">About</w:t>
            </w:r>
          </w:p>
        </w:tc>
        <w:tc>
          <w:tcPr>
            <w:tcW w:type="dxa" w:w="6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Dr Doju Cherian — GMC, Sheffield Teaching Hospitals, PubMed publication, LLM evaluator experience, the personal story of the DCB certification gap</w:t>
            </w:r>
          </w:p>
        </w:tc>
      </w:tr>
      <w:tr>
        <w:tc>
          <w:tcPr>
            <w:tcW w:type="dxa" w:w="2400"/>
            <w:tcBorders>
              <w:top w:val="single" w:color="C8D0DC" w:sz="1"/>
              <w:left w:val="single" w:color="C8D0DC" w:sz="1"/>
              <w:bottom w:val="single" w:color="C8D0DC" w:sz="1"/>
              <w:right w:val="single" w:color="C8D0DC" w:sz="1"/>
            </w:tcBorders>
            <w:shd w:fill="EBF4FA" w:val="clear"/>
            <w:tcMar>
              <w:top w:type="dxa" w:w="90"/>
              <w:left w:type="dxa" w:w="130"/>
              <w:bottom w:type="dxa" w:w="90"/>
              <w:right w:type="dxa" w:w="130"/>
            </w:tcMar>
          </w:tcPr>
          <w:p>
            <w:r>
              <w:rPr>
                <w:rFonts w:ascii="Arial" w:cs="Arial" w:eastAsia="Arial" w:hAnsi="Arial"/>
                <w:b w:val="false"/>
                <w:bCs w:val="false"/>
                <w:color w:val="2E3440"/>
                <w:sz w:val="20"/>
                <w:szCs w:val="20"/>
              </w:rPr>
              <w:t xml:space="preserve">Modules</w:t>
            </w:r>
          </w:p>
        </w:tc>
        <w:tc>
          <w:tcPr>
            <w:tcW w:type="dxa" w:w="6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All 30 modules, organised by tier. Published progressively — 3 at launch, 2 per month thereafter.</w:t>
            </w:r>
          </w:p>
        </w:tc>
      </w:tr>
      <w:tr>
        <w:tc>
          <w:tcPr>
            <w:tcW w:type="dxa" w:w="24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20"/>
                <w:szCs w:val="20"/>
              </w:rPr>
              <w:t xml:space="preserve">Simulators</w:t>
            </w:r>
          </w:p>
        </w:tc>
        <w:tc>
          <w:tcPr>
            <w:tcW w:type="dxa" w:w="6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All 10 simulators, linked from within modules and available standalone</w:t>
            </w:r>
          </w:p>
        </w:tc>
      </w:tr>
      <w:tr>
        <w:tc>
          <w:tcPr>
            <w:tcW w:type="dxa" w:w="2400"/>
            <w:tcBorders>
              <w:top w:val="single" w:color="C8D0DC" w:sz="1"/>
              <w:left w:val="single" w:color="C8D0DC" w:sz="1"/>
              <w:bottom w:val="single" w:color="C8D0DC" w:sz="1"/>
              <w:right w:val="single" w:color="C8D0DC" w:sz="1"/>
            </w:tcBorders>
            <w:shd w:fill="EBF4FA" w:val="clear"/>
            <w:tcMar>
              <w:top w:type="dxa" w:w="90"/>
              <w:left w:type="dxa" w:w="130"/>
              <w:bottom w:type="dxa" w:w="90"/>
              <w:right w:type="dxa" w:w="130"/>
            </w:tcMar>
          </w:tcPr>
          <w:p>
            <w:r>
              <w:rPr>
                <w:rFonts w:ascii="Arial" w:cs="Arial" w:eastAsia="Arial" w:hAnsi="Arial"/>
                <w:b w:val="false"/>
                <w:bCs w:val="false"/>
                <w:color w:val="2E3440"/>
                <w:sz w:val="20"/>
                <w:szCs w:val="20"/>
              </w:rPr>
              <w:t xml:space="preserve">Resources</w:t>
            </w:r>
          </w:p>
        </w:tc>
        <w:tc>
          <w:tcPr>
            <w:tcW w:type="dxa" w:w="6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CSO Pre-Go-Live Checklist, Hazard Log Template, Supplier Evaluation Checklist, Decision Tree Library, Annual CSO Calendar — all free downloadable PDFs</w:t>
            </w:r>
          </w:p>
        </w:tc>
      </w:tr>
      <w:tr>
        <w:tc>
          <w:tcPr>
            <w:tcW w:type="dxa" w:w="24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20"/>
                <w:szCs w:val="20"/>
              </w:rPr>
              <w:t xml:space="preserve">AI CSO Assistant</w:t>
            </w:r>
          </w:p>
        </w:tc>
        <w:tc>
          <w:tcPr>
            <w:tcW w:type="dxa" w:w="6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The agentic AI tool — Phase 1 from Year 1</w:t>
            </w:r>
          </w:p>
        </w:tc>
      </w:tr>
      <w:tr>
        <w:tc>
          <w:tcPr>
            <w:tcW w:type="dxa" w:w="2400"/>
            <w:tcBorders>
              <w:top w:val="single" w:color="C8D0DC" w:sz="1"/>
              <w:left w:val="single" w:color="C8D0DC" w:sz="1"/>
              <w:bottom w:val="single" w:color="C8D0DC" w:sz="1"/>
              <w:right w:val="single" w:color="C8D0DC" w:sz="1"/>
            </w:tcBorders>
            <w:shd w:fill="EBF4FA" w:val="clear"/>
            <w:tcMar>
              <w:top w:type="dxa" w:w="90"/>
              <w:left w:type="dxa" w:w="130"/>
              <w:bottom w:type="dxa" w:w="90"/>
              <w:right w:type="dxa" w:w="130"/>
            </w:tcMar>
          </w:tcPr>
          <w:p>
            <w:r>
              <w:rPr>
                <w:rFonts w:ascii="Arial" w:cs="Arial" w:eastAsia="Arial" w:hAnsi="Arial"/>
                <w:b w:val="false"/>
                <w:bCs w:val="false"/>
                <w:color w:val="2E3440"/>
                <w:sz w:val="20"/>
                <w:szCs w:val="20"/>
              </w:rPr>
              <w:t xml:space="preserve">Publications</w:t>
            </w:r>
          </w:p>
        </w:tc>
        <w:tc>
          <w:tcPr>
            <w:tcW w:type="dxa" w:w="6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PubMed paper linked, future papers, white papers, curriculum academic framework paper</w:t>
            </w:r>
          </w:p>
        </w:tc>
      </w:tr>
      <w:tr>
        <w:tc>
          <w:tcPr>
            <w:tcW w:type="dxa" w:w="24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20"/>
                <w:szCs w:val="20"/>
              </w:rPr>
              <w:t xml:space="preserve">Contact</w:t>
            </w:r>
          </w:p>
        </w:tc>
        <w:tc>
          <w:tcPr>
            <w:tcW w:type="dxa" w:w="6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Consulting enquiries, speaking invitations, CSO pain point submissions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080" w:val="clear"/>
            <w:tcMar>
              <w:top w:type="dxa" w:w="130"/>
              <w:left w:type="dxa" w:w="260"/>
              <w:bottom w:type="dxa" w:w="130"/>
              <w:right w:type="dxa" w:w="260"/>
            </w:tcMar>
          </w:tcPr>
          <w:p>
            <w:r>
              <w:rPr>
                <w:rFonts w:ascii="Arial" w:cs="Arial" w:eastAsia="Arial" w:hAnsi="Arial"/>
                <w:b/>
                <w:bCs/>
                <w:color w:val="FFFFFF"/>
                <w:sz w:val="26"/>
                <w:szCs w:val="26"/>
              </w:rPr>
              <w:t xml:space="preserve">SECTION 10 — THE CAREER INTEGRATION</w:t>
            </w:r>
          </w:p>
        </w:tc>
      </w:tr>
    </w:tbl>
    <w:p>
      <w:pPr>
        <w:spacing w:after="40" w:before="40"/>
      </w:pPr>
      <w:r>
        <w:rPr>
          <w:sz w:val="20"/>
          <w:szCs w:val="20"/>
        </w:rPr>
        <w:t xml:space="preserve"> </w:t>
      </w:r>
    </w:p>
    <w:p>
      <w:pPr>
        <w:pBdr>
          <w:bottom w:val="single" w:color="0E7C7B" w:sz="3" w:space="1"/>
        </w:pBdr>
        <w:spacing w:after="80" w:before="220"/>
      </w:pPr>
      <w:r>
        <w:rPr>
          <w:rFonts w:ascii="Arial" w:cs="Arial" w:eastAsia="Arial" w:hAnsi="Arial"/>
          <w:b/>
          <w:bCs/>
          <w:color w:val="0E7C7B"/>
          <w:sz w:val="24"/>
          <w:szCs w:val="24"/>
        </w:rPr>
        <w:t xml:space="preserve">How Everything Connects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0DC" w:sz="1"/>
              <w:left w:val="single" w:color="C8D0DC" w:sz="1"/>
              <w:bottom w:val="single" w:color="C8D0DC" w:sz="1"/>
              <w:right w:val="single" w:color="C8D0DC" w:sz="1"/>
            </w:tcBorders>
            <w:shd w:fill="1B3A6B" w:val="clear"/>
            <w:tcMar>
              <w:top w:type="dxa" w:w="90"/>
              <w:left w:type="dxa" w:w="130"/>
              <w:bottom w:type="dxa" w:w="90"/>
              <w:right w:type="dxa" w:w="130"/>
            </w:tcMar>
          </w:tcPr>
          <w:p>
            <w:r>
              <w:rPr>
                <w:rFonts w:ascii="Arial" w:cs="Arial" w:eastAsia="Arial" w:hAnsi="Arial"/>
                <w:b/>
                <w:bCs/>
                <w:color w:val="1B3A6B"/>
                <w:sz w:val="20"/>
                <w:szCs w:val="20"/>
              </w:rPr>
              <w:t xml:space="preserve">Career Goal</w:t>
            </w:r>
          </w:p>
        </w:tc>
        <w:tc>
          <w:tcPr>
            <w:tcW w:type="dxa" w:w="6960"/>
            <w:tcBorders>
              <w:top w:val="single" w:color="C8D0DC" w:sz="1"/>
              <w:left w:val="single" w:color="C8D0DC" w:sz="1"/>
              <w:bottom w:val="single" w:color="C8D0DC" w:sz="1"/>
              <w:right w:val="single" w:color="C8D0DC" w:sz="1"/>
            </w:tcBorders>
            <w:shd w:fill="1B3A6B" w:val="clear"/>
            <w:tcMar>
              <w:top w:type="dxa" w:w="90"/>
              <w:left w:type="dxa" w:w="130"/>
              <w:bottom w:type="dxa" w:w="90"/>
              <w:right w:type="dxa" w:w="130"/>
            </w:tcMar>
          </w:tcPr>
          <w:p>
            <w:r>
              <w:rPr>
                <w:rFonts w:ascii="Arial" w:cs="Arial" w:eastAsia="Arial" w:hAnsi="Arial"/>
                <w:b/>
                <w:bCs/>
                <w:color w:val="1B3A6B"/>
                <w:sz w:val="20"/>
                <w:szCs w:val="20"/>
              </w:rPr>
              <w:t xml:space="preserve">How the Curriculum Serves It</w:t>
            </w:r>
          </w:p>
        </w:tc>
      </w:tr>
      <w:tr>
        <w:tc>
          <w:tcPr>
            <w:tcW w:type="dxa" w:w="2400"/>
            <w:tcBorders>
              <w:top w:val="single" w:color="C8D0DC" w:sz="1"/>
              <w:left w:val="single" w:color="C8D0DC" w:sz="1"/>
              <w:bottom w:val="single" w:color="C8D0DC" w:sz="1"/>
              <w:right w:val="single" w:color="C8D0DC" w:sz="1"/>
            </w:tcBorders>
            <w:shd w:fill="EBF4FA" w:val="clear"/>
            <w:tcMar>
              <w:top w:type="dxa" w:w="90"/>
              <w:left w:type="dxa" w:w="130"/>
              <w:bottom w:type="dxa" w:w="90"/>
              <w:right w:type="dxa" w:w="130"/>
            </w:tcMar>
          </w:tcPr>
          <w:p>
            <w:r>
              <w:rPr>
                <w:rFonts w:ascii="Arial" w:cs="Arial" w:eastAsia="Arial" w:hAnsi="Arial"/>
                <w:b w:val="false"/>
                <w:bCs w:val="false"/>
                <w:color w:val="2E3440"/>
                <w:sz w:val="20"/>
                <w:szCs w:val="20"/>
              </w:rPr>
              <w:t xml:space="preserve">NHS Fellowship in Clinical AI — Cohort 6 opens October 2026</w:t>
            </w:r>
          </w:p>
        </w:tc>
        <w:tc>
          <w:tcPr>
            <w:tcW w:type="dxa" w:w="6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Demonstrates you already lead the CSO education field before applying. Fellowship committees see a live, established resource not a proposal.</w:t>
            </w:r>
          </w:p>
        </w:tc>
      </w:tr>
      <w:tr>
        <w:tc>
          <w:tcPr>
            <w:tcW w:type="dxa" w:w="24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20"/>
                <w:szCs w:val="20"/>
              </w:rPr>
              <w:t xml:space="preserve">ValgrAI Programme</w:t>
            </w:r>
          </w:p>
        </w:tc>
        <w:tc>
          <w:tcPr>
            <w:tcW w:type="dxa" w:w="6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Research and publications page plus curriculum academic paper shows the research credibility required for competitive entry.</w:t>
            </w:r>
          </w:p>
        </w:tc>
      </w:tr>
      <w:tr>
        <w:tc>
          <w:tcPr>
            <w:tcW w:type="dxa" w:w="2400"/>
            <w:tcBorders>
              <w:top w:val="single" w:color="C8D0DC" w:sz="1"/>
              <w:left w:val="single" w:color="C8D0DC" w:sz="1"/>
              <w:bottom w:val="single" w:color="C8D0DC" w:sz="1"/>
              <w:right w:val="single" w:color="C8D0DC" w:sz="1"/>
            </w:tcBorders>
            <w:shd w:fill="EBF4FA" w:val="clear"/>
            <w:tcMar>
              <w:top w:type="dxa" w:w="90"/>
              <w:left w:type="dxa" w:w="130"/>
              <w:bottom w:type="dxa" w:w="90"/>
              <w:right w:type="dxa" w:w="130"/>
            </w:tcMar>
          </w:tcPr>
          <w:p>
            <w:r>
              <w:rPr>
                <w:rFonts w:ascii="Arial" w:cs="Arial" w:eastAsia="Arial" w:hAnsi="Arial"/>
                <w:b w:val="false"/>
                <w:bCs w:val="false"/>
                <w:color w:val="2E3440"/>
                <w:sz w:val="20"/>
                <w:szCs w:val="20"/>
              </w:rPr>
              <w:t xml:space="preserve">Big Tech Clinical AI Consulting — Google, Microsoft, DeepMind</w:t>
            </w:r>
          </w:p>
        </w:tc>
        <w:tc>
          <w:tcPr>
            <w:tcW w:type="dxa" w:w="6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Website is your portfolio. Recruiters find CSO authority, PubMed publications, LLM evaluator experience, and agentic AI deployment — combined. Nobody else has this.</w:t>
            </w:r>
          </w:p>
        </w:tc>
      </w:tr>
      <w:tr>
        <w:tc>
          <w:tcPr>
            <w:tcW w:type="dxa" w:w="24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20"/>
                <w:szCs w:val="20"/>
              </w:rPr>
              <w:t xml:space="preserve">PubMed Publication</w:t>
            </w:r>
          </w:p>
        </w:tc>
        <w:tc>
          <w:tcPr>
            <w:tcW w:type="dxa" w:w="6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Curriculum framework becomes a peer-reviewed paper: 'Practical Gaps in CSO Training Under DCB0129/0160 — A Proposed Framework for Clinical AI Safety Education.' Submit to BMJ Digital Health or npj Digital Medicine.</w:t>
            </w:r>
          </w:p>
        </w:tc>
      </w:tr>
      <w:tr>
        <w:tc>
          <w:tcPr>
            <w:tcW w:type="dxa" w:w="2400"/>
            <w:tcBorders>
              <w:top w:val="single" w:color="C8D0DC" w:sz="1"/>
              <w:left w:val="single" w:color="C8D0DC" w:sz="1"/>
              <w:bottom w:val="single" w:color="C8D0DC" w:sz="1"/>
              <w:right w:val="single" w:color="C8D0DC" w:sz="1"/>
            </w:tcBorders>
            <w:shd w:fill="EBF4FA" w:val="clear"/>
            <w:tcMar>
              <w:top w:type="dxa" w:w="90"/>
              <w:left w:type="dxa" w:w="130"/>
              <w:bottom w:type="dxa" w:w="90"/>
              <w:right w:type="dxa" w:w="130"/>
            </w:tcMar>
          </w:tcPr>
          <w:p>
            <w:r>
              <w:rPr>
                <w:rFonts w:ascii="Arial" w:cs="Arial" w:eastAsia="Arial" w:hAnsi="Arial"/>
                <w:b w:val="false"/>
                <w:bCs w:val="false"/>
                <w:color w:val="2E3440"/>
                <w:sz w:val="20"/>
                <w:szCs w:val="20"/>
              </w:rPr>
              <w:t xml:space="preserve">NHS 10 Year Plan Policy Influence</w:t>
            </w:r>
          </w:p>
        </w:tc>
        <w:tc>
          <w:tcPr>
            <w:tcW w:type="dxa" w:w="6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A well-cited, well-used resource gets noticed by NHS England policy teams. Route to formal input into the DCB consultation and MHRA National Commission.</w:t>
            </w:r>
          </w:p>
        </w:tc>
      </w:tr>
      <w:tr>
        <w:tc>
          <w:tcPr>
            <w:tcW w:type="dxa" w:w="24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20"/>
                <w:szCs w:val="20"/>
              </w:rPr>
              <w:t xml:space="preserve">Speaking — Digital Health Rewired 2026</w:t>
            </w:r>
          </w:p>
        </w:tc>
        <w:tc>
          <w:tcPr>
            <w:tcW w:type="dxa" w:w="696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20"/>
                <w:szCs w:val="20"/>
              </w:rPr>
              <w:t xml:space="preserve">Apply now. Topic: The CSO Training Crisis — A Practical Response. Rewired is the right venue. The audience is every CSO and digital lead in the NHS.</w:t>
            </w:r>
          </w:p>
        </w:tc>
      </w:tr>
    </w:tbl>
    <w:p>
      <w:pPr>
        <w:spacing w:after="40" w:before="40"/>
      </w:pPr>
      <w:r>
        <w:rPr>
          <w:sz w:val="20"/>
          <w:szCs w:val="20"/>
        </w:rPr>
        <w:t xml:space="preserve"> </w:t>
      </w:r>
    </w:p>
    <w:p>
      <w:pPr>
        <w:pBdr>
          <w:bottom w:val="single" w:color="0E7C7B" w:sz="3" w:space="1"/>
        </w:pBdr>
        <w:spacing w:after="80" w:before="220"/>
      </w:pPr>
      <w:r>
        <w:rPr>
          <w:rFonts w:ascii="Arial" w:cs="Arial" w:eastAsia="Arial" w:hAnsi="Arial"/>
          <w:b/>
          <w:bCs/>
          <w:color w:val="0E7C7B"/>
          <w:sz w:val="24"/>
          <w:szCs w:val="24"/>
        </w:rPr>
        <w:t xml:space="preserve">The Unique Credential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EBF4FA" w:val="clear"/>
            <w:tcMar>
              <w:top w:type="dxa" w:w="120"/>
              <w:left w:type="dxa" w:w="180"/>
              <w:bottom w:type="dxa" w:w="120"/>
              <w:right w:type="dxa" w:w="180"/>
            </w:tcMar>
          </w:tcPr>
          <w:p>
            <w:r>
              <w:rPr>
                <w:rFonts w:ascii="Arial" w:cs="Arial" w:eastAsia="Arial" w:hAnsi="Arial"/>
                <w:b/>
                <w:bCs/>
                <w:color w:val="1B3A6B"/>
                <w:sz w:val="22"/>
                <w:szCs w:val="22"/>
              </w:rPr>
              <w:t xml:space="preserve">Why No One Else Can Build This</w:t>
            </w:r>
          </w:p>
          <w:p>
            <w:pPr>
              <w:spacing w:before="35"/>
            </w:pPr>
            <w:r>
              <w:rPr>
                <w:rFonts w:ascii="Arial" w:cs="Arial" w:eastAsia="Arial" w:hAnsi="Arial"/>
                <w:color w:val="2E3440"/>
                <w:sz w:val="20"/>
                <w:szCs w:val="20"/>
              </w:rPr>
              <w:t xml:space="preserve">GMC-registered clinician with live clinical practice — you know what harm actually looks like</w:t>
            </w:r>
          </w:p>
          <w:p>
            <w:pPr>
              <w:spacing w:before="35"/>
            </w:pPr>
            <w:r>
              <w:rPr>
                <w:rFonts w:ascii="Arial" w:cs="Arial" w:eastAsia="Arial" w:hAnsi="Arial"/>
                <w:color w:val="2E3440"/>
                <w:sz w:val="20"/>
                <w:szCs w:val="20"/>
              </w:rPr>
              <w:t xml:space="preserve">Internal Medicine Trainee at Sheffield Teaching Hospitals — real NHS trust experience, not theoretical</w:t>
            </w:r>
          </w:p>
          <w:p>
            <w:pPr>
              <w:spacing w:before="35"/>
            </w:pPr>
            <w:r>
              <w:rPr>
                <w:rFonts w:ascii="Arial" w:cs="Arial" w:eastAsia="Arial" w:hAnsi="Arial"/>
                <w:color w:val="2E3440"/>
                <w:sz w:val="20"/>
                <w:szCs w:val="20"/>
              </w:rPr>
              <w:t xml:space="preserve">PubMed-indexed author — academic credibility that most CSO practitioners do not have</w:t>
            </w:r>
          </w:p>
          <w:p>
            <w:pPr>
              <w:spacing w:before="35"/>
            </w:pPr>
            <w:r>
              <w:rPr>
                <w:rFonts w:ascii="Arial" w:cs="Arial" w:eastAsia="Arial" w:hAnsi="Arial"/>
                <w:color w:val="2E3440"/>
                <w:sz w:val="20"/>
                <w:szCs w:val="20"/>
              </w:rPr>
              <w:t xml:space="preserve">LLM Evaluator — hands-on AI output assessment experience. Extremely rare for a clinician. Directly relevant to hallucination and explainability modules</w:t>
            </w:r>
          </w:p>
          <w:p>
            <w:pPr>
              <w:spacing w:before="35"/>
            </w:pPr>
            <w:r>
              <w:rPr>
                <w:rFonts w:ascii="Arial" w:cs="Arial" w:eastAsia="Arial" w:hAnsi="Arial"/>
                <w:color w:val="2E3440"/>
                <w:sz w:val="20"/>
                <w:szCs w:val="20"/>
              </w:rPr>
              <w:t xml:space="preserve">Lived experience of the DCB training gap — the curriculum is built on personal frustration, not market research</w:t>
            </w:r>
          </w:p>
          <w:p>
            <w:pPr>
              <w:spacing w:before="35"/>
            </w:pPr>
            <w:r>
              <w:rPr>
                <w:rFonts w:ascii="Arial" w:cs="Arial" w:eastAsia="Arial" w:hAnsi="Arial"/>
                <w:color w:val="2E3440"/>
                <w:sz w:val="20"/>
                <w:szCs w:val="20"/>
              </w:rPr>
              <w:t xml:space="preserve">Gastroenterology and AI specialist — niche clinical AI expertise that gives specialty-specific modules genuine authority</w:t>
            </w:r>
          </w:p>
          <w:p>
            <w:pPr>
              <w:spacing w:before="35"/>
            </w:pPr>
            <w:r>
              <w:rPr>
                <w:rFonts w:ascii="Arial" w:cs="Arial" w:eastAsia="Arial" w:hAnsi="Arial"/>
                <w:color w:val="2E3440"/>
                <w:sz w:val="20"/>
                <w:szCs w:val="20"/>
              </w:rPr>
              <w:t xml:space="preserve">This combination does not exist anywhere else in the UK. It cannot be replicated by a consultant who teaches theory.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C7B" w:val="clear"/>
            <w:tcMar>
              <w:top w:type="dxa" w:w="130"/>
              <w:left w:type="dxa" w:w="260"/>
              <w:bottom w:type="dxa" w:w="130"/>
              <w:right w:type="dxa" w:w="260"/>
            </w:tcMar>
          </w:tcPr>
          <w:p>
            <w:r>
              <w:rPr>
                <w:rFonts w:ascii="Arial" w:cs="Arial" w:eastAsia="Arial" w:hAnsi="Arial"/>
                <w:b/>
                <w:bCs/>
                <w:color w:val="FFFFFF"/>
                <w:sz w:val="26"/>
                <w:szCs w:val="26"/>
              </w:rPr>
              <w:t xml:space="preserve">SECTION 11 — THE COMMERCIAL MODEL</w:t>
            </w:r>
          </w:p>
        </w:tc>
      </w:tr>
    </w:tbl>
    <w:p>
      <w:pPr>
        <w:spacing w:after="40" w:before="40"/>
      </w:pPr>
      <w:r>
        <w:rPr>
          <w:sz w:val="20"/>
          <w:szCs w:val="20"/>
        </w:rPr>
        <w:t xml:space="preserve"> </w:t>
      </w:r>
    </w:p>
    <w:p>
      <w:pPr>
        <w:pBdr>
          <w:bottom w:val="single" w:color="0E7C7B" w:sz="3" w:space="1"/>
        </w:pBdr>
        <w:spacing w:after="80" w:before="220"/>
      </w:pPr>
      <w:r>
        <w:rPr>
          <w:rFonts w:ascii="Arial" w:cs="Arial" w:eastAsia="Arial" w:hAnsi="Arial"/>
          <w:b/>
          <w:bCs/>
          <w:color w:val="0E7C7B"/>
          <w:sz w:val="24"/>
          <w:szCs w:val="24"/>
        </w:rPr>
        <w:t xml:space="preserve">Revenue Streams — Phased by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3480"/>
        <w:gridCol w:w="1800"/>
        <w:gridCol w:w="3800"/>
      </w:tblGrid>
      <w:tr>
        <w:tc>
          <w:tcPr>
            <w:tcW w:type="dxa" w:w="480"/>
            <w:tcBorders>
              <w:top w:val="single" w:color="C8D0DC" w:sz="1"/>
              <w:left w:val="single" w:color="C8D0DC" w:sz="1"/>
              <w:bottom w:val="single" w:color="C8D0DC" w:sz="1"/>
              <w:right w:val="single" w:color="C8D0DC" w:sz="1"/>
            </w:tcBorders>
            <w:shd w:fill="1B3A6B" w:val="clear"/>
            <w:tcMar>
              <w:top w:type="dxa" w:w="90"/>
              <w:left w:type="dxa" w:w="130"/>
              <w:bottom w:type="dxa" w:w="90"/>
              <w:right w:type="dxa" w:w="130"/>
            </w:tcMar>
          </w:tcPr>
          <w:p>
            <w:r>
              <w:rPr>
                <w:rFonts w:ascii="Arial" w:cs="Arial" w:eastAsia="Arial" w:hAnsi="Arial"/>
                <w:b/>
                <w:bCs/>
                <w:color w:val="FFFFFF"/>
                <w:sz w:val="18"/>
                <w:szCs w:val="18"/>
              </w:rPr>
              <w:t xml:space="preserve">Year</w:t>
            </w:r>
          </w:p>
        </w:tc>
        <w:tc>
          <w:tcPr>
            <w:tcW w:type="dxa" w:w="1800"/>
            <w:tcBorders>
              <w:top w:val="single" w:color="C8D0DC" w:sz="1"/>
              <w:left w:val="single" w:color="C8D0DC" w:sz="1"/>
              <w:bottom w:val="single" w:color="C8D0DC" w:sz="1"/>
              <w:right w:val="single" w:color="C8D0DC" w:sz="1"/>
            </w:tcBorders>
            <w:shd w:fill="1B3A6B" w:val="clear"/>
            <w:tcMar>
              <w:top w:type="dxa" w:w="90"/>
              <w:left w:type="dxa" w:w="130"/>
              <w:bottom w:type="dxa" w:w="90"/>
              <w:right w:type="dxa" w:w="130"/>
            </w:tcMar>
          </w:tcPr>
          <w:p>
            <w:r>
              <w:rPr>
                <w:rFonts w:ascii="Arial" w:cs="Arial" w:eastAsia="Arial" w:hAnsi="Arial"/>
                <w:b/>
                <w:bCs/>
                <w:color w:val="FFFFFF"/>
                <w:sz w:val="18"/>
                <w:szCs w:val="18"/>
              </w:rPr>
              <w:t xml:space="preserve">Revenue Stream</w:t>
            </w:r>
          </w:p>
        </w:tc>
        <w:tc>
          <w:tcPr>
            <w:tcW w:type="dxa" w:w="3480"/>
            <w:tcBorders>
              <w:top w:val="single" w:color="C8D0DC" w:sz="1"/>
              <w:left w:val="single" w:color="C8D0DC" w:sz="1"/>
              <w:bottom w:val="single" w:color="C8D0DC" w:sz="1"/>
              <w:right w:val="single" w:color="C8D0DC" w:sz="1"/>
            </w:tcBorders>
            <w:shd w:fill="1B3A6B" w:val="clear"/>
            <w:tcMar>
              <w:top w:type="dxa" w:w="90"/>
              <w:left w:type="dxa" w:w="130"/>
              <w:bottom w:type="dxa" w:w="90"/>
              <w:right w:type="dxa" w:w="130"/>
            </w:tcMar>
          </w:tcPr>
          <w:p>
            <w:r>
              <w:rPr>
                <w:rFonts w:ascii="Arial" w:cs="Arial" w:eastAsia="Arial" w:hAnsi="Arial"/>
                <w:b/>
                <w:bCs/>
                <w:color w:val="FFFFFF"/>
                <w:sz w:val="18"/>
                <w:szCs w:val="18"/>
              </w:rPr>
              <w:t xml:space="preserve">Description</w:t>
            </w:r>
          </w:p>
        </w:tc>
        <w:tc>
          <w:tcPr>
            <w:tcW w:type="dxa" w:w="1800"/>
            <w:tcBorders>
              <w:top w:val="single" w:color="C8D0DC" w:sz="1"/>
              <w:left w:val="single" w:color="C8D0DC" w:sz="1"/>
              <w:bottom w:val="single" w:color="C8D0DC" w:sz="1"/>
              <w:right w:val="single" w:color="C8D0DC" w:sz="1"/>
            </w:tcBorders>
            <w:shd w:fill="1B3A6B" w:val="clear"/>
            <w:tcMar>
              <w:top w:type="dxa" w:w="90"/>
              <w:left w:type="dxa" w:w="130"/>
              <w:bottom w:type="dxa" w:w="90"/>
              <w:right w:type="dxa" w:w="130"/>
            </w:tcMar>
          </w:tcPr>
          <w:p>
            <w:r>
              <w:rPr>
                <w:rFonts w:ascii="Arial" w:cs="Arial" w:eastAsia="Arial" w:hAnsi="Arial"/>
                <w:b/>
                <w:bCs/>
                <w:color w:val="FFFFFF"/>
                <w:sz w:val="18"/>
                <w:szCs w:val="18"/>
              </w:rPr>
              <w:t xml:space="preserve">Unit Value</w:t>
            </w:r>
          </w:p>
        </w:tc>
        <w:tc>
          <w:tcPr>
            <w:tcW w:type="dxa" w:w="3800"/>
            <w:tcBorders>
              <w:top w:val="single" w:color="C8D0DC" w:sz="1"/>
              <w:left w:val="single" w:color="C8D0DC" w:sz="1"/>
              <w:bottom w:val="single" w:color="C8D0DC" w:sz="1"/>
              <w:right w:val="single" w:color="C8D0DC" w:sz="1"/>
            </w:tcBorders>
            <w:shd w:fill="1B3A6B" w:val="clear"/>
            <w:tcMar>
              <w:top w:type="dxa" w:w="90"/>
              <w:left w:type="dxa" w:w="130"/>
              <w:bottom w:type="dxa" w:w="90"/>
              <w:right w:type="dxa" w:w="130"/>
            </w:tcMar>
          </w:tcPr>
          <w:p>
            <w:r>
              <w:rPr>
                <w:rFonts w:ascii="Arial" w:cs="Arial" w:eastAsia="Arial" w:hAnsi="Arial"/>
                <w:b/>
                <w:bCs/>
                <w:color w:val="FFFFFF"/>
                <w:sz w:val="18"/>
                <w:szCs w:val="18"/>
              </w:rPr>
              <w:t xml:space="preserve">Conservative Annual Estimate</w:t>
            </w:r>
          </w:p>
        </w:tc>
      </w:tr>
      <w:tr>
        <w:tc>
          <w:tcPr>
            <w:tcW w:type="dxa" w:w="480"/>
            <w:tcBorders>
              <w:top w:val="single" w:color="C8D0DC" w:sz="1"/>
              <w:left w:val="single" w:color="C8D0DC" w:sz="1"/>
              <w:bottom w:val="single" w:color="C8D0DC" w:sz="1"/>
              <w:right w:val="single" w:color="C8D0DC" w:sz="1"/>
            </w:tcBorders>
            <w:shd w:fill="EBF4FA" w:val="clear"/>
            <w:tcMar>
              <w:top w:type="dxa" w:w="90"/>
              <w:left w:type="dxa" w:w="130"/>
              <w:bottom w:type="dxa" w:w="90"/>
              <w:right w:type="dxa" w:w="130"/>
            </w:tcMar>
          </w:tcPr>
          <w:p>
            <w:pPr>
              <w:jc w:val="center"/>
            </w:pPr>
            <w:r>
              <w:rPr>
                <w:rFonts w:ascii="Arial" w:cs="Arial" w:eastAsia="Arial" w:hAnsi="Arial"/>
                <w:b/>
                <w:bCs/>
                <w:color w:val="1B3A6B"/>
                <w:sz w:val="18"/>
                <w:szCs w:val="18"/>
              </w:rPr>
              <w:t xml:space="preserve">Yr 1</w:t>
            </w:r>
          </w:p>
        </w:tc>
        <w:tc>
          <w:tcPr>
            <w:tcW w:type="dxa" w:w="1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bCs/>
                <w:color w:val="0E7C7B"/>
                <w:sz w:val="18"/>
                <w:szCs w:val="18"/>
              </w:rPr>
              <w:t xml:space="preserve">Consulting — HealthTech</w:t>
            </w:r>
          </w:p>
        </w:tc>
        <w:tc>
          <w:tcPr>
            <w:tcW w:type="dxa" w:w="348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color w:val="2E3440"/>
                <w:sz w:val="18"/>
                <w:szCs w:val="18"/>
              </w:rPr>
              <w:t xml:space="preserve">Retainer from HealthTech startups needing CSO advisory for NHS procurement</w:t>
            </w:r>
          </w:p>
        </w:tc>
        <w:tc>
          <w:tcPr>
            <w:tcW w:type="dxa" w:w="1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color w:val="2E3440"/>
                <w:sz w:val="18"/>
                <w:szCs w:val="18"/>
              </w:rPr>
              <w:t xml:space="preserve">£2,500 to 5,000 per month</w:t>
            </w:r>
          </w:p>
        </w:tc>
        <w:tc>
          <w:tcPr>
            <w:tcW w:type="dxa" w:w="38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color w:val="1A6B3A"/>
                <w:sz w:val="18"/>
                <w:szCs w:val="18"/>
              </w:rPr>
              <w:t xml:space="preserve">£2 clients — 60,000 per year</w:t>
            </w:r>
          </w:p>
        </w:tc>
      </w:tr>
      <w:tr>
        <w:tc>
          <w:tcPr>
            <w:tcW w:type="dxa" w:w="480"/>
            <w:tcBorders>
              <w:top w:val="single" w:color="C8D0DC" w:sz="1"/>
              <w:left w:val="single" w:color="C8D0DC" w:sz="1"/>
              <w:bottom w:val="single" w:color="C8D0DC" w:sz="1"/>
              <w:right w:val="single" w:color="C8D0DC" w:sz="1"/>
            </w:tcBorders>
            <w:shd w:fill="EBF4FA" w:val="clear"/>
            <w:tcMar>
              <w:top w:type="dxa" w:w="90"/>
              <w:left w:type="dxa" w:w="130"/>
              <w:bottom w:type="dxa" w:w="90"/>
              <w:right w:type="dxa" w:w="130"/>
            </w:tcMar>
          </w:tcPr>
          <w:p>
            <w:pPr>
              <w:jc w:val="center"/>
            </w:pPr>
            <w:r>
              <w:rPr>
                <w:rFonts w:ascii="Arial" w:cs="Arial" w:eastAsia="Arial" w:hAnsi="Arial"/>
                <w:b/>
                <w:bCs/>
                <w:color w:val="1B3A6B"/>
                <w:sz w:val="18"/>
                <w:szCs w:val="18"/>
              </w:rPr>
              <w:t xml:space="preserve">Yr 1</w:t>
            </w:r>
          </w:p>
        </w:tc>
        <w:tc>
          <w:tcPr>
            <w:tcW w:type="dxa" w:w="1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bCs/>
                <w:color w:val="0E7C7B"/>
                <w:sz w:val="18"/>
                <w:szCs w:val="18"/>
              </w:rPr>
              <w:t xml:space="preserve">Speaking</w:t>
            </w:r>
          </w:p>
        </w:tc>
        <w:tc>
          <w:tcPr>
            <w:tcW w:type="dxa" w:w="348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color w:val="2E3440"/>
                <w:sz w:val="18"/>
                <w:szCs w:val="18"/>
              </w:rPr>
              <w:t xml:space="preserve">NHS trust training days and conference keynotes</w:t>
            </w:r>
          </w:p>
        </w:tc>
        <w:tc>
          <w:tcPr>
            <w:tcW w:type="dxa" w:w="1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color w:val="2E3440"/>
                <w:sz w:val="18"/>
                <w:szCs w:val="18"/>
              </w:rPr>
              <w:t xml:space="preserve">£1,500 to 3,000 per session</w:t>
            </w:r>
          </w:p>
        </w:tc>
        <w:tc>
          <w:tcPr>
            <w:tcW w:type="dxa" w:w="38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color w:val="1A6B3A"/>
                <w:sz w:val="18"/>
                <w:szCs w:val="18"/>
              </w:rPr>
              <w:t xml:space="preserve">£6 sessions — 12,000 per year</w:t>
            </w:r>
          </w:p>
        </w:tc>
      </w:tr>
      <w:tr>
        <w:tc>
          <w:tcPr>
            <w:tcW w:type="dxa" w:w="480"/>
            <w:tcBorders>
              <w:top w:val="single" w:color="C8D0DC" w:sz="1"/>
              <w:left w:val="single" w:color="C8D0DC" w:sz="1"/>
              <w:bottom w:val="single" w:color="C8D0DC" w:sz="1"/>
              <w:right w:val="single" w:color="C8D0DC" w:sz="1"/>
            </w:tcBorders>
            <w:shd w:fill="EBF4FA" w:val="clear"/>
            <w:tcMar>
              <w:top w:type="dxa" w:w="90"/>
              <w:left w:type="dxa" w:w="130"/>
              <w:bottom w:type="dxa" w:w="90"/>
              <w:right w:type="dxa" w:w="130"/>
            </w:tcMar>
          </w:tcPr>
          <w:p>
            <w:pPr>
              <w:jc w:val="center"/>
            </w:pPr>
            <w:r>
              <w:rPr>
                <w:rFonts w:ascii="Arial" w:cs="Arial" w:eastAsia="Arial" w:hAnsi="Arial"/>
                <w:b/>
                <w:bCs/>
                <w:color w:val="1B3A6B"/>
                <w:sz w:val="18"/>
                <w:szCs w:val="18"/>
              </w:rPr>
              <w:t xml:space="preserve">Yr 2</w:t>
            </w:r>
          </w:p>
        </w:tc>
        <w:tc>
          <w:tcPr>
            <w:tcW w:type="dxa" w:w="1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bCs/>
                <w:color w:val="0E7C7B"/>
                <w:sz w:val="18"/>
                <w:szCs w:val="18"/>
              </w:rPr>
              <w:t xml:space="preserve">Online Course</w:t>
            </w:r>
          </w:p>
        </w:tc>
        <w:tc>
          <w:tcPr>
            <w:tcW w:type="dxa" w:w="348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color w:val="2E3440"/>
                <w:sz w:val="18"/>
                <w:szCs w:val="18"/>
              </w:rPr>
              <w:t xml:space="preserve">Self-paced CSO practical training course</w:t>
            </w:r>
          </w:p>
        </w:tc>
        <w:tc>
          <w:tcPr>
            <w:tcW w:type="dxa" w:w="1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color w:val="2E3440"/>
                <w:sz w:val="18"/>
                <w:szCs w:val="18"/>
              </w:rPr>
              <w:t xml:space="preserve">£299 per person</w:t>
            </w:r>
          </w:p>
        </w:tc>
        <w:tc>
          <w:tcPr>
            <w:tcW w:type="dxa" w:w="38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color w:val="1A6B3A"/>
                <w:sz w:val="18"/>
                <w:szCs w:val="18"/>
              </w:rPr>
              <w:t xml:space="preserve">£200 enrolments — 60,000 per year</w:t>
            </w:r>
          </w:p>
        </w:tc>
      </w:tr>
      <w:tr>
        <w:tc>
          <w:tcPr>
            <w:tcW w:type="dxa" w:w="480"/>
            <w:tcBorders>
              <w:top w:val="single" w:color="C8D0DC" w:sz="1"/>
              <w:left w:val="single" w:color="C8D0DC" w:sz="1"/>
              <w:bottom w:val="single" w:color="C8D0DC" w:sz="1"/>
              <w:right w:val="single" w:color="C8D0DC" w:sz="1"/>
            </w:tcBorders>
            <w:shd w:fill="EBF4FA" w:val="clear"/>
            <w:tcMar>
              <w:top w:type="dxa" w:w="90"/>
              <w:left w:type="dxa" w:w="130"/>
              <w:bottom w:type="dxa" w:w="90"/>
              <w:right w:type="dxa" w:w="130"/>
            </w:tcMar>
          </w:tcPr>
          <w:p>
            <w:pPr>
              <w:jc w:val="center"/>
            </w:pPr>
            <w:r>
              <w:rPr>
                <w:rFonts w:ascii="Arial" w:cs="Arial" w:eastAsia="Arial" w:hAnsi="Arial"/>
                <w:b/>
                <w:bCs/>
                <w:color w:val="1B3A6B"/>
                <w:sz w:val="18"/>
                <w:szCs w:val="18"/>
              </w:rPr>
              <w:t xml:space="preserve">Yr 2</w:t>
            </w:r>
          </w:p>
        </w:tc>
        <w:tc>
          <w:tcPr>
            <w:tcW w:type="dxa" w:w="1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bCs/>
                <w:color w:val="0E7C7B"/>
                <w:sz w:val="18"/>
                <w:szCs w:val="18"/>
              </w:rPr>
              <w:t xml:space="preserve">Consulting — Day Rate</w:t>
            </w:r>
          </w:p>
        </w:tc>
        <w:tc>
          <w:tcPr>
            <w:tcW w:type="dxa" w:w="348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color w:val="2E3440"/>
                <w:sz w:val="18"/>
                <w:szCs w:val="18"/>
              </w:rPr>
              <w:t xml:space="preserve">NHS trust and ICB clinical safety advisory</w:t>
            </w:r>
          </w:p>
        </w:tc>
        <w:tc>
          <w:tcPr>
            <w:tcW w:type="dxa" w:w="1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color w:val="2E3440"/>
                <w:sz w:val="18"/>
                <w:szCs w:val="18"/>
              </w:rPr>
              <w:t xml:space="preserve">£800 to 1,500 per day</w:t>
            </w:r>
          </w:p>
        </w:tc>
        <w:tc>
          <w:tcPr>
            <w:tcW w:type="dxa" w:w="38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color w:val="1A6B3A"/>
                <w:sz w:val="18"/>
                <w:szCs w:val="18"/>
              </w:rPr>
              <w:t xml:space="preserve">£24 days — 24,000 per year</w:t>
            </w:r>
          </w:p>
        </w:tc>
      </w:tr>
      <w:tr>
        <w:tc>
          <w:tcPr>
            <w:tcW w:type="dxa" w:w="480"/>
            <w:tcBorders>
              <w:top w:val="single" w:color="C8D0DC" w:sz="1"/>
              <w:left w:val="single" w:color="C8D0DC" w:sz="1"/>
              <w:bottom w:val="single" w:color="C8D0DC" w:sz="1"/>
              <w:right w:val="single" w:color="C8D0DC" w:sz="1"/>
            </w:tcBorders>
            <w:shd w:fill="EBF4FA" w:val="clear"/>
            <w:tcMar>
              <w:top w:type="dxa" w:w="90"/>
              <w:left w:type="dxa" w:w="130"/>
              <w:bottom w:type="dxa" w:w="90"/>
              <w:right w:type="dxa" w:w="130"/>
            </w:tcMar>
          </w:tcPr>
          <w:p>
            <w:pPr>
              <w:jc w:val="center"/>
            </w:pPr>
            <w:r>
              <w:rPr>
                <w:rFonts w:ascii="Arial" w:cs="Arial" w:eastAsia="Arial" w:hAnsi="Arial"/>
                <w:b/>
                <w:bCs/>
                <w:color w:val="1B3A6B"/>
                <w:sz w:val="18"/>
                <w:szCs w:val="18"/>
              </w:rPr>
              <w:t xml:space="preserve">Yr 3</w:t>
            </w:r>
          </w:p>
        </w:tc>
        <w:tc>
          <w:tcPr>
            <w:tcW w:type="dxa" w:w="1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bCs/>
                <w:color w:val="0E7C7B"/>
                <w:sz w:val="18"/>
                <w:szCs w:val="18"/>
              </w:rPr>
              <w:t xml:space="preserve">Enterprise Licence</w:t>
            </w:r>
          </w:p>
        </w:tc>
        <w:tc>
          <w:tcPr>
            <w:tcW w:type="dxa" w:w="348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color w:val="2E3440"/>
                <w:sz w:val="18"/>
                <w:szCs w:val="18"/>
              </w:rPr>
              <w:t xml:space="preserve">NHS trust organisation training licence</w:t>
            </w:r>
          </w:p>
        </w:tc>
        <w:tc>
          <w:tcPr>
            <w:tcW w:type="dxa" w:w="1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color w:val="2E3440"/>
                <w:sz w:val="18"/>
                <w:szCs w:val="18"/>
              </w:rPr>
              <w:t xml:space="preserve">£2,000 to 5,000 per trust</w:t>
            </w:r>
          </w:p>
        </w:tc>
        <w:tc>
          <w:tcPr>
            <w:tcW w:type="dxa" w:w="38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color w:val="1A6B3A"/>
                <w:sz w:val="18"/>
                <w:szCs w:val="18"/>
              </w:rPr>
              <w:t xml:space="preserve">£20 trusts — 60,000 per year</w:t>
            </w:r>
          </w:p>
        </w:tc>
      </w:tr>
      <w:tr>
        <w:tc>
          <w:tcPr>
            <w:tcW w:type="dxa" w:w="480"/>
            <w:tcBorders>
              <w:top w:val="single" w:color="C8D0DC" w:sz="1"/>
              <w:left w:val="single" w:color="C8D0DC" w:sz="1"/>
              <w:bottom w:val="single" w:color="C8D0DC" w:sz="1"/>
              <w:right w:val="single" w:color="C8D0DC" w:sz="1"/>
            </w:tcBorders>
            <w:shd w:fill="EBF4FA" w:val="clear"/>
            <w:tcMar>
              <w:top w:type="dxa" w:w="90"/>
              <w:left w:type="dxa" w:w="130"/>
              <w:bottom w:type="dxa" w:w="90"/>
              <w:right w:type="dxa" w:w="130"/>
            </w:tcMar>
          </w:tcPr>
          <w:p>
            <w:pPr>
              <w:jc w:val="center"/>
            </w:pPr>
            <w:r>
              <w:rPr>
                <w:rFonts w:ascii="Arial" w:cs="Arial" w:eastAsia="Arial" w:hAnsi="Arial"/>
                <w:b/>
                <w:bCs/>
                <w:color w:val="1B3A6B"/>
                <w:sz w:val="18"/>
                <w:szCs w:val="18"/>
              </w:rPr>
              <w:t xml:space="preserve">Yr 3</w:t>
            </w:r>
          </w:p>
        </w:tc>
        <w:tc>
          <w:tcPr>
            <w:tcW w:type="dxa" w:w="1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bCs/>
                <w:color w:val="0E7C7B"/>
                <w:sz w:val="18"/>
                <w:szCs w:val="18"/>
              </w:rPr>
              <w:t xml:space="preserve">AI CSO Assistant — Premium</w:t>
            </w:r>
          </w:p>
        </w:tc>
        <w:tc>
          <w:tcPr>
            <w:tcW w:type="dxa" w:w="348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color w:val="2E3440"/>
                <w:sz w:val="18"/>
                <w:szCs w:val="18"/>
              </w:rPr>
              <w:t xml:space="preserve">Advanced agentic AI tool with account and progress tracking</w:t>
            </w:r>
          </w:p>
        </w:tc>
        <w:tc>
          <w:tcPr>
            <w:tcW w:type="dxa" w:w="1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color w:val="2E3440"/>
                <w:sz w:val="18"/>
                <w:szCs w:val="18"/>
              </w:rPr>
              <w:t xml:space="preserve">£15 to 25 per month per user</w:t>
            </w:r>
          </w:p>
        </w:tc>
        <w:tc>
          <w:tcPr>
            <w:tcW w:type="dxa" w:w="38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color w:val="1A6B3A"/>
                <w:sz w:val="18"/>
                <w:szCs w:val="18"/>
              </w:rPr>
              <w:t xml:space="preserve">£500 users — 120,000 per year</w:t>
            </w:r>
          </w:p>
        </w:tc>
      </w:tr>
      <w:tr>
        <w:tc>
          <w:tcPr>
            <w:tcW w:type="dxa" w:w="480"/>
            <w:tcBorders>
              <w:top w:val="single" w:color="C8D0DC" w:sz="1"/>
              <w:left w:val="single" w:color="C8D0DC" w:sz="1"/>
              <w:bottom w:val="single" w:color="C8D0DC" w:sz="1"/>
              <w:right w:val="single" w:color="C8D0DC" w:sz="1"/>
            </w:tcBorders>
            <w:shd w:fill="EBF4FA" w:val="clear"/>
            <w:tcMar>
              <w:top w:type="dxa" w:w="90"/>
              <w:left w:type="dxa" w:w="130"/>
              <w:bottom w:type="dxa" w:w="90"/>
              <w:right w:type="dxa" w:w="130"/>
            </w:tcMar>
          </w:tcPr>
          <w:p>
            <w:pPr>
              <w:jc w:val="center"/>
            </w:pPr>
            <w:r>
              <w:rPr>
                <w:rFonts w:ascii="Arial" w:cs="Arial" w:eastAsia="Arial" w:hAnsi="Arial"/>
                <w:b/>
                <w:bCs/>
                <w:color w:val="1B3A6B"/>
                <w:sz w:val="18"/>
                <w:szCs w:val="18"/>
              </w:rPr>
              <w:t xml:space="preserve">Yr 3</w:t>
            </w:r>
          </w:p>
        </w:tc>
        <w:tc>
          <w:tcPr>
            <w:tcW w:type="dxa" w:w="1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bCs/>
                <w:color w:val="0E7C7B"/>
                <w:sz w:val="18"/>
                <w:szCs w:val="18"/>
              </w:rPr>
              <w:t xml:space="preserve">Big Tech Consulting</w:t>
            </w:r>
          </w:p>
        </w:tc>
        <w:tc>
          <w:tcPr>
            <w:tcW w:type="dxa" w:w="348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color w:val="2E3440"/>
                <w:sz w:val="18"/>
                <w:szCs w:val="18"/>
              </w:rPr>
              <w:t xml:space="preserve">Clinical AI advisory for Google, Microsoft, DeepMind</w:t>
            </w:r>
          </w:p>
        </w:tc>
        <w:tc>
          <w:tcPr>
            <w:tcW w:type="dxa" w:w="18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color w:val="2E3440"/>
                <w:sz w:val="18"/>
                <w:szCs w:val="18"/>
              </w:rPr>
              <w:t xml:space="preserve">£1,500 to 2,500 per day</w:t>
            </w:r>
          </w:p>
        </w:tc>
        <w:tc>
          <w:tcPr>
            <w:tcW w:type="dxa" w:w="380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color w:val="1A6B3A"/>
                <w:sz w:val="18"/>
                <w:szCs w:val="18"/>
              </w:rPr>
              <w:t xml:space="preserve">£40 days — 80,000 per year</w:t>
            </w:r>
          </w:p>
        </w:tc>
      </w:tr>
    </w:tbl>
    <w:p>
      <w:pPr>
        <w:spacing w:after="40" w:before="4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EBF4FA" w:val="clear"/>
            <w:tcMar>
              <w:top w:type="dxa" w:w="120"/>
              <w:left w:type="dxa" w:w="180"/>
              <w:bottom w:type="dxa" w:w="120"/>
              <w:right w:type="dxa" w:w="180"/>
            </w:tcMar>
          </w:tcPr>
          <w:p>
            <w:r>
              <w:rPr>
                <w:rFonts w:ascii="Arial" w:cs="Arial" w:eastAsia="Arial" w:hAnsi="Arial"/>
                <w:b/>
                <w:bCs/>
                <w:color w:val="1A6B3A"/>
                <w:sz w:val="22"/>
                <w:szCs w:val="22"/>
              </w:rPr>
              <w:t xml:space="preserve">3-Year Financial Summary — Conservative Estimate</w:t>
            </w:r>
          </w:p>
          <w:p>
            <w:pPr>
              <w:spacing w:before="35"/>
            </w:pPr>
            <w:r>
              <w:rPr>
                <w:rFonts w:ascii="Arial" w:cs="Arial" w:eastAsia="Arial" w:hAnsi="Arial"/>
                <w:color w:val="2E3440"/>
                <w:sz w:val="20"/>
                <w:szCs w:val="20"/>
              </w:rPr>
              <w:t xml:space="preserve">Year 1 additional income: 72,000 (on top of NHS salary)</w:t>
            </w:r>
          </w:p>
          <w:p>
            <w:pPr>
              <w:spacing w:before="35"/>
            </w:pPr>
            <w:r>
              <w:rPr>
                <w:rFonts w:ascii="Arial" w:cs="Arial" w:eastAsia="Arial" w:hAnsi="Arial"/>
                <w:color w:val="2E3440"/>
                <w:sz w:val="20"/>
                <w:szCs w:val="20"/>
              </w:rPr>
              <w:t xml:space="preserve">Year 2 additional income: 156,000 (on top of NHS salary)</w:t>
            </w:r>
          </w:p>
          <w:p>
            <w:pPr>
              <w:spacing w:before="35"/>
            </w:pPr>
            <w:r>
              <w:rPr>
                <w:rFonts w:ascii="Arial" w:cs="Arial" w:eastAsia="Arial" w:hAnsi="Arial"/>
                <w:color w:val="2E3440"/>
                <w:sz w:val="20"/>
                <w:szCs w:val="20"/>
              </w:rPr>
              <w:t xml:space="preserve">Year 3 additional income: 356,000 (on top of NHS salary)</w:t>
            </w:r>
          </w:p>
          <w:p>
            <w:pPr>
              <w:spacing w:before="35"/>
            </w:pPr>
            <w:r>
              <w:rPr>
                <w:rFonts w:ascii="Arial" w:cs="Arial" w:eastAsia="Arial" w:hAnsi="Arial"/>
                <w:color w:val="2E3440"/>
                <w:sz w:val="20"/>
                <w:szCs w:val="20"/>
              </w:rPr>
              <w:t xml:space="preserve"/>
            </w:r>
          </w:p>
          <w:p>
            <w:pPr>
              <w:spacing w:before="35"/>
            </w:pPr>
            <w:r>
              <w:rPr>
                <w:rFonts w:ascii="Arial" w:cs="Arial" w:eastAsia="Arial" w:hAnsi="Arial"/>
                <w:color w:val="2E3440"/>
                <w:sz w:val="20"/>
                <w:szCs w:val="20"/>
              </w:rPr>
              <w:t xml:space="preserve">Total cash invested over 3 years: approximately 600 (domain plus Squarespace)</w:t>
            </w:r>
          </w:p>
          <w:p>
            <w:pPr>
              <w:spacing w:before="35"/>
            </w:pPr>
            <w:r>
              <w:rPr>
                <w:rFonts w:ascii="Arial" w:cs="Arial" w:eastAsia="Arial" w:hAnsi="Arial"/>
                <w:color w:val="2E3440"/>
                <w:sz w:val="20"/>
                <w:szCs w:val="20"/>
              </w:rPr>
              <w:t xml:space="preserve">3-year return on investment: approximately 55,000 percent</w:t>
            </w:r>
          </w:p>
          <w:p>
            <w:pPr>
              <w:spacing w:before="35"/>
            </w:pPr>
            <w:r>
              <w:rPr>
                <w:rFonts w:ascii="Arial" w:cs="Arial" w:eastAsia="Arial" w:hAnsi="Arial"/>
                <w:color w:val="2E3440"/>
                <w:sz w:val="20"/>
                <w:szCs w:val="20"/>
              </w:rPr>
              <w:t xml:space="preserve"/>
            </w:r>
          </w:p>
          <w:p>
            <w:pPr>
              <w:spacing w:before="35"/>
            </w:pPr>
            <w:r>
              <w:rPr>
                <w:rFonts w:ascii="Arial" w:cs="Arial" w:eastAsia="Arial" w:hAnsi="Arial"/>
                <w:color w:val="2E3440"/>
                <w:sz w:val="20"/>
                <w:szCs w:val="20"/>
              </w:rPr>
              <w:t xml:space="preserve">Note: These are conservative estimates based on 2025-2026 UK clinical AI consulting market data. The actual ceiling is significantly higher if the platform achieves market leadership, which is the plan.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30"/>
              <w:left w:type="dxa" w:w="260"/>
              <w:bottom w:type="dxa" w:w="130"/>
              <w:right w:type="dxa" w:w="260"/>
            </w:tcMar>
          </w:tcPr>
          <w:p>
            <w:r>
              <w:rPr>
                <w:rFonts w:ascii="Arial" w:cs="Arial" w:eastAsia="Arial" w:hAnsi="Arial"/>
                <w:b/>
                <w:bCs/>
                <w:color w:val="FFFFFF"/>
                <w:sz w:val="26"/>
                <w:szCs w:val="26"/>
              </w:rPr>
              <w:t xml:space="preserve">SECTION 12 — THE COLLABORATION WORKFLOW AND IMMEDIATE NEXT STEPS</w:t>
            </w:r>
          </w:p>
        </w:tc>
      </w:tr>
    </w:tbl>
    <w:p>
      <w:pPr>
        <w:spacing w:after="40" w:before="40"/>
      </w:pPr>
      <w:r>
        <w:rPr>
          <w:sz w:val="20"/>
          <w:szCs w:val="20"/>
        </w:rPr>
        <w:t xml:space="preserve"> </w:t>
      </w:r>
    </w:p>
    <w:p>
      <w:pPr>
        <w:pBdr>
          <w:bottom w:val="single" w:color="0E7C7B" w:sz="3" w:space="1"/>
        </w:pBdr>
        <w:spacing w:after="80" w:before="220"/>
      </w:pPr>
      <w:r>
        <w:rPr>
          <w:rFonts w:ascii="Arial" w:cs="Arial" w:eastAsia="Arial" w:hAnsi="Arial"/>
          <w:b/>
          <w:bCs/>
          <w:color w:val="0E7C7B"/>
          <w:sz w:val="24"/>
          <w:szCs w:val="24"/>
        </w:rPr>
        <w:t xml:space="preserve">How We Work Together — The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9"/>
                <w:szCs w:val="19"/>
              </w:rPr>
              <w:t xml:space="preserve">Who</w:t>
            </w:r>
          </w:p>
        </w:tc>
        <w:tc>
          <w:tcPr>
            <w:tcW w:type="dxa" w:w="348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9"/>
                <w:szCs w:val="19"/>
              </w:rPr>
              <w:t xml:space="preserve">Contribution</w:t>
            </w:r>
          </w:p>
        </w:tc>
        <w:tc>
          <w:tcPr>
            <w:tcW w:type="dxa" w:w="3480"/>
            <w:tcBorders>
              <w:top w:val="single" w:color="C8D0DC" w:sz="1"/>
              <w:left w:val="single" w:color="C8D0DC" w:sz="1"/>
              <w:bottom w:val="single" w:color="C8D0DC" w:sz="1"/>
              <w:right w:val="single" w:color="C8D0DC" w:sz="1"/>
            </w:tcBorders>
            <w:shd w:fill="C8DFF0" w:val="clear"/>
            <w:tcMar>
              <w:top w:type="dxa" w:w="90"/>
              <w:left w:type="dxa" w:w="130"/>
              <w:bottom w:type="dxa" w:w="90"/>
              <w:right w:type="dxa" w:w="130"/>
            </w:tcMar>
          </w:tcPr>
          <w:p>
            <w:r>
              <w:rPr>
                <w:rFonts w:ascii="Arial" w:cs="Arial" w:eastAsia="Arial" w:hAnsi="Arial"/>
                <w:b/>
                <w:bCs/>
                <w:color w:val="1B3A6B"/>
                <w:sz w:val="19"/>
                <w:szCs w:val="19"/>
              </w:rPr>
              <w:t xml:space="preserve">Time Required</w:t>
            </w:r>
          </w:p>
        </w:tc>
      </w:tr>
      <w:tr>
        <w:tc>
          <w:tcPr>
            <w:tcW w:type="dxa" w:w="24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Dr Doju Cherian</w:t>
            </w:r>
          </w:p>
        </w:tc>
        <w:tc>
          <w:tcPr>
            <w:tcW w:type="dxa" w:w="348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9"/>
                <w:szCs w:val="19"/>
              </w:rPr>
              <w:t xml:space="preserve">Voice note or conversation about a module topic from real clinical experience. The raw clinical knowledge that cannot be found in any textbook.</w:t>
            </w:r>
          </w:p>
        </w:tc>
        <w:tc>
          <w:tcPr>
            <w:tcW w:type="dxa" w:w="348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20 to 30 minutes per module</w:t>
            </w:r>
          </w:p>
        </w:tc>
      </w:tr>
      <w:tr>
        <w:tc>
          <w:tcPr>
            <w:tcW w:type="dxa" w:w="24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Claude</w:t>
            </w:r>
          </w:p>
        </w:tc>
        <w:tc>
          <w:tcPr>
            <w:tcW w:type="dxa" w:w="348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9"/>
                <w:szCs w:val="19"/>
              </w:rPr>
              <w:t xml:space="preserve">Full polished module in the 7-part structure, pre-filled downloadable template, simulator specification, LinkedIn video script, LinkedIn post copy.</w:t>
            </w:r>
          </w:p>
        </w:tc>
        <w:tc>
          <w:tcPr>
            <w:tcW w:type="dxa" w:w="348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Within the same session</w:t>
            </w:r>
          </w:p>
        </w:tc>
      </w:tr>
      <w:tr>
        <w:tc>
          <w:tcPr>
            <w:tcW w:type="dxa" w:w="24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Dr Doju Cherian</w:t>
            </w:r>
          </w:p>
        </w:tc>
        <w:tc>
          <w:tcPr>
            <w:tcW w:type="dxa" w:w="348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9"/>
                <w:szCs w:val="19"/>
              </w:rPr>
              <w:t xml:space="preserve">Clinical accuracy review. Personal experience added. Final approval.</w:t>
            </w:r>
          </w:p>
        </w:tc>
        <w:tc>
          <w:tcPr>
            <w:tcW w:type="dxa" w:w="348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10 to 15 minutes per module</w:t>
            </w:r>
          </w:p>
        </w:tc>
      </w:tr>
      <w:tr>
        <w:tc>
          <w:tcPr>
            <w:tcW w:type="dxa" w:w="240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Claude</w:t>
            </w:r>
          </w:p>
        </w:tc>
        <w:tc>
          <w:tcPr>
            <w:tcW w:type="dxa" w:w="3480"/>
            <w:tcBorders>
              <w:top w:val="single" w:color="C8D0DC" w:sz="1"/>
              <w:left w:val="single" w:color="C8D0DC" w:sz="1"/>
              <w:bottom w:val="single" w:color="C8D0DC" w:sz="1"/>
              <w:right w:val="single" w:color="C8D0DC" w:sz="1"/>
            </w:tcBorders>
            <w:shd w:fill="F4F6FA" w:val="clear"/>
            <w:tcMar>
              <w:top w:type="dxa" w:w="90"/>
              <w:left w:type="dxa" w:w="130"/>
              <w:bottom w:type="dxa" w:w="90"/>
              <w:right w:type="dxa" w:w="130"/>
            </w:tcMar>
          </w:tcPr>
          <w:p>
            <w:r>
              <w:rPr>
                <w:rFonts w:ascii="Arial" w:cs="Arial" w:eastAsia="Arial" w:hAnsi="Arial"/>
                <w:b w:val="false"/>
                <w:bCs w:val="false"/>
                <w:color w:val="2E3440"/>
                <w:sz w:val="19"/>
                <w:szCs w:val="19"/>
              </w:rPr>
              <w:t xml:space="preserve">SEO optimisation, formatting for Squarespace, embedding instructions for simulator.</w:t>
            </w:r>
          </w:p>
        </w:tc>
        <w:tc>
          <w:tcPr>
            <w:tcW w:type="dxa" w:w="3480"/>
            <w:tcBorders>
              <w:top w:val="single" w:color="C8D0DC" w:sz="1"/>
              <w:left w:val="single" w:color="C8D0DC" w:sz="1"/>
              <w:bottom w:val="single" w:color="C8D0DC" w:sz="1"/>
              <w:right w:val="single" w:color="C8D0DC" w:sz="1"/>
            </w:tcBorders>
            <w:shd w:fill="FFFFFF" w:val="clear"/>
            <w:tcMar>
              <w:top w:type="dxa" w:w="90"/>
              <w:left w:type="dxa" w:w="130"/>
              <w:bottom w:type="dxa" w:w="90"/>
              <w:right w:type="dxa" w:w="130"/>
            </w:tcMar>
          </w:tcPr>
          <w:p>
            <w:r>
              <w:rPr>
                <w:rFonts w:ascii="Arial" w:cs="Arial" w:eastAsia="Arial" w:hAnsi="Arial"/>
                <w:b w:val="false"/>
                <w:bCs w:val="false"/>
                <w:color w:val="2E3440"/>
                <w:sz w:val="19"/>
                <w:szCs w:val="19"/>
              </w:rPr>
              <w:t xml:space="preserve">Within the same session</w:t>
            </w:r>
          </w:p>
        </w:tc>
      </w:tr>
    </w:tbl>
    <w:p>
      <w:pPr>
        <w:spacing w:after="30" w:before="3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EBF4FA" w:val="clear"/>
            <w:tcMar>
              <w:top w:type="dxa" w:w="120"/>
              <w:left w:type="dxa" w:w="180"/>
              <w:bottom w:type="dxa" w:w="120"/>
              <w:right w:type="dxa" w:w="180"/>
            </w:tcMar>
          </w:tcPr>
          <w:p>
            <w:r>
              <w:rPr>
                <w:rFonts w:ascii="Arial" w:cs="Arial" w:eastAsia="Arial" w:hAnsi="Arial"/>
                <w:b/>
                <w:bCs/>
                <w:color w:val="1B3A6B"/>
                <w:sz w:val="22"/>
                <w:szCs w:val="22"/>
              </w:rPr>
              <w:t xml:space="preserve">The Rule</w:t>
            </w:r>
          </w:p>
          <w:p>
            <w:pPr>
              <w:spacing w:before="35"/>
            </w:pPr>
            <w:r>
              <w:rPr>
                <w:rFonts w:ascii="Arial" w:cs="Arial" w:eastAsia="Arial" w:hAnsi="Arial"/>
                <w:color w:val="2E3440"/>
                <w:sz w:val="20"/>
                <w:szCs w:val="20"/>
              </w:rPr>
              <w:t xml:space="preserve">Never move to the next module until the previous one is complete and published. Build sequentially. Quality over speed. One published module that CSOs share is worth ten draft modules that do not exist yet.</w:t>
            </w:r>
          </w:p>
        </w:tc>
      </w:tr>
    </w:tbl>
    <w:p>
      <w:pPr>
        <w:spacing w:after="40" w:before="40"/>
      </w:pPr>
      <w:r>
        <w:rPr>
          <w:sz w:val="20"/>
          <w:szCs w:val="20"/>
        </w:rPr>
        <w:t xml:space="preserve"> </w:t>
      </w:r>
    </w:p>
    <w:p>
      <w:pPr>
        <w:pBdr>
          <w:bottom w:val="single" w:color="0E7C7B" w:sz="3" w:space="1"/>
        </w:pBdr>
        <w:spacing w:after="80" w:before="220"/>
      </w:pPr>
      <w:r>
        <w:rPr>
          <w:rFonts w:ascii="Arial" w:cs="Arial" w:eastAsia="Arial" w:hAnsi="Arial"/>
          <w:b/>
          <w:bCs/>
          <w:color w:val="0E7C7B"/>
          <w:sz w:val="24"/>
          <w:szCs w:val="24"/>
        </w:rPr>
        <w:t xml:space="preserve">Immediate Next Steps — This Week</w:t>
      </w:r>
    </w:p>
    <w:p>
      <w:pPr>
        <w:spacing w:after="20" w:before="20"/>
      </w:pPr>
      <w:r>
        <w:rPr>
          <w:sz w:val="20"/>
          <w:szCs w:val="20"/>
        </w:rPr>
        <w:t xml:space="preserve"> </w:t>
      </w:r>
    </w:p>
    <w:p>
      <w:pPr>
        <w:pStyle w:val="ListParagraph"/>
        <w:numPr>
          <w:ilvl w:val="0"/>
          <w:numId w:val="3"/>
        </w:numPr>
        <w:spacing w:after="40" w:before="40"/>
      </w:pPr>
      <w:r>
        <w:rPr>
          <w:rFonts w:ascii="Arial" w:cs="Arial" w:eastAsia="Arial" w:hAnsi="Arial"/>
          <w:color w:val="2E3440"/>
          <w:sz w:val="22"/>
          <w:szCs w:val="22"/>
        </w:rPr>
        <w:t xml:space="preserve">Check availability of clinicalaisafety.co.uk. If taken, check csoguide.co.uk and practicalcso.co.uk.</w:t>
      </w:r>
    </w:p>
    <w:p>
      <w:pPr>
        <w:pStyle w:val="ListParagraph"/>
        <w:numPr>
          <w:ilvl w:val="0"/>
          <w:numId w:val="3"/>
        </w:numPr>
        <w:spacing w:after="40" w:before="40"/>
      </w:pPr>
      <w:r>
        <w:rPr>
          <w:rFonts w:ascii="Arial" w:cs="Arial" w:eastAsia="Arial" w:hAnsi="Arial"/>
          <w:color w:val="2E3440"/>
          <w:sz w:val="22"/>
          <w:szCs w:val="22"/>
        </w:rPr>
        <w:t xml:space="preserve">Register dojucherian.com alongside the primary domain.</w:t>
      </w:r>
    </w:p>
    <w:p>
      <w:pPr>
        <w:pStyle w:val="ListParagraph"/>
        <w:numPr>
          <w:ilvl w:val="0"/>
          <w:numId w:val="3"/>
        </w:numPr>
        <w:spacing w:after="40" w:before="40"/>
      </w:pPr>
      <w:r>
        <w:rPr>
          <w:rFonts w:ascii="Arial" w:cs="Arial" w:eastAsia="Arial" w:hAnsi="Arial"/>
          <w:color w:val="2E3440"/>
          <w:sz w:val="22"/>
          <w:szCs w:val="22"/>
        </w:rPr>
        <w:t xml:space="preserve">Set up Squarespace account — Claude will guide through every step in one session. Takes one afternoon.</w:t>
      </w:r>
    </w:p>
    <w:p>
      <w:pPr>
        <w:pStyle w:val="ListParagraph"/>
        <w:numPr>
          <w:ilvl w:val="0"/>
          <w:numId w:val="3"/>
        </w:numPr>
        <w:spacing w:after="40" w:before="40"/>
      </w:pPr>
      <w:r>
        <w:rPr>
          <w:rFonts w:ascii="Arial" w:cs="Arial" w:eastAsia="Arial" w:hAnsi="Arial"/>
          <w:color w:val="2E3440"/>
          <w:sz w:val="22"/>
          <w:szCs w:val="22"/>
        </w:rPr>
        <w:t xml:space="preserve">Record a 20-minute voice note on Module 5: What writing a hazard log in practice actually felt like versus what the certification taught. This is the launch module.</w:t>
      </w:r>
    </w:p>
    <w:p>
      <w:pPr>
        <w:pStyle w:val="ListParagraph"/>
        <w:numPr>
          <w:ilvl w:val="0"/>
          <w:numId w:val="3"/>
        </w:numPr>
        <w:spacing w:after="40" w:before="40"/>
      </w:pPr>
      <w:r>
        <w:rPr>
          <w:rFonts w:ascii="Arial" w:cs="Arial" w:eastAsia="Arial" w:hAnsi="Arial"/>
          <w:color w:val="2E3440"/>
          <w:sz w:val="22"/>
          <w:szCs w:val="22"/>
        </w:rPr>
        <w:t xml:space="preserve">Draft the LinkedIn announcement post: 'I am building the practical CSO training resource that should have existed when I got certified. Here is why.'</w:t>
      </w:r>
    </w:p>
    <w:p>
      <w:pPr>
        <w:pStyle w:val="ListParagraph"/>
        <w:numPr>
          <w:ilvl w:val="0"/>
          <w:numId w:val="3"/>
        </w:numPr>
        <w:spacing w:after="40" w:before="40"/>
      </w:pPr>
      <w:r>
        <w:rPr>
          <w:rFonts w:ascii="Arial" w:cs="Arial" w:eastAsia="Arial" w:hAnsi="Arial"/>
          <w:color w:val="2E3440"/>
          <w:sz w:val="22"/>
          <w:szCs w:val="22"/>
        </w:rPr>
        <w:t xml:space="preserve">Join the Digital Health Networks CSO Council. This is the primary community of your audience.</w:t>
      </w:r>
    </w:p>
    <w:p>
      <w:pPr>
        <w:pStyle w:val="ListParagraph"/>
        <w:numPr>
          <w:ilvl w:val="0"/>
          <w:numId w:val="3"/>
        </w:numPr>
        <w:spacing w:after="40" w:before="40"/>
      </w:pPr>
      <w:r>
        <w:rPr>
          <w:rFonts w:ascii="Arial" w:cs="Arial" w:eastAsia="Arial" w:hAnsi="Arial"/>
          <w:color w:val="2E3440"/>
          <w:sz w:val="22"/>
          <w:szCs w:val="22"/>
        </w:rPr>
        <w:t xml:space="preserve">Apply to speak at Digital Health Rewired 2026 — applications are open now.</w:t>
      </w:r>
    </w:p>
    <w:p>
      <w:pPr>
        <w:pStyle w:val="ListParagraph"/>
        <w:numPr>
          <w:ilvl w:val="0"/>
          <w:numId w:val="3"/>
        </w:numPr>
        <w:spacing w:after="40" w:before="40"/>
      </w:pPr>
      <w:r>
        <w:rPr>
          <w:rFonts w:ascii="Arial" w:cs="Arial" w:eastAsia="Arial" w:hAnsi="Arial"/>
          <w:color w:val="2E3440"/>
          <w:sz w:val="22"/>
          <w:szCs w:val="22"/>
        </w:rPr>
        <w:t xml:space="preserve">Submit feedback to the NHS England DCB standards review consultation. Establishes your presence in the policy space.</w:t>
      </w:r>
    </w:p>
    <w:p>
      <w:pPr>
        <w:spacing w:after="40" w:before="4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C" w:sz="1"/>
              <w:left w:val="single" w:color="C8D0DC" w:sz="1"/>
              <w:bottom w:val="single" w:color="C8D0DC" w:sz="1"/>
              <w:right w:val="single" w:color="C8D0DC" w:sz="1"/>
            </w:tcBorders>
            <w:shd w:fill="EBF4FA" w:val="clear"/>
            <w:tcMar>
              <w:top w:type="dxa" w:w="120"/>
              <w:left w:type="dxa" w:w="180"/>
              <w:bottom w:type="dxa" w:w="120"/>
              <w:right w:type="dxa" w:w="180"/>
            </w:tcMar>
          </w:tcPr>
          <w:p>
            <w:r>
              <w:rPr>
                <w:rFonts w:ascii="Arial" w:cs="Arial" w:eastAsia="Arial" w:hAnsi="Arial"/>
                <w:b/>
                <w:bCs/>
                <w:color w:val="1B3A6B"/>
                <w:sz w:val="22"/>
                <w:szCs w:val="22"/>
              </w:rPr>
              <w:t xml:space="preserve">The Final Word</w:t>
            </w:r>
          </w:p>
          <w:p>
            <w:pPr>
              <w:spacing w:before="35"/>
            </w:pPr>
            <w:r>
              <w:rPr>
                <w:rFonts w:ascii="Arial" w:cs="Arial" w:eastAsia="Arial" w:hAnsi="Arial"/>
                <w:color w:val="2E3440"/>
                <w:sz w:val="20"/>
                <w:szCs w:val="20"/>
              </w:rPr>
              <w:t xml:space="preserve">The NHS is deploying AI at a scale never seen before. Every deployment legally requires a DCB-compliant CSO. Most CSOs cannot do their job in practice. No practical training resource exists.</w:t>
            </w:r>
          </w:p>
          <w:p>
            <w:pPr>
              <w:spacing w:before="35"/>
            </w:pPr>
            <w:r>
              <w:rPr>
                <w:rFonts w:ascii="Arial" w:cs="Arial" w:eastAsia="Arial" w:hAnsi="Arial"/>
                <w:color w:val="2E3440"/>
                <w:sz w:val="20"/>
                <w:szCs w:val="20"/>
              </w:rPr>
              <w:t xml:space="preserve"/>
            </w:r>
          </w:p>
          <w:p>
            <w:pPr>
              <w:spacing w:before="35"/>
            </w:pPr>
            <w:r>
              <w:rPr>
                <w:rFonts w:ascii="Arial" w:cs="Arial" w:eastAsia="Arial" w:hAnsi="Arial"/>
                <w:color w:val="2E3440"/>
                <w:sz w:val="20"/>
                <w:szCs w:val="20"/>
              </w:rPr>
              <w:t xml:space="preserve">You have the clinical experience, the academic credentials, the AI expertise, and the lived experience of the training gap. Nobody else has this combination.</w:t>
            </w:r>
          </w:p>
          <w:p>
            <w:pPr>
              <w:spacing w:before="35"/>
            </w:pPr>
            <w:r>
              <w:rPr>
                <w:rFonts w:ascii="Arial" w:cs="Arial" w:eastAsia="Arial" w:hAnsi="Arial"/>
                <w:color w:val="2E3440"/>
                <w:sz w:val="20"/>
                <w:szCs w:val="20"/>
              </w:rPr>
              <w:t xml:space="preserve"/>
            </w:r>
          </w:p>
          <w:p>
            <w:pPr>
              <w:spacing w:before="35"/>
            </w:pPr>
            <w:r>
              <w:rPr>
                <w:rFonts w:ascii="Arial" w:cs="Arial" w:eastAsia="Arial" w:hAnsi="Arial"/>
                <w:color w:val="2E3440"/>
                <w:sz w:val="20"/>
                <w:szCs w:val="20"/>
              </w:rPr>
              <w:t xml:space="preserve">The window to establish this authority is now. In two years, this space will be crowded. Right now, you can own it.</w:t>
            </w:r>
          </w:p>
          <w:p>
            <w:pPr>
              <w:spacing w:before="35"/>
            </w:pPr>
            <w:r>
              <w:rPr>
                <w:rFonts w:ascii="Arial" w:cs="Arial" w:eastAsia="Arial" w:hAnsi="Arial"/>
                <w:color w:val="2E3440"/>
                <w:sz w:val="20"/>
                <w:szCs w:val="20"/>
              </w:rPr>
              <w:t xml:space="preserve"/>
            </w:r>
          </w:p>
          <w:p>
            <w:pPr>
              <w:spacing w:before="35"/>
            </w:pPr>
            <w:r>
              <w:rPr>
                <w:rFonts w:ascii="Arial" w:cs="Arial" w:eastAsia="Arial" w:hAnsi="Arial"/>
                <w:color w:val="2E3440"/>
                <w:sz w:val="20"/>
                <w:szCs w:val="20"/>
              </w:rPr>
              <w:t xml:space="preserve">Every evening spent building this instead of watching television is compounding. The TV shows will still be there. This window will not.</w:t>
            </w:r>
          </w:p>
          <w:p>
            <w:pPr>
              <w:spacing w:before="35"/>
            </w:pPr>
            <w:r>
              <w:rPr>
                <w:rFonts w:ascii="Arial" w:cs="Arial" w:eastAsia="Arial" w:hAnsi="Arial"/>
                <w:color w:val="2E3440"/>
                <w:sz w:val="20"/>
                <w:szCs w:val="20"/>
              </w:rPr>
              <w:t xml:space="preserve"/>
            </w:r>
          </w:p>
          <w:p>
            <w:pPr>
              <w:spacing w:before="35"/>
            </w:pPr>
            <w:r>
              <w:rPr>
                <w:rFonts w:ascii="Arial" w:cs="Arial" w:eastAsia="Arial" w:hAnsi="Arial"/>
                <w:color w:val="2E3440"/>
                <w:sz w:val="20"/>
                <w:szCs w:val="20"/>
              </w:rPr>
              <w:t xml:space="preserve">Let us start.</w:t>
            </w:r>
          </w:p>
          <w:p>
            <w:pPr>
              <w:spacing w:before="35"/>
            </w:pPr>
            <w:r>
              <w:rPr>
                <w:rFonts w:ascii="Arial" w:cs="Arial" w:eastAsia="Arial" w:hAnsi="Arial"/>
                <w:color w:val="2E3440"/>
                <w:sz w:val="20"/>
                <w:szCs w:val="20"/>
              </w:rPr>
              <w:t xml:space="preserve"/>
            </w:r>
          </w:p>
          <w:p>
            <w:pPr>
              <w:spacing w:before="35"/>
            </w:pPr>
            <w:r>
              <w:rPr>
                <w:rFonts w:ascii="Arial" w:cs="Arial" w:eastAsia="Arial" w:hAnsi="Arial"/>
                <w:color w:val="2E3440"/>
                <w:sz w:val="20"/>
                <w:szCs w:val="20"/>
              </w:rPr>
              <w:t xml:space="preserve">Dr Doju Cherian  |  clinicalaisafety.co.uk  |  2025</w:t>
            </w:r>
          </w:p>
        </w:tc>
      </w:tr>
    </w:tbl>
    <w:p>
      <w:pPr>
        <w:spacing w:after="100" w:before="100"/>
      </w:pPr>
      <w:r>
        <w:rPr>
          <w:sz w:val="20"/>
          <w:szCs w:val="20"/>
        </w:rPr>
        <w:t xml:space="preserve"> </w:t>
      </w:r>
    </w:p>
    <w:p>
      <w:pPr>
        <w:jc w:val="center"/>
      </w:pPr>
      <w:r>
        <w:rPr>
          <w:rFonts w:ascii="Arial" w:cs="Arial" w:eastAsia="Arial" w:hAnsi="Arial"/>
          <w:i/>
          <w:iCs/>
          <w:color w:val="7B8394"/>
          <w:sz w:val="18"/>
          <w:szCs w:val="18"/>
        </w:rPr>
        <w:t xml:space="preserve">THE COMPLETE CSO DIGITAL CURRICULUM — FINAL EDITION  |  Dr Doju Cherian  |  clinicalaisafety.co.uk</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B8394"/>
        <w:sz w:val="16"/>
        <w:szCs w:val="16"/>
      </w:rPr>
      <w:t xml:space="preserve">Independent educational resource — not affiliated with NHS England or any regulatory body  |  © Dr Doju Cherian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7200"/>
      <w:gridCol w:w="3024"/>
    </w:tblGrid>
    <w:tr>
      <w:tc>
        <w:tcPr>
          <w:tcW w:type="dxa" w:w="7200"/>
          <w:tcBorders>
            <w:top w:val="none" w:color="FFFFFF" w:sz="0"/>
            <w:left w:val="none" w:color="FFFFFF" w:sz="0"/>
            <w:bottom w:val="none" w:color="FFFFFF" w:sz="0"/>
            <w:right w:val="none" w:color="FFFFFF" w:sz="0"/>
          </w:tcBorders>
          <w:shd w:fill="1B3A6B" w:val="clear"/>
          <w:tcMar>
            <w:top w:type="dxa" w:w="70"/>
            <w:left w:type="dxa" w:w="180"/>
            <w:bottom w:type="dxa" w:w="70"/>
            <w:right w:type="dxa" w:w="180"/>
          </w:tcMar>
        </w:tcPr>
        <w:p>
          <w:r>
            <w:rPr>
              <w:rFonts w:ascii="Arial" w:cs="Arial" w:eastAsia="Arial" w:hAnsi="Arial"/>
              <w:b/>
              <w:bCs/>
              <w:color w:val="FFFFFF"/>
              <w:sz w:val="18"/>
              <w:szCs w:val="18"/>
            </w:rPr>
            <w:t xml:space="preserve">THE COMPLETE CSO DIGITAL CURRICULUM — FINAL EDITION  |  Dr Doju Cherian</w:t>
          </w:r>
        </w:p>
      </w:tc>
      <w:tc>
        <w:tcPr>
          <w:tcW w:type="dxa" w:w="3024"/>
          <w:tcBorders>
            <w:top w:val="none" w:color="FFFFFF" w:sz="0"/>
            <w:left w:val="none" w:color="FFFFFF" w:sz="0"/>
            <w:bottom w:val="none" w:color="FFFFFF" w:sz="0"/>
            <w:right w:val="none" w:color="FFFFFF" w:sz="0"/>
          </w:tcBorders>
          <w:shd w:fill="0E7C7B" w:val="clear"/>
          <w:tcMar>
            <w:top w:type="dxa" w:w="70"/>
            <w:left w:type="dxa" w:w="180"/>
            <w:bottom w:type="dxa" w:w="70"/>
            <w:right w:type="dxa" w:w="180"/>
          </w:tcMar>
        </w:tcPr>
        <w:p>
          <w:pPr>
            <w:jc w:val="right"/>
          </w:pPr>
          <w:r>
            <w:rPr>
              <w:rFonts w:ascii="Arial" w:cs="Arial" w:eastAsia="Arial" w:hAnsi="Arial"/>
              <w:color w:val="FFFFFF"/>
              <w:sz w:val="17"/>
              <w:szCs w:val="17"/>
            </w:rPr>
            <w:t xml:space="preserve">clinicalaisafety.co.uk  |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40" w:before="300"/>
      <w:outlineLvl w:val="0"/>
    </w:pPr>
    <w:rPr>
      <w:rFonts w:ascii="Arial" w:cs="Arial" w:eastAsia="Arial" w:hAnsi="Arial"/>
      <w:b/>
      <w:bCs/>
      <w:color w:val="1B3A6B"/>
      <w:sz w:val="34"/>
      <w:szCs w:val="34"/>
    </w:rPr>
  </w:style>
  <w:style w:type="paragraph" w:styleId="Heading2">
    <w:name w:val="Heading 2"/>
    <w:basedOn w:val="Normal"/>
    <w:next w:val="Normal"/>
    <w:pPr>
      <w:spacing w:after="100" w:before="220"/>
      <w:outlineLvl w:val="1"/>
    </w:pPr>
    <w:rPr>
      <w:rFonts w:ascii="Arial" w:cs="Arial" w:eastAsia="Arial" w:hAnsi="Arial"/>
      <w:b/>
      <w:bCs/>
      <w:color w:val="0E7C7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2026-04-24T18:59:52.452Z</dcterms:created>
  <dcterms:modified xsi:type="dcterms:W3CDTF">2026-04-24T18:59:52.453Z</dcterms:modified>
</cp:coreProperties>
</file>

<file path=docProps/custom.xml><?xml version="1.0" encoding="utf-8"?>
<Properties xmlns="http://schemas.openxmlformats.org/officeDocument/2006/custom-properties" xmlns:vt="http://schemas.openxmlformats.org/officeDocument/2006/docPropsVTypes"/>
</file>