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 Memorial Hermann — Perihilar cholangiocarcinoma Standard / Guidance-Aligned Transplant Protocol</w:t>
      </w:r>
    </w:p>
    <w:p>
      <w:pPr>
        <w:pStyle w:val="Normal"/>
        <w:widowControl/>
      </w:pPr>
      <w:r>
        <w:t xml:space="preserve">Complete clinical-operational draft. Standard policy and nonstandard guidance categories are identified separately; local changes require institutional ratification. No experimental pathway is activated by this update.</w:t>
      </w:r>
    </w:p>
    <w:p>
      <w:pPr>
        <w:pStyle w:val="Normal"/>
        <w:widowControl/>
      </w:pPr>
      <w:r>
        <w:t xml:space="preserve">Version 12  |  Revised 2026-10-25 04:54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iZGQyNjc5MS0yMDlkLTVmMGItOTgwMC1kMzMxOTBmZTAxZDc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iZGQyNjc5MS0yMDlkLTVmMGItOTgwMC1kMzMxOTBmZTAxZDciIHRpbWVzdGFtcD0iMTc5MjkyMTA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Clinical pathway and allocation requirements</w:t>
      </w:r>
    </w:p>
    <w:p>
      <w:pPr>
        <w:pStyle w:val="Normal"/>
        <w:widowControl/>
      </w:pPr>
      <w:r>
        <w:t xml:space="preserve">STANDARDIZED EXCEPTION PATHWAY. Hilar/perihilar CCA qualifies only when the transplant program has an OPTN-approved written protocol and the candidate meets every requirement in Policy 9.5.A. For adults, the standardized score is MMaT-3.</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iZGQyNjc5MS0yMDlkLTVmMGItOTgwMC1kMzMxOTBmZTAxZDc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iZGQyNjc5MS0yMDlkLTVmMGItOTgwMC1kMzMxOTBmZTAxZDciIHRpbWVzdGFtcD0iMTc5MjkyMTA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Policy posting checked 24 October 2026: OPTN policy effective 1 October 2026 and transplant-oncology NLRB guidance December 2025. HCC and qualifying pCCA have standardized policy routes; iCCA, CRLM, NET, HEHE and HCA use nonstandard review. NLRB guidance is not OPTN policy or a clinical standard. Clinical candidacy, exception approval, donor clearance and research authorization are separate. Recheck the live source before submission.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iZGQyNjc5MS0yMDlkLTVmMGItOTgwMC1kMzMxOTBmZTAxZDc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JiZGQyNjc5MS0yMDlkLTVmMGItOTgwMC1kMzMxOTBmZTAxZDciIHRpbWVzdGFtcD0iMTc5MjkyMTA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Transperitoneal aspiration or biopsy of the primary tumor must be avoided; regional-node sampling and operative staging must follow Policy 9.5.A. All drug selection, dose, washout, immunosuppression, surveillance, donor-source, and stopping-rule decisions require current multidisciplinary review and applicable pharmacy, IRB, DSMB, institutional, and regulatory approval before clinical use.</w:t>
      </w:r>
    </w:p>
    <w:p>
      <w:pPr>
        <w:pStyle w:val="Heading2"/>
        <w:keepNext/>
        <w:widowControl/>
      </w:pPr>
      <w:r>
        <w:t xml:space="preserve">Protocol A: Standard Liver Transplant Protocol for Hilar Cholangiocarcinoma</w:t>
      </w:r>
    </w:p>
    <w:p>
      <w:pPr>
        <w:pStyle w:val="Heading3"/>
        <w:keepNext/>
        <w:widowControl/>
      </w:pPr>
      <w:r>
        <w:t xml:space="preserve">1. Patient Selection Criteria</w:t>
      </w:r>
    </w:p>
    <w:p>
      <w:pPr>
        <w:pStyle w:val="Normal"/>
        <w:widowControl/>
      </w:pPr>
      <w:r>
        <w:t xml:space="preserve">Inclusion Criteria:</w:t>
      </w:r>
    </w:p>
    <w:p>
      <w:pPr>
        <w:pStyle w:val="Normal"/>
        <w:widowControl/>
      </w:pPr>
      <w:r>
        <w:t xml:space="preserve">Size-boundary disagreement — OPEN: NCCN BTC v1.2026 EXTRA-1 footnote h and AASLD use ≤3 cm, whereas standardized OPTN CCA policy requires radial mass diameter &lt;3 cm. At exactly 3.0 cm, confirm measurement and preserve the strict allocation gate; a clinical guideline does not enlarge a standardized exception.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iZGQyNjc5MS0yMDlkLTVmMGItOTgwMC1kMzMxOTBmZTAxZDc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YmRkMjY3OTEtMjA5ZC01ZjBiLTk4MDAtZDMzMTkwZmUwMWQ3IiB0aW1lc3RhbXA9IjE3OTI5MjEw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For the standardized pCCA exception pathway, document a malignant-appearing stricture on cholangiography AND at least one policy-specified diagnostic finding: malignant biopsy/cytology; CA19-9 &gt;100 U/mL without cholangitis; aneuploidy; or a qualifying hilar mass. This is the allocation diagnostic framework; multidisciplinary clinical diagnosis and exclusion of mimics remain separate.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iZGQyNjc5MS0yMDlkLTVmMGItOTgwMC1kMzMxOTBmZTAxZDc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Malignant-appearing biliary stricture with CA 19-9 &gt;100 U/mL (in the absence of cholangitis or unstented obstructive jaundice)</w:t>
      </w:r>
    </w:p>
    <w:p>
      <w:pPr>
        <w:pStyle w:val="Normal"/>
        <w:widowControl/>
        <w:numPr>
          <w:ilvl w:val="0"/>
          <w:numId w:val="3"/>
        </w:numPr>
      </w:pPr>
      <w:r>
        <w:t xml:space="preserve">Malignant-appearing stricture with suspicious cytology and/or FISH polysomy</w:t>
      </w:r>
    </w:p>
    <w:p>
      <w:pPr>
        <w:pStyle w:val="Normal"/>
        <w:widowControl/>
        <w:numPr>
          <w:ilvl w:val="0"/>
          <w:numId w:val="3"/>
        </w:numPr>
      </w:pPr>
      <w:r>
        <w:t xml:space="preserve">Perihilar mass with imaging features consistent with CCA</w:t>
      </w:r>
    </w:p>
    <w:p>
      <w:pPr>
        <w:pStyle w:val="Normal"/>
        <w:widowControl/>
        <w:numPr>
          <w:ilvl w:val="0"/>
          <w:numId w:val="3"/>
        </w:numPr>
      </w:pPr>
      <w:r>
        <w:t xml:space="preserve">If a mass is present, it must be single and &lt;3 cm in radial diameter, measured perpendicular to the duct, for this standardized-exception pathway. Do not count longitudinal ductal extent as radial diameter. Exactly 3.0 cm requires expert measurement review and is not rounded down.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iZGQyNjc5MS0yMDlkLTVmMGItOTgwMC1kMzMxOTBmZTAxZDc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Q8L1JlY051bT48RGlzcGxheVRleHQ+W1YxMi00XTwvRGlzcGxheVRleHQ+PHJlY29yZD48cmVjLW51bWJlcj40PC9yZWMtbnVtYmVyPjxmb3JlaWduLWtleXM+PGtleSBhcHA9IkVOIiBkYi1pZD0iYmRkMjY3OTEtMjA5ZC01ZjBiLTk4MDAtZDMzMTkwZmUwMWQ3IiB0aW1lc3RhbXA9IjE3OTI5MjEwODQiPjQ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Document expert HPB and transplant assessment of R0 feasibility, ductal/vascular reconstruction, drainage/infection status and functional future liver remnant. When inadequate remnant is the only barrier, assess augmentation/PVE and reassess growth/function before declaring persistent unresectability. Reconstructible vascular involvement or need for PVE alone does not establish transplant eligibility.</w:t>
      </w:r>
      <w:r>
        <w:t xml:space="preserve"> </w:t>
      </w:r>
      <w:r>
        <w:t xml:space="preserve"> </w:t>
      </w:r>
      <w:r>
        <w:fldChar w:fldCharType="begin"/>
      </w:r>
      <w:r>
        <w:instrText xml:space="preserve"> ADDIN EN.CITE </w:instrText>
      </w:r>
      <w:r>
        <w:fldChar w:fldCharType="begin">
          <w:fldData>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iZGQyNjc5MS0yMDlkLTVmMGItOTgwMC1kMzMxOTBmZTAxZDc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No intrahepatic or extrahepatic metastases</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yLTddPC9EaXNwbGF5VGV4dD48cmVjb3JkPjxyZWMtbnVtYmVyPjc8L3JlYy1udW1iZXI+PGZvcmVpZ24ta2V5cz48a2V5IGFwcD0iRU4iIGRiLWlkPSJiZGQyNjc5MS0yMDlkLTVmMGItOTgwMC1kMzMxOTBmZTAxZDciIHRpbWVzdGFtcD0iMTc5MjkyMTA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YmRkMjY3OTEtMjA5ZC01ZjBiLTk4MDAtZDMzMTkwZmUwMWQ3IiB0aW1lc3RhbXA9IjE3OTI5MjEw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Perform EUS assessment/sampling of suspicious regional nodes before NAT without traversing the primary tumor, followed by required operative staging after NAT and before LT. A negative needle sample does not exclude all nodal disease. Proven malignant nodes or other metastatic disease stop this standard pathway. Avoid transperitoneal biopsy of the primary pCCA; an unexpected prior exposure requires specialist/policy review. The restriction is not a claim that every biopsy inevitably causes dissemination.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iZGQyNjc5MS0yMDlkLTVmMGItOTgwMC1kMzMxOTBmZTAxZDc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Q8L1JlY051bT48RGlzcGxheVRleHQ+W1YxMi00XTwvRGlzcGxheVRleHQ+PHJlY29yZD48cmVjLW51bWJlcj40PC9yZWMtbnVtYmVyPjxmb3JlaWduLWtleXM+PGtleSBhcHA9IkVOIiBkYi1pZD0iYmRkMjY3OTEtMjA5ZC01ZjBiLTk4MDAtZDMzMTkwZmUwMWQ3IiB0aW1lc3RhbXA9IjE3OTI5MjEwODQiPjQ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ECOG performance status 0–1</w:t>
      </w:r>
    </w:p>
    <w:p>
      <w:pPr>
        <w:pStyle w:val="Normal"/>
        <w:widowControl/>
        <w:numPr>
          <w:ilvl w:val="0"/>
          <w:numId w:val="3"/>
        </w:numPr>
      </w:pPr>
      <w:r>
        <w:t xml:space="preserve">Adequate organ function for transplantation candidacy</w:t>
      </w:r>
    </w:p>
    <w:p>
      <w:pPr>
        <w:pStyle w:val="Normal"/>
        <w:widowControl/>
        <w:numPr>
          <w:ilvl w:val="0"/>
          <w:numId w:val="3"/>
        </w:numPr>
      </w:pPr>
      <w:r>
        <w:t xml:space="preserve">Age ≥18 years</w:t>
      </w:r>
    </w:p>
    <w:p>
      <w:pPr>
        <w:pStyle w:val="Normal"/>
        <w:widowControl/>
      </w:pPr>
      <w:r>
        <w:t xml:space="preserve">Exclusion Criteria:</w:t>
      </w:r>
    </w:p>
    <w:p>
      <w:pPr>
        <w:pStyle w:val="Normal"/>
        <w:widowControl/>
        <w:numPr>
          <w:ilvl w:val="0"/>
          <w:numId w:val="3"/>
        </w:numPr>
      </w:pPr>
      <w:r>
        <w:t xml:space="preserve">Prior percutaneous or transperitoneal tumor biopsy (risk of peritoneal seeding)</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yLTddPC9EaXNwbGF5VGV4dD48cmVjb3JkPjxyZWMtbnVtYmVyPjc8L3JlYy1udW1iZXI+PGZvcmVpZ24ta2V5cz48a2V5IGFwcD0iRU4iIGRiLWlkPSJiZGQyNjc5MS0yMDlkLTVmMGItOTgwMC1kMzMxOTBmZTAxZDciIHRpbWVzdGFtcD0iMTc5MjkyMTA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p>
    <w:p>
      <w:pPr>
        <w:pStyle w:val="Normal"/>
        <w:widowControl/>
        <w:numPr>
          <w:ilvl w:val="0"/>
          <w:numId w:val="3"/>
        </w:numPr>
      </w:pPr>
      <w:r>
        <w:t xml:space="preserve">Prior EUS-guided FNA of the primary tumor mass</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yLTddPC9EaXNwbGF5VGV4dD48cmVjb3JkPjxyZWMtbnVtYmVyPjc8L3JlYy1udW1iZXI+PGZvcmVpZ24ta2V5cz48a2V5IGFwcD0iRU4iIGRiLWlkPSJiZGQyNjc5MS0yMDlkLTVmMGItOTgwMC1kMzMxOTBmZTAxZDciIHRpbWVzdGFtcD0iMTc5MjkyMTA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p>
    <w:p>
      <w:pPr>
        <w:pStyle w:val="Normal"/>
        <w:widowControl/>
        <w:numPr>
          <w:ilvl w:val="0"/>
          <w:numId w:val="3"/>
        </w:numPr>
      </w:pPr>
      <w:r>
        <w:t xml:space="preserve">Prior surgical violation of the tumor plane</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yLTddPC9EaXNwbGF5VGV4dD48cmVjb3JkPjxyZWMtbnVtYmVyPjc8L3JlYy1udW1iZXI+PGZvcmVpZ24ta2V5cz48a2V5IGFwcD0iRU4iIGRiLWlkPSJiZGQyNjc5MS0yMDlkLTVmMGItOTgwMC1kMzMxOTBmZTAxZDciIHRpbWVzdGFtcD0iMTc5MjkyMTA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p>
    <w:p>
      <w:pPr>
        <w:pStyle w:val="Normal"/>
        <w:widowControl/>
        <w:numPr>
          <w:ilvl w:val="0"/>
          <w:numId w:val="3"/>
        </w:numPr>
      </w:pPr>
      <w:r>
        <w:t xml:space="preserve">Prior biliary resection or attempted resection</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Mi05XTwvRGlzcGxheVRleHQ+PHJlY29yZD48cmVjLW51bWJlcj45PC9yZWMtbnVtYmVyPjxmb3JlaWduLWtleXM+PGtleSBhcHA9IkVOIiBkYi1pZD0iYmRkMjY3OTEtMjA5ZC01ZjBiLTk4MDAtZDMzMTkwZmUwMWQ3IiB0aW1lc3RhbXA9IjE3OTI5MjEw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Normal"/>
        <w:widowControl/>
        <w:numPr>
          <w:ilvl w:val="0"/>
          <w:numId w:val="3"/>
        </w:numPr>
      </w:pPr>
      <w:r>
        <w:t xml:space="preserve">Prior radiation therapy or chemotherapy for this malignancy (outside of this protocol)</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Mi05XTwvRGlzcGxheVRleHQ+PHJlY29yZD48cmVjLW51bWJlcj45PC9yZWMtbnVtYmVyPjxmb3JlaWduLWtleXM+PGtleSBhcHA9IkVOIiBkYi1pZD0iYmRkMjY3OTEtMjA5ZC01ZjBiLTk4MDAtZDMzMTkwZmUwMWQ3IiB0aW1lc3RhbXA9IjE3OTI5MjEw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Normal"/>
        <w:widowControl/>
        <w:numPr>
          <w:ilvl w:val="0"/>
          <w:numId w:val="3"/>
        </w:numPr>
      </w:pPr>
      <w:r>
        <w:t xml:space="preserve">Regional lymph node metastases on EUS-FNA</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yLTddPC9EaXNwbGF5VGV4dD48cmVjb3JkPjxyZWMtbnVtYmVyPjc8L3JlYy1udW1iZXI+PGZvcmVpZ24ta2V5cz48a2V5IGFwcD0iRU4iIGRiLWlkPSJiZGQyNjc5MS0yMDlkLTVmMGItOTgwMC1kMzMxOTBmZTAxZDciIHRpbWVzdGFtcD0iMTc5MjkyMTA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p>
    <w:p>
      <w:pPr>
        <w:pStyle w:val="Normal"/>
        <w:widowControl/>
        <w:numPr>
          <w:ilvl w:val="0"/>
          <w:numId w:val="3"/>
        </w:numPr>
      </w:pPr>
      <w:r>
        <w:t xml:space="preserve">Uncontrolled infection</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Mi05XTwvRGlzcGxheVRleHQ+PHJlY29yZD48cmVjLW51bWJlcj45PC9yZWMtbnVtYmVyPjxmb3JlaWduLWtleXM+PGtleSBhcHA9IkVOIiBkYi1pZD0iYmRkMjY3OTEtMjA5ZC01ZjBiLTk4MDAtZDMzMTkwZmUwMWQ3IiB0aW1lc3RhbXA9IjE3OTI5MjEw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Normal"/>
        <w:widowControl/>
        <w:numPr>
          <w:ilvl w:val="0"/>
          <w:numId w:val="3"/>
        </w:numPr>
      </w:pPr>
      <w:r>
        <w:t xml:space="preserve">Evidence of extrahepatic disease on cross-sectional imaging</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yLTddPC9EaXNwbGF5VGV4dD48cmVjb3JkPjxyZWMtbnVtYmVyPjc8L3JlYy1udW1iZXI+PGZvcmVpZ24ta2V5cz48a2V5IGFwcD0iRU4iIGRiLWlkPSJiZGQyNjc5MS0yMDlkLTVmMGItOTgwMC1kMzMxOTBmZTAxZDciIHRpbWVzdGFtcD0iMTc5MjkyMTA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Mi05XTwvRGlzcGxheVRleHQ+PHJlY29yZD48cmVjLW51bWJlcj45PC9yZWMtbnVtYmVyPjxmb3JlaWduLWtleXM+PGtleSBhcHA9IkVOIiBkYi1pZD0iYmRkMjY3OTEtMjA5ZC01ZjBiLTk4MDAtZDMzMTkwZmUwMWQ3IiB0aW1lc3RhbXA9IjE3OTI5MjEw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Normal"/>
        <w:widowControl/>
        <w:numPr>
          <w:ilvl w:val="0"/>
          <w:numId w:val="3"/>
        </w:numPr>
      </w:pPr>
      <w:r>
        <w:t xml:space="preserve">Hilar mass 3 cm or greater in radial diameter (see the size note in the inclusion criteria).</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iZGQyNjc5MS0yMDlkLTVmMGItOTgwMC1kMzMxOTBmZTAxZDc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Heading3"/>
        <w:keepNext/>
        <w:widowControl/>
      </w:pPr>
      <w:r>
        <w:t xml:space="preserve">2. Pre-Treatment Workup</w:t>
      </w:r>
    </w:p>
    <w:p>
      <w:pPr>
        <w:pStyle w:val="Normal"/>
        <w:widowControl/>
        <w:numPr>
          <w:ilvl w:val="0"/>
          <w:numId w:val="3"/>
        </w:numPr>
      </w:pPr>
      <w:r>
        <w:t xml:space="preserve">Multidisciplinary tumor board evaluation (transplant surgery, hepatology, medical oncology, radiation oncology, interventional radiology, pathology)</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YmRkMjY3OTEtMjA5ZC01ZjBiLTk4MDAtZDMzMTkwZmUwMWQ3IiB0aW1lc3RhbXA9IjE3OTI5MjEw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Multiphasic abdomen/pelvis CT or MRI with IV contrast (assess for vascular invasion)</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YmRkMjY3OTEtMjA5ZC01ZjBiLTk4MDAtZDMzMTkwZmUwMWQ3IiB0aW1lc3RhbXA9IjE3OTI5MjEw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Chest CT ± contrast</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YmRkMjY3OTEtMjA5ZC01ZjBiLTk4MDAtZDMzMTkwZmUwMWQ3IiB0aW1lc3RhbXA9IjE3OTI5MjEw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MRCP (preferred cholangiography)</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YmRkMjY3OTEtMjA5ZC01ZjBiLTk4MDAtZDMzMTkwZmUwMWQ3IiB0aW1lc3RhbXA9IjE3OTI5MjEw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EUS with FNA of regional lymph nodes to exclude nodal metastases</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yLTddPC9EaXNwbGF5VGV4dD48cmVjb3JkPjxyZWMtbnVtYmVyPjc8L3JlYy1udW1iZXI+PGZvcmVpZ24ta2V5cz48a2V5IGFwcD0iRU4iIGRiLWlkPSJiZGQyNjc5MS0yMDlkLTVmMGItOTgwMC1kMzMxOTBmZTAxZDciIHRpbWVzdGFtcD0iMTc5MjkyMTA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p>
    <w:p>
      <w:pPr>
        <w:pStyle w:val="Normal"/>
        <w:widowControl/>
        <w:numPr>
          <w:ilvl w:val="0"/>
          <w:numId w:val="3"/>
        </w:numPr>
      </w:pPr>
      <w:r>
        <w:t xml:space="preserve">CA 19-9 (after biliary decompression if stented)</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YmRkMjY3OTEtMjA5ZC01ZjBiLTk4MDAtZDMzMTkwZmUwMWQ3IiB0aW1lc3RhbXA9IjE3OTI5MjEw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CEA</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YmRkMjY3OTEtMjA5ZC01ZjBiLTk4MDAtZDMzMTkwZmUwMWQ3IiB0aW1lc3RhbXA9IjE3OTI5MjEw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LFTs, CBC, CMP, coagulation studies</w:t>
      </w:r>
    </w:p>
    <w:p>
      <w:pPr>
        <w:pStyle w:val="Normal"/>
        <w:widowControl/>
        <w:numPr>
          <w:ilvl w:val="0"/>
          <w:numId w:val="3"/>
        </w:numPr>
      </w:pPr>
      <w:r>
        <w:t xml:space="preserve">Serum IgG4 to rule out IgG4-related sclerosing cholangitis</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YmRkMjY3OTEtMjA5ZC01ZjBiLTk4MDAtZDMzMTkwZmUwMWQ3IiB0aW1lc3RhbXA9IjE3OTI5MjEw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Standard liver transplant evaluation (cardiac, pulmonary, psychosocial, infectious disease screening)</w:t>
      </w:r>
    </w:p>
    <w:p>
      <w:pPr>
        <w:pStyle w:val="Normal"/>
        <w:widowControl/>
        <w:numPr>
          <w:ilvl w:val="0"/>
          <w:numId w:val="3"/>
        </w:numPr>
      </w:pPr>
      <w:r>
        <w:t xml:space="preserve">Biliary drainage if indicated for jaundice</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YmRkMjY3OTEtMjA5ZC01ZjBiLTk4MDAtZDMzMTkwZmUwMWQ3IiB0aW1lc3RhbXA9IjE3OTI5MjEw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Obtain comprehensive molecular profiling when it will guide management, using a sampling strategy that preserves transplant options. Restriction of systemic therapy outside the approved transplant NAT plan is an institutional rule requiring formal review, not an NCCN-defined universal permanent exclusion. Do not initiate targeted therapy or immunotherapy within the LT pathway without approved oncology/transplant/pharmacy review.</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YmRkMjY3OTEtMjA5ZC01ZjBiLTk4MDAtZDMzMTkwZmUwMWQ3IiB0aW1lc3RhbXA9IjE3OTI5MjEw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Heading3"/>
        <w:keepNext/>
        <w:widowControl/>
      </w:pPr>
      <w:r>
        <w:t xml:space="preserve">3. Neoadjuvant Chemoradiation Protocol (Mayo Clinic Protocol)</w:t>
      </w:r>
    </w:p>
    <w:p>
      <w:pPr>
        <w:pStyle w:val="Normal"/>
        <w:widowControl/>
      </w:pPr>
      <w:r>
        <w:t xml:space="preserve">Phase 1: External Beam Radiation Therapy (EBRT) with Concurrent Chemotherapy</w:t>
      </w:r>
    </w:p>
    <w:p>
      <w:pPr>
        <w:pStyle w:val="Normal"/>
        <w:widowControl/>
        <w:numPr>
          <w:ilvl w:val="0"/>
          <w:numId w:val="3"/>
        </w:numPr>
      </w:pPr>
      <w:r>
        <w:t xml:space="preserve">Before neoadjuvant treatment, radiation oncology and oncology/pharmacy must approve one complete named prescription covering EBRT dose/fractions, radiosensitization, any brachytherapy/boost, maintenance therapy, dose modification and stopping rules. Do not combine isolated doses from different published protocols. Alternatives require explicit protocol approval.</w:t>
      </w:r>
      <w:r>
        <w:t xml:space="preserve"> </w:t>
      </w:r>
      <w:r>
        <w:t xml:space="preserve"> </w:t>
      </w:r>
      <w:r>
        <w:fldChar w:fldCharType="begin"/>
      </w:r>
      <w:r>
        <w:instrText xml:space="preserve"> ADDIN EN.CITE </w:instrText>
      </w:r>
      <w:r>
        <w:fldChar w:fldCharType="begin">
          <w:fldData>PEVuZE5vdGU+PENpdGU+PEF1dGhvcj5UYW48L0F1dGhvcj48WWVhcj4yMDIwPC9ZZWFyPjxSZWNOdW0+MTA8L1JlY051bT48RGlzcGxheVRleHQ+W1YxMi0xMF08L0Rpc3BsYXlUZXh0PjxyZWNvcmQ+PHJlYy1udW1iZXI+MTA8L3JlYy1udW1iZXI+PGZvcmVpZ24ta2V5cz48a2V5IGFwcD0iRU4iIGRiLWlkPSJiZGQyNjc5MS0yMDlkLTVmMGItOTgwMC1kMzMxOTBmZTAxZDciIHRpbWVzdGFtcD0iMTc5MjkyMTA4NCI+MTA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iZGQyNjc5MS0yMDlkLTVmMGItOTgwMC1kMzMxOTBmZTAxZDc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Concurrent IV 5-fluorouracil as a radiosensitizer during EBRT</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yLTddPC9EaXNwbGF5VGV4dD48cmVjb3JkPjxyZWMtbnVtYmVyPjc8L3JlYy1udW1iZXI+PGZvcmVpZ24ta2V5cz48a2V5IGFwcD0iRU4iIGRiLWlkPSJiZGQyNjc5MS0yMDlkLTVmMGItOTgwMC1kMzMxOTBmZTAxZDciIHRpbWVzdGFtcD0iMTc5MjkyMTA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Mi05XTwvRGlzcGxheVRleHQ+PHJlY29yZD48cmVjLW51bWJlcj45PC9yZWMtbnVtYmVyPjxmb3JlaWduLWtleXM+PGtleSBhcHA9IkVOIiBkYi1pZD0iYmRkMjY3OTEtMjA5ZC01ZjBiLTk4MDAtZDMzMTkwZmUwMWQ3IiB0aW1lc3RhbXA9IjE3OTI5MjEw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Normal"/>
        <w:widowControl/>
      </w:pPr>
      <w:r>
        <w:t xml:space="preserve">Phase 2: Brachytherapy</w:t>
      </w:r>
    </w:p>
    <w:p>
      <w:pPr>
        <w:pStyle w:val="Normal"/>
        <w:widowControl/>
        <w:numPr>
          <w:ilvl w:val="0"/>
          <w:numId w:val="3"/>
        </w:numPr>
      </w:pPr>
      <w:r>
        <w:t xml:space="preserve">If the approved Mayo-style prescription uses intraluminal brachytherapy or another boost, confirm the complete radiation plan, catheter access, constraints and dose with radiation oncology. An omitted or substituted component requires a named approved alternative; this summary is not the radiation order.</w:t>
      </w:r>
      <w:r>
        <w:t xml:space="preserve"> </w:t>
      </w:r>
      <w:r>
        <w:t xml:space="preserve"> </w:t>
      </w:r>
      <w:r>
        <w:fldChar w:fldCharType="begin"/>
      </w:r>
      <w:r>
        <w:instrText xml:space="preserve"> ADDIN EN.CITE </w:instrText>
      </w:r>
      <w:r>
        <w:fldChar w:fldCharType="begin">
          <w:fldData>PEVuZE5vdGU+PENpdGU+PEF1dGhvcj5UYW48L0F1dGhvcj48WWVhcj4yMDIwPC9ZZWFyPjxSZWNOdW0+MTA8L1JlY051bT48RGlzcGxheVRleHQ+W1YxMi0xMF08L0Rpc3BsYXlUZXh0PjxyZWNvcmQ+PHJlYy1udW1iZXI+MTA8L3JlYy1udW1iZXI+PGZvcmVpZ24ta2V5cz48a2V5IGFwcD0iRU4iIGRiLWlkPSJiZGQyNjc5MS0yMDlkLTVmMGItOTgwMC1kMzMxOTBmZTAxZDciIHRpbWVzdGFtcD0iMTc5MjkyMTA4NCI+MTA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iZGQyNjc5MS0yMDlkLTVmMGItOTgwMC1kMzMxOTBmZTAxZDc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pPr>
      <w:r>
        <w:t xml:space="preserve">Phase 3: Maintenance Chemotherapy</w:t>
      </w:r>
    </w:p>
    <w:p>
      <w:pPr>
        <w:pStyle w:val="Normal"/>
        <w:widowControl/>
        <w:numPr>
          <w:ilvl w:val="0"/>
          <w:numId w:val="3"/>
        </w:numPr>
      </w:pPr>
      <w:r>
        <w:t xml:space="preserve">Oral capecitabine until the time of transplantation</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yLTddPC9EaXNwbGF5VGV4dD48cmVjb3JkPjxyZWMtbnVtYmVyPjc8L3JlYy1udW1iZXI+PGZvcmVpZ24ta2V5cz48a2V5IGFwcD0iRU4iIGRiLWlkPSJiZGQyNjc5MS0yMDlkLTVmMGItOTgwMC1kMzMxOTBmZTAxZDciIHRpbWVzdGFtcD0iMTc5MjkyMTA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Mi05XTwvRGlzcGxheVRleHQ+PHJlY29yZD48cmVjLW51bWJlcj45PC9yZWMtbnVtYmVyPjxmb3JlaWduLWtleXM+PGtleSBhcHA9IkVOIiBkYi1pZD0iYmRkMjY3OTEtMjA5ZC01ZjBiLTk4MDAtZDMzMTkwZmUwMWQ3IiB0aW1lc3RhbXA9IjE3OTI5MjEw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Heading3"/>
        <w:widowControl/>
        <w:keepNext/>
      </w:pPr>
      <w:r>
        <w:t xml:space="preserve">Systemic treatment evidence and transplant boundaries</w:t>
      </w:r>
    </w:p>
    <w:p>
      <w:pPr>
        <w:pStyle w:val="Normal"/>
        <w:widowControl/>
        <w:spacing w:after="120"/>
      </w:pPr>
      <w:r>
        <w:t xml:space="preserve">These systemic studies inform advanced biliary cancer care, not the established pCCA transplant-neoadjuvant regimen. Preserve biopsy-route precautions and existing staging, neoadjuvant and operative gates. ICI exposure requires prospective transplant safety review.</w:t>
      </w:r>
    </w:p>
    <w:p>
      <w:pPr>
        <w:pStyle w:val="Heading4"/>
        <w:widowControl/>
        <w:keepNext/>
      </w:pPr>
      <w:r>
        <w:t xml:space="preserve">ASCO BTC living guideline 2026.1.0</w:t>
      </w:r>
    </w:p>
    <w:p>
      <w:pPr>
        <w:pStyle w:val="Normal"/>
        <w:widowControl/>
        <w:spacing w:after="120"/>
      </w:pPr>
      <w: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r>
        <w:t xml:space="preserve"> </w:t>
      </w:r>
      <w:r>
        <w:fldChar w:fldCharType="begin"/>
      </w:r>
      <w:r>
        <w:instrText xml:space="preserve"> ADDIN EN.CITE </w:instrText>
      </w:r>
      <w:r>
        <w:fldChar w:fldCharType="begin">
          <w:fldData>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</w:fldData>
        </w:fldChar>
      </w:r>
      <w:r>
        <w:instrText xml:space="preserve"> ADDIN EN.CITE.DATA </w:instrText>
      </w:r>
      <w:r>
        <w:fldChar w:fldCharType="end"/>
      </w:r>
      <w:r>
        <w:fldChar w:fldCharType="separate"/>
      </w:r>
      <w:r>
        <w:t xml:space="preserve">[V12-28]</w:t>
      </w:r>
      <w:r>
        <w:fldChar w:fldCharType="end"/>
      </w:r>
      <w:r>
        <w:br/>
      </w:r>
      <w:hyperlink r:id="rId128">
        <w:r>
          <w:rPr>
            <w:color w:val="0563C1"/>
            <w:u w:val="single"/>
          </w:rPr>
          <w:t>Source</w:t>
        </w:r>
      </w:hyperlink>
      <w:r>
        <w:t xml:space="preserve"> · </w:t>
      </w:r>
      <w:hyperlink r:id="rId129">
        <w:r>
          <w:rPr>
            <w:color w:val="0563C1"/>
            <w:u w:val="single"/>
          </w:rPr>
          <w:t>PDF</w:t>
        </w:r>
      </w:hyperlink>
    </w:p>
    <w:p>
      <w:pPr>
        <w:pStyle w:val="Heading4"/>
        <w:widowControl/>
        <w:keepNext/>
      </w:pPr>
      <w:r>
        <w:t xml:space="preserve">NALIRICC: negative BTC randomized trial</w:t>
      </w:r>
    </w:p>
    <w:p>
      <w:pPr>
        <w:pStyle w:val="Normal"/>
        <w:widowControl/>
        <w:spacing w:after="120"/>
      </w:pPr>
      <w:r>
        <w:t xml:space="preserve">Show NALIRICC alongside NIFTY. Do not call nal-IRI/5-FU an unqualified preferred second-line BTC regimen. Consider only a qualified alternative after target review, especially if oxaliplatin is unsuitable, with explicit benefit/toxicity discussion.</w:t>
      </w:r>
      <w:r>
        <w:t xml:space="preserve"> </w:t>
      </w:r>
      <w:r>
        <w:fldChar w:fldCharType="begin"/>
      </w:r>
      <w:r>
        <w:instrText xml:space="preserve"> ADDIN EN.CITE </w:instrText>
      </w:r>
      <w:r>
        <w:fldChar w:fldCharType="begin">
          <w:fldData>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</w:fldData>
        </w:fldChar>
      </w:r>
      <w:r>
        <w:instrText xml:space="preserve"> ADDIN EN.CITE.DATA </w:instrText>
      </w:r>
      <w:r>
        <w:fldChar w:fldCharType="end"/>
      </w:r>
      <w:r>
        <w:fldChar w:fldCharType="separate"/>
      </w:r>
      <w:r>
        <w:t xml:space="preserve">[V12-29]</w:t>
      </w:r>
      <w:r>
        <w:fldChar w:fldCharType="end"/>
      </w:r>
      <w:r>
        <w:br/>
      </w:r>
      <w:hyperlink r:id="rId130">
        <w:r>
          <w:rPr>
            <w:color w:val="0563C1"/>
            <w:u w:val="single"/>
          </w:rPr>
          <w:t>Source</w:t>
        </w:r>
      </w:hyperlink>
      <w:r>
        <w:t xml:space="preserve"> · </w:t>
      </w:r>
      <w:hyperlink r:id="rId131">
        <w:r>
          <w:rPr>
            <w:color w:val="0563C1"/>
            <w:u w:val="single"/>
          </w:rPr>
          <w:t>PDF</w:t>
        </w:r>
      </w:hyperlink>
    </w:p>
    <w:p>
      <w:pPr>
        <w:pStyle w:val="Normal"/>
        <w:widowControl/>
        <w:spacing w:after="120"/>
      </w:pPr>
      <w:r>
        <w:t xml:space="preserve">Treatment comparisons and detailed regimen evidence: </w:t>
      </w:r>
      <w:hyperlink r:id="rId127">
        <w:r>
          <w:rPr>
            <w:color w:val="0563C1"/>
            <w:u w:val="single"/>
          </w:rPr>
          <w:t>Cross-tumor systemic matrix</w:t>
        </w:r>
      </w:hyperlink>
    </w:p>
    <w:p>
      <w:pPr>
        <w:pStyle w:val="Heading3"/>
        <w:keepNext/>
        <w:widowControl/>
      </w:pPr>
      <w:r>
        <w:t xml:space="preserve">4. Operative Staging (Pre-Transplant)</w:t>
      </w:r>
    </w:p>
    <w:p>
      <w:pPr>
        <w:pStyle w:val="Normal"/>
        <w:widowControl/>
        <w:numPr>
          <w:ilvl w:val="0"/>
          <w:numId w:val="3"/>
        </w:numPr>
      </w:pPr>
      <w:r>
        <w:t xml:space="preserve">Staging laparoscopy/laparotomy is mandatory following completion of neoadjuvant chemoradiation and prior to liver transplantation</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yLTddPC9EaXNwbGF5VGV4dD48cmVjb3JkPjxyZWMtbnVtYmVyPjc8L3JlYy1udW1iZXI+PGZvcmVpZ24ta2V5cz48a2V5IGFwcD0iRU4iIGRiLWlkPSJiZGQyNjc5MS0yMDlkLTVmMGItOTgwMC1kMzMxOTBmZTAxZDciIHRpbWVzdGFtcD0iMTc5MjkyMTA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p>
    <w:p>
      <w:pPr>
        <w:pStyle w:val="Normal"/>
        <w:widowControl/>
        <w:numPr>
          <w:ilvl w:val="0"/>
          <w:numId w:val="3"/>
        </w:numPr>
      </w:pPr>
      <w:r>
        <w:t xml:space="preserve">Evaluate regional/perihepatic lymph nodes and suspicious peritoneal deposits with pathology. Specify frozen versus permanent-section workflow in the local surgical/pathology SOP; negative oncologic staging must be established before proceeding.</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iZGQyNjc5MS0yMDlkLTVmMGItOTgwMC1kMzMxOTBmZTAxZDc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</w:fldData>
        </w:fldChar>
      </w:r>
      <w:r>
        <w:instrText xml:space="preserve"> ADDIN EN.CITE.DATA </w:instrText>
      </w:r>
      <w:r>
        <w:fldChar w:fldCharType="end"/>
      </w:r>
      <w:r>
        <w:fldChar w:fldCharType="separate"/>
      </w:r>
      <w:r>
        <w:t xml:space="preserve">[V12-12]</w:t>
      </w:r>
      <w:r>
        <w:fldChar w:fldCharType="end"/>
      </w:r>
    </w:p>
    <w:p>
      <w:pPr>
        <w:pStyle w:val="Normal"/>
        <w:widowControl/>
        <w:numPr>
          <w:ilvl w:val="0"/>
          <w:numId w:val="3"/>
        </w:numPr>
      </w:pPr>
      <w:r>
        <w:t xml:space="preserve">Peritoneal washings for cytology</w:t>
      </w:r>
    </w:p>
    <w:p>
      <w:pPr>
        <w:pStyle w:val="Normal"/>
        <w:widowControl/>
        <w:numPr>
          <w:ilvl w:val="0"/>
          <w:numId w:val="3"/>
        </w:numPr>
      </w:pPr>
      <w:r>
        <w:t xml:space="preserve">Timing: Immediately prior to LDLT, or as deceased donor LT approaches based on MELD score and regional access</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Mi05XTwvRGlzcGxheVRleHQ+PHJlY29yZD48cmVjLW51bWJlcj45PC9yZWMtbnVtYmVyPjxmb3JlaWduLWtleXM+PGtleSBhcHA9IkVOIiBkYi1pZD0iYmRkMjY3OTEtMjA5ZC01ZjBiLTk4MDAtZDMzMTkwZmUwMWQ3IiB0aW1lc3RhbXA9IjE3OTI5MjEw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Normal"/>
        <w:widowControl/>
      </w:pPr>
      <w:r>
        <w:t xml:space="preserve">Criteria for Exclusion at Staging:</w:t>
      </w:r>
    </w:p>
    <w:p>
      <w:pPr>
        <w:pStyle w:val="Normal"/>
        <w:widowControl/>
        <w:numPr>
          <w:ilvl w:val="0"/>
          <w:numId w:val="3"/>
        </w:numPr>
      </w:pPr>
      <w:r>
        <w:t xml:space="preserve">Positive lymph nodes on frozen section</w:t>
      </w:r>
    </w:p>
    <w:p>
      <w:pPr>
        <w:pStyle w:val="Normal"/>
        <w:widowControl/>
        <w:numPr>
          <w:ilvl w:val="0"/>
          <w:numId w:val="3"/>
        </w:numPr>
      </w:pPr>
      <w:r>
        <w:t xml:space="preserve">Peritoneal disease</w:t>
      </w:r>
    </w:p>
    <w:p>
      <w:pPr>
        <w:pStyle w:val="Normal"/>
        <w:widowControl/>
        <w:numPr>
          <w:ilvl w:val="0"/>
          <w:numId w:val="3"/>
        </w:numPr>
      </w:pPr>
      <w:r>
        <w:t xml:space="preserve">Extrahepatic spread</w:t>
      </w:r>
    </w:p>
    <w:p>
      <w:pPr>
        <w:pStyle w:val="Normal"/>
        <w:widowControl/>
        <w:numPr>
          <w:ilvl w:val="0"/>
          <w:numId w:val="3"/>
        </w:numPr>
      </w:pPr>
      <w:r>
        <w:t xml:space="preserve">Note: Approximately 20% of patients will have positive surgical staging and be excluded</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Mi05XTwvRGlzcGxheVRleHQ+PHJlY29yZD48cmVjLW51bWJlcj45PC9yZWMtbnVtYmVyPjxmb3JlaWduLWtleXM+PGtleSBhcHA9IkVOIiBkYi1pZD0iYmRkMjY3OTEtMjA5ZC01ZjBiLTk4MDAtZDMzMTkwZmUwMWQ3IiB0aW1lc3RhbXA9IjE3OTI5MjEw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Heading3"/>
        <w:keepNext/>
        <w:widowControl/>
      </w:pPr>
      <w:r>
        <w:t xml:space="preserve">5. MELD Exception and Waitlist Management</w:t>
      </w:r>
    </w:p>
    <w:p>
      <w:pPr>
        <w:pStyle w:val="Normal"/>
        <w:widowControl/>
        <w:numPr>
          <w:ilvl w:val="0"/>
          <w:numId w:val="3"/>
        </w:numPr>
      </w:pPr>
      <w:r>
        <w:t xml:space="preserve">Initial exception documentation must include chest and abdominal cross-sectional imaging within 90 days. Extension requests require chest and abdominal imaging within 30 days before submission.</w:t>
      </w:r>
    </w:p>
    <w:p>
      <w:pPr>
        <w:pStyle w:val="Normal"/>
        <w:widowControl/>
        <w:numPr>
          <w:ilvl w:val="0"/>
          <w:numId w:val="3"/>
        </w:numPr>
      </w:pPr>
      <w:r>
        <w:t xml:space="preserve">For the initial standardized exception, document required chest and abdominal imaging within 90 days before submission. For each extension, document required imaging within 30 days before submission. Keep the dated policy source and clinical restaging schedule distinct.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iZGQyNjc5MS0yMDlkLTVmMGItOTgwMC1kMzMxOTBmZTAxZDc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Adults who meet every current OPTN Policy 9.5.A requirement may receive the standardized CCA exception score, currently MMaT-3. Confirm the effective policy and score calculation at submission.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JiZGQyNjc5MS0yMDlkLTVmMGItOTgwMC1kMzMxOTBmZTAxZDciIHRpbWVzdGFtcD0iMTc5MjkyMTA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Cross-sectional imaging every 3 months while on the waitlist to confirm disease stability</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Mi05XTwvRGlzcGxheVRleHQ+PHJlY29yZD48cmVjLW51bWJlcj45PC9yZWMtbnVtYmVyPjxmb3JlaWduLWtleXM+PGtleSBhcHA9IkVOIiBkYi1pZD0iYmRkMjY3OTEtMjA5ZC01ZjBiLTk4MDAtZDMzMTkwZmUwMWQ3IiB0aW1lc3RhbXA9IjE3OTI5MjEw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Normal"/>
        <w:widowControl/>
        <w:numPr>
          <w:ilvl w:val="0"/>
          <w:numId w:val="3"/>
        </w:numPr>
      </w:pPr>
      <w:r>
        <w:t xml:space="preserve">CA 19-9 monitoring every 3 months</w:t>
      </w:r>
    </w:p>
    <w:p>
      <w:pPr>
        <w:pStyle w:val="Normal"/>
        <w:widowControl/>
        <w:numPr>
          <w:ilvl w:val="0"/>
          <w:numId w:val="3"/>
        </w:numPr>
      </w:pPr>
      <w:r>
        <w:t xml:space="preserve">Delisting criteria: tumor progression, new lesions, extrahepatic disease, lymph node metastases</w:t>
      </w:r>
    </w:p>
    <w:p>
      <w:pPr>
        <w:pStyle w:val="Heading3"/>
        <w:keepNext/>
        <w:widowControl/>
      </w:pPr>
      <w:r>
        <w:t xml:space="preserve">6. Liver Transplantation</w:t>
      </w:r>
    </w:p>
    <w:p>
      <w:pPr>
        <w:pStyle w:val="Normal"/>
        <w:widowControl/>
        <w:numPr>
          <w:ilvl w:val="0"/>
          <w:numId w:val="3"/>
        </w:numPr>
      </w:pPr>
      <w:r>
        <w:t xml:space="preserve">Deceased donor liver transplantation (DDLT) or living donor liver transplantation (LDLT)</w:t>
      </w:r>
      <w:r>
        <w:t xml:space="preserve"> </w:t>
      </w:r>
      <w:r>
        <w:t xml:space="preserve"> </w:t>
      </w:r>
      <w:r>
        <w:fldChar w:fldCharType="begin"/>
      </w:r>
      <w:r>
        <w:instrText xml:space="preserve"> ADDIN EN.CITE </w:instrText>
      </w:r>
      <w:r>
        <w:fldChar w:fldCharType="begin">
          <w:fldData>PEVuZE5vdGU+PENpdGU+PEF1dGhvcj5UYW48L0F1dGhvcj48WWVhcj4yMDIwPC9ZZWFyPjxSZWNOdW0+MTA8L1JlY051bT48RGlzcGxheVRleHQ+W1YxMi0xMF08L0Rpc3BsYXlUZXh0PjxyZWNvcmQ+PHJlYy1udW1iZXI+MTA8L3JlYy1udW1iZXI+PGZvcmVpZ24ta2V5cz48a2V5IGFwcD0iRU4iIGRiLWlkPSJiZGQyNjc5MS0yMDlkLTVmMGItOTgwMC1kMzMxOTBmZTAxZDciIHRpbWVzdGFtcD0iMTc5MjkyMTA4NCI+MTA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pPr>
      <w:r>
        <w:t xml:space="preserve">Caval reconstruction technique is an intraoperative decision. Piggyback reconstruction is the institutional default where anatomy permits. Neoadjuvant chemoradiation may produce retrohepatic caval and portal changes requiring caval resection with replacement or other vascular reconstruction, and living-donor recipients frequently require portal reconstruction. No single technique is protocol-mandated.</w:t>
      </w:r>
    </w:p>
    <w:p>
      <w:pPr>
        <w:pStyle w:val="Normal"/>
        <w:widowControl/>
        <w:numPr>
          <w:ilvl w:val="0"/>
          <w:numId w:val="3"/>
        </w:numPr>
      </w:pPr>
      <w:r>
        <w:t xml:space="preserve">Intraoperative staging laparotomy with lymph node sampling if not previously performed</w:t>
      </w:r>
    </w:p>
    <w:p>
      <w:pPr>
        <w:pStyle w:val="Normal"/>
        <w:widowControl/>
        <w:numPr>
          <w:ilvl w:val="0"/>
          <w:numId w:val="3"/>
        </w:numPr>
      </w:pPr>
      <w:r>
        <w:t xml:space="preserve">Before LT, review the actual radiation plan/dose map with transplant surgery and radiation oncology, including arterial/biliary exposure and reconstruction options. Counsel regarding arterial thrombosis, biliary injury, graft loss and possible retransplantation. Small pilot reports of outside-field reconstruction are technical signals, not a universal operative prescription.</w:t>
      </w:r>
      <w:r>
        <w:t xml:space="preserve"> </w:t>
      </w:r>
      <w:r>
        <w:t xml:space="preserve"> </w:t>
      </w:r>
      <w:r>
        <w:fldChar w:fldCharType="begin"/>
      </w:r>
      <w:r>
        <w:instrText xml:space="preserve"> ADDIN EN.CITE </w:instrText>
      </w:r>
      <w:r>
        <w:fldChar w:fldCharType="begin">
          <w:fldData>PEVuZE5vdGU+PENpdGU+PEF1dGhvcj5UYW48L0F1dGhvcj48WWVhcj4yMDIwPC9ZZWFyPjxSZWNOdW0+MTA8L1JlY051bT48RGlzcGxheVRleHQ+W1YxMi0xMF08L0Rpc3BsYXlUZXh0PjxyZWNvcmQ+PHJlYy1udW1iZXI+MTA8L3JlYy1udW1iZXI+PGZvcmVpZ24ta2V5cz48a2V5IGFwcD0iRU4iIGRiLWlkPSJiZGQyNjc5MS0yMDlkLTVmMGItOTgwMC1kMzMxOTBmZTAxZDciIHRpbWVzdGFtcD0iMTc5MjkyMTA4NCI+MTA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Heading3"/>
        <w:keepNext/>
        <w:widowControl/>
      </w:pPr>
      <w:r>
        <w:t xml:space="preserve">7. Post-Transplant Immunosuppression</w:t>
      </w:r>
    </w:p>
    <w:p>
      <w:pPr>
        <w:pStyle w:val="Normal"/>
        <w:widowControl/>
        <w:numPr>
          <w:ilvl w:val="0"/>
          <w:numId w:val="3"/>
        </w:numPr>
      </w:pPr>
      <w:r>
        <w:t xml:space="preserve">Induction: Bolus steroid therapy during the anhepatic phase</w:t>
      </w:r>
      <w:r>
        <w:t xml:space="preserve"> </w:t>
      </w:r>
      <w:r>
        <w:t xml:space="preserve"> </w:t>
      </w:r>
      <w:r>
        <w:fldChar w:fldCharType="begin"/>
      </w:r>
      <w:r>
        <w:instrText xml:space="preserve"> ADDIN EN.CITE </w:instrText>
      </w:r>
      <w:r>
        <w:fldChar w:fldCharType="begin">
          <w:fldData>PEVuZE5vdGU+PENpdGU+PEF1dGhvcj5MdW5zZm9yZDwvQXV0aG9yPjxZZWFyPjIwMTg8L1llYXI+PFJlY051bT4xNDwvUmVjTnVtPjxEaXNwbGF5VGV4dD5bVjEyLTE0XTwvRGlzcGxheVRleHQ+PHJlY29yZD48cmVjLW51bWJlcj4xNDwvcmVjLW51bWJlcj48Zm9yZWlnbi1rZXlzPjxrZXkgYXBwPSJFTiIgZGItaWQ9ImJkZDI2NzkxLTIwOWQtNWYwYi05ODAwLWQzMzE5MGZlMDFkNyIgdGltZXN0YW1wPSIxNzkyOTIxMDg0Ij4xND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xvY2FsIGZ1bGwgUERGIHJldmlld2VkIDIxIHJlZmVycmVkLCAxMiBhY2NlcHRlZCwgc2l4IExUIGFmdGVyIHN1c3RhaW5lZCBjb250cm9sLiBUaHJlZSByZWN1cnJlbmNlcy4gTm90IGluZGVwZW5kZW50IG9mIHRoZSBsYXRlciBIb3VzdG9uIHVwZGF0ZTsgZG8gbm90IHN1bSB0aGVzZSBjb2hvcnRzLjwvbm90ZXM+PHVybHM+PHJlbGF0ZWQtdXJscz48dXJsPmh0dHBzOi8vZG9pLm9yZy8xMC4xMDE2L1MyNDY4LTEyNTMoMTgpMzAwNDUtMT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numPr>
          <w:ilvl w:val="0"/>
          <w:numId w:val="3"/>
        </w:numPr>
      </w:pPr>
      <w:r>
        <w:t xml:space="preserve">Maintenance:</w:t>
      </w:r>
    </w:p>
    <w:p>
      <w:pPr>
        <w:pStyle w:val="Normal"/>
        <w:widowControl/>
        <w:numPr>
          <w:ilvl w:val="0"/>
          <w:numId w:val="3"/>
        </w:numPr>
      </w:pPr>
      <w:r>
        <w:t xml:space="preserve">Use the institutionally approved post-LT immunosuppression regimen with transplant hepatology and pharmacy review. Individualize MMF duration, steroid taper, renal-sparing induction and CNI exposure for rejection risk, renal function, cytopenias, infection and PSC/autoimmune disease. Ramanan reports one historical center regimen (prednisone withdrawal at day 121, MMF at 2–4 months), not evidence that either drug must stop at day 30.</w:t>
      </w:r>
      <w:r>
        <w:t xml:space="preserve"> </w:t>
      </w:r>
      <w:r>
        <w:t xml:space="preserve"> </w:t>
      </w:r>
      <w:r>
        <w:fldChar w:fldCharType="begin"/>
      </w:r>
      <w:r>
        <w:instrText xml:space="preserve"> ADDIN EN.CITE </w:instrText>
      </w:r>
      <w:r>
        <w:fldChar w:fldCharType="begin">
          <w:fldData>PEVuZE5vdGU+PENpdGU+PEF1dGhvcj5SYW1hbmFuPC9BdXRob3I+PFllYXI+MjAxNzwvWWVhcj48UmVjTnVtPjE1PC9SZWNOdW0+PERpc3BsYXlUZXh0PltWMTItMTVdPC9EaXNwbGF5VGV4dD48cmVjb3JkPjxyZWMtbnVtYmVyPjE1PC9yZWMtbnVtYmVyPjxmb3JlaWduLWtleXM+PGtleSBhcHA9IkVOIiBkYi1pZD0iYmRkMjY3OTEtMjA5ZC01ZjBiLTk4MDAtZDMzMTkwZmUwMWQ3IiB0aW1lc3RhbXA9IjE3OTI5MjEwODQiPjE1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[V12-15]</w:t>
      </w:r>
      <w:r>
        <w:fldChar w:fldCharType="end"/>
      </w:r>
    </w:p>
    <w:p>
      <w:pPr>
        <w:pStyle w:val="Normal"/>
        <w:widowControl/>
        <w:numPr>
          <w:ilvl w:val="0"/>
          <w:numId w:val="3"/>
        </w:numPr>
      </w:pPr>
      <w:r>
        <w:t xml:space="preserve">Select ONE maintenance strategy per patient and document it: (a) tacrolimus-based maintenance with stepwise minimization, or (b) conversion to an mTOR inhibitor with reduced-dose tacrolimus.</w:t>
      </w:r>
    </w:p>
    <w:p>
      <w:pPr>
        <w:pStyle w:val="Normal"/>
        <w:widowControl/>
        <w:numPr>
          <w:ilvl w:val="0"/>
          <w:numId w:val="3"/>
        </w:numPr>
      </w:pPr>
      <w:r>
        <w:t xml:space="preserve">If everolimus conversion is selected, do not initiate before day 30 under the US adult-LT label. Confirm wound healing, arterial patency, proteinuria and infection status with transplant pharmacy. No pCCA-specific maintenance regimen has proved recurrence reduction. Renal-sparing induction is individualized; historical center CrCl thresholds are not validated cancer-selection thresholds.</w:t>
      </w:r>
      <w:r>
        <w:t xml:space="preserve"> </w:t>
      </w:r>
      <w:r>
        <w:t xml:space="preserve"> </w:t>
      </w:r>
      <w:r>
        <w:fldChar w:fldCharType="begin"/>
      </w:r>
      <w:r>
        <w:instrText xml:space="preserve"> ADDIN EN.CITE </w:instrText>
      </w:r>
      <w:r>
        <w:fldChar w:fldCharType="begin">
          <w:fldData>PEVuZE5vdGU+PENpdGU+PEF1dGhvcj5TZW1hYW48L0F1dGhvcj48WWVhcj4yMDI1PC9ZZWFyPjxSZWNOdW0+MTY8L1JlY051bT48RGlzcGxheVRleHQ+W1YxMi0xNl08L0Rpc3BsYXlUZXh0PjxyZWNvcmQ+PHJlYy1udW1iZXI+MTY8L3JlYy1udW1iZXI+PGZvcmVpZ24ta2V5cz48a2V5IGFwcD0iRU4iIGRiLWlkPSJiZGQyNjc5MS0yMDlkLTVmMGItOTgwMC1kMzMxOTBmZTAxZDciIHRpbWVzdGFtcD0iMTc5MjkyMTA4NCI+MTY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SYW1hbmFuPC9BdXRob3I+PFllYXI+MjAxNzwvWWVhcj48UmVjTnVtPjE1PC9SZWNOdW0+PERpc3BsYXlUZXh0PltWMTItMTVdPC9EaXNwbGF5VGV4dD48cmVjb3JkPjxyZWMtbnVtYmVyPjE1PC9yZWMtbnVtYmVyPjxmb3JlaWduLWtleXM+PGtleSBhcHA9IkVOIiBkYi1pZD0iYmRkMjY3OTEtMjA5ZC01ZjBiLTk4MDAtZDMzMTkwZmUwMWQ3IiB0aW1lc3RhbXA9IjE3OTI5MjEwODQiPjE1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[V12-15]</w:t>
      </w:r>
      <w:r>
        <w:fldChar w:fldCharType="end"/>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Tc8L1JlY051bT48RGlzcGxheVRleHQ+W1YxMi0xN108L0Rpc3BsYXlUZXh0PjxyZWNvcmQ+PHJlYy1udW1iZXI+MTc8L3JlYy1udW1iZXI+PGZvcmVpZ24ta2V5cz48a2V5IGFwcD0iRU4iIGRiLWlkPSJiZGQyNjc5MS0yMDlkLTVmMGItOTgwMC1kMzMxOTBmZTAxZDciIHRpbWVzdGFtcD0iMTc5MjkyMTA4NCI+MTc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Heading3"/>
        <w:keepNext/>
        <w:widowControl/>
      </w:pPr>
      <w:r>
        <w:t xml:space="preserve">8. Post-Transplant Adjuvant Therapy</w:t>
      </w:r>
    </w:p>
    <w:p>
      <w:pPr>
        <w:pStyle w:val="Normal"/>
        <w:widowControl/>
        <w:numPr>
          <w:ilvl w:val="0"/>
          <w:numId w:val="3"/>
        </w:numPr>
      </w:pPr>
      <w:r>
        <w:t xml:space="preserve">No guideline establishes routine adjuvant chemotherapy after liver transplantation for pCCA. Explant pathology should trigger multidisciplinary recurrence-risk review.</w:t>
      </w:r>
      <w:r>
        <w:t xml:space="preserve"> </w:t>
      </w:r>
      <w:r>
        <w:t xml:space="preserve"> </w:t>
      </w:r>
      <w:r>
        <w:fldChar w:fldCharType="begin"/>
      </w:r>
      <w:r>
        <w:instrText xml:space="preserve"> ADDIN EN.CITE </w:instrText>
      </w:r>
      <w:r>
        <w:fldChar w:fldCharType="begin">
          <w:fldData>PEVuZE5vdGU+PENpdGU+PEF1dGhvcj5MdW5zZm9yZDwvQXV0aG9yPjxZZWFyPjIwMTg8L1llYXI+PFJlY051bT4xNDwvUmVjTnVtPjxEaXNwbGF5VGV4dD5bVjEyLTE0XTwvRGlzcGxheVRleHQ+PHJlY29yZD48cmVjLW51bWJlcj4xNDwvcmVjLW51bWJlcj48Zm9yZWlnbi1rZXlzPjxrZXkgYXBwPSJFTiIgZGItaWQ9ImJkZDI2NzkxLTIwOWQtNWYwYi05ODAwLWQzMzE5MGZlMDFkNyIgdGltZXN0YW1wPSIxNzkyOTIxMDg0Ij4xND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xvY2FsIGZ1bGwgUERGIHJldmlld2VkIDIxIHJlZmVycmVkLCAxMiBhY2NlcHRlZCwgc2l4IExUIGFmdGVyIHN1c3RhaW5lZCBjb250cm9sLiBUaHJlZSByZWN1cnJlbmNlcy4gTm90IGluZGVwZW5kZW50IG9mIHRoZSBsYXRlciBIb3VzdG9uIHVwZGF0ZTsgZG8gbm90IHN1bSB0aGVzZSBjb2hvcnRzLjwvbm90ZXM+PHVybHM+PHJlbGF0ZWQtdXJscz48dXJsPmh0dHBzOi8vZG9pLm9yZy8xMC4xMDE2L1MyNDY4LTEyNTMoMTgpMzAwNDUtMT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numPr>
          <w:ilvl w:val="0"/>
          <w:numId w:val="3"/>
        </w:numPr>
      </w:pPr>
      <w:r>
        <w:t xml:space="preserve">Pathologic complete response (pCR): surveillance without routine adjuvant chemotherapy is appropriate unless a separate prospective protocol specifies otherwise.</w:t>
      </w:r>
      <w:r>
        <w:t xml:space="preserve"> </w:t>
      </w:r>
      <w:r>
        <w:t xml:space="preserve"> </w:t>
      </w:r>
      <w:r>
        <w:fldChar w:fldCharType="begin"/>
      </w:r>
      <w:r>
        <w:instrText xml:space="preserve"> ADDIN EN.CITE </w:instrText>
      </w:r>
      <w:r>
        <w:fldChar w:fldCharType="begin">
          <w:fldData>PEVuZE5vdGU+PENpdGU+PEF1dGhvcj5MdW5zZm9yZDwvQXV0aG9yPjxZZWFyPjIwMTg8L1llYXI+PFJlY051bT4xNDwvUmVjTnVtPjxEaXNwbGF5VGV4dD5bVjEyLTE0XTwvRGlzcGxheVRleHQ+PHJlY29yZD48cmVjLW51bWJlcj4xNDwvcmVjLW51bWJlcj48Zm9yZWlnbi1rZXlzPjxrZXkgYXBwPSJFTiIgZGItaWQ9ImJkZDI2NzkxLTIwOWQtNWYwYi05ODAwLWQzMzE5MGZlMDFkNyIgdGltZXN0YW1wPSIxNzkyOTIxMDg0Ij4xND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xvY2FsIGZ1bGwgUERGIHJldmlld2VkIDIxIHJlZmVycmVkLCAxMiBhY2NlcHRlZCwgc2l4IExUIGFmdGVyIHN1c3RhaW5lZCBjb250cm9sLiBUaHJlZSByZWN1cnJlbmNlcy4gTm90IGluZGVwZW5kZW50IG9mIHRoZSBsYXRlciBIb3VzdG9uIHVwZGF0ZTsgZG8gbm90IHN1bSB0aGVzZSBjb2hvcnRzLjwvbm90ZXM+PHVybHM+PHJlbGF0ZWQtdXJscz48dXJsPmh0dHBzOi8vZG9pLm9yZy8xMC4xMDE2L1MyNDY4LTEyNTMoMTgpMzAwNDUtMT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numPr>
          <w:ilvl w:val="0"/>
          <w:numId w:val="3"/>
        </w:numPr>
      </w:pPr>
      <w:r>
        <w:t xml:space="preserve">Residual active disease on explant: capecitabine or gemcitabine-based therapy may be considered only case-by-case or within a prospective protocol. Evidence is extrapolated from resection studies; post-transplant benefit and tolerability are unproven.</w:t>
      </w:r>
      <w:r>
        <w:t xml:space="preserve"> </w:t>
      </w:r>
      <w:r>
        <w:t xml:space="preserve"> </w:t>
      </w:r>
      <w:r>
        <w:fldChar w:fldCharType="begin"/>
      </w:r>
      <w:r>
        <w:instrText xml:space="preserve"> ADDIN EN.CITE </w:instrText>
      </w:r>
      <w:r>
        <w:fldChar w:fldCharType="begin">
          <w:fldData>PEVuZE5vdGU+PENpdGU+PEF1dGhvcj5MdW5zZm9yZDwvQXV0aG9yPjxZZWFyPjIwMTg8L1llYXI+PFJlY051bT4xNDwvUmVjTnVtPjxEaXNwbGF5VGV4dD5bVjEyLTE0XTwvRGlzcGxheVRleHQ+PHJlY29yZD48cmVjLW51bWJlcj4xNDwvcmVjLW51bWJlcj48Zm9yZWlnbi1rZXlzPjxrZXkgYXBwPSJFTiIgZGItaWQ9ImJkZDI2NzkxLTIwOWQtNWYwYi05ODAwLWQzMzE5MGZlMDFkNyIgdGltZXN0YW1wPSIxNzkyOTIxMDg0Ij4xND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xvY2FsIGZ1bGwgUERGIHJldmlld2VkIDIxIHJlZmVycmVkLCAxMiBhY2NlcHRlZCwgc2l4IExUIGFmdGVyIHN1c3RhaW5lZCBjb250cm9sLiBUaHJlZSByZWN1cnJlbmNlcy4gTm90IGluZGVwZW5kZW50IG9mIHRoZSBsYXRlciBIb3VzdG9uIHVwZGF0ZTsgZG8gbm90IHN1bSB0aGVzZSBjb2hvcnRzLjwvbm90ZXM+PHVybHM+PHJlbGF0ZWQtdXJscz48dXJsPmh0dHBzOi8vZG9pLm9yZy8xMC4xMDE2L1MyNDY4LTEyNTMoMTgpMzAwNDUtMT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Heading3"/>
        <w:keepNext/>
        <w:widowControl/>
      </w:pPr>
      <w:r>
        <w:t xml:space="preserve">9. Post-Transplant Surveillance</w:t>
      </w:r>
    </w:p>
    <w:p>
      <w:pPr>
        <w:pStyle w:val="Normal"/>
        <w:widowControl/>
        <w:numPr>
          <w:ilvl w:val="0"/>
          <w:numId w:val="3"/>
        </w:numPr>
      </w:pPr>
      <w:r>
        <w:t xml:space="preserve">Proposed local post-LT recurrence-surveillance schedule: contrast-enhanced abdominal/pelvic CT or MRI every 6 months for 3 years, then annually through year 5, with chest imaging and CA 19-9 use specified by the multidisciplinary team. Heinrich describes this observed imaging interval in incidental BTC; it was not a comparative trial establishing the optimal schedule for planned pCCA LT. Record the adopted schedule and rationale in the decision log.</w:t>
      </w:r>
      <w:r>
        <w:t xml:space="preserve"> </w:t>
      </w:r>
      <w:r>
        <w:t xml:space="preserve"> </w:t>
      </w:r>
      <w:r>
        <w:fldChar w:fldCharType="begin"/>
      </w:r>
      <w:r>
        <w:instrText xml:space="preserve"> ADDIN EN.CITE </w:instrText>
      </w:r>
      <w:r>
        <w:fldChar w:fldCharType="begin">
          <w:fldData>PEVuZE5vdGU+PENpdGU+PEF1dGhvcj5IZWlucmljaDwvQXV0aG9yPjxZZWFyPjIwMjY8L1llYXI+PFJlY051bT4xODwvUmVjTnVtPjxEaXNwbGF5VGV4dD5bVjEyLTE4XTwvRGlzcGxheVRleHQ+PHJlY29yZD48cmVjLW51bWJlcj4xODwvcmVjLW51bWJlcj48Zm9yZWlnbi1rZXlzPjxrZXkgYXBwPSJFTiIgZGItaWQ9ImJkZDI2NzkxLTIwOWQtNWYwYi05ODAwLWQzMzE5MGZlMDFkNyIgdGltZXN0YW1wPSIxNzkyOTIxMDg0Ij4xOD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numPr>
          <w:ilvl w:val="0"/>
          <w:numId w:val="3"/>
        </w:numPr>
      </w:pPr>
      <w:r>
        <w:t xml:space="preserve">Proposed local post-LT chest imaging: every 6 months for 2 years, then annually through year 5, subject to MDT approval and individualized recurrence risk. NCCN describes post-resection surveillance and does not validate this exact transplant calendar.</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YmRkMjY3OTEtMjA5ZC01ZjBiLTk4MDAtZDMzMTkwZmUwMWQ3IiB0aW1lc3RhbXA9IjE3OTI5MjEw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CA 19-9 every 3 months for 2 years, then every 6 months</w:t>
      </w:r>
    </w:p>
    <w:p>
      <w:pPr>
        <w:pStyle w:val="Normal"/>
        <w:widowControl/>
        <w:numPr>
          <w:ilvl w:val="0"/>
          <w:numId w:val="3"/>
        </w:numPr>
      </w:pPr>
      <w:r>
        <w:t xml:space="preserve">LFTs and tacrolimus levels per standard transplant protocol</w:t>
      </w:r>
    </w:p>
    <w:p>
      <w:pPr>
        <w:pStyle w:val="Normal"/>
        <w:widowControl/>
        <w:numPr>
          <w:ilvl w:val="0"/>
          <w:numId w:val="3"/>
        </w:numPr>
      </w:pPr>
      <w:r>
        <w:t xml:space="preserve">Vascular surveillance (Doppler ultrasound) given radiation-related vascular complication risk</w:t>
      </w:r>
      <w:r>
        <w:t xml:space="preserve"> </w:t>
      </w:r>
      <w:r>
        <w:t xml:space="preserve"> </w:t>
      </w:r>
      <w:r>
        <w:fldChar w:fldCharType="begin"/>
      </w:r>
      <w:r>
        <w:instrText xml:space="preserve"> ADDIN EN.CITE </w:instrText>
      </w:r>
      <w:r>
        <w:fldChar w:fldCharType="begin">
          <w:fldData>PEVuZE5vdGU+PENpdGU+PEF1dGhvcj5UYW48L0F1dGhvcj48WWVhcj4yMDIwPC9ZZWFyPjxSZWNOdW0+MTA8L1JlY051bT48RGlzcGxheVRleHQ+W1YxMi0xMF08L0Rpc3BsYXlUZXh0PjxyZWNvcmQ+PHJlYy1udW1iZXI+MTA8L3JlYy1udW1iZXI+PGZvcmVpZ24ta2V5cz48a2V5IGFwcD0iRU4iIGRiLWlkPSJiZGQyNjc5MS0yMDlkLTVmMGItOTgwMC1kMzMxOTBmZTAxZDciIHRpbWVzdGFtcD0iMTc5MjkyMTA4NCI+MTA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Heading3"/>
        <w:keepNext/>
        <w:widowControl/>
      </w:pPr>
      <w:r>
        <w:t xml:space="preserve">10. Expected Outcomes</w:t>
      </w:r>
    </w:p>
    <w:p>
      <w:pPr>
        <w:pStyle w:val="Normal"/>
        <w:widowControl/>
        <w:numPr>
          <w:ilvl w:val="0"/>
          <w:numId w:val="3"/>
        </w:numPr>
      </w:pPr>
      <w:r>
        <w:t xml:space="preserve">Intent-to-treat survival: 68% at 2 years and 53% at 5 years. Post-transplant RECURRENCE-FREE survival: 78% at 2 years and 65% at 5 years. The 65% figure is recurrence-free survival, not overall survival, and must not be quoted as 5-year survival in consent. Source: Darwish Murad S et al., Gastroenterology 2012;143(1):88-98.e3;  PMID 22504095 (12 US centers, n = 287).</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</w:fldData>
        </w:fldChar>
      </w:r>
      <w:r>
        <w:instrText xml:space="preserve"> ADDIN EN.CITE.DATA </w:instrText>
      </w:r>
      <w:r>
        <w:fldChar w:fldCharType="end"/>
      </w:r>
      <w:r>
        <w:fldChar w:fldCharType="separate"/>
      </w:r>
      <w:r>
        <w:t xml:space="preserve">[V12-19]</w:t>
      </w:r>
      <w:r>
        <w:fldChar w:fldCharType="end"/>
      </w:r>
    </w:p>
    <w:p>
      <w:pPr>
        <w:pStyle w:val="Normal"/>
        <w:widowControl/>
        <w:numPr>
          <w:ilvl w:val="0"/>
          <w:numId w:val="3"/>
        </w:numPr>
      </w:pPr>
      <w:r>
        <w:t xml:space="preserve">Candidates falling outside UNOS criteria in that cohort — tumour mass greater than 3 cm, transperitoneal tumour biopsy, or metastatic disease — and those with a prior malignancy had significantly shorter survival (p &lt; 0.001). These features are hard exclusions under Section 1.</w:t>
      </w:r>
    </w:p>
    <w:p>
      <w:pPr>
        <w:pStyle w:val="Normal"/>
        <w:widowControl/>
        <w:numPr>
          <w:ilvl w:val="0"/>
          <w:numId w:val="3"/>
        </w:numPr>
      </w:pPr>
      <w:r>
        <w:t xml:space="preserve">A meta-analysis of 15 studies/315 recipients estimated explant pCR at 32% (95% CI 19–49), with substantial heterogeneity and some mixed iCCA populations. Regimen subgroups were small and nonrandomized; the results do not establish equivalence between Mayo-style therapy and SBRT. Counsel using both all-pathway and recipient outcomes from applicable primary cohorts, with denominators, time origins and uncertainty stated. pCR is not a pre-LT eligibility requirement or a validated study-level surrogate for OS.</w:t>
      </w:r>
      <w:r>
        <w:t xml:space="preserve"> </w:t>
      </w:r>
      <w:r>
        <w:t xml:space="preserve"> </w:t>
      </w:r>
      <w:r>
        <w:fldChar w:fldCharType="begin"/>
      </w:r>
      <w:r>
        <w:instrText xml:space="preserve"> ADDIN EN.CITE </w:instrText>
      </w:r>
      <w:r>
        <w:fldChar w:fldCharType="begin">
          <w:fldData>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p>
    <w:p>
      <w:pPr>
        <w:pStyle w:val="Normal"/>
        <w:widowControl/>
        <w:numPr>
          <w:ilvl w:val="0"/>
          <w:numId w:val="3"/>
        </w:numPr>
      </w:pPr>
      <w:r>
        <w:t xml:space="preserve">Residual viable tumor on explant is associated with recurrence risk, but does not predict an individual patient's outcome with certainty; many patients with residual tumor did not recur. Discuss it with margins, nodes, differentiation and treatment history. It does not by itself establish a benefit from routine post-LT adjuvant therapy.</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Q8L1JlY051bT48RGlzcGxheVRleHQ+W1YxMi00XTwvRGlzcGxheVRleHQ+PHJlY29yZD48cmVjLW51bWJlcj40PC9yZWMtbnVtYmVyPjxmb3JlaWduLWtleXM+PGtleSBhcHA9IkVOIiBkYi1pZD0iYmRkMjY3OTEtMjA5ZC01ZjBiLTk4MDAtZDMzMTkwZmUwMWQ3IiB0aW1lc3RhbXA9IjE3OTI5MjEwODQiPjQ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In the 12-center US cohort, 71/287 patients (25%) dropped out before LT. The body reports an average 11.5% dropout per 3 months after completion of chemoradiation/listing; its abstract conclusion inconsistently says 3.5 months. In Toronto, 11/18 treated patients (61%) dropped out, six received LT and one remained waiting. These are different denominators, clocks and waiting environments. Report local cumulative dropout from protocol entry and time-specific dropout with the clock explicitly defined; do not equate cumulative attrition with a three-month rate.</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</w:fldData>
        </w:fldChar>
      </w:r>
      <w:r>
        <w:instrText xml:space="preserve"> ADDIN EN.CITE.DATA </w:instrText>
      </w:r>
      <w:r>
        <w:fldChar w:fldCharType="end"/>
      </w:r>
      <w:r>
        <w:fldChar w:fldCharType="separate"/>
      </w:r>
      <w:r>
        <w:t xml:space="preserve">[V12-19]</w:t>
      </w:r>
      <w:r>
        <w:fldChar w:fldCharType="end"/>
      </w:r>
      <w:r>
        <w:t xml:space="preserve"> </w:t>
      </w:r>
      <w:r>
        <w:t xml:space="preserve"> </w:t>
      </w:r>
      <w:r>
        <w:fldChar w:fldCharType="begin"/>
      </w:r>
      <w:r>
        <w:instrText xml:space="preserve"> ADDIN EN.CITE </w:instrText>
      </w:r>
      <w:r>
        <w:fldChar w:fldCharType="begin">
          <w:fldData>PEVuZE5vdGU+PENpdGU+PEF1dGhvcj5Mb3ZlZGF5PC9BdXRob3I+PFllYXI+MjAxODwvWWVhcj48UmVjTnVtPjIwPC9SZWNOdW0+PERpc3BsYXlUZXh0PltWMTItMjBdPC9EaXNwbGF5VGV4dD48cmVjb3JkPjxyZWMtbnVtYmVyPjIwPC9yZWMtbnVtYmVyPjxmb3JlaWduLWtleXM+PGtleSBhcHA9IkVOIiBkYi1pZD0iYmRkMjY3OTEtMjA5ZC01ZjBiLTk4MDAtZDMzMTkwZmUwMWQ3IiB0aW1lc3RhbXA9IjE3OTI5MjEwODQiPjI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pPr>
      <w:r>
        <w:t xml:space="preserve">Everolimus safety and evidence boundary: if selected under the current transplant-pharmacy protocol, adult liver-transplant use must not begin before postoperative day 30 under the US label. This is a drug-specific safety floor, not a mandatory conversion date, and does not establish cancer-recurrence benefit. Dose, trough target and CNI co-therapy require individualized graft, renal, vascular, wound, infection and interaction review.</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Tc8L1JlY051bT48RGlzcGxheVRleHQ+W1YxMi0xN108L0Rpc3BsYXlUZXh0PjxyZWNvcmQ+PHJlYy1udW1iZXI+MTc8L3JlYy1udW1iZXI+PGZvcmVpZ24ta2V5cz48a2V5IGFwcD0iRU4iIGRiLWlkPSJiZGQyNjc5MS0yMDlkLTVmMGItOTgwMC1kMzMxOTBmZTAxZDciIHRpbWVzdGFtcD0iMTc5MjkyMTA4NCI+MTc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r>
        <w:t xml:space="preserve"> </w:t>
      </w:r>
      <w:r>
        <w:t xml:space="preserve"> </w:t>
      </w:r>
      <w:r>
        <w:fldChar w:fldCharType="begin"/>
      </w:r>
      <w:r>
        <w:instrText xml:space="preserve"> ADDIN EN.CITE </w:instrText>
      </w:r>
      <w:r>
        <w:fldChar w:fldCharType="begin">
          <w:fldData>PEVuZE5vdGU+PENpdGU+PEF1dGhvcj5UZTwvQXV0aG9yPjxZZWFyPjIwMjU8L1llYXI+PFJlY051bT4yMTwvUmVjTnVtPjxEaXNwbGF5VGV4dD5bVjEyLTIxXTwvRGlzcGxheVRleHQ+PHJlY29yZD48cmVjLW51bWJlcj4yMTwvcmVjLW51bWJlcj48Zm9yZWlnbi1rZXlzPjxrZXkgYXBwPSJFTiIgZGItaWQ9ImJkZDI2NzkxLTIwOWQtNWYwYi05ODAwLWQzMzE5MGZlMDFkNyIgdGltZXN0YW1wPSIxNzkyOTIxMDg0Ij4yMT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[V12-21]</w:t>
      </w:r>
      <w:r>
        <w:fldChar w:fldCharType="end"/>
      </w:r>
    </w:p>
    <w:p>
      <w:pPr>
        <w:pStyle w:val="Heading2"/>
        <w:keepNext/>
        <w:widowControl/>
      </w:pPr>
      <w:r>
        <w:t xml:space="preserve">Outcome evidence within the standard pathway</w:t>
      </w:r>
    </w:p>
    <w:p>
      <w:pPr>
        <w:pStyle w:val="Normal"/>
        <w:widowControl/>
      </w:pPr>
      <w:r>
        <w:t xml:space="preserve">The following findings qualify outcome counseling and operational decisions. Evidence from expanded or experimental cohorts does not enlarge this standard pathway. For proposed boundary changes, use the separately linked OPEN meeting record.</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C1E4F5"/>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C1E4F5"/>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fldChar w:fldCharType="begin"/>
            </w:r>
            <w:r>
              <w:instrText xml:space="preserve"> ADDIN EN.CITE </w:instrText>
            </w:r>
            <w:r>
              <w:fldChar w:fldCharType="begin">
                <w:fldData>PEVuZE5vdGU+PENpdGU+PEF1dGhvcj5Eb3ZlPC9BdXRob3I+PFllYXI+MjAyNjwvWWVhcj48UmVjTnVtPjk8L1JlY051bT48RGlzcGxheVRleHQ+W1YxMi05XTwvRGlzcGxheVRleHQ+PHJlY29yZD48cmVjLW51bWJlcj45PC9yZWMtbnVtYmVyPjxmb3JlaWduLWtleXM+PGtleSBhcHA9IkVOIiBkYi1pZD0iYmRkMjY3OTEtMjA5ZC01ZjBiLTk4MDAtZDMzMTkwZmUwMWQ3IiB0aW1lc3RhbXA9IjE3OTI5MjEwODQiPjk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Normal"/>
              <w:widowControl/>
              <w:spacing w:before="60" w:after="20"/>
            </w:pPr>
            <w:r>
              <w:t xml:space="preserve">AASLD/AST practice guideline, not an original patient cohort. Multidisciplinary evidence review with Oxford evidence levels; searches included a January 23, 2025 refresher. Recommendations combine evidence quality, benefit–risk assessment and patient preferences.</w:t>
            </w:r>
          </w:p>
          <w:p>
            <w:pPr>
              <w:pStyle w:val="Normal"/>
              <w:widowControl/>
              <w:spacing w:before="60" w:after="20"/>
            </w:pPr>
            <w:r>
              <w:t xml:space="preserve">Selection: pCCA statement 9: unresectable disease with radial diameter &lt;3 cm (Strong, Level 3). Statement 10: neoadjuvant radiation plus chemotherapy and operative staging (Strong, Level 3). iCCA/mixed HCC–CCA statement 11: biopsy-proven unresectable tumor, maximum diameter &lt;3 cm, no extrahepatic disease (Weak, Level 4); the explanatory paragraph adds solitary disease and underlying cirrhosis.</w:t>
            </w:r>
          </w:p>
          <w:p>
            <w:pPr>
              <w:pStyle w:val="Normal"/>
              <w:widowControl/>
              <w:spacing w:before="60" w:after="20"/>
            </w:pPr>
            <w:hyperlink r:id="rId28">
              <w:r>
                <w:rPr>
                  <w:color w:val="77230C"/>
                  <w:sz w:val="20"/>
                  <w:u w:val="single"/>
                </w:rPr>
                <w:t>Primary source</w:t>
              </w:r>
            </w:hyperlink>
            <w:r>
              <w:t xml:space="preserve"> | </w:t>
            </w:r>
            <w:hyperlink r:id="rId29">
              <w:r>
                <w:rPr>
                  <w:color w:val="77230C"/>
                  <w:sz w:val="20"/>
                  <w:u w:val="single"/>
                </w:rPr>
                <w:t>Full-text PDF</w:t>
              </w:r>
            </w:hyperlink>
          </w:p>
          <w:p>
            <w:pPr>
              <w:pStyle w:val="Normal"/>
              <w:widowControl/>
              <w:spacing w:before="60" w:after="20"/>
            </w:pPr>
            <w:r>
              <w:t xml:space="preserve">Locator: 60-page local author manuscript: pp1–3 publication identity, scope and methods; pp6–8 HCC/CCA statements; pp8–9 CCA rationale and multidisciplinary evaluation; pp25–27 LDLT statements 50–53 and safety/ethical considerations; pp27–28 selected nonhepatic malignancy guidance.</w:t>
            </w:r>
          </w:p>
          <w:p>
            <w:pPr>
              <w:pStyle w:val="Normal"/>
              <w:widowControl/>
              <w:spacing w:before="60" w:after="20"/>
            </w:pPr>
            <w:r>
              <w:t xml:space="preserve">Review depth: Complete 60-page author-manuscript PDF is present. Fresh targeted full-page reading of pp1–3, 6–9 and 25–28; the remaining guideline sections and complete reference list were not reread in this bounded supplemental review. This is a relevant-section review, not a claim of fresh cover-to-cover review.</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new treatment-effect denominator or original survival endpoint. The guidance supports narrowly selected CCA candidacy rather than a validated advanced-iCCA expansion. It recommends multidisciplinary assessment of expected benefit, medical/psychosocial feasibility and patient wishes; for LDLT, donor safety and expected recipient outcome must be assessed together.</w:t>
            </w:r>
          </w:p>
          <w:p>
            <w:pPr>
              <w:pStyle w:val="Normal"/>
              <w:widowControl/>
              <w:spacing w:before="60" w:after="20"/>
            </w:pPr>
            <w:r>
              <w:rPr>
                <w:b/>
              </w:rPr>
              <w:t xml:space="preserve">Do not infer: </w:t>
            </w:r>
            <w:r>
              <w:t xml:space="preserve">Clinical guidance is distinct from binding OPTN policy and current NLRB recommendations. The manuscript links an older February 2025 NLRB posting. Its &lt;3 cm iCCA wording should not be silently changed to ≤3 cm to match another source; exact-boundary discrepancies require explicit source comparison. The broad pCCA-background list concerning prior chemotherapy/radiation must not be generalized to exclude all protocol-directed NAT, which statement 10 expressly recommends. Time origin: The iCCA rationale describes six months of imaging stability after locoregional or systemic therapy and cross-sectional imaging every three months while listed. This is the guideline's formulation, not a resolution of differently worded current allocation clock language. No new study survival clock exists for this guideline card.</w:t>
            </w:r>
          </w:p>
        </w:tc>
      </w:tr>
      <w:tr>
        <w:trPr/>
        <w:tc>
          <w:tcPr>
            <w:tcW w:w="3400" w:type="dxa"/>
            <w:tcMar>
              <w:top w:w="90" w:type="dxa"/>
              <w:left w:w="90" w:type="dxa"/>
              <w:bottom w:w="90" w:type="dxa"/>
              <w:right w:w="90" w:type="dxa"/>
            </w:tcMar>
          </w:tcPr>
          <w:p>
            <w:pPr>
              <w:pStyle w:val="Normal"/>
              <w:widowControl/>
              <w:spacing w:before="60" w:after="20"/>
            </w:pPr>
            <w:r>
              <w:rPr>
                <w:b/>
              </w:rPr>
              <w:t xml:space="preserve">Abdelrahim 2026 · HCC/CCA ICI</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ItMjJdPC9EaXNwbGF5VGV4dD48cmVjb3JkPjxyZWMtbnVtYmVyPjIyPC9yZWMtbnVtYmVyPjxmb3JlaWduLWtleXM+PGtleSBhcHA9IkVOIiBkYi1pZD0iYmRkMjY3OTEtMjA5ZC01ZjBiLTk4MDAtZDMzMTkwZmUwMWQ3IiB0aW1lc3RhbXA9IjE3OTI5MjEw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p>
          <w:p>
            <w:pPr>
              <w:pStyle w:val="Normal"/>
              <w:widowControl/>
              <w:spacing w:before="60" w:after="20"/>
            </w:pPr>
            <w:r>
              <w:t xml:space="preserve">Single-center retrospective descriptive series of 25 selected transplant recipients after ICI, reported in main Methods as January 2019–December 2025. Table 2 identifies 17 HCC, seven iCCA and one pCCA recipient. No all-treated or referred-patient denominator and no comparator are supplied.</w:t>
            </w:r>
          </w:p>
          <w:p>
            <w:pPr>
              <w:pStyle w:val="Normal"/>
              <w:widowControl/>
              <w:spacing w:before="60" w:after="20"/>
            </w:pPr>
            <w:r>
              <w:t xml:space="preserve">Selection: Methods specify persistent unresectability, multidisciplinary review and at least six months of stability/regression after ICI. Patients actually received heterogeneous ICI, chemotherapy, targeted agents and locoregional therapy; case histories include progression and salvage. The series does not establish a reproducible selection algorithm.</w:t>
            </w:r>
          </w:p>
          <w:p>
            <w:pPr>
              <w:pStyle w:val="Normal"/>
              <w:widowControl/>
              <w:spacing w:before="60" w:after="20"/>
            </w:pPr>
            <w:hyperlink r:id="rId30">
              <w:r>
                <w:rPr>
                  <w:color w:val="77230C"/>
                  <w:sz w:val="20"/>
                  <w:u w:val="single"/>
                </w:rPr>
                <w:t>Primary source</w:t>
              </w:r>
            </w:hyperlink>
            <w:r>
              <w:t xml:space="preserve"> | </w:t>
            </w:r>
            <w:hyperlink r:id="rId31">
              <w:r>
                <w:rPr>
                  <w:color w:val="77230C"/>
                  <w:sz w:val="20"/>
                  <w:u w:val="single"/>
                </w:rPr>
                <w:t>Full-text PDF</w:t>
              </w:r>
            </w:hyperlink>
          </w:p>
          <w:p>
            <w:pPr>
              <w:pStyle w:val="Normal"/>
              <w:widowControl/>
              <w:spacing w:before="60" w:after="20"/>
            </w:pPr>
            <w:r>
              <w:t xml:space="preserve">Locator: PDF p1: abstract; p3: Methods/aggregate results; p4: aggregate disease attribution; p5: case 7; p6: case 10; pp7–8: CCA case histories, especially cases 18, 20 and 23; p9: Table 2; pp10–11: explant pathology; pp12–13: limitations, washout proposal and ethics paragraph.</w:t>
            </w:r>
          </w:p>
          <w:p>
            <w:pPr>
              <w:pStyle w:val="Normal"/>
              <w:widowControl/>
              <w:spacing w:before="60" w:after="20"/>
            </w:pPr>
            <w:r>
              <w:t xml:space="preserve">Review depth: Fresh complete reading of all 14 supplied publisher PDF pages, including every case narrative and Tables 1–3. No separate supplemental dataset was supplied or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HCC recurrences and four HCC deaths were reported. No CCA recurrence or death was reported at available follow-up, but a uniform follow-up distribution and fixed-time survival estimate are absent. The clinically important allograft outcomes are two hepatic acute-rejection events, one rejection of a concurrently transplanted kidney, and one immediate liver graft failure requiring retransplantation; the disease attribution must be read at case level.</w:t>
            </w:r>
          </w:p>
          <w:p>
            <w:pPr>
              <w:pStyle w:val="Normal"/>
              <w:widowControl/>
              <w:spacing w:before="60" w:after="20"/>
            </w:pPr>
            <w:r>
              <w:rPr>
                <w:b/>
              </w:rPr>
              <w:t xml:space="preserve">Do not infer: </w:t>
            </w:r>
            <w:r>
              <w:t xml:space="preserve">Severe selection/survivor bias, heterogeneous diagnoses and treatments, no ICI-naive comparator, no defined cohort follow-up distribution, and internal reporting inconsistencies. The aggregate statement assigning all rejection to HCC conflicts with case 23 and Table 2. The authors' approximate four-week washout suggestion is not a validated safe threshold; a favorable selected case cannot validate LT after progression, nodal disease or short washout. Time origin: Adverse-event and recurrence days are measured after LT. Main text reports median neoadjuvant-start-to-LT time of 52 weeks (range 2–181), which is not the same as a documented six-month control clock. Abstract washout median is 4.5 months, while the 25 displayed Table 2 values have a recalculated median of 4.0 months; do not silently present either as a reconciled study estimate.</w:t>
            </w:r>
          </w:p>
        </w:tc>
      </w:tr>
      <w:tr>
        <w:trPr/>
        <w:tc>
          <w:tcPr>
            <w:tcW w:w="3400" w:type="dxa"/>
            <w:tcMar>
              <w:top w:w="90" w:type="dxa"/>
              <w:left w:w="90" w:type="dxa"/>
              <w:bottom w:w="90" w:type="dxa"/>
              <w:right w:w="90" w:type="dxa"/>
            </w:tcMar>
          </w:tcPr>
          <w:p>
            <w:pPr>
              <w:pStyle w:val="Normal"/>
              <w:widowControl/>
              <w:spacing w:before="60" w:after="20"/>
            </w:pPr>
            <w:r>
              <w:rPr>
                <w:b/>
              </w:rPr>
              <w:t xml:space="preserve">Abecassis 2012</w:t>
            </w:r>
            <w:r>
              <w:t xml:space="preserve"> </w:t>
            </w:r>
            <w:r>
              <w:t xml:space="preserve"> </w:t>
            </w:r>
            <w:r>
              <w:fldChar w:fldCharType="begin"/>
            </w:r>
            <w:r>
              <w:instrText xml:space="preserve"> ADDIN EN.CITE </w:instrText>
            </w:r>
            <w:r>
              <w:fldChar w:fldCharType="begin">
                <w:fldData>PEVuZE5vdGU+PENpdGU+PEF1dGhvcj5BYmVjYXNzaXM8L0F1dGhvcj48WWVhcj4yMDEyPC9ZZWFyPjxSZWNOdW0+MjM8L1JlY051bT48RGlzcGxheVRleHQ+W1YxMi0yM108L0Rpc3BsYXlUZXh0PjxyZWNvcmQ+PHJlYy1udW1iZXI+MjM8L3JlYy1udW1iZXI+PGZvcmVpZ24ta2V5cz48a2V5IGFwcD0iRU4iIGRiLWlkPSJiZGQyNjc5MS0yMDlkLTVmMGItOTgwMC1kMzMxOTBmZTAxZDciIHRpbWVzdGFtcD0iMTc5MjkyMTA4NCI+MjM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[V12-23]</w:t>
            </w:r>
            <w:r>
              <w:fldChar w:fldCharType="end"/>
            </w:r>
          </w:p>
          <w:p>
            <w:pPr>
              <w:pStyle w:val="Normal"/>
              <w:widowControl/>
              <w:spacing w:before="60" w:after="20"/>
            </w:pPr>
            <w:r>
              <w:t xml:space="preserve">A2ALL cohort: 760 donor operations begun; 740 completed, mostly right lobes.</w:t>
            </w:r>
          </w:p>
          <w:p>
            <w:pPr>
              <w:pStyle w:val="Normal"/>
              <w:widowControl/>
              <w:spacing w:before="60" w:after="20"/>
            </w:pPr>
            <w:r>
              <w:t xml:space="preserve">Selection: Multicenter selected donors, older era; standardized complication ascertainment.</w:t>
            </w:r>
          </w:p>
          <w:p>
            <w:pPr>
              <w:pStyle w:val="Normal"/>
              <w:widowControl/>
              <w:spacing w:before="60" w:after="20"/>
            </w:pPr>
            <w:hyperlink r:id="rId32">
              <w:r>
                <w:rPr>
                  <w:color w:val="77230C"/>
                  <w:sz w:val="20"/>
                  <w:u w:val="single"/>
                </w:rPr>
                <w:t>Primary source</w:t>
              </w:r>
            </w:hyperlink>
            <w:r>
              <w:t xml:space="preserve"> | </w:t>
            </w:r>
            <w:hyperlink r:id="rId33">
              <w:r>
                <w:rPr>
                  <w:color w:val="77230C"/>
                  <w:sz w:val="20"/>
                  <w:u w:val="single"/>
                </w:rPr>
                <w:t>Full-text PDF</w:t>
              </w:r>
            </w:hyperlink>
          </w:p>
          <w:p>
            <w:pPr>
              <w:pStyle w:val="Normal"/>
              <w:widowControl/>
              <w:spacing w:before="60" w:after="20"/>
            </w:pPr>
            <w:r>
              <w:t xml:space="preserve">Locator: PDF pp2–8; Methods, donor flow, complications and late-events Discussion.</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A2ALL: 760 operations initiated, 20 aborted and 740 donations completed. Among completed donations, 296/740 (40%) had at least one complication (557 events); 140 had multiple events. Historical four-tier Clavien grade 3 residual disability occurred in 5 and grade 4 death in 3; one death was perioperative and two were late psychological deaths. An aborted donor also suffered bile leak/infection/abscess and was outside the 740-completion analysis.</w:t>
            </w:r>
          </w:p>
          <w:p>
            <w:pPr>
              <w:pStyle w:val="Normal"/>
              <w:widowControl/>
              <w:spacing w:before="60" w:after="20"/>
            </w:pPr>
            <w:r>
              <w:rPr>
                <w:b/>
              </w:rPr>
              <w:t xml:space="preserve">Do not infer: </w:t>
            </w:r>
            <w:r>
              <w:t xml:space="preserve">Historical classification is NOT modern Clavien–Dindo ≥III; 8/740 cannot be labeled a contemporary major-complication rate. Older expert-center cohort and mixed follow-up; late hernia/psychological events occurred years later. Use contemporary local donor outcomes as well as published estimates; never promise zero risk.</w:t>
            </w:r>
          </w:p>
        </w:tc>
      </w:tr>
      <w:tr>
        <w:trPr/>
        <w:tc>
          <w:tcPr>
            <w:tcW w:w="3400" w:type="dxa"/>
            <w:tcMar>
              <w:top w:w="90" w:type="dxa"/>
              <w:left w:w="90" w:type="dxa"/>
              <w:bottom w:w="90" w:type="dxa"/>
              <w:right w:w="90" w:type="dxa"/>
            </w:tcMar>
          </w:tcPr>
          <w:p>
            <w:pPr>
              <w:pStyle w:val="Normal"/>
              <w:widowControl/>
              <w:spacing w:before="60" w:after="20"/>
            </w:pPr>
            <w:r>
              <w:rPr>
                <w:b/>
              </w:rPr>
              <w:t xml:space="preserve">DiMartini 2017</w:t>
            </w:r>
            <w:r>
              <w:t xml:space="preserve"> </w:t>
            </w:r>
            <w:r>
              <w:t xml:space="preserve"> </w:t>
            </w:r>
            <w:r>
              <w:fldChar w:fldCharType="begin"/>
            </w:r>
            <w:r>
              <w:instrText xml:space="preserve"> ADDIN EN.CITE </w:instrText>
            </w:r>
            <w:r>
              <w:fldChar w:fldCharType="begin">
                <w:fldData>PEVuZE5vdGU+PENpdGU+PEF1dGhvcj5EaU1hcnRpbmk8L0F1dGhvcj48WWVhcj4yMDE3PC9ZZWFyPjxSZWNOdW0+MjQ8L1JlY051bT48RGlzcGxheVRleHQ+W1YxMi0yNF08L0Rpc3BsYXlUZXh0PjxyZWNvcmQ+PHJlYy1udW1iZXI+MjQ8L3JlYy1udW1iZXI+PGZvcmVpZ24ta2V5cz48a2V5IGFwcD0iRU4iIGRiLWlkPSJiZGQyNjc5MS0yMDlkLTVmMGItOTgwMC1kMzMxOTBmZTAxZDciIHRpbWVzdGFtcD0iMTc5MjkyMTA4NCI+MjQ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[V12-24]</w:t>
            </w:r>
            <w:r>
              <w:fldChar w:fldCharType="end"/>
            </w:r>
          </w:p>
          <w:p>
            <w:pPr>
              <w:pStyle w:val="Normal"/>
              <w:widowControl/>
              <w:spacing w:before="60" w:after="20"/>
            </w:pPr>
            <w:r>
              <w:t xml:space="preserve">Prospective A2ALL-2 interviews: 271/297 eligible donors, before and through 24 months after donation.</w:t>
            </w:r>
          </w:p>
          <w:p>
            <w:pPr>
              <w:pStyle w:val="Normal"/>
              <w:widowControl/>
              <w:spacing w:before="60" w:after="20"/>
            </w:pPr>
            <w:r>
              <w:t xml:space="preserve">Selection: Costs and social recovery reported by participants, not randomized financial support.</w:t>
            </w:r>
          </w:p>
          <w:p>
            <w:pPr>
              <w:pStyle w:val="Normal"/>
              <w:widowControl/>
              <w:spacing w:before="60" w:after="20"/>
            </w:pPr>
            <w:hyperlink r:id="rId34">
              <w:r>
                <w:rPr>
                  <w:color w:val="77230C"/>
                  <w:sz w:val="20"/>
                  <w:u w:val="single"/>
                </w:rPr>
                <w:t>Primary source</w:t>
              </w:r>
            </w:hyperlink>
            <w:r>
              <w:t xml:space="preserve"> | </w:t>
            </w:r>
            <w:hyperlink r:id="rId35">
              <w:r>
                <w:rPr>
                  <w:color w:val="77230C"/>
                  <w:sz w:val="20"/>
                  <w:u w:val="single"/>
                </w:rPr>
                <w:t>Full-text PDF</w:t>
              </w:r>
            </w:hyperlink>
          </w:p>
          <w:p>
            <w:pPr>
              <w:pStyle w:val="Normal"/>
              <w:widowControl/>
              <w:spacing w:before="60" w:after="20"/>
            </w:pPr>
            <w:r>
              <w:t xml:space="preserve">Locator: PDF pp2–14; Figure 1, Tables 3–4 and 7,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Prospective A2ALL-2 surveys: 271 donors with ≥1 survey, 263 with postdonation data and 245 with both pre/post data; 139 interviews at two years. Cumulatively 75% reported nonmedical out-of-pocket expenses, 45% lost wages, 37% uncovered medical expenses and 44% burdensome costs at ≥1 assessment. Burden was 39.6% at three months (99/250) and 19.4% at two years (27/139). Among 196 employed before donation, 40% ever modified work/jobs.</w:t>
            </w:r>
          </w:p>
          <w:p>
            <w:pPr>
              <w:pStyle w:val="Normal"/>
              <w:widowControl/>
              <w:spacing w:before="60" w:after="20"/>
            </w:pPr>
            <w:r>
              <w:rPr>
                <w:b/>
              </w:rPr>
              <w:t xml:space="preserve">Do not infer: </w:t>
            </w:r>
            <w:r>
              <w:t xml:space="preserve">Self-report, variable denominators, administrative censoring/attrition, English-only selected donors and two-year horizon. These are not all 271 donors reporting each endpoint at a single time. Positive relationships do not offset financial harms. Historical 2017 insurance/assistance descriptions must not be presented as current law or current benefit eligibility.</w:t>
            </w:r>
          </w:p>
        </w:tc>
      </w:tr>
      <w:tr>
        <w:trPr/>
        <w:tc>
          <w:tcPr>
            <w:tcW w:w="3400" w:type="dxa"/>
            <w:tcMar>
              <w:top w:w="90" w:type="dxa"/>
              <w:left w:w="90" w:type="dxa"/>
              <w:bottom w:w="90" w:type="dxa"/>
              <w:right w:w="90" w:type="dxa"/>
            </w:tcMar>
          </w:tcPr>
          <w:p>
            <w:pPr>
              <w:pStyle w:val="Normal"/>
              <w:widowControl/>
              <w:spacing w:before="60" w:after="20"/>
            </w:pPr>
            <w:r>
              <w:rPr>
                <w:b/>
              </w:rPr>
              <w:t xml:space="preserve">Xiao 2024</w:t>
            </w:r>
            <w:r>
              <w:t xml:space="preserve"> </w:t>
            </w:r>
            <w:r>
              <w:t xml:space="preserve"> </w:t>
            </w:r>
            <w:r>
              <w:fldChar w:fldCharType="begin"/>
            </w:r>
            <w:r>
              <w:instrText xml:space="preserve"> ADDIN EN.CITE </w:instrText>
            </w:r>
            <w:r>
              <w:fldChar w:fldCharType="begin">
                <w:fldData>PEVuZE5vdGU+PENpdGU+PEF1dGhvcj5YaWFvPC9BdXRob3I+PFllYXI+MjAyNDwvWWVhcj48UmVjTnVtPjI1PC9SZWNOdW0+PERpc3BsYXlUZXh0PltWMTItMjVdPC9EaXNwbGF5VGV4dD48cmVjb3JkPjxyZWMtbnVtYmVyPjI1PC9yZWMtbnVtYmVyPjxmb3JlaWduLWtleXM+PGtleSBhcHA9IkVOIiBkYi1pZD0iYmRkMjY3OTEtMjA5ZC01ZjBiLTk4MDAtZDMzMTkwZmUwMWQ3IiB0aW1lc3RhbXA9IjE3OTI5MjEwODQiPjI1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[V12-25]</w:t>
            </w:r>
            <w:r>
              <w:fldChar w:fldCharType="end"/>
            </w:r>
          </w:p>
          <w:p>
            <w:pPr>
              <w:pStyle w:val="Normal"/>
              <w:widowControl/>
              <w:spacing w:before="60" w:after="20"/>
            </w:pPr>
            <w:r>
              <w:t xml:space="preserve">Published meta-analysis of 60,829 donors; primary abstract reports 87 articles.</w:t>
            </w:r>
          </w:p>
          <w:p>
            <w:pPr>
              <w:pStyle w:val="Normal"/>
              <w:widowControl/>
              <w:spacing w:before="60" w:after="20"/>
            </w:pPr>
            <w:r>
              <w:t xml:space="preserve">Selection: Heterogeneous centers, eras and complication definitions; full overlap audit pending.</w:t>
            </w:r>
          </w:p>
          <w:p>
            <w:pPr>
              <w:pStyle w:val="Normal"/>
              <w:widowControl/>
              <w:spacing w:before="60" w:after="20"/>
            </w:pPr>
            <w:hyperlink r:id="rId36">
              <w:r>
                <w:rPr>
                  <w:color w:val="77230C"/>
                  <w:sz w:val="20"/>
                  <w:u w:val="single"/>
                </w:rPr>
                <w:t>Primary source</w:t>
              </w:r>
            </w:hyperlink>
            <w:r>
              <w:t xml:space="preserve"> | </w:t>
            </w:r>
            <w:hyperlink r:id="rId37">
              <w:r>
                <w:rPr>
                  <w:color w:val="77230C"/>
                  <w:sz w:val="20"/>
                  <w:u w:val="single"/>
                </w:rPr>
                <w:t>Full-text PDF</w:t>
              </w:r>
            </w:hyperlink>
          </w:p>
          <w:p>
            <w:pPr>
              <w:pStyle w:val="Normal"/>
              <w:widowControl/>
              <w:spacing w:before="60" w:after="20"/>
            </w:pPr>
            <w:r>
              <w:t xml:space="preserve">Locator: PDF pp3–10; Methods, Tables 1–3,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Meta-analysis reports 187 articles/60,829 donors in full-text Results (abstract says 87). Endpoint denominators differ: any complication 24.7% (95% CI 21.6–28.1; 163 studies/34,317 donors), major Clavien–Dindo III–V 5.5% (4.5–6.7; 105/27,571), mortality 0.06% (0.0–0.1; 111/49,027). Psychological complications 7.6% (4.9–11.5; 35/17,171).</w:t>
            </w:r>
          </w:p>
          <w:p>
            <w:pPr>
              <w:pStyle w:val="Normal"/>
              <w:widowControl/>
              <w:spacing w:before="60" w:after="20"/>
            </w:pPr>
            <w:r>
              <w:rPr>
                <w:b/>
              </w:rPr>
              <w:t xml:space="preserve">Do not infer: </w:t>
            </w:r>
            <w:r>
              <w:t xml:space="preserve">Heterogeneous observational reports, variable follow-up, duplicate-cohort sensitivity analysis, underreporting and limited new-vs-preexisting psychiatric detail. No common 60,829-person denominator for every endpoint. Right/left graft comparisons are selected, not causal. Several textual inconsistencies (study count and operation duration) require Table-specific reporting.</w:t>
            </w:r>
          </w:p>
        </w:tc>
      </w:tr>
      <w:tr>
        <w:trPr/>
        <w:tc>
          <w:tcPr>
            <w:tcW w:w="3400" w:type="dxa"/>
            <w:tcMar>
              <w:top w:w="90" w:type="dxa"/>
              <w:left w:w="90" w:type="dxa"/>
              <w:bottom w:w="90" w:type="dxa"/>
              <w:right w:w="90" w:type="dxa"/>
            </w:tcMar>
          </w:tcPr>
          <w:p>
            <w:pPr>
              <w:pStyle w:val="Normal"/>
              <w:widowControl/>
              <w:spacing w:before="60" w:after="20"/>
            </w:pPr>
            <w:r>
              <w:rPr>
                <w:b/>
              </w:rPr>
              <w:t xml:space="preserve">Ito 2025 · LDLT</w:t>
            </w:r>
            <w:r>
              <w:t xml:space="preserve"> </w:t>
            </w:r>
            <w:r>
              <w:t xml:space="preserve"> </w:t>
            </w:r>
            <w:r>
              <w:fldChar w:fldCharType="begin"/>
            </w:r>
            <w:r>
              <w:instrText xml:space="preserve"> ADDIN EN.CITE </w:instrText>
            </w:r>
            <w:r>
              <w:fldChar w:fldCharType="begin">
                <w:fldData>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</w:fldData>
              </w:fldChar>
            </w:r>
            <w:r>
              <w:instrText xml:space="preserve"> ADDIN EN.CITE.DATA </w:instrText>
            </w:r>
            <w:r>
              <w:fldChar w:fldCharType="end"/>
            </w:r>
            <w:r>
              <w:fldChar w:fldCharType="separate"/>
            </w:r>
            <w:r>
              <w:t xml:space="preserve">[V12-26]</w:t>
            </w:r>
            <w:r>
              <w:fldChar w:fldCharType="end"/>
            </w:r>
          </w:p>
          <w:p>
            <w:pPr>
              <w:pStyle w:val="Normal"/>
              <w:widowControl/>
              <w:spacing w:before="60" w:after="20"/>
            </w:pPr>
            <w:r>
              <w:t xml:space="preserve">Prospective Kyoto pilot, ten enrolled 2018–2024; five LDLT and five dropout. Unresectability involved FLR, nonreconstructible vascular/ductal disease or PSC. Nodes/metastases excluded; ERCP diagnosis without transperitoneal primary biopsy. The methods do not state a numeric mass-size cap.</w:t>
            </w:r>
          </w:p>
          <w:p>
            <w:pPr>
              <w:pStyle w:val="Normal"/>
              <w:widowControl/>
              <w:spacing w:before="60" w:after="20"/>
            </w:pPr>
            <w:hyperlink r:id="rId38">
              <w:r>
                <w:rPr>
                  <w:color w:val="77230C"/>
                  <w:sz w:val="20"/>
                  <w:u w:val="single"/>
                </w:rPr>
                <w:t>Primary source</w:t>
              </w:r>
            </w:hyperlink>
            <w:r>
              <w:t xml:space="preserve"> | </w:t>
            </w:r>
            <w:hyperlink r:id="rId39">
              <w:r>
                <w:rPr>
                  <w:color w:val="77230C"/>
                  <w:sz w:val="20"/>
                  <w:u w:val="single"/>
                </w:rPr>
                <w:t>Full-text PDF</w:t>
              </w:r>
            </w:hyperlink>
          </w:p>
          <w:p>
            <w:pPr>
              <w:pStyle w:val="Normal"/>
              <w:widowControl/>
              <w:spacing w:before="60" w:after="20"/>
            </w:pPr>
            <w:r>
              <w:t xml:space="preserve">Locator: Complete 11-page PDF, Methods, flow, Tables 1–3, survival and arterial-complication discussion; J Hepatobiliary Pancreat Sci 2025; 32:276–286.</w:t>
            </w:r>
          </w:p>
          <w:p>
            <w:pPr>
              <w:pStyle w:val="Normal"/>
              <w:widowControl/>
              <w:spacing w:before="60" w:after="20"/>
            </w:pPr>
            <w:r>
              <w:t xml:space="preserve">Review depth: Complete original J Hepatobiliary Pancreat Sci 2025; 32:276–286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Ten entered: five LDLT and five dropouts. One-year post-LT OS was 100%, with median recipient follow-up 23.7 months; one bone recurrence occurred at 10 months and death at 23.7 months. All five had complications, including two HAT events. Five-year ITT OS of 27.4% is from pathological diagnosis, not LT. Dropouts included conversion to resection, financial withdrawal, ERCP pancreatitis, progression and a positive node.</w:t>
            </w:r>
          </w:p>
          <w:p>
            <w:pPr>
              <w:pStyle w:val="Normal"/>
              <w:widowControl/>
              <w:spacing w:before="60" w:after="20"/>
            </w:pPr>
            <w:r>
              <w:rPr>
                <w:b/>
              </w:rPr>
              <w:t xml:space="preserve">Do not infer: </w:t>
            </w:r>
            <w:r>
              <w:t xml:space="preserve">Five recipients with immature long-term estimates and substantial arterial harm; no regimen noninferiority, no ICI data and no tested prior-biopsy/cleared-node expansion. Outside-field arterial reconstruction is a technical hypothesis from a tiny sequence, not a universally validated operation.</w:t>
            </w:r>
          </w:p>
        </w:tc>
      </w:tr>
      <w:tr>
        <w:trPr/>
        <w:tc>
          <w:tcPr>
            <w:tcW w:w="3400" w:type="dxa"/>
            <w:tcMar>
              <w:top w:w="90" w:type="dxa"/>
              <w:left w:w="90" w:type="dxa"/>
              <w:bottom w:w="90" w:type="dxa"/>
              <w:right w:w="90" w:type="dxa"/>
            </w:tcMar>
          </w:tcPr>
          <w:p>
            <w:pPr>
              <w:pStyle w:val="Normal"/>
              <w:widowControl/>
              <w:spacing w:before="60" w:after="20"/>
            </w:pPr>
            <w:r>
              <w:rPr>
                <w:b/>
              </w:rPr>
              <w:t xml:space="preserve">Aveson 2022</w:t>
            </w:r>
            <w:r>
              <w:t xml:space="preserve"> </w:t>
            </w:r>
            <w:r>
              <w:t xml:space="preserve"> </w:t>
            </w:r>
            <w:r>
              <w:fldChar w:fldCharType="begin"/>
            </w:r>
            <w:r>
              <w:instrText xml:space="preserve"> ADDIN EN.CITE </w:instrText>
            </w:r>
            <w:r>
              <w:fldChar w:fldCharType="begin">
                <w:fldData>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MSK retrospective planned-resection/exploration cohort, 1991–2014: 262 patients, 37 TP primary biopsies and 225 intraluminal/no biopsies; 155 R0/R1 resections, not 262 completed resections.</w:t>
            </w:r>
          </w:p>
          <w:p>
            <w:pPr>
              <w:pStyle w:val="Normal"/>
              <w:widowControl/>
              <w:spacing w:before="60" w:after="20"/>
            </w:pPr>
            <w:r>
              <w:t xml:space="preserve">Selection: MSK retrospective planned-resection/exploration cohort 1991–2014: 262 evaluable patients; 37 primary-tumor transperitoneal biopsies versus 225 intraluminal/no biopsies (134/91). Only 155 underwent R0/R1 resection; 107 were unresectable, R2 or bypass. This is not 262 completed resections and not an LT cohort.</w:t>
            </w:r>
          </w:p>
          <w:p>
            <w:pPr>
              <w:pStyle w:val="Normal"/>
              <w:widowControl/>
              <w:spacing w:before="60" w:after="20"/>
            </w:pPr>
            <w:hyperlink r:id="rId40">
              <w:r>
                <w:rPr>
                  <w:color w:val="77230C"/>
                  <w:sz w:val="20"/>
                  <w:u w:val="single"/>
                </w:rPr>
                <w:t>Primary source</w:t>
              </w:r>
            </w:hyperlink>
            <w:r>
              <w:t xml:space="preserve"> | </w:t>
            </w:r>
            <w:hyperlink r:id="rId41">
              <w:r>
                <w:rPr>
                  <w:color w:val="77230C"/>
                  <w:sz w:val="20"/>
                  <w:u w:val="single"/>
                </w:rPr>
                <w:t>Full-text PDF</w:t>
              </w:r>
            </w:hyperlink>
          </w:p>
          <w:p>
            <w:pPr>
              <w:pStyle w:val="Normal"/>
              <w:widowControl/>
              <w:spacing w:before="60" w:after="20"/>
            </w:pPr>
            <w:r>
              <w:t xml:space="preserve">Locator: Complete eight-page HPB 2022; 24:942–949 PDF; Methods, patient flow, Tables 1–3 and competing-risk results.</w:t>
            </w:r>
          </w:p>
          <w:p>
            <w:pPr>
              <w:pStyle w:val="Normal"/>
              <w:widowControl/>
              <w:spacing w:before="60" w:after="20"/>
            </w:pPr>
            <w:r>
              <w:t xml:space="preserve">Review depth: Complete original HPB 2022; 24:942–949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Index PM: 2/37 (5.4%) versus 17/225 (7.6%), p&gt;0.9.; 243 were initially PM-negative (35 exposed/208 unexposed); 72 subsequently developed PM.; Two-year cumulative PM 20.3% (95% CI 8.7–35.2) versus 20.1% (14.9–25.9), p=0.7.; Only 98 had R0 resections (14 TP/84 non-TP), with six PM-first recurrences; subgroup precision is limited.</w:t>
            </w:r>
          </w:p>
          <w:p>
            <w:pPr>
              <w:pStyle w:val="Normal"/>
              <w:widowControl/>
              <w:spacing w:before="60" w:after="20"/>
            </w:pPr>
            <w:r>
              <w:rPr>
                <w:b/>
              </w:rPr>
              <w:t xml:space="preserve">Do not infer: </w:t>
            </w:r>
            <w:r>
              <w:t xml:space="preserve">The absence of increased PM is genuine counterevidence to inevitable-seeding claims, but only 37 exposed patients, short 32-/38-day biopsy-to-operation intervals and no LT waiting/immunosuppression setting prevent a transplant-safety inference. Current policy is not overridden.</w:t>
            </w:r>
          </w:p>
        </w:tc>
      </w:tr>
      <w:tr>
        <w:trPr/>
        <w:tc>
          <w:tcPr>
            <w:tcW w:w="3400" w:type="dxa"/>
            <w:tcMar>
              <w:top w:w="90" w:type="dxa"/>
              <w:left w:w="90" w:type="dxa"/>
              <w:bottom w:w="90" w:type="dxa"/>
              <w:right w:w="90" w:type="dxa"/>
            </w:tcMar>
          </w:tcPr>
          <w:p>
            <w:pPr>
              <w:pStyle w:val="Normal"/>
              <w:widowControl/>
              <w:spacing w:before="60" w:after="20"/>
            </w:pPr>
            <w:r>
              <w:rPr>
                <w:b/>
              </w:rPr>
              <w:t xml:space="preserve">Ethun 2018</w:t>
            </w:r>
            <w:r>
              <w:t xml:space="preserve"> </w:t>
            </w:r>
            <w:r>
              <w:t xml:space="preserve"> </w:t>
            </w:r>
            <w:r>
              <w:fldChar w:fldCharType="begin"/>
            </w:r>
            <w:r>
              <w:instrText xml:space="preserve"> ADDIN EN.CITE </w:instrText>
            </w:r>
            <w:r>
              <w:fldChar w:fldCharType="begin">
                <w:fldData>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Multicenter resection (2000–2015) and LT (2005–2016) experience: 234 attempted/191 R0–R1 resections; 70 LT-protocol entrants, 46 completed LT, 41 confirmed-cancer recipients; 66 in ITT after four missing entry dates.</w:t>
            </w:r>
          </w:p>
          <w:p>
            <w:pPr>
              <w:pStyle w:val="Normal"/>
              <w:widowControl/>
              <w:spacing w:before="60" w:after="20"/>
            </w:pPr>
            <w:r>
              <w:t xml:space="preserve">Selection: Strong selection differences. Table 1 median ages: 54 LT/67 resection; abstract ages differ. Recipient comparisons start at surgery; ITT uses LT-protocol initiation versus resection surgery. Restricted analysis was unadjusted, not multivariable-adjusted.</w:t>
            </w:r>
          </w:p>
          <w:p>
            <w:pPr>
              <w:pStyle w:val="Normal"/>
              <w:widowControl/>
              <w:spacing w:before="60" w:after="20"/>
            </w:pPr>
            <w:hyperlink r:id="rId42">
              <w:r>
                <w:rPr>
                  <w:color w:val="77230C"/>
                  <w:sz w:val="20"/>
                  <w:u w:val="single"/>
                </w:rPr>
                <w:t>Primary source</w:t>
              </w:r>
            </w:hyperlink>
            <w:r>
              <w:t xml:space="preserve"> | </w:t>
            </w:r>
            <w:hyperlink r:id="rId43">
              <w:r>
                <w:rPr>
                  <w:color w:val="77230C"/>
                  <w:sz w:val="20"/>
                  <w:u w:val="single"/>
                </w:rPr>
                <w:t>Full-text PDF</w:t>
              </w:r>
            </w:hyperlink>
          </w:p>
          <w:p>
            <w:pPr>
              <w:pStyle w:val="Normal"/>
              <w:widowControl/>
              <w:spacing w:before="60" w:after="20"/>
            </w:pPr>
            <w:r>
              <w:t xml:space="preserve">Locator: Complete PDF pp 2–7, Methods, Table 1, flow and survival/ITT figures; Ann Surg 2018; 267:797–805.</w:t>
            </w:r>
          </w:p>
          <w:p>
            <w:pPr>
              <w:pStyle w:val="Normal"/>
              <w:widowControl/>
              <w:spacing w:before="60" w:after="20"/>
            </w:pPr>
            <w:r>
              <w:t xml:space="preserve">Review depth: Complete original Ann Surg 2018; 267:797–805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Recipient three-/five-year OS: 72%/64% LT versus 33%/18% resection. Non-PSC, &lt;3-cm, N0 recipient comparison: five-year OS 54% versus 29%, p=.03. Restricted ITT, 35 LT-protocol versus 57 attempted resections: one-/three-/five-year OS 82%/46%/41% versus 72%/45%/27%, p=.049. Overall ITT, 66 versus 234: five-year OS 53% versus 17%.</w:t>
            </w:r>
          </w:p>
          <w:p>
            <w:pPr>
              <w:pStyle w:val="Normal"/>
              <w:widowControl/>
              <w:spacing w:before="60" w:after="20"/>
            </w:pPr>
            <w:r>
              <w:rPr>
                <w:b/>
              </w:rPr>
              <w:t xml:space="preserve">Do not infer: </w:t>
            </w:r>
            <w:r>
              <w:t xml:space="preserve">No multivariable adjustment; postoperative resection subgroups, clinical LT selection, unmatched entry clocks, era and treatment confounding. This is LT-favorable observational evidence, not proof of superiority over optimized R0 resection; compare explicitly with Dong.</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Q8L1JlY051bT48RGlzcGxheVRleHQ+W1YxMi00XTwvRGlzcGxheVRleHQ+PHJlY29yZD48cmVjLW51bWJlcj40PC9yZWMtbnVtYmVyPjxmb3JlaWduLWtleXM+PGtleSBhcHA9IkVOIiBkYi1pZD0iYmRkMjY3OTEtMjA5ZC01ZjBiLTk4MDAtZDMzMTkwZmUwMWQ3IiB0aW1lc3RhbXA9IjE3OTI5MjEwODQiPjQ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Mayo retrospective 1993–2010: 199 protocol entrants, 62 dropouts, 131 local LT recipients and six LT elsewhere. Clear radial masses &gt;3 cm were excluded. The recorded mass measurement could be maximal radial OR longitudinal diameter, and the authors explain that observed &gt;3-cm measurements were generally longitudinal extension.</w:t>
            </w:r>
          </w:p>
          <w:p>
            <w:pPr>
              <w:pStyle w:val="Normal"/>
              <w:widowControl/>
              <w:spacing w:before="60" w:after="20"/>
            </w:pPr>
            <w:r>
              <w:t xml:space="preserve">Selection: Clear radial masses &gt;3 cm were excluded. The measured mass variable could be maximal radial or longitudinal diameter; the authors state that observed &gt;3-cm measurements generally reflected longitudinal extension.</w:t>
            </w:r>
          </w:p>
          <w:p>
            <w:pPr>
              <w:pStyle w:val="Normal"/>
              <w:widowControl/>
              <w:spacing w:before="60" w:after="20"/>
            </w:pPr>
            <w:hyperlink r:id="rId44">
              <w:r>
                <w:rPr>
                  <w:color w:val="77230C"/>
                  <w:sz w:val="20"/>
                  <w:u w:val="single"/>
                </w:rPr>
                <w:t>Primary source</w:t>
              </w:r>
            </w:hyperlink>
            <w:r>
              <w:t xml:space="preserve"> | </w:t>
            </w:r>
            <w:hyperlink r:id="rId45">
              <w:r>
                <w:rPr>
                  <w:color w:val="77230C"/>
                  <w:sz w:val="20"/>
                  <w:u w:val="single"/>
                </w:rPr>
                <w:t>Full-text PDF</w:t>
              </w:r>
            </w:hyperlink>
          </w:p>
          <w:p>
            <w:pPr>
              <w:pStyle w:val="Normal"/>
              <w:widowControl/>
              <w:spacing w:before="60" w:after="20"/>
            </w:pPr>
            <w:r>
              <w:t xml:space="preserve">Locator: Complete Hepatology 2012 PDF, Transplantation and Recurrence sections.</w:t>
            </w:r>
          </w:p>
          <w:p>
            <w:pPr>
              <w:pStyle w:val="Normal"/>
              <w:widowControl/>
              <w:spacing w:before="60" w:after="20"/>
            </w:pPr>
            <w:r>
              <w:t xml:space="preserve">Review depth: Complete original article, Hepatology 2012; 56:972–981. Complete main paper reviewed; separate supplements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11/131 local recipients required retransplantation: six HAT, three primary nonfunction, one ischemic cholangiopathy and one recurrent PSC. Five-year post-LT OS was 71% and RFS 68%.</w:t>
            </w:r>
          </w:p>
          <w:p>
            <w:pPr>
              <w:pStyle w:val="Normal"/>
              <w:widowControl/>
              <w:spacing w:before="60" w:after="20"/>
            </w:pPr>
            <w:r>
              <w:rPr>
                <w:b/>
              </w:rPr>
              <w:t xml:space="preserve">Do not infer: </w:t>
            </w:r>
            <w:r>
              <w:t xml:space="preserve">Overlapping Mayo experience, not an independent additive safety denominator. Recurrence benefit must be discussed beside graft loss and retransplant use.</w:t>
            </w:r>
          </w:p>
        </w:tc>
      </w:tr>
      <w:tr>
        <w:trPr/>
        <w:tc>
          <w:tcPr>
            <w:tcW w:w="3400" w:type="dxa"/>
            <w:tcMar>
              <w:top w:w="90" w:type="dxa"/>
              <w:left w:w="90" w:type="dxa"/>
              <w:bottom w:w="90" w:type="dxa"/>
              <w:right w:w="90" w:type="dxa"/>
            </w:tcMar>
          </w:tcPr>
          <w:p>
            <w:pPr>
              <w:pStyle w:val="Normal"/>
              <w:widowControl/>
              <w:spacing w:before="60" w:after="20"/>
            </w:pPr>
            <w:r>
              <w:rPr>
                <w:b/>
              </w:rPr>
              <w:t xml:space="preserve">Olthof 2020</w:t>
            </w:r>
            <w:r>
              <w:t xml:space="preserve"> </w:t>
            </w:r>
            <w:r>
              <w:t xml:space="preserve"> </w:t>
            </w:r>
            <w:r>
              <w:fldChar w:fldCharType="begin"/>
            </w:r>
            <w:r>
              <w:instrText xml:space="preserve"> ADDIN EN.CITE </w:instrText>
            </w:r>
            <w:r>
              <w:fldChar w:fldCharType="begin">
                <w:fldData>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20-center retrospective dataset: 1667 records, 1484 combined hepatic/biliary resections after exclusion of 37 unresectable cases, 140 bile-duct-only resections and six LT. 298 PVE/1186 no PVE; complete volumetry in 510 (151/359), with propensity matching of 98 PVE and 98 controls.</w:t>
            </w:r>
          </w:p>
          <w:p>
            <w:pPr>
              <w:pStyle w:val="Normal"/>
              <w:widowControl/>
              <w:spacing w:before="60" w:after="20"/>
            </w:pPr>
            <w:hyperlink r:id="rId46">
              <w:r>
                <w:rPr>
                  <w:color w:val="77230C"/>
                  <w:sz w:val="20"/>
                  <w:u w:val="single"/>
                </w:rPr>
                <w:t>Primary source</w:t>
              </w:r>
            </w:hyperlink>
            <w:r>
              <w:t xml:space="preserve"> | </w:t>
            </w:r>
            <w:hyperlink r:id="rId47">
              <w:r>
                <w:rPr>
                  <w:color w:val="77230C"/>
                  <w:sz w:val="20"/>
                  <w:u w:val="single"/>
                </w:rPr>
                <w:t>Full-text PDF</w:t>
              </w:r>
            </w:hyperlink>
          </w:p>
          <w:p>
            <w:pPr>
              <w:pStyle w:val="Normal"/>
              <w:widowControl/>
              <w:spacing w:before="60" w:after="20"/>
            </w:pPr>
            <w:r>
              <w:t xml:space="preserve">Locator: Complete PDF, matched cohort/Table 3 and Discussion; Ann Surg Oncol 2020; 27:2311–2318.</w:t>
            </w:r>
          </w:p>
          <w:p>
            <w:pPr>
              <w:pStyle w:val="Normal"/>
              <w:widowControl/>
              <w:spacing w:before="60" w:after="20"/>
            </w:pPr>
            <w:r>
              <w:t xml:space="preserve">Review depth: Complete original Ann Surg Oncol 2020; 27:2311–2318 article; byte-identical to the V7 PDF and reread in full.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Among 98 matched pairs, PVE versus no PVE: ISGLS B/C liver failure 8/98 versus 35/98, 90-day mortality 7/98 versus 18/98, and bile leak 10/98 versus 34/98. Median relative FLR-volume growth was 42% after 22 days, distinct from approximately seven-percentage-point FLR-share growth. Major morbidity, 51% versus 54%, did not differ.</w:t>
            </w:r>
          </w:p>
          <w:p>
            <w:pPr>
              <w:pStyle w:val="Normal"/>
              <w:widowControl/>
              <w:spacing w:before="60" w:after="20"/>
            </w:pPr>
            <w:r>
              <w:rPr>
                <w:b/>
              </w:rPr>
              <w:t xml:space="preserve">Do not infer: </w:t>
            </w:r>
            <w:r>
              <w:t xml:space="preserve">Only operated patients and complete-data matching; the denominator failing to reach resection after PVE is unavailable. No validated universal FLR cutoff or mandatory day-22 clearance; assess function, cholestasis and infection.</w:t>
            </w:r>
          </w:p>
        </w:tc>
      </w:tr>
      <w:tr>
        <w:trPr/>
        <w:tc>
          <w:tcPr>
            <w:tcW w:w="3400" w:type="dxa"/>
            <w:tcMar>
              <w:top w:w="90" w:type="dxa"/>
              <w:left w:w="90" w:type="dxa"/>
              <w:bottom w:w="90" w:type="dxa"/>
              <w:right w:w="90" w:type="dxa"/>
            </w:tcMar>
          </w:tcPr>
          <w:p>
            <w:pPr>
              <w:pStyle w:val="Normal"/>
              <w:widowControl/>
              <w:spacing w:before="60" w:after="20"/>
            </w:pPr>
            <w:r>
              <w:rPr>
                <w:b/>
              </w:rPr>
              <w:t xml:space="preserve">Vugts 2021</w:t>
            </w:r>
            <w:r>
              <w:t xml:space="preserve"> </w:t>
            </w:r>
            <w:r>
              <w:t xml:space="preserve"> </w:t>
            </w:r>
            <w:r>
              <w:fldChar w:fldCharType="begin"/>
            </w:r>
            <w:r>
              <w:instrText xml:space="preserve"> ADDIN EN.CITE </w:instrText>
            </w:r>
            <w:r>
              <w:fldChar w:fldCharType="begin">
                <w:fldData>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</w:fldData>
              </w:fldChar>
            </w:r>
            <w:r>
              <w:instrText xml:space="preserve"> ADDIN EN.CITE.DATA </w:instrText>
            </w:r>
            <w:r>
              <w:fldChar w:fldCharType="end"/>
            </w:r>
            <w:r>
              <w:fldChar w:fldCharType="separate"/>
            </w:r>
            <w:r>
              <w:t xml:space="preserve">[V12-27]</w:t>
            </w:r>
            <w:r>
              <w:fldChar w:fldCharType="end"/>
            </w:r>
          </w:p>
          <w:p>
            <w:pPr>
              <w:pStyle w:val="Normal"/>
              <w:widowControl/>
              <w:spacing w:before="60" w:after="20"/>
            </w:pPr>
            <w:r>
              <w:t xml:space="preserve">732 consecutive Dutch pCCA presentations, 2002–2014; 154 underwent resection. Retrospective Mayo screening identified 34 potentially eligible (5%); 335 excluded for suspected/confirmed nodal or distant disease and 50 solely for age &gt;70. Two of the 34 actually received LT.</w:t>
            </w:r>
          </w:p>
          <w:p>
            <w:pPr>
              <w:pStyle w:val="Normal"/>
              <w:widowControl/>
              <w:spacing w:before="60" w:after="20"/>
            </w:pPr>
            <w:r>
              <w:t xml:space="preserve">Selection: 34/732 potentially Mayo-eligible after retrospective screening; two of these 34 actually received LT. This is predominantly historical non-LT care, not an entirely untreated/non-LT cohort.</w:t>
            </w:r>
          </w:p>
          <w:p>
            <w:pPr>
              <w:pStyle w:val="Normal"/>
              <w:widowControl/>
              <w:spacing w:before="60" w:after="20"/>
            </w:pPr>
            <w:hyperlink r:id="rId48">
              <w:r>
                <w:rPr>
                  <w:color w:val="77230C"/>
                  <w:sz w:val="20"/>
                  <w:u w:val="single"/>
                </w:rPr>
                <w:t>Primary source</w:t>
              </w:r>
            </w:hyperlink>
            <w:r>
              <w:t xml:space="preserve"> | </w:t>
            </w:r>
            <w:hyperlink r:id="rId49">
              <w:r>
                <w:rPr>
                  <w:color w:val="77230C"/>
                  <w:sz w:val="20"/>
                  <w:u w:val="single"/>
                </w:rPr>
                <w:t>Full-text PDF</w:t>
              </w:r>
            </w:hyperlink>
          </w:p>
          <w:p>
            <w:pPr>
              <w:pStyle w:val="Normal"/>
              <w:widowControl/>
              <w:spacing w:before="60" w:after="20"/>
            </w:pPr>
            <w:r>
              <w:t xml:space="preserve">Locator: Complete PDF, Methods/statistical analysis, Results and survival; Ann Surg Oncol 2021; 28:1483–1492.</w:t>
            </w:r>
          </w:p>
          <w:p>
            <w:pPr>
              <w:pStyle w:val="Normal"/>
              <w:widowControl/>
              <w:spacing w:before="60" w:after="20"/>
            </w:pPr>
            <w:r>
              <w:t xml:space="preserve">Review depth: Complete original Ann Surg Oncol 2021; 28:1483–1492 article, with correction information in the source record. Byte-identical to the already verified V7 PDF; reread in full.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Potentially eligible cohort median OS 13 months (95% CI 3–23) from first presentation at the tertiary center; one-/three-/five-year OS 56%/18%/11%.</w:t>
            </w:r>
          </w:p>
          <w:p>
            <w:pPr>
              <w:pStyle w:val="Normal"/>
              <w:widowControl/>
              <w:spacing w:before="60" w:after="20"/>
            </w:pPr>
            <w:r>
              <w:rPr>
                <w:b/>
              </w:rPr>
              <w:t xml:space="preserve">Do not infer: </w:t>
            </w:r>
            <w:r>
              <w:t xml:space="preserve">No matched modern comparator, incompletely reconstructible infection/staging criteria and no prospective NAT-tolerance assessment. Shows unmet need, not LT efficacy or superiority over R0 resection.</w:t>
            </w:r>
          </w:p>
        </w:tc>
      </w:tr>
      <w:tr>
        <w:trPr/>
        <w:tc>
          <w:tcPr>
            <w:tcW w:w="3400" w:type="dxa"/>
            <w:tcMar>
              <w:top w:w="90" w:type="dxa"/>
              <w:left w:w="90" w:type="dxa"/>
              <w:bottom w:w="90" w:type="dxa"/>
              <w:right w:w="90" w:type="dxa"/>
            </w:tcMar>
          </w:tcPr>
          <w:p>
            <w:pPr>
              <w:pStyle w:val="Normal"/>
              <w:widowControl/>
              <w:spacing w:before="60" w:after="20"/>
            </w:pPr>
            <w:r>
              <w:rPr>
                <w:b/>
              </w:rPr>
              <w:t xml:space="preserve">Gorji 2024</w:t>
            </w:r>
            <w:r>
              <w:t xml:space="preserve"> </w:t>
            </w:r>
            <w:r>
              <w:t xml:space="preserve"> </w:t>
            </w:r>
            <w:r>
              <w:fldChar w:fldCharType="begin"/>
            </w:r>
            <w:r>
              <w:instrText xml:space="preserve"> ADDIN EN.CITE </w:instrText>
            </w:r>
            <w:r>
              <w:fldChar w:fldCharType="begin">
                <w:fldData>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</w:fldData>
              </w:fldChar>
            </w:r>
            <w:r>
              <w:instrText xml:space="preserve"> ADDIN EN.CITE.DATA </w:instrText>
            </w:r>
            <w:r>
              <w:fldChar w:fldCharType="end"/>
            </w:r>
            <w:r>
              <w:fldChar w:fldCharType="separate"/>
            </w:r>
            <w:r>
              <w:t xml:space="preserve">[V12-12]</w:t>
            </w:r>
            <w:r>
              <w:fldChar w:fldCharType="end"/>
            </w:r>
          </w:p>
          <w:p>
            <w:pPr>
              <w:pStyle w:val="Normal"/>
              <w:widowControl/>
              <w:spacing w:before="60" w:after="20"/>
            </w:pPr>
            <w:r>
              <w:t xml:space="preserve">Narrative review; no new patient cohort or meta-analysis.</w:t>
            </w:r>
          </w:p>
          <w:p>
            <w:pPr>
              <w:pStyle w:val="Normal"/>
              <w:widowControl/>
              <w:spacing w:before="60" w:after="20"/>
            </w:pPr>
            <w:hyperlink r:id="rId50">
              <w:r>
                <w:rPr>
                  <w:color w:val="77230C"/>
                  <w:sz w:val="20"/>
                  <w:u w:val="single"/>
                </w:rPr>
                <w:t>Primary source</w:t>
              </w:r>
            </w:hyperlink>
            <w:r>
              <w:t xml:space="preserve"> | </w:t>
            </w:r>
            <w:hyperlink r:id="rId51">
              <w:r>
                <w:rPr>
                  <w:color w:val="77230C"/>
                  <w:sz w:val="20"/>
                  <w:u w:val="single"/>
                </w:rPr>
                <w:t>Full-text PDF</w:t>
              </w:r>
            </w:hyperlink>
          </w:p>
          <w:p>
            <w:pPr>
              <w:pStyle w:val="Normal"/>
              <w:widowControl/>
              <w:spacing w:before="60" w:after="20"/>
            </w:pPr>
            <w:r>
              <w:t xml:space="preserve">Locator: pp 213–216 Tables 2–3, Figure 2, CRLM/NET and allocation sections; references pp 217–218.</w:t>
            </w:r>
          </w:p>
          <w:p>
            <w:pPr>
              <w:pStyle w:val="Normal"/>
              <w:widowControl/>
              <w:spacing w:before="60" w:after="20"/>
            </w:pPr>
            <w:r>
              <w:t xml:space="preserve">Review depth: Complete eight-page narrative review read, including tables, figures/captions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Useful historical synthesis, not a substitute for current allocation guidance or primary trial denominators.; Table 2 p 213 distinguishes Milan NET age &lt;60 (relative), &lt;50% burden and &gt;6-month stability from other guidance; Figure 2 p 215 imports older risk flags (Ki-67 &gt;10%, observation &lt;12 months), which are not proven universal gates.; CRLM p 214 uses IHPBA BRAF V600E and historical CEA/PET language; these are not interchangeable with current NLRB all-BRAF and CEA rules.</w:t>
            </w:r>
          </w:p>
          <w:p>
            <w:pPr>
              <w:pStyle w:val="Normal"/>
              <w:widowControl/>
              <w:spacing w:before="60" w:after="20"/>
            </w:pPr>
            <w:r>
              <w:rPr>
                <w:b/>
              </w:rPr>
              <w:t xml:space="preserve">Do not infer: </w:t>
            </w:r>
            <w:r>
              <w:t xml:space="preserve">The paper says no iCCA/CRLM MELD exceptions and uses older allocation sources: outdated for 2026.; NET ELTR sentence p 216 reverses pre-/post-2000 five-year OS (46% versus 59%); primary ELTR shows better post-2000 outcome.; SECA-II DFS labels p 215 use 1/3/5 years although the primary paper reports 1/2/3 years for 53/44/35%.; Do not count review citations as independent outcome data or adopt Figure 2 Ki-67/observation cutoffs over current evidence.</w:t>
            </w:r>
          </w:p>
        </w:tc>
      </w:tr>
      <w:tr>
        <w:trPr/>
        <w:tc>
          <w:tcPr>
            <w:tcW w:w="3400" w:type="dxa"/>
            <w:tcMar>
              <w:top w:w="90" w:type="dxa"/>
              <w:left w:w="90" w:type="dxa"/>
              <w:bottom w:w="90" w:type="dxa"/>
              <w:right w:w="90" w:type="dxa"/>
            </w:tcMar>
          </w:tcPr>
          <w:p>
            <w:pPr>
              <w:pStyle w:val="Normal"/>
              <w:widowControl/>
              <w:spacing w:before="60" w:after="20"/>
            </w:pPr>
            <w:r>
              <w:rPr>
                <w:b/>
              </w:rPr>
              <w:t xml:space="preserve">Wu 2023</w:t>
            </w:r>
            <w:r>
              <w:t xml:space="preserve"> </w:t>
            </w:r>
            <w:r>
              <w:t xml:space="preserve"> </w:t>
            </w:r>
            <w:r>
              <w:fldChar w:fldCharType="begin"/>
            </w:r>
            <w:r>
              <w:instrText xml:space="preserve"> ADDIN EN.CITE </w:instrText>
            </w:r>
            <w:r>
              <w:fldChar w:fldCharType="begin">
                <w:fldData>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p>
          <w:p>
            <w:pPr>
              <w:pStyle w:val="Normal"/>
              <w:widowControl/>
              <w:spacing w:before="60" w:after="20"/>
            </w:pPr>
            <w:r>
              <w:t xml:space="preserve">Fifteen studies and 315 transplanted patients; 14 retrospective studies and one prospective study. Searches through 9 September 2022. Four Mayo-protocol studies contributed 208 recipients, two SBRT studies 11, and nine other-protocol studies 96. Four studies included iCCA.</w:t>
            </w:r>
          </w:p>
          <w:p>
            <w:pPr>
              <w:pStyle w:val="Normal"/>
              <w:widowControl/>
              <w:spacing w:before="60" w:after="20"/>
            </w:pPr>
            <w:hyperlink r:id="rId52">
              <w:r>
                <w:rPr>
                  <w:color w:val="77230C"/>
                  <w:sz w:val="20"/>
                  <w:u w:val="single"/>
                </w:rPr>
                <w:t>Primary source</w:t>
              </w:r>
            </w:hyperlink>
            <w:r>
              <w:t xml:space="preserve"> | </w:t>
            </w:r>
            <w:hyperlink r:id="rId53">
              <w:r>
                <w:rPr>
                  <w:color w:val="77230C"/>
                  <w:sz w:val="20"/>
                  <w:u w:val="single"/>
                </w:rPr>
                <w:t>Full-text PDF</w:t>
              </w:r>
            </w:hyperlink>
          </w:p>
          <w:p>
            <w:pPr>
              <w:pStyle w:val="Normal"/>
              <w:widowControl/>
              <w:spacing w:before="60" w:after="20"/>
            </w:pPr>
            <w:r>
              <w:t xml:space="preserve">Locator: PDF pp 2–4 methods, included studies and pooled pCR; study table and forest plots; pp 7–8 discussion and limitations.</w:t>
            </w:r>
          </w:p>
          <w:p>
            <w:pPr>
              <w:pStyle w:val="Normal"/>
              <w:widowControl/>
              <w:spacing w:before="60" w:after="20"/>
            </w:pPr>
            <w:r>
              <w:t xml:space="preserve">Review depth: Complete ten-page systematic review and meta-analysis read, including study table, figures,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Pooled pCR was 32% (95% CI 19–49), with substantial heterogeneity (I² 56%). Mayo subgroup pCR was 46% (31–61), SBRT 9% (1–44), and other regimens 33% (13–63).; Subgroup comparison was reported at p=.05; chemotherapy-duration association p=.13. Neither establishes regimen equivalence or noninferiority.; Study-level pCR was not associated with OS in meta-regression. This is not evidence that an individual's residual viable tumor lacks prognostic importance.; The table labels McMillan survival as post-LT although the primary article reports the relevant survival from listing. It also lists Loveday dropout as 10/18, whereas the primary full text has 11/18. Use the primary papers for these values.; Different studies contribute to pooled one-, three- and five-year RFS; nonmonotone pooled figures must not be shown as one longitudinal survival curve.</w:t>
            </w:r>
          </w:p>
          <w:p>
            <w:pPr>
              <w:pStyle w:val="Normal"/>
              <w:widowControl/>
              <w:spacing w:before="60" w:after="20"/>
            </w:pPr>
            <w:r>
              <w:rPr>
                <w:b/>
              </w:rPr>
              <w:t xml:space="preserve">Do not infer: </w:t>
            </w:r>
            <w:r>
              <w:t xml:space="preserve">Transplanted-only selection; mixed pCCA/iCCA populations; small and nonrandomized regimen subgroups; center overlap addressed imperfectly; ecological meta-regression; some secondary extraction errors. The meta-analysis is not a radiation prescription source or a regimen-equivalence trial. Time origin: pCR is an explant outcome among recipients, excluding pathway dropouts. Pooled survival time origins are not uniform enough to treat the table as a common post-LT survival curve.</w:t>
            </w:r>
          </w:p>
        </w:tc>
      </w:tr>
      <w:tr>
        <w:trPr/>
        <w:tc>
          <w:tcPr>
            <w:tcW w:w="3400" w:type="dxa"/>
            <w:tcMar>
              <w:top w:w="90" w:type="dxa"/>
              <w:left w:w="90" w:type="dxa"/>
              <w:bottom w:w="90" w:type="dxa"/>
              <w:right w:w="90" w:type="dxa"/>
            </w:tcMar>
          </w:tcPr>
          <w:p>
            <w:pPr>
              <w:pStyle w:val="Normal"/>
              <w:widowControl/>
              <w:spacing w:before="60" w:after="20"/>
            </w:pPr>
            <w:r>
              <w:rPr>
                <w:b/>
              </w:rPr>
              <w:t xml:space="preserve">Semaan 2025</w:t>
            </w:r>
            <w:r>
              <w:t xml:space="preserve"> </w:t>
            </w:r>
            <w:r>
              <w:t xml:space="preserve"> </w:t>
            </w:r>
            <w:r>
              <w:fldChar w:fldCharType="begin"/>
            </w:r>
            <w:r>
              <w:instrText xml:space="preserve"> ADDIN EN.CITE </w:instrText>
            </w:r>
            <w:r>
              <w:fldChar w:fldCharType="begin">
                <w:fldData>PEVuZE5vdGU+PENpdGU+PEF1dGhvcj5TZW1hYW48L0F1dGhvcj48WWVhcj4yMDI1PC9ZZWFyPjxSZWNOdW0+MTY8L1JlY051bT48RGlzcGxheVRleHQ+W1YxMi0xNl08L0Rpc3BsYXlUZXh0PjxyZWNvcmQ+PHJlYy1udW1iZXI+MTY8L3JlYy1udW1iZXI+PGZvcmVpZ24ta2V5cz48a2V5IGFwcD0iRU4iIGRiLWlkPSJiZGQyNjc5MS0yMDlkLTVmMGItOTgwMC1kMzMxOTBmZTAxZDciIHRpbWVzdGFtcD0iMTc5MjkyMTA4NCI+MTY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p>
          <w:p>
            <w:pPr>
              <w:pStyle w:val="Normal"/>
              <w:widowControl/>
              <w:spacing w:before="60" w:after="20"/>
            </w:pPr>
            <w:r>
              <w:t xml:space="preserve">Retrospective Houston Methodist cohort, 2008–2023: 53 LT recipients, 27 pCCA and 26 iCCA; 49 received neoadjuvant treatment. Results overlap earlier Houston iCCA series and must not be counted as independent replication.</w:t>
            </w:r>
          </w:p>
          <w:p>
            <w:pPr>
              <w:pStyle w:val="Normal"/>
              <w:widowControl/>
              <w:spacing w:before="60" w:after="20"/>
            </w:pPr>
            <w:hyperlink r:id="rId54">
              <w:r>
                <w:rPr>
                  <w:color w:val="77230C"/>
                  <w:sz w:val="20"/>
                  <w:u w:val="single"/>
                </w:rPr>
                <w:t>Primary source</w:t>
              </w:r>
            </w:hyperlink>
            <w:r>
              <w:t xml:space="preserve"> | </w:t>
            </w:r>
            <w:hyperlink r:id="rId55">
              <w:r>
                <w:rPr>
                  <w:color w:val="77230C"/>
                  <w:sz w:val="20"/>
                  <w:u w:val="single"/>
                </w:rPr>
                <w:t>Full-text PDF</w:t>
              </w:r>
            </w:hyperlink>
          </w:p>
          <w:p>
            <w:pPr>
              <w:pStyle w:val="Normal"/>
              <w:widowControl/>
              <w:spacing w:before="60" w:after="20"/>
            </w:pPr>
            <w:r>
              <w:t xml:space="preserve">Locator: PDF pp 1–2 methods; p 4/Table 2 exposure and timing; pp 5–7/Table 4 time-dependent models and Table 5 survival; pp 7–8 discussion.</w:t>
            </w:r>
          </w:p>
          <w:p>
            <w:pPr>
              <w:pStyle w:val="Normal"/>
              <w:widowControl/>
              <w:spacing w:before="60" w:after="20"/>
            </w:pPr>
            <w:r>
              <w:t xml:space="preserve">Review depth: Complete nine-page main article read. Tables and time-dependent analysis verified.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Thirty-nine of 53 patients received an mTOR inhibitor (73.6%); the abstract's 71.7% is inconsistent with 39/53 and matches the everolimus count of 38. Five received sirolimus and four received both sequentially.; Median initiation was 38 days after LT (IQR 27–79.5), not a tested mandatory day 30–38 conversion interval.; Three-year OS was 69.2% (95% CI 56.9–84.2) and RFS 57.4% (43.7–75.4); 21 patients developed recurrence.; The optimized conventional Cox association between mTOR use and OS was HR 0.16 (0.06–0.45; p=.001). It was not confirmed when mTOR exposure was treated as time-dependent: OS HR 0.52 (0.19–1.43; p=.2); RFS HR 0.82 (0.32–2.08; p=.7).; Pathology included multifocal iCCA, occult nodal disease and other adverse features; presumed pre-LT N 0 status does not establish the safety of knowingly transplanting node-positive patients.</w:t>
            </w:r>
          </w:p>
          <w:p>
            <w:pPr>
              <w:pStyle w:val="Normal"/>
              <w:widowControl/>
              <w:spacing w:before="60" w:after="20"/>
            </w:pPr>
            <w:r>
              <w:rPr>
                <w:b/>
              </w:rPr>
              <w:t xml:space="preserve">Do not infer: </w:t>
            </w:r>
            <w:r>
              <w:t xml:space="preserve">Small, heterogeneous, nonrandomized cohort; stepwise model selection; post-LT exposure timing; overlapping Houston patients. The source's current/prior/never-use categories are not readily reconciled with 39 ever-exposed patients. Do not infer a causal survival benefit, an optimal trough target, or a mandatory conversion date. Time origin: OS and RFS begin at LT; median post-LT follow-up 910 days. mTOR exposure starts after LT, creating an important timing/immortal-time problem in simple ever-treated comparisons.</w:t>
            </w:r>
          </w:p>
        </w:tc>
      </w:tr>
      <w:tr>
        <w:trPr/>
        <w:tc>
          <w:tcPr>
            <w:tcW w:w="3400" w:type="dxa"/>
            <w:tcMar>
              <w:top w:w="90" w:type="dxa"/>
              <w:left w:w="90" w:type="dxa"/>
              <w:bottom w:w="90" w:type="dxa"/>
              <w:right w:w="90" w:type="dxa"/>
            </w:tcMar>
          </w:tcPr>
          <w:p>
            <w:pPr>
              <w:pStyle w:val="Normal"/>
              <w:widowControl/>
              <w:spacing w:before="60" w:after="20"/>
            </w:pPr>
            <w:r>
              <w:rPr>
                <w:b/>
              </w:rPr>
              <w:t xml:space="preserve">Ramanan 2017</w:t>
            </w:r>
            <w:r>
              <w:t xml:space="preserve"> </w:t>
            </w:r>
            <w:r>
              <w:t xml:space="preserve"> </w:t>
            </w:r>
            <w:r>
              <w:fldChar w:fldCharType="begin"/>
            </w:r>
            <w:r>
              <w:instrText xml:space="preserve"> ADDIN EN.CITE </w:instrText>
            </w:r>
            <w:r>
              <w:fldChar w:fldCharType="begin">
                <w:fldData>PEVuZE5vdGU+PENpdGU+PEF1dGhvcj5SYW1hbmFuPC9BdXRob3I+PFllYXI+MjAxNzwvWWVhcj48UmVjTnVtPjE1PC9SZWNOdW0+PERpc3BsYXlUZXh0PltWMTItMTVdPC9EaXNwbGF5VGV4dD48cmVjb3JkPjxyZWMtbnVtYmVyPjE1PC9yZWMtbnVtYmVyPjxmb3JlaWduLWtleXM+PGtleSBhcHA9IkVOIiBkYi1pZD0iYmRkMjY3OTEtMjA5ZC01ZjBiLTk4MDAtZDMzMTkwZmUwMWQ3IiB0aW1lc3RhbXA9IjE3OTI5MjEwODQiPjE1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[V12-15]</w:t>
            </w:r>
            <w:r>
              <w:fldChar w:fldCharType="end"/>
            </w:r>
          </w:p>
          <w:p>
            <w:pPr>
              <w:pStyle w:val="Normal"/>
              <w:widowControl/>
              <w:spacing w:before="60" w:after="20"/>
            </w:pPr>
            <w:r>
              <w:t xml:space="preserve">Retrospective Mayo cohort of 124 pCCA recipients after neoadjuvant treatment and LT, 2004–2013; two incidental/no-neoadjuvant cases excluded from 126. Forty-five received LDLT; all had Roux-en-Y reconstruction. This is an infection cohort, not a randomized immunosuppression trial.</w:t>
            </w:r>
          </w:p>
          <w:p>
            <w:pPr>
              <w:pStyle w:val="Normal"/>
              <w:widowControl/>
              <w:spacing w:before="60" w:after="20"/>
            </w:pPr>
            <w:hyperlink r:id="rId56">
              <w:r>
                <w:rPr>
                  <w:color w:val="77230C"/>
                  <w:sz w:val="20"/>
                  <w:u w:val="single"/>
                </w:rPr>
                <w:t>Primary source</w:t>
              </w:r>
            </w:hyperlink>
            <w:r>
              <w:t xml:space="preserve"> | </w:t>
            </w:r>
            <w:hyperlink r:id="rId57">
              <w:r>
                <w:rPr>
                  <w:color w:val="77230C"/>
                  <w:sz w:val="20"/>
                  <w:u w:val="single"/>
                </w:rPr>
                <w:t>Full-text PDF</w:t>
              </w:r>
            </w:hyperlink>
          </w:p>
          <w:p>
            <w:pPr>
              <w:pStyle w:val="Normal"/>
              <w:widowControl/>
              <w:spacing w:before="60" w:after="20"/>
            </w:pPr>
            <w:r>
              <w:t xml:space="preserve">Locator: PDF p 2 §§2.4–2.5 (immunosuppression/prophylaxis); pp 3–4 infection denominators and timing; pp 5–7 outcome models and limitations.</w:t>
            </w:r>
          </w:p>
          <w:p>
            <w:pPr>
              <w:pStyle w:val="Normal"/>
              <w:widowControl/>
              <w:spacing w:before="60" w:after="20"/>
            </w:pPr>
            <w:r>
              <w:t xml:space="preserve">Review depth: Complete seven-page main article read, including methods, results, tables, discussion and references.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There were 255 infections in 105/124 patients (84.7%); 53/124 had intra-abdominal infection, with 88 episodes. Forty-three had bloodstream infection, with 67 episodes.; The described regimen used tacrolimus, MMF and prednisone; prednisone was withdrawn on postoperative day 121 and MMF at 2–4 months when feasible, aiming for tacrolimus monotherapy. It does not support universal MMF cessation at 30 days or steroid withdrawal at 30 days.; The center used basiliximab with delayed tacrolimus in renal insufficiency (creatinine clearance &lt;40 mL/min or dialysis). This is a reported institutional strategy, not a proven pCCA-specific numeric threshold.; Associations with time to first infection of any type (Table3), not specifically abdominal infection, included LDLT HR 6.63 (95% CI 2.74–16.0), hepatic artery thrombosis HR 2.62 (1.34–5.12), biliary stricture HR 3.76 (1.60–8.82), and abdominal fluid collections HR 4.20 (2.14–8.23). These are nonrandomized associations, not proof that LDLT causes infection.; There were 36 deaths, 26 from recurrent CCA. Abdominal infection was associated with mortality after adjustment for recurrent CCA; the paper does not establish the effect of changing the immunosuppression schedule.</w:t>
            </w:r>
          </w:p>
          <w:p>
            <w:pPr>
              <w:pStyle w:val="Normal"/>
              <w:widowControl/>
              <w:spacing w:before="60" w:after="20"/>
            </w:pPr>
            <w:r>
              <w:rPr>
                <w:b/>
              </w:rPr>
              <w:t xml:space="preserve">Do not infer: </w:t>
            </w:r>
            <w:r>
              <w:t xml:space="preserve">Single center, historical practice, confounding by technical complexity and complications. Do not transfer old antimicrobial prophylaxis or immunosuppression details into a current mandatory order set. Time origin: Infection and survival outcomes begin at LT; median follow-up 4.2 years. Kaplan–Meier median time to first infection was 105.8 days. The 37-day median among infected patients is a different statistic.</w:t>
            </w:r>
          </w:p>
        </w:tc>
      </w:tr>
      <w:tr>
        <w:trPr/>
        <w:tc>
          <w:tcPr>
            <w:tcW w:w="3400" w:type="dxa"/>
            <w:tcMar>
              <w:top w:w="90" w:type="dxa"/>
              <w:left w:w="90" w:type="dxa"/>
              <w:bottom w:w="90" w:type="dxa"/>
              <w:right w:w="90" w:type="dxa"/>
            </w:tcMar>
          </w:tcPr>
          <w:p>
            <w:pPr>
              <w:pStyle w:val="Normal"/>
              <w:widowControl/>
              <w:spacing w:before="60" w:after="20"/>
            </w:pPr>
            <w:r>
              <w:rPr>
                <w:b/>
              </w:rPr>
              <w:t xml:space="preserve">Heinrich 2026</w:t>
            </w:r>
            <w:r>
              <w:t xml:space="preserve"> </w:t>
            </w:r>
            <w:r>
              <w:t xml:space="preserve"> </w:t>
            </w:r>
            <w:r>
              <w:fldChar w:fldCharType="begin"/>
            </w:r>
            <w:r>
              <w:instrText xml:space="preserve"> ADDIN EN.CITE </w:instrText>
            </w:r>
            <w:r>
              <w:fldChar w:fldCharType="begin">
                <w:fldData>PEVuZE5vdGU+PENpdGU+PEF1dGhvcj5IZWlucmljaDwvQXV0aG9yPjxZZWFyPjIwMjY8L1llYXI+PFJlY051bT4xODwvUmVjTnVtPjxEaXNwbGF5VGV4dD5bVjEyLTE4XTwvRGlzcGxheVRleHQ+PHJlY29yZD48cmVjLW51bWJlcj4xODwvcmVjLW51bWJlcj48Zm9yZWlnbi1rZXlzPjxrZXkgYXBwPSJFTiIgZGItaWQ9ImJkZDI2NzkxLTIwOWQtNWYwYi05ODAwLWQzMzE5MGZlMDFkNyIgdGltZXN0YW1wPSIxNzkyOTIxMDg0Ij4xOD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r>
              <w:t xml:space="preserve">Retrospective three-center German study, 2002–2021: 19 incidental biliary tract cancers found on explant versus 140 HCC recipients within Milan criteria. All incidental cases were T 1/T 2; the cohort includes more than just iCCA/pCCA. Twelve of 19 had PSC or autoimmune liver disease.</w:t>
            </w:r>
          </w:p>
          <w:p>
            <w:pPr>
              <w:pStyle w:val="Normal"/>
              <w:widowControl/>
              <w:spacing w:before="60" w:after="20"/>
            </w:pPr>
            <w:hyperlink r:id="rId58">
              <w:r>
                <w:rPr>
                  <w:color w:val="77230C"/>
                  <w:sz w:val="20"/>
                  <w:u w:val="single"/>
                </w:rPr>
                <w:t>Primary source</w:t>
              </w:r>
            </w:hyperlink>
            <w:r>
              <w:t xml:space="preserve"> | </w:t>
            </w:r>
            <w:hyperlink r:id="rId59">
              <w:r>
                <w:rPr>
                  <w:color w:val="77230C"/>
                  <w:sz w:val="20"/>
                  <w:u w:val="single"/>
                </w:rPr>
                <w:t>Full-text PDF</w:t>
              </w:r>
            </w:hyperlink>
          </w:p>
          <w:p>
            <w:pPr>
              <w:pStyle w:val="Normal"/>
              <w:widowControl/>
              <w:spacing w:before="60" w:after="20"/>
            </w:pPr>
            <w:r>
              <w:t xml:space="preserve">Locator: PDF p 2 methods and surveillance; p 3 overall outcomes; pp 5–7 subgroup analyses and limitations; p 8 supporting-information descriptions.</w:t>
            </w:r>
          </w:p>
          <w:p>
            <w:pPr>
              <w:pStyle w:val="Normal"/>
              <w:widowControl/>
              <w:spacing w:before="60" w:after="20"/>
            </w:pPr>
            <w:r>
              <w:t xml:space="preserve">Review depth: Complete eight-page main article read. Supporting-information captions were read but separate supporting tables were not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OS was 65% in incidental BTC versus 73% in HCC (p=.31); DFS 54% versus 69% (p approximately .25). Failure to reject a difference is not proof of equivalence.; Six of 19 developed recurrence. Seventeen received no adjuvant treatment; two treated cases do not establish adjuvant benefit.; The observed surveillance schedule was CT/MRI every six months for three years, then annually through year five. It does not support attributing an every-three-month years 1–2/every-six-month years 3–5 schedule to this study.; CA 19-9 was available in only 13 patients; the four with &gt;100 U/mL all recurred. This tiny incomplete-data association is not a new absolute exclusion threshold.; Subgroup denominators in the body are internally inconsistent with total n=19; do not reproduce separate iCCA/pCCA/distal/GBC recurrence denominators without supporting-table clarification.</w:t>
            </w:r>
          </w:p>
          <w:p>
            <w:pPr>
              <w:pStyle w:val="Normal"/>
              <w:widowControl/>
              <w:spacing w:before="60" w:after="20"/>
            </w:pPr>
            <w:r>
              <w:rPr>
                <w:b/>
              </w:rPr>
              <w:t xml:space="preserve">Do not infer: </w:t>
            </w:r>
            <w:r>
              <w:t xml:space="preserve">Incidental tumors without pre-LT suspicion, mixed anatomic sites, tiny sample, selection/era confounding and underpowered survival comparisons. Not evidence for intentional transplantation of known advanced iCCA or pCCA. Surveillance was observed practice, not randomized optimization. Time origin: OS and DFS begin at LT; death without recurrence counts as a DFS event. Mean follow-up 61 months, range 4–254 months.</w:t>
            </w:r>
          </w:p>
        </w:tc>
      </w:tr>
      <w:tr>
        <w:trPr/>
        <w:tc>
          <w:tcPr>
            <w:tcW w:w="3400" w:type="dxa"/>
            <w:tcMar>
              <w:top w:w="90" w:type="dxa"/>
              <w:left w:w="90" w:type="dxa"/>
              <w:bottom w:w="90" w:type="dxa"/>
              <w:right w:w="90" w:type="dxa"/>
            </w:tcMar>
          </w:tcPr>
          <w:p>
            <w:pPr>
              <w:pStyle w:val="Normal"/>
              <w:widowControl/>
              <w:spacing w:before="60" w:after="20"/>
            </w:pPr>
            <w:r>
              <w:rPr>
                <w:b/>
              </w:rPr>
              <w:t xml:space="preserve">NCCN Biliary Tract Cancers v1.2026</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YmRkMjY3OTEtMjA5ZC01ZjBiLTk4MDAtZDMzMTkwZmUwMWQ3IiB0aW1lc3RhbXA9IjE3OTI5MjEw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NCCN clinical practice guideline, verified local 2026 edition; relevant complete sections reviewed, not a patient cohort.</w:t>
            </w:r>
          </w:p>
          <w:p>
            <w:pPr>
              <w:pStyle w:val="Normal"/>
              <w:widowControl/>
              <w:spacing w:before="60" w:after="20"/>
            </w:pPr>
            <w:r>
              <w:t xml:space="preserve">Selection: Clinical guidance and allocation criteria are separate; no new independent transplant outcomes.</w:t>
            </w:r>
          </w:p>
          <w:p>
            <w:pPr>
              <w:pStyle w:val="Normal"/>
              <w:widowControl/>
              <w:spacing w:before="60" w:after="20"/>
            </w:pPr>
            <w:hyperlink r:id="rId60">
              <w:r>
                <w:rPr>
                  <w:color w:val="77230C"/>
                  <w:sz w:val="20"/>
                  <w:u w:val="single"/>
                </w:rPr>
                <w:t>Primary source</w:t>
              </w:r>
            </w:hyperlink>
            <w:r>
              <w:t xml:space="preserve"> | </w:t>
            </w:r>
            <w:hyperlink r:id="rId61">
              <w:r>
                <w:rPr>
                  <w:color w:val="77230C"/>
                  <w:sz w:val="20"/>
                  <w:u w:val="single"/>
                </w:rPr>
                <w:t>Full-text PDF</w:t>
              </w:r>
            </w:hyperlink>
          </w:p>
          <w:p>
            <w:pPr>
              <w:pStyle w:val="Normal"/>
              <w:widowControl/>
              <w:spacing w:before="60" w:after="20"/>
            </w:pPr>
            <w:r>
              <w:t xml:space="preserve">Locator: PDF 23 EXTRA-1 footnote h; PDF 65 MS-18 transplantation discussion; PDF 16 INTRA-1 footnotes l and s; PDF 61 MS-14; PDF 23 EXTRA-1 footnote h; PDF 58–59 MS-11–12; PDF 16 INTRA-1 and PDF 21 INTRA-C; PDF 18 INTRA-A; PDF 25 EXTRA-A; PDF 59 MS-12; PDF 16 INTRA-1 footnotes; PDF 61 MS-14; PDF 36 BIL-C 1; PDF 37 BIL-C 2; PDF 41 BIL-D; PDF 65 MS-18; PDF 23 EXTRA-1; PDF 37 BIL-C 2; PDF 65 MS-18; PDF 17 INTRA-2; PDF 24 EXTRA-2; PDF 61 MS-14 and PDF 65 MS-18</w:t>
            </w:r>
          </w:p>
          <w:p>
            <w:pPr>
              <w:pStyle w:val="Normal"/>
              <w:widowControl/>
              <w:spacing w:before="60" w:after="20"/>
            </w:pPr>
            <w:r>
              <w:t xml:space="preserve">Review depth: Targeted complete relevant guideline sections reviewed; exact pages and limits in nccn_biliary_final_check.json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NCCN uses radial size ≤3 cm for highly selected pCCA LT consideration, with no nodal, intrahepatic or extrahepatic metastatic disease. This differs from current OPTN Policy 9.5.A's single mass &lt;3 cm requirement. The transplant-referral option links to footnote l for small single tumors &lt;3 cm. Footnotes also describe biopsy-proven iCCA/mixed HCC-iCCA, cirrhosis, unresectability, prior locoregional/systemic therapy and six months from diagnosis or last treatment without new lesions/extrahepatic disease. Current NLRB guidance uses ≤3 cm, so the exactly 3.0 cm boundary is not identical. Determine pCCA resection/transplant status before primary biopsy; potential LT candidates should be referred before transperitoneal or surgical primary-tumor biopsy. For unresectable iCCA, obtain tissue confirmation and biomarkers. A preoperative biopsy is not always necessary when proceeding directly to potentially curative resection. These are different clinical settings. Resection remains the standard potentially curative route when feasible. For pCCA, assess functional/volumetric FLR, arterial and portal inflow, biliary drainage, and whether remnant-directed drainage/PVE or expert vascular reconstruction can permit R 0 surgery. The guideline does not define a universal numeric FLR cutoff in these sections. The original diagnosis-or-last-treatment wording is genuinely present in this version of NCCN, not a fabricated phrase. NCCN's summary does not resolve the two formulations in the controlling NLRB guidance. The systemic-therapy page's named neoadjuvant subsection is for gallbladder cancer only. Unresectable/metastatic BTC regimens include GemCis plus durvalumab/pembrolizumab as preferred options, and chemotherapy-only alternatives. This does not establish a transplant-specific NAT regimen or pre-LT ICI safety. The pCCA LT discussion cites selected neoadjuvant chemoradiation experience without prescribing a universal radiation schedule. NCCN supports tissue/genomic assessment for unresectable disease to guide systemic treatment. It does not establish a blanket permanent LT exclusion for every prior targeted or other systemic therapy. The postoperative-resection algorithms suggest abdominal/pelvic cross-sectional imaging plus chest CT every 3–6 months for 2 years, then every 6–12 months through year 5. Both explicitly acknowledge lack of data for an optimal schedule and cite the BILCAP schedule. NCCN summarizes highly selected observational and small prospective LT experience and notes selection differences in pCCA LT/resection comparisons. This does not overturn the main-paper evidence audit or validate expanded advanced/node-positive disease.</w:t>
            </w:r>
          </w:p>
          <w:p>
            <w:pPr>
              <w:pStyle w:val="Normal"/>
              <w:widowControl/>
              <w:spacing w:before="60" w:after="20"/>
            </w:pPr>
            <w:r>
              <w:rPr>
                <w:b/>
              </w:rPr>
              <w:t xml:space="preserve">Do not infer: </w:t>
            </w:r>
            <w:r>
              <w:t xml:space="preserve">Targeted relevant-section review, not a whole-guideline audit. Source-specific wording does not override OPTN policy or establish an experimentally expanded eligibility rule. Time origin: Not an outcomes cohort.</w:t>
            </w:r>
          </w:p>
        </w:tc>
      </w:tr>
      <w:tr>
        <w:trPr/>
        <w:tc>
          <w:tcPr>
            <w:tcW w:w="3400" w:type="dxa"/>
            <w:tcMar>
              <w:top w:w="90" w:type="dxa"/>
              <w:left w:w="90" w:type="dxa"/>
              <w:bottom w:w="90" w:type="dxa"/>
              <w:right w:w="90" w:type="dxa"/>
            </w:tcMar>
          </w:tcPr>
          <w:p>
            <w:pPr>
              <w:pStyle w:val="Normal"/>
              <w:widowControl/>
              <w:spacing w:before="60" w:after="20"/>
            </w:pPr>
            <w:r>
              <w:rPr>
                <w:b/>
              </w:rPr>
              <w:t xml:space="preserve">Te 2025</w:t>
            </w:r>
            <w:r>
              <w:t xml:space="preserve"> </w:t>
            </w:r>
            <w:r>
              <w:t xml:space="preserve"> </w:t>
            </w:r>
            <w:r>
              <w:fldChar w:fldCharType="begin"/>
            </w:r>
            <w:r>
              <w:instrText xml:space="preserve"> ADDIN EN.CITE </w:instrText>
            </w:r>
            <w:r>
              <w:fldChar w:fldCharType="begin">
                <w:fldData>PEVuZE5vdGU+PENpdGU+PEF1dGhvcj5UZTwvQXV0aG9yPjxZZWFyPjIwMjU8L1llYXI+PFJlY051bT4yMTwvUmVjTnVtPjxEaXNwbGF5VGV4dD5bVjEyLTIxXTwvRGlzcGxheVRleHQ+PHJlY29yZD48cmVjLW51bWJlcj4yMTwvcmVjLW51bWJlcj48Zm9yZWlnbi1rZXlzPjxrZXkgYXBwPSJFTiIgZGItaWQ9ImJkZDI2NzkxLTIwOWQtNWYwYi05ODAwLWQzMzE5MGZlMDFkNyIgdGltZXN0YW1wPSIxNzkyOTIxMDg0Ij4yMT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[V12-21]</w:t>
            </w:r>
            <w:r>
              <w:fldChar w:fldCharType="end"/>
            </w:r>
          </w:p>
          <w:p>
            <w:pPr>
              <w:pStyle w:val="Normal"/>
              <w:widowControl/>
              <w:spacing w:before="60" w:after="20"/>
            </w:pPr>
            <w:r>
              <w:t xml:space="preserve">AASLD/AST clinical practice guideline, published online 2025 / volume 2026; systematic search updated through 12 September 2024.</w:t>
            </w:r>
          </w:p>
          <w:p>
            <w:pPr>
              <w:pStyle w:val="Normal"/>
              <w:widowControl/>
              <w:spacing w:before="60" w:after="20"/>
            </w:pPr>
            <w:hyperlink r:id="rId62">
              <w:r>
                <w:rPr>
                  <w:color w:val="77230C"/>
                  <w:sz w:val="20"/>
                  <w:u w:val="single"/>
                </w:rPr>
                <w:t>Primary source</w:t>
              </w:r>
            </w:hyperlink>
            <w:r>
              <w:t xml:space="preserve"> | </w:t>
            </w:r>
            <w:hyperlink r:id="rId63">
              <w:r>
                <w:rPr>
                  <w:color w:val="77230C"/>
                  <w:sz w:val="20"/>
                  <w:u w:val="single"/>
                </w:rPr>
                <w:t>Full-text PDF</w:t>
              </w:r>
            </w:hyperlink>
          </w:p>
          <w:p>
            <w:pPr>
              <w:pStyle w:val="Normal"/>
              <w:widowControl/>
              <w:spacing w:before="60" w:after="20"/>
            </w:pPr>
            <w:r>
              <w:t xml:space="preserve">Locator: PDF pp 13–18, statements 25–33 and Tables 3–5; pp 19–21 statements 34–40/Table 6; printed 456–464.</w:t>
            </w:r>
          </w:p>
          <w:p>
            <w:pPr>
              <w:pStyle w:val="Normal"/>
              <w:widowControl/>
              <w:spacing w:before="60" w:after="20"/>
            </w:pPr>
            <w:r>
              <w:t xml:space="preserve">Review depth: Targeted full-section review of 47-page guideline: PDF pp 1–2 (scope/methods) and pp 12–21 (printed 455–464; immunosuppression, minimization and rejection statements/tables). Other graft/recurrent-disease chapters were not fully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Statement 25: basiliximab may permit delayed CNI initiation for renal recovery (Weak, Level 2); statement 26 advises against ATG induction (Strong, Level 2). These are general LT recommendations, not NET/CRLM-specific anticancer induction.; Statements 28–31 support individualized tacrolimus-based therapy, selective combination/CNI minimization and caution against routine steroid-free therapy. Table 4 explicitly notes dose/trough targets vary with transplant-professional judgment.; Statement 32 only suggests mTOR use for HCC WITHIN Milan to improve RFS up to three years (Weak, Level 3). It does not establish NET/CRLM recurrence reduction or a general preferred oncologic regimen.; Statement 33 supports early mTOR consideration for CKD, a renal indication. Statement 36 does not recommend routine complete immunosuppression withdrawal.; Search excluded conference abstracts and unpublished reports from the systematic evidence review; this provides a better current general-immunosuppression source than an unretrieved older review.</w:t>
            </w:r>
          </w:p>
          <w:p>
            <w:pPr>
              <w:pStyle w:val="Normal"/>
              <w:widowControl/>
              <w:spacing w:before="60" w:after="20"/>
            </w:pPr>
            <w:r>
              <w:rPr>
                <w:b/>
              </w:rPr>
              <w:t xml:space="preserve">Do not infer: </w:t>
            </w:r>
            <w:r>
              <w:t xml:space="preserve">Most immunosuppression and cancer evidence is indication-specific; do not extrapolate HCC benefit causally to NET/CRLM.; Not a 2026 literature search: substantive search update ended September 2024.; Dosing examples are not local standing orders. Supplementary methods/flowchart referenced at links.lww.com/LVT/B9 were not reviewed.</w:t>
            </w:r>
          </w:p>
        </w:tc>
      </w:tr>
      <w:tr>
        <w:trPr/>
        <w:tc>
          <w:tcPr>
            <w:tcW w:w="3400" w:type="dxa"/>
            <w:tcMar>
              <w:top w:w="90" w:type="dxa"/>
              <w:left w:w="90" w:type="dxa"/>
              <w:bottom w:w="90" w:type="dxa"/>
              <w:right w:w="90" w:type="dxa"/>
            </w:tcMar>
          </w:tcPr>
          <w:p>
            <w:pPr>
              <w:pStyle w:val="Normal"/>
              <w:widowControl/>
              <w:spacing w:before="60" w:after="20"/>
            </w:pPr>
            <w:r>
              <w:rPr>
                <w:b/>
              </w:rPr>
              <w:t xml:space="preserve">Bowlus 2022</w:t>
            </w:r>
            <w:r>
              <w:t xml:space="preserve"> </w:t>
            </w:r>
            <w:r>
              <w:t xml:space="preserve"> </w:t>
            </w:r>
            <w:r>
              <w:fldChar w:fldCharType="begin"/>
            </w:r>
            <w:r>
              <w:instrText xml:space="preserve"> ADDIN EN.CITE </w:instrText>
            </w:r>
            <w:r>
              <w:fldChar w:fldCharType="begin">
                <w:fldData>PEVuZE5vdGU+PENpdGU+PEF1dGhvcj5Cb3dsdXM8L0F1dGhvcj48WWVhcj4yMDIyPC9ZZWFyPjxSZWNOdW0+NzwvUmVjTnVtPjxEaXNwbGF5VGV4dD5bVjEyLTddPC9EaXNwbGF5VGV4dD48cmVjb3JkPjxyZWMtbnVtYmVyPjc8L3JlYy1udW1iZXI+PGZvcmVpZ24ta2V5cz48a2V5IGFwcD0iRU4iIGRiLWlkPSJiZGQyNjc5MS0yMDlkLTVmMGItOTgwMC1kMzMxOTBmZTAxZDciIHRpbWVzdGFtcD0iMTc5MjkyMTA4NCI+Nz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p>
          <w:p>
            <w:pPr>
              <w:pStyle w:val="Normal"/>
              <w:widowControl/>
              <w:spacing w:before="60" w:after="20"/>
            </w:pPr>
            <w:r>
              <w:t xml:space="preserve">AASLD practice guidance, published online 2022 and in the 2023 issue; no new trial denominator. Recommendations and their underlying studies must be distinguished.</w:t>
            </w:r>
          </w:p>
          <w:p>
            <w:pPr>
              <w:pStyle w:val="Normal"/>
              <w:widowControl/>
              <w:spacing w:before="60" w:after="20"/>
            </w:pPr>
            <w:hyperlink r:id="rId64">
              <w:r>
                <w:rPr>
                  <w:color w:val="77230C"/>
                  <w:sz w:val="20"/>
                  <w:u w:val="single"/>
                </w:rPr>
                <w:t>Primary source</w:t>
              </w:r>
            </w:hyperlink>
            <w:r>
              <w:t xml:space="preserve"> | </w:t>
            </w:r>
            <w:hyperlink r:id="rId65">
              <w:r>
                <w:rPr>
                  <w:color w:val="77230C"/>
                  <w:sz w:val="20"/>
                  <w:u w:val="single"/>
                </w:rPr>
                <w:t>Full-text PDF</w:t>
              </w:r>
            </w:hyperlink>
          </w:p>
          <w:p>
            <w:pPr>
              <w:pStyle w:val="Normal"/>
              <w:widowControl/>
              <w:spacing w:before="60" w:after="20"/>
            </w:pPr>
            <w:r>
              <w:t xml:space="preserve">Locator: PDF p 24 guidance statement 33 and diagnostic workup; p 25 statements 39–40 and iCCA discussion; pp 26–28 pCCA biopsy, resection, NAT/LT and statement 48.</w:t>
            </w:r>
          </w:p>
          <w:p>
            <w:pPr>
              <w:pStyle w:val="Normal"/>
              <w:widowControl/>
              <w:spacing w:before="60" w:after="20"/>
            </w:pPr>
            <w:r>
              <w:t xml:space="preserve">Review depth: Targeted full-text review of all biliary cancer clinical sections in PDF pp 21–28, including diagnostic, resection and LT guidance and Figure 9. The unrelated remainder of the 44-page PSC guideline was not reread in full during this supplement.</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iCCA diagnosis requires core biopsy and molecular characterization as appropriate; primary-tumor transperitoneal/EUS avoidance belongs to potential pCCA-LT candidates. EUS sampling of suspicious regional nodes is a different procedure.; R 0 resection with sufficient functional remnant remains the curative first route when feasible. The guidance's general remnant discussion is not a universal 40% numeric rule for every patient.; Guidance statement 48 uses pCCA radial size ≤3 cm, whereas current OPTN Policy 9.5.A requires a single mass, if present, &lt;3 cm. Exactly 3.0 cm is an explicit guideline/policy discrepancy, not an automatic standardized-exception case.; The guidance describes selected very-early iCCA evidence and keeps advanced iCCA in research; it does not turn incidental-cohort outcomes into a routine advanced-disease indication.; The guidance narrative mislabels the multicenter Murad 78% RFS as five-year; the primary article gives 78% at two years and 65% at five years. Its De Martin burden description also should not replace the primary largest-nodule measurement.</w:t>
            </w:r>
          </w:p>
          <w:p>
            <w:pPr>
              <w:pStyle w:val="Normal"/>
              <w:widowControl/>
              <w:spacing w:before="60" w:after="20"/>
            </w:pPr>
            <w:r>
              <w:rPr>
                <w:b/>
              </w:rPr>
              <w:t xml:space="preserve">Do not infer: </w:t>
            </w:r>
            <w:r>
              <w:t xml:space="preserve">Professional guidance is not allocation policy. Several secondary numerical summaries are inaccurate; use verified primary-study results. The systemic-treatment section predates newer trial updates and is not the sole source for 2026 non-LT therapy. Time origin: Not applicable to the guidance itself; use primary studies for outcome origins.</w:t>
            </w:r>
          </w:p>
        </w:tc>
      </w:tr>
      <w:tr>
        <w:trPr/>
        <w:tc>
          <w:tcPr>
            <w:tcW w:w="3400" w:type="dxa"/>
            <w:tcMar>
              <w:top w:w="90" w:type="dxa"/>
              <w:left w:w="90" w:type="dxa"/>
              <w:bottom w:w="90" w:type="dxa"/>
              <w:right w:w="90" w:type="dxa"/>
            </w:tcMar>
          </w:tcPr>
          <w:p>
            <w:pPr>
              <w:pStyle w:val="Normal"/>
              <w:widowControl/>
              <w:spacing w:before="60" w:after="20"/>
            </w:pPr>
            <w:r>
              <w:rPr>
                <w:b/>
              </w:rPr>
              <w:t xml:space="preserve">Tan 2020</w:t>
            </w:r>
            <w:r>
              <w:t xml:space="preserve"> </w:t>
            </w:r>
            <w:r>
              <w:t xml:space="preserve"> </w:t>
            </w:r>
            <w:r>
              <w:fldChar w:fldCharType="begin"/>
            </w:r>
            <w:r>
              <w:instrText xml:space="preserve"> ADDIN EN.CITE </w:instrText>
            </w:r>
            <w:r>
              <w:fldChar w:fldCharType="begin">
                <w:fldData>PEVuZE5vdGU+PENpdGU+PEF1dGhvcj5UYW48L0F1dGhvcj48WWVhcj4yMDIwPC9ZZWFyPjxSZWNOdW0+MTA8L1JlY051bT48RGlzcGxheVRleHQ+W1YxMi0xMF08L0Rpc3BsYXlUZXh0PjxyZWNvcmQ+PHJlYy1udW1iZXI+MTA8L3JlYy1udW1iZXI+PGZvcmVpZ24ta2V5cz48a2V5IGFwcD0iRU4iIGRiLWlkPSJiZGQyNjc5MS0yMDlkLTVmMGItOTgwMC1kMzMxOTBmZTAxZDciIHRpbWVzdGFtcD0iMTc5MjkyMTA4NCI+MTA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Narrative Mayo expert review with an updated 349-entry/211-LT program experience from 1993–2018; extensive overlap with prior Mayo reports, not an independent validation cohort.</w:t>
            </w:r>
          </w:p>
          <w:p>
            <w:pPr>
              <w:pStyle w:val="Normal"/>
              <w:widowControl/>
              <w:spacing w:before="60" w:after="20"/>
            </w:pPr>
            <w:hyperlink r:id="rId66">
              <w:r>
                <w:rPr>
                  <w:color w:val="77230C"/>
                  <w:sz w:val="20"/>
                  <w:u w:val="single"/>
                </w:rPr>
                <w:t>Primary source</w:t>
              </w:r>
            </w:hyperlink>
            <w:r>
              <w:t xml:space="preserve"> | </w:t>
            </w:r>
            <w:hyperlink r:id="rId67">
              <w:r>
                <w:rPr>
                  <w:color w:val="77230C"/>
                  <w:sz w:val="20"/>
                  <w:u w:val="single"/>
                </w:rPr>
                <w:t>Full-text PDF</w:t>
              </w:r>
            </w:hyperlink>
          </w:p>
          <w:p>
            <w:pPr>
              <w:pStyle w:val="Normal"/>
              <w:widowControl/>
              <w:spacing w:before="60" w:after="20"/>
            </w:pPr>
            <w:r>
              <w:t xml:space="preserve">Locator: PDF pp 1–2 historical/updated outcomes; pp 2–3 eligibility and NAT; pp 3–5 operative staging, transplant and complications; pp 5–6 resection comparison.</w:t>
            </w:r>
          </w:p>
          <w:p>
            <w:pPr>
              <w:pStyle w:val="Normal"/>
              <w:widowControl/>
              <w:spacing w:before="60" w:after="20"/>
            </w:pPr>
            <w:r>
              <w:t xml:space="preserve">Review depth: Complete eight-page PDF read: seven-page main review plus copyright page. No separate supplementary material claimed.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Reported ITT one-/five-/ten-year survival was 80%/51%/46%; corresponding recipient survival was 91%/69%/62%. PSC and de novo outcomes differ substantially and should not be pooled without context.; Selection requires a malignant-appearing stricture plus a specified diagnostic feature; the radial mass limit is &lt;3 cm. Longitudinal duct extent and vascular encasement are not equivalent to metastatic disease or tumor thrombus.; The review describes 45-Gy EBRT followed by a 9.3–16-Gy intraluminal brachytherapy boost, with alternatives where brachytherapy cannot be delivered. These technical prescriptions are not interchangeable with a generic 20–30-Gy range without radiation-oncology plan review.; Operative staging includes regional nodes and abdominal exploration; it may occur near DDLT or the day before LDLT. Recipient staging and donor-operation sequencing need a written safety workflow.; Reported late arterial and portal-venous complication risks justify transplant vascular planning and surveillance. Aortic conduits, indefinite aspirin and anticoagulation described by one center are not automatically universal orders.; The review explicitly notes that observational LT/resection comparisons do not resolve the best treatment for resectable de novo pCCA.</w:t>
            </w:r>
          </w:p>
          <w:p>
            <w:pPr>
              <w:pStyle w:val="Normal"/>
              <w:widowControl/>
              <w:spacing w:before="60" w:after="20"/>
            </w:pPr>
            <w:r>
              <w:rPr>
                <w:b/>
              </w:rPr>
              <w:t xml:space="preserve">Do not infer: </w:t>
            </w:r>
            <w:r>
              <w:t xml:space="preserve">Expert narrative, overlapping center data, treatment-era and selection effects, no randomized comparison of NAT, vascular reconstruction, anticoagulation or surveillance schedules. Time origin: ITT survival begins at program entry; recipient survival begins at LT. These are reported separately.</w:t>
            </w:r>
          </w:p>
        </w:tc>
      </w:tr>
      <w:tr>
        <w:trPr/>
        <w:tc>
          <w:tcPr>
            <w:tcW w:w="3400" w:type="dxa"/>
            <w:tcMar>
              <w:top w:w="90" w:type="dxa"/>
              <w:left w:w="90" w:type="dxa"/>
              <w:bottom w:w="90" w:type="dxa"/>
              <w:right w:w="90" w:type="dxa"/>
            </w:tcMar>
          </w:tcPr>
          <w:p>
            <w:pPr>
              <w:pStyle w:val="Normal"/>
              <w:widowControl/>
              <w:spacing w:before="60" w:after="20"/>
            </w:pPr>
            <w:r>
              <w:rPr>
                <w:b/>
              </w:rPr>
              <w:t xml:space="preserve">Loveday 2018</w:t>
            </w:r>
            <w:r>
              <w:t xml:space="preserve"> </w:t>
            </w:r>
            <w:r>
              <w:t xml:space="preserve"> </w:t>
            </w:r>
            <w:r>
              <w:fldChar w:fldCharType="begin"/>
            </w:r>
            <w:r>
              <w:instrText xml:space="preserve"> ADDIN EN.CITE </w:instrText>
            </w:r>
            <w:r>
              <w:fldChar w:fldCharType="begin">
                <w:fldData>PEVuZE5vdGU+PENpdGU+PEF1dGhvcj5Mb3ZlZGF5PC9BdXRob3I+PFllYXI+MjAxODwvWWVhcj48UmVjTnVtPjIwPC9SZWNOdW0+PERpc3BsYXlUZXh0PltWMTItMjBdPC9EaXNwbGF5VGV4dD48cmVjb3JkPjxyZWMtbnVtYmVyPjIwPC9yZWMtbnVtYmVyPjxmb3JlaWduLWtleXM+PGtleSBhcHA9IkVOIiBkYi1pZD0iYmRkMjY3OTEtMjA5ZC01ZjBiLTk4MDAtZDMzMTkwZmUwMWQ3IiB0aW1lc3RhbXA9IjE3OTI5MjEwODQiPjI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r>
              <w:t xml:space="preserve">Prospective Toronto program, 2009–2015: 43 referred, 24 assessed in detail, 18 treated with neoadjuvant chemoradiation, six transplanted and one still awaiting LT. Initial radial limit &lt;3 cm was briefly increased to 3.5 cm, then returned to &lt;3 cm.</w:t>
            </w:r>
          </w:p>
          <w:p>
            <w:pPr>
              <w:pStyle w:val="Normal"/>
              <w:widowControl/>
              <w:spacing w:before="60" w:after="20"/>
            </w:pPr>
            <w:hyperlink r:id="rId68">
              <w:r>
                <w:rPr>
                  <w:color w:val="77230C"/>
                  <w:sz w:val="20"/>
                  <w:u w:val="single"/>
                </w:rPr>
                <w:t>Primary source</w:t>
              </w:r>
            </w:hyperlink>
            <w:r>
              <w:t xml:space="preserve"> | </w:t>
            </w:r>
            <w:hyperlink r:id="rId69">
              <w:r>
                <w:rPr>
                  <w:color w:val="77230C"/>
                  <w:sz w:val="20"/>
                  <w:u w:val="single"/>
                </w:rPr>
                <w:t>Full-text PDF</w:t>
              </w:r>
            </w:hyperlink>
          </w:p>
          <w:p>
            <w:pPr>
              <w:pStyle w:val="Normal"/>
              <w:widowControl/>
              <w:spacing w:before="60" w:after="20"/>
            </w:pPr>
            <w:r>
              <w:t xml:space="preserve">Locator: PDF pp 2–3 eligibility and regimen; pp 3–5/Table 2 and patient-flow diagram; pp 5–6 transplant outcomes and discussion.</w:t>
            </w:r>
          </w:p>
          <w:p>
            <w:pPr>
              <w:pStyle w:val="Normal"/>
              <w:widowControl/>
              <w:spacing w:before="60" w:after="20"/>
            </w:pPr>
            <w:r>
              <w:t xml:space="preserve">Review depth: Complete seven-page main article read, including selection changes, patient flow and operative complications.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Eleven of 18 treated patients dropped out (61.1%); six received LT (three LDLT and three DDLT), with one waiting at analysis.; The full text describes one comorbidity-related dropout, so do not repeat the abstract's implication that all 11 were metastatic progression. Six of 16 patients who reached operative staging had metastatic disease, and three later progressed during maintenance.; Both treated tumors exceeding 3 cm during the expansion period were found to have metastatic disease at staging and did not receive LT. This is a tiny cautionary experience, not a validated cutoff comparison.; ITT median OS was 16.4 months, with one-/two-year OS 70.6%/35.3%. Post-LT one-/two-year OS was 83.3%/55.6%. One recipient died of pulmonary embolism on postoperative day 6; another recurred at 14.1 months and died at 16.4 months.; Only one of six explants had pCR. Five of six received an aortic arterial jump graft; no arterial-graft complication was reported. Treatment-associated cholangitis and readmissions were common.</w:t>
            </w:r>
          </w:p>
          <w:p>
            <w:pPr>
              <w:pStyle w:val="Normal"/>
              <w:widowControl/>
              <w:spacing w:before="60" w:after="20"/>
            </w:pPr>
            <w:r>
              <w:rPr>
                <w:b/>
              </w:rPr>
              <w:t xml:space="preserve">Do not infer: </w:t>
            </w:r>
            <w:r>
              <w:t xml:space="preserve">Very small single-center series, substantial all-pathway attrition, short recipient follow-up, selection and waiting-time differences from Mayo. Cholangitis count differs between body text and Table 2; avoid an unqualified exact rate. Radiation-unit typographical errors must not be copied into prescriptions. Time origin: ITT OS starts at initiation of neoadjuvant treatment. Recipient OS starts at LT. Median time from NAT initiation to LT was 37 weeks; median recipient follow-up was only 12.6 months.</w:t>
            </w:r>
          </w:p>
        </w:tc>
      </w:tr>
    </w:tbl>
    <w:p>
      <w:pPr>
        <w:pStyle w:val="Normal"/>
        <w:widowControl/>
      </w:pPr>
      <w:hyperlink r:id="rId70">
        <w:r>
          <w:rPr>
            <w:color w:val="77230C"/>
            <w:sz w:val="20"/>
            <w:u w:val="single"/>
          </w:rPr>
          <w:t>Separate evidence/alignment meeting record — OPEN boundary decisions</w:t>
        </w:r>
      </w:hyperlink>
    </w:p>
    <w:p>
      <w:pPr>
        <w:pStyle w:val="Normal"/>
        <w:widowControl/>
      </w:pPr>
      <w:r>
        <w:t xml:space="preserve">Evidence review record: </w:t>
      </w:r>
      <w:hyperlink r:id="rId71">
        <w:r>
          <w:rPr>
            <w:color w:val="77230C"/>
            <w:sz w:val="20"/>
            <w:u w:val="single"/>
          </w:rPr>
          <w:t>Five analyst comments and reconciliation</w:t>
        </w:r>
      </w:hyperlink>
      <w:r>
        <w:t xml:space="preserve">  |  </w:t>
      </w:r>
      <w:hyperlink r:id="rId72">
        <w:r>
          <w:rPr>
            <w:color w:val="77230C"/>
            <w:sz w:val="20"/>
            <w:u w:val="single"/>
          </w:rPr>
          <w:t>Prospective outcomes dataset</w:t>
        </w:r>
      </w:hyperlink>
    </w:p>
    <w:p>
      <w:pPr>
        <w:pStyle w:val="Heading1"/>
        <w:keepNext/>
        <w:widowControl/>
        <w:keepLines/>
      </w:pPr>
      <w: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Size, biopsy and regimen comparisons were liable to be interpreted as evidence for broader eligibility. </w:t>
      </w:r>
      <w:r>
        <w:rPr>
          <w:b/>
        </w:rPr>
        <w:t xml:space="preserve">Correction and reason: </w:t>
      </w:r>
      <w:r>
        <w:t xml:space="preserve">Clarified radial-size versus recorded mass dimensions, node versus primary biopsy, unadjusted resection comparisons and separately governed regimen alternatives.</w:t>
      </w:r>
    </w:p>
    <w:p>
      <w:pPr>
        <w:pStyle w:val="Normal"/>
        <w:keepNext/>
        <w:widowControl/>
        <w:keepLines/>
      </w:pPr>
      <w:r>
        <w:rPr>
          <w:b/>
        </w:rPr>
        <w:t xml:space="preserve">Problem: </w:t>
      </w:r>
      <w:r>
        <w:t xml:space="preserve">Size definitions, resectability and primary-versus-node biopsy were insufficiently separated. </w:t>
      </w:r>
      <w:r>
        <w:rPr>
          <w:b/>
        </w:rPr>
        <w:t xml:space="preserve">Correction and reason: </w:t>
      </w:r>
      <w:r>
        <w:t xml:space="preserve">Clarified radial diameter, functional-remnant/R0 review, diagnostic pathways and the strict policy allocation boundary.</w:t>
      </w:r>
    </w:p>
    <w:p>
      <w:pPr>
        <w:pStyle w:val="Normal"/>
        <w:keepNext/>
        <w:widowControl/>
        <w:keepLines/>
      </w:pPr>
      <w:r>
        <w:rPr>
          <w:b/>
        </w:rPr>
        <w:t xml:space="preserve">Problem: </w:t>
      </w:r>
      <w:r>
        <w:t xml:space="preserve">Dropout and pCR summaries mixed denominators, clocks and treatment comparisons. </w:t>
      </w:r>
      <w:r>
        <w:rPr>
          <w:b/>
        </w:rPr>
        <w:t xml:space="preserve">Correction and reason: </w:t>
      </w:r>
      <w:r>
        <w:t xml:space="preserve">Added primary-cohort attrition, uncertainty and the absence of proven regimen equivalence; require a complete signed NAT order set.</w:t>
      </w:r>
    </w:p>
    <w:p>
      <w:pPr>
        <w:pStyle w:val="Normal"/>
        <w:keepNext/>
        <w:widowControl/>
        <w:keepLines/>
      </w:pPr>
      <w:r>
        <w:rPr>
          <w:b/>
        </w:rPr>
        <w:t xml:space="preserve">Problem: </w:t>
      </w:r>
      <w:r>
        <w:t xml:space="preserve">Fixed immunosuppression and surveillance schedules had weak or misassigned support. </w:t>
      </w:r>
      <w:r>
        <w:rPr>
          <w:b/>
        </w:rPr>
        <w:t xml:space="preserve">Correction and reason: </w:t>
      </w:r>
      <w:r>
        <w:t xml:space="preserve">Replaced mandatory drug timing with individualized oversight and the everolimus label floor; labeled surveillance as a proposed local schedule.</w:t>
      </w:r>
    </w:p>
    <w:p>
      <w:pPr>
        <w:pStyle w:val="Normal"/>
        <w:keepNext/>
        <w:widowControl/>
        <w:keepLines/>
      </w:pPr>
      <w:r>
        <w:rPr>
          <w:b/>
        </w:rPr>
        <w:t xml:space="preserve">Problem: </w:t>
      </w:r>
      <w:r>
        <w:t xml:space="preserve">The new full texts were not linked to an updated evidence appraisal. </w:t>
      </w:r>
      <w:r>
        <w:rPr>
          <w:b/>
        </w:rPr>
        <w:t xml:space="preserve">Correction and reason: </w:t>
      </w:r>
      <w:r>
        <w:t xml:space="preserve">Added study-level outcomes, harms, denominators, source-specific limitations and depot links; the detailed paragraph reconciliation is retained in source/standard_body_reconciliation.json.</w:t>
      </w:r>
    </w:p>
    <w:p>
      <w:pPr>
        <w:pStyle w:val="Normal"/>
        <w:keepNext/>
        <w:widowControl/>
        <w:keepLines/>
      </w:pPr>
      <w:r>
        <w:rPr>
          <w:b/>
        </w:rPr>
        <w:t xml:space="preserve">Problem: </w:t>
      </w:r>
      <w:r>
        <w:t xml:space="preserve">Citation fields and source versions needed a consistent rebuild. </w:t>
      </w:r>
      <w:r>
        <w:rPr>
          <w:b/>
        </w:rPr>
        <w:t xml:space="preserve">Correction and reason: </w:t>
      </w:r>
      <w:r>
        <w:t xml:space="preserve">Populated structured EndNote citations and references, individual XML/RIS libraries and actual DOCX/PDF copies. Native Word/EndNote updating remains untested.</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Organ Procurement and Transplantation Network. OPTN Policies: liver allocation and living donation. HRSA/OPTN. 2026. </w:t>
      </w:r>
      <w:hyperlink r:id="rId132">
        <w:r>
          <w:rPr>
            <w:color w:val="0563C1"/>
            <w:u w:val="single"/>
          </w:rPr>
          <w:t>Source</w:t>
        </w:r>
      </w:hyperlink>
      <w:r>
        <w:t xml:space="preserve"> | </w:t>
      </w:r>
      <w:hyperlink r:id="rId133">
        <w:r>
          <w:rPr>
            <w:color w:val="0563C1"/>
            <w:u w:val="single"/>
          </w:rPr>
          <w:t>Full-text access</w:t>
        </w:r>
      </w:hyperlink>
    </w:p>
    <w:p>
      <w:pPr>
        <w:pStyle w:val="Normal"/>
        <w:widowControl/>
        <w:spacing w:after="120"/>
      </w:pPr>
      <w:r>
        <w:t xml:space="preserve"/>
      </w:r>
      <w:r>
        <w:t xml:space="preserve">[V12-2] Organ Procurement and Transplantation Network. Adult MELD Exceptions for Transplant Oncology. HRSA/OPTN. 2025. </w:t>
      </w:r>
      <w:hyperlink r:id="rId134">
        <w:r>
          <w:rPr>
            <w:color w:val="0563C1"/>
            <w:u w:val="single"/>
          </w:rPr>
          <w:t>Source</w:t>
        </w:r>
      </w:hyperlink>
      <w:r>
        <w:t xml:space="preserve"> | </w:t>
      </w:r>
      <w:hyperlink r:id="rId135">
        <w:r>
          <w:rPr>
            <w:color w:val="0563C1"/>
            <w:u w:val="single"/>
          </w:rPr>
          <w:t>Full-text access</w:t>
        </w:r>
      </w:hyperlink>
    </w:p>
    <w:p>
      <w:pPr>
        <w:pStyle w:val="Normal"/>
        <w:widowControl/>
        <w:spacing w:after="120"/>
      </w:pPr>
      <w:r>
        <w:t xml:space="preserve"/>
      </w:r>
      <w:r>
        <w:t xml:space="preserve">[V12-3] National Comprehensive Cancer Network. NCCN Clinical Practice Guidelines in Oncology: Biliary Tract Cancers, Version 1.2026 (10 March 2026). . 2026. </w:t>
      </w:r>
      <w:hyperlink r:id="rId136">
        <w:r>
          <w:rPr>
            <w:color w:val="0563C1"/>
            <w:u w:val="single"/>
          </w:rPr>
          <w:t>Source</w:t>
        </w:r>
      </w:hyperlink>
      <w:r>
        <w:t xml:space="preserve"> | </w:t>
      </w:r>
      <w:hyperlink r:id="rId137">
        <w:r>
          <w:rPr>
            <w:color w:val="0563C1"/>
            <w:u w:val="single"/>
          </w:rPr>
          <w:t>Full-text access</w:t>
        </w:r>
      </w:hyperlink>
    </w:p>
    <w:p>
      <w:pPr>
        <w:pStyle w:val="Normal"/>
        <w:widowControl/>
        <w:spacing w:after="120"/>
      </w:pPr>
      <w:r>
        <w:t xml:space="preserve"/>
      </w:r>
      <w:r>
        <w:t xml:space="preserve">[V12-4] Darwish Murad, Sarwa. Predictors of pretransplant dropout and posttransplant recurrence in patients with perihilar cholangiocarcinoma. Hepatology. 2012. </w:t>
      </w:r>
      <w:hyperlink r:id="rId138">
        <w:r>
          <w:rPr>
            <w:color w:val="0563C1"/>
            <w:u w:val="single"/>
          </w:rPr>
          <w:t>Source</w:t>
        </w:r>
      </w:hyperlink>
      <w:r>
        <w:t xml:space="preserve"> | </w:t>
      </w:r>
      <w:hyperlink r:id="rId139">
        <w:r>
          <w:rPr>
            <w:color w:val="0563C1"/>
            <w:u w:val="single"/>
          </w:rPr>
          <w:t>Full-text access</w:t>
        </w:r>
      </w:hyperlink>
    </w:p>
    <w:p>
      <w:pPr>
        <w:pStyle w:val="Normal"/>
        <w:widowControl/>
        <w:spacing w:after="120"/>
      </w:pPr>
      <w:r>
        <w:t xml:space="preserve"/>
      </w:r>
      <w:r>
        <w:t xml:space="preserve">[V12-5] Ethun, Cecilia G; Lopez-Aguiar, Alexandra G; Anderson, Douglas J; et al. Transplantation Versus Resection for Hilar Cholangiocarcinoma: An Argument for Shifting Treatment Paradigms for Resectable Disease. Annals of Surgery. 2018. </w:t>
      </w:r>
      <w:hyperlink r:id="rId140">
        <w:r>
          <w:rPr>
            <w:color w:val="0563C1"/>
            <w:u w:val="single"/>
          </w:rPr>
          <w:t>Source</w:t>
        </w:r>
      </w:hyperlink>
      <w:r>
        <w:t xml:space="preserve"> | </w:t>
      </w:r>
      <w:hyperlink r:id="rId141">
        <w:r>
          <w:rPr>
            <w:color w:val="0563C1"/>
            <w:u w:val="single"/>
          </w:rPr>
          <w:t>Full-text access</w:t>
        </w:r>
      </w:hyperlink>
    </w:p>
    <w:p>
      <w:pPr>
        <w:pStyle w:val="Normal"/>
        <w:widowControl/>
        <w:spacing w:after="120"/>
      </w:pPr>
      <w:r>
        <w:t xml:space="preserve"/>
      </w:r>
      <w:r>
        <w:t xml:space="preserve">[V12-6] Olthof, Pim B; Aldrighetti, Luca; Alikhanov, Ruslan; et al. Portal Vein Embolization is Associated with Reduced Liver Failure and Mortality in High-Risk Resections for Perihilar Cholangiocarcinoma. Annals of Surgical Oncology. 2020. </w:t>
      </w:r>
      <w:hyperlink r:id="rId142">
        <w:r>
          <w:rPr>
            <w:color w:val="0563C1"/>
            <w:u w:val="single"/>
          </w:rPr>
          <w:t>Source</w:t>
        </w:r>
      </w:hyperlink>
      <w:r>
        <w:t xml:space="preserve"> | </w:t>
      </w:r>
      <w:hyperlink r:id="rId143">
        <w:r>
          <w:rPr>
            <w:color w:val="0563C1"/>
            <w:u w:val="single"/>
          </w:rPr>
          <w:t>Full-text access</w:t>
        </w:r>
      </w:hyperlink>
    </w:p>
    <w:p>
      <w:pPr>
        <w:pStyle w:val="Normal"/>
        <w:widowControl/>
        <w:spacing w:after="120"/>
      </w:pPr>
      <w:r>
        <w:t xml:space="preserve"/>
      </w:r>
      <w:r>
        <w:t xml:space="preserve">[V12-7] Bowlus, Christopher L.; Arrivé, Lionel; Bergquist, Annika; et al. AASLD practice guidance on primary sclerosing cholangitis and cholangiocarcinoma. Hepatology. 2022; 77(2):659-702. </w:t>
      </w:r>
      <w:hyperlink r:id="rId144">
        <w:r>
          <w:rPr>
            <w:color w:val="0563C1"/>
            <w:u w:val="single"/>
          </w:rPr>
          <w:t>Source</w:t>
        </w:r>
      </w:hyperlink>
      <w:r>
        <w:t xml:space="preserve"> | </w:t>
      </w:r>
      <w:hyperlink r:id="rId145">
        <w:r>
          <w:rPr>
            <w:color w:val="0563C1"/>
            <w:u w:val="single"/>
          </w:rPr>
          <w:t>Full-text access</w:t>
        </w:r>
      </w:hyperlink>
    </w:p>
    <w:p>
      <w:pPr>
        <w:pStyle w:val="Normal"/>
        <w:widowControl/>
        <w:spacing w:after="120"/>
      </w:pPr>
      <w:r>
        <w:t xml:space="preserve"/>
      </w:r>
      <w:r>
        <w:t xml:space="preserve">[V12-8] Aveson, Victoria G; Ilagan, Crisanta H; Chou, Joanne F; et al. Association between biopsy method and development of peritoneal metastases in perihilar cholangiocarcinoma. HPB (Oxford). 2022. </w:t>
      </w:r>
      <w:hyperlink r:id="rId146">
        <w:r>
          <w:rPr>
            <w:color w:val="0563C1"/>
            <w:u w:val="single"/>
          </w:rPr>
          <w:t>Source</w:t>
        </w:r>
      </w:hyperlink>
      <w:r>
        <w:t xml:space="preserve"> | </w:t>
      </w:r>
      <w:hyperlink r:id="rId147">
        <w:r>
          <w:rPr>
            <w:color w:val="0563C1"/>
            <w:u w:val="single"/>
          </w:rPr>
          <w:t>Full-text access</w:t>
        </w:r>
      </w:hyperlink>
    </w:p>
    <w:p>
      <w:pPr>
        <w:pStyle w:val="Normal"/>
        <w:widowControl/>
        <w:spacing w:after="120"/>
      </w:pPr>
      <w:r>
        <w:t xml:space="preserve"/>
      </w:r>
      <w:r>
        <w:t xml:space="preserve">[V12-9] Dove, Lorna; Chadha, Ryan M.; Lai, Jennifer C.; et al. AASLD AST Practice Guideline on adult liver transplantation: Candidate evaluation. Hepatology. 2026; 83(6):1609-1645. </w:t>
      </w:r>
      <w:hyperlink r:id="rId148">
        <w:r>
          <w:rPr>
            <w:color w:val="0563C1"/>
            <w:u w:val="single"/>
          </w:rPr>
          <w:t>Source</w:t>
        </w:r>
      </w:hyperlink>
      <w:r>
        <w:t xml:space="preserve"> | </w:t>
      </w:r>
      <w:hyperlink r:id="rId149">
        <w:r>
          <w:rPr>
            <w:color w:val="0563C1"/>
            <w:u w:val="single"/>
          </w:rPr>
          <w:t>Full-text access</w:t>
        </w:r>
      </w:hyperlink>
    </w:p>
    <w:p>
      <w:pPr>
        <w:pStyle w:val="Normal"/>
        <w:widowControl/>
        <w:spacing w:after="120"/>
      </w:pPr>
      <w:r>
        <w:t xml:space="preserve"/>
      </w:r>
      <w:r>
        <w:t xml:space="preserve">[V12-10] Tan, Ek Khoon; Taner, Timucin; Heimbach, Julie K.; et al. Liver Transplantation for Peri-hilar Cholangiocarcinoma. Journal of Gastrointestinal Surgery. 2020; 24(11):2679-2685. </w:t>
      </w:r>
      <w:hyperlink r:id="rId150">
        <w:r>
          <w:rPr>
            <w:color w:val="0563C1"/>
            <w:u w:val="single"/>
          </w:rPr>
          <w:t>Source</w:t>
        </w:r>
      </w:hyperlink>
      <w:r>
        <w:t xml:space="preserve"> | </w:t>
      </w:r>
      <w:hyperlink r:id="rId151">
        <w:r>
          <w:rPr>
            <w:color w:val="0563C1"/>
            <w:u w:val="single"/>
          </w:rPr>
          <w:t>Full-text access</w:t>
        </w:r>
      </w:hyperlink>
    </w:p>
    <w:p>
      <w:pPr>
        <w:pStyle w:val="Normal"/>
        <w:widowControl/>
        <w:spacing w:after="120"/>
      </w:pPr>
      <w:r>
        <w:t xml:space="preserve"/>
      </w:r>
      <w:r>
        <w:t xml:space="preserve">[V12-11] Wu, Trudy C.; Smith, Clayton P.; Li, Joshua S.; et al. A systematic review and meta‐analysis of pathologic complete response rates for patients with cholangiocarcinoma treated on liver transplant protocols. Journal of Surgical Oncology. 2023; 129(3):574-583. </w:t>
      </w:r>
      <w:hyperlink r:id="rId152">
        <w:r>
          <w:rPr>
            <w:color w:val="0563C1"/>
            <w:u w:val="single"/>
          </w:rPr>
          <w:t>Source</w:t>
        </w:r>
      </w:hyperlink>
      <w:r>
        <w:t xml:space="preserve"> | </w:t>
      </w:r>
      <w:hyperlink r:id="rId153">
        <w:r>
          <w:rPr>
            <w:color w:val="0563C1"/>
            <w:u w:val="single"/>
          </w:rPr>
          <w:t>Full-text access</w:t>
        </w:r>
      </w:hyperlink>
    </w:p>
    <w:p>
      <w:pPr>
        <w:pStyle w:val="Normal"/>
        <w:widowControl/>
        <w:spacing w:after="120"/>
      </w:pPr>
      <w:r>
        <w:t xml:space="preserve"/>
      </w:r>
      <w:r>
        <w:t xml:space="preserve">[V12-12] Gorji, Leva; Brown, Zachary J.; Limkemann, Ashley; et al. Liver Transplant as a Treatment of Primary and Secondary Liver Neoplasms. JAMA Surgery. 2024; 159(2):211. </w:t>
      </w:r>
      <w:hyperlink r:id="rId154">
        <w:r>
          <w:rPr>
            <w:color w:val="0563C1"/>
            <w:u w:val="single"/>
          </w:rPr>
          <w:t>Source</w:t>
        </w:r>
      </w:hyperlink>
      <w:r>
        <w:t xml:space="preserve"> | </w:t>
      </w:r>
      <w:hyperlink r:id="rId155">
        <w:r>
          <w:rPr>
            <w:color w:val="0563C1"/>
            <w:u w:val="single"/>
          </w:rPr>
          <w:t>Full-text access</w:t>
        </w:r>
      </w:hyperlink>
    </w:p>
    <w:p>
      <w:pPr>
        <w:pStyle w:val="Normal"/>
        <w:widowControl/>
        <w:spacing w:after="120"/>
      </w:pPr>
      <w:r>
        <w:t xml:space="preserve"/>
      </w:r>
      <w:r>
        <w:t xml:space="preserve">[V12-13] Dong, Yawen; Li, Zhihao; Podrascanin, Vanja; et al. Liver resection with and without vascular resection versus transplantation for de novo perihilar cholangiocarcinoma. Hepatology. 2026; 83(5):1128-1142. </w:t>
      </w:r>
      <w:hyperlink r:id="rId156">
        <w:r>
          <w:rPr>
            <w:color w:val="0563C1"/>
            <w:u w:val="single"/>
          </w:rPr>
          <w:t>Source</w:t>
        </w:r>
      </w:hyperlink>
      <w:r>
        <w:t xml:space="preserve"> | </w:t>
      </w:r>
      <w:hyperlink r:id="rId157">
        <w:r>
          <w:rPr>
            <w:color w:val="0563C1"/>
            <w:u w:val="single"/>
          </w:rPr>
          <w:t>Full-text access</w:t>
        </w:r>
      </w:hyperlink>
    </w:p>
    <w:p>
      <w:pPr>
        <w:pStyle w:val="Normal"/>
        <w:widowControl/>
        <w:spacing w:after="120"/>
      </w:pPr>
      <w:r>
        <w:t xml:space="preserve"/>
      </w:r>
      <w:r>
        <w:t xml:space="preserve">[V12-14] Lunsford, Keri E; Javle, Milind; Heyne, Kirk; et al. Liver transplantation for locally advanced intrahepatic cholangiocarcinoma treated with neoadjuvant therapy: a prospective case-series. The lancet. Gastroenterology &amp; hepatology. 2018; 3(5):337-348. </w:t>
      </w:r>
      <w:hyperlink r:id="rId158">
        <w:r>
          <w:rPr>
            <w:color w:val="0563C1"/>
            <w:u w:val="single"/>
          </w:rPr>
          <w:t>Source</w:t>
        </w:r>
      </w:hyperlink>
      <w:r>
        <w:t xml:space="preserve"> | </w:t>
      </w:r>
      <w:hyperlink r:id="rId159">
        <w:r>
          <w:rPr>
            <w:color w:val="0563C1"/>
            <w:u w:val="single"/>
          </w:rPr>
          <w:t>Full-text access</w:t>
        </w:r>
      </w:hyperlink>
    </w:p>
    <w:p>
      <w:pPr>
        <w:pStyle w:val="Normal"/>
        <w:widowControl/>
        <w:spacing w:after="120"/>
      </w:pPr>
      <w:r>
        <w:t xml:space="preserve"/>
      </w:r>
      <w:r>
        <w:t xml:space="preserve">[V12-15] Ramanan, Poornima; Cummins, Nathan W.; Wilhelm, Mark P.; et al. Epidemiology, risk factors, and outcomes of infections in patients undergoing liver transplantation for hilar cholangiocarcinoma. Clinical Transplantation. 2017; 31(8). </w:t>
      </w:r>
      <w:hyperlink r:id="rId160">
        <w:r>
          <w:rPr>
            <w:color w:val="0563C1"/>
            <w:u w:val="single"/>
          </w:rPr>
          <w:t>Source</w:t>
        </w:r>
      </w:hyperlink>
      <w:r>
        <w:t xml:space="preserve"> | </w:t>
      </w:r>
      <w:hyperlink r:id="rId161">
        <w:r>
          <w:rPr>
            <w:color w:val="0563C1"/>
            <w:u w:val="single"/>
          </w:rPr>
          <w:t>Full-text access</w:t>
        </w:r>
      </w:hyperlink>
    </w:p>
    <w:p>
      <w:pPr>
        <w:pStyle w:val="Normal"/>
        <w:widowControl/>
        <w:spacing w:after="120"/>
      </w:pPr>
      <w:r>
        <w:t xml:space="preserve"/>
      </w:r>
      <w:r>
        <w:t xml:space="preserve">[V12-16] Semaan, Samar; Connor, Ashton A.; Saharia, Ashish; et al. Transplantation for Peri-Hilar and Intrahepatic Cholangiocarcinoma With mTOR Immunosuppression. Transplantation Proceedings. 2025; 57(2):255-263. </w:t>
      </w:r>
      <w:hyperlink r:id="rId162">
        <w:r>
          <w:rPr>
            <w:color w:val="0563C1"/>
            <w:u w:val="single"/>
          </w:rPr>
          <w:t>Source</w:t>
        </w:r>
      </w:hyperlink>
      <w:r>
        <w:t xml:space="preserve"> | </w:t>
      </w:r>
      <w:hyperlink r:id="rId163">
        <w:r>
          <w:rPr>
            <w:color w:val="0563C1"/>
            <w:u w:val="single"/>
          </w:rPr>
          <w:t>Full-text access</w:t>
        </w:r>
      </w:hyperlink>
    </w:p>
    <w:p>
      <w:pPr>
        <w:pStyle w:val="Normal"/>
        <w:widowControl/>
        <w:spacing w:after="120"/>
      </w:pPr>
      <w:r>
        <w:t xml:space="preserve"/>
      </w:r>
      <w:r>
        <w:t xml:space="preserve">[V12-17] Novartis Pharmaceuticals Corporation. Zortress (everolimus) US prescribing information, updated 16 September 2026. DailyMed. 2026. </w:t>
      </w:r>
      <w:hyperlink r:id="rId164">
        <w:r>
          <w:rPr>
            <w:color w:val="0563C1"/>
            <w:u w:val="single"/>
          </w:rPr>
          <w:t>Source</w:t>
        </w:r>
      </w:hyperlink>
      <w:r>
        <w:t xml:space="preserve"> | </w:t>
      </w:r>
      <w:hyperlink r:id="rId165">
        <w:r>
          <w:rPr>
            <w:color w:val="0563C1"/>
            <w:u w:val="single"/>
          </w:rPr>
          <w:t>Full-text access</w:t>
        </w:r>
      </w:hyperlink>
    </w:p>
    <w:p>
      <w:pPr>
        <w:pStyle w:val="Normal"/>
        <w:widowControl/>
        <w:spacing w:after="120"/>
      </w:pPr>
      <w:r>
        <w:t xml:space="preserve"/>
      </w:r>
      <w:r>
        <w:t xml:space="preserve">[V12-18] Heinrich, Sophia; Campos‐Murguia, Alejandro; Mensah, Angelina; et al. A Retrospective Multicenter Study Identifies a Similar Overall Survival of Patients After Liver Transplantation With Incidental Cholangiocarcinoma Compared to Hepatocellular Carcinoma. Clinical Transplantation. 2026; 40(5). </w:t>
      </w:r>
      <w:hyperlink r:id="rId166">
        <w:r>
          <w:rPr>
            <w:color w:val="0563C1"/>
            <w:u w:val="single"/>
          </w:rPr>
          <w:t>Source</w:t>
        </w:r>
      </w:hyperlink>
      <w:r>
        <w:t xml:space="preserve"> | </w:t>
      </w:r>
      <w:hyperlink r:id="rId167">
        <w:r>
          <w:rPr>
            <w:color w:val="0563C1"/>
            <w:u w:val="single"/>
          </w:rPr>
          <w:t>Full-text access</w:t>
        </w:r>
      </w:hyperlink>
    </w:p>
    <w:p>
      <w:pPr>
        <w:pStyle w:val="Normal"/>
        <w:widowControl/>
        <w:spacing w:after="120"/>
      </w:pPr>
      <w:r>
        <w:t xml:space="preserve"/>
      </w:r>
      <w:r>
        <w:t xml:space="preserve">[V12-19] Darwish Murad, Sarwa; Kim, W. Ray; Harnois, Denise M.; et al. Efficacy of Neoadjuvant Chemoradiation, Followed by Liver Transplantation, for Perihilar Cholangiocarcinoma at 12 US Centers. Gastroenterology. 2012; 143(1):88-98.e3. </w:t>
      </w:r>
      <w:hyperlink r:id="rId168">
        <w:r>
          <w:rPr>
            <w:color w:val="0563C1"/>
            <w:u w:val="single"/>
          </w:rPr>
          <w:t>Source</w:t>
        </w:r>
      </w:hyperlink>
      <w:r>
        <w:t xml:space="preserve"> | </w:t>
      </w:r>
      <w:hyperlink r:id="rId169">
        <w:r>
          <w:rPr>
            <w:color w:val="0563C1"/>
            <w:u w:val="single"/>
          </w:rPr>
          <w:t>Full-text access</w:t>
        </w:r>
      </w:hyperlink>
    </w:p>
    <w:p>
      <w:pPr>
        <w:pStyle w:val="Normal"/>
        <w:widowControl/>
        <w:spacing w:after="120"/>
      </w:pPr>
      <w:r>
        <w:t xml:space="preserve"/>
      </w:r>
      <w:r>
        <w:t xml:space="preserve">[V12-20] Loveday, Benjamin P.T.; Knox, Jennifer J.; Dawson, Laura A.; et al. Neoadjuvant hyperfractionated chemoradiation and liver transplantation for unresectable perihilar cholangiocarcinoma in Canada. Journal of Surgical Oncology. 2018; 117(2):213-219. </w:t>
      </w:r>
      <w:hyperlink r:id="rId170">
        <w:r>
          <w:rPr>
            <w:color w:val="0563C1"/>
            <w:u w:val="single"/>
          </w:rPr>
          <w:t>Source</w:t>
        </w:r>
      </w:hyperlink>
      <w:r>
        <w:t xml:space="preserve"> | </w:t>
      </w:r>
      <w:hyperlink r:id="rId171">
        <w:r>
          <w:rPr>
            <w:color w:val="0563C1"/>
            <w:u w:val="single"/>
          </w:rPr>
          <w:t>Full-text access</w:t>
        </w:r>
      </w:hyperlink>
    </w:p>
    <w:p>
      <w:pPr>
        <w:pStyle w:val="Normal"/>
        <w:widowControl/>
        <w:spacing w:after="120"/>
      </w:pPr>
      <w:r>
        <w:t xml:space="preserve"/>
      </w:r>
      <w:r>
        <w:t xml:space="preserve">[V12-21] Te, Helen S.; Agopian, Vatche G.; Demetris, Anthony J.; et al. AASLD AST Practice Guideline on adult liver transplantation: Diagnosis and management of graft-related complications. Liver Transplantation. 2025; 32(3):444-490. </w:t>
      </w:r>
      <w:hyperlink r:id="rId172">
        <w:r>
          <w:rPr>
            <w:color w:val="0563C1"/>
            <w:u w:val="single"/>
          </w:rPr>
          <w:t>Source</w:t>
        </w:r>
      </w:hyperlink>
      <w:r>
        <w:t xml:space="preserve"> | </w:t>
      </w:r>
      <w:hyperlink r:id="rId173">
        <w:r>
          <w:rPr>
            <w:color w:val="0563C1"/>
            <w:u w:val="single"/>
          </w:rPr>
          <w:t>Full-text access</w:t>
        </w:r>
      </w:hyperlink>
    </w:p>
    <w:p>
      <w:pPr>
        <w:pStyle w:val="Normal"/>
        <w:widowControl/>
        <w:spacing w:after="120"/>
      </w:pPr>
      <w:r>
        <w:t xml:space="preserve"/>
      </w:r>
      <w:r>
        <w:t xml:space="preserve">[V12-22] Abdelrahim, Maen; Esmail, Abdullah; Connor, Ashton A; et al. Utilization of immunotherapy as a neoadjuvant treatment in liver transplant recipients with hepatobiliary carcinoma. Frontiers in oncology. 2026; 16:1866870. </w:t>
      </w:r>
      <w:hyperlink r:id="rId174">
        <w:r>
          <w:rPr>
            <w:color w:val="0563C1"/>
            <w:u w:val="single"/>
          </w:rPr>
          <w:t>Source</w:t>
        </w:r>
      </w:hyperlink>
      <w:r>
        <w:t xml:space="preserve"> | </w:t>
      </w:r>
      <w:hyperlink r:id="rId175">
        <w:r>
          <w:rPr>
            <w:color w:val="0563C1"/>
            <w:u w:val="single"/>
          </w:rPr>
          <w:t>Full-text access</w:t>
        </w:r>
      </w:hyperlink>
    </w:p>
    <w:p>
      <w:pPr>
        <w:pStyle w:val="Normal"/>
        <w:widowControl/>
        <w:spacing w:after="120"/>
      </w:pPr>
      <w:r>
        <w:t xml:space="preserve"/>
      </w:r>
      <w:r>
        <w:t xml:space="preserve">[V12-23] Abecassis, M.M.; Fisher, R.A.; Olthoff, K.M.; et al. Complications of Living Donor Hepatic Lobectomy—A Comprehensive Report. American Journal of Transplantation. 2012; 12(5):1208-1217. </w:t>
      </w:r>
      <w:hyperlink r:id="rId176">
        <w:r>
          <w:rPr>
            <w:color w:val="0563C1"/>
            <w:u w:val="single"/>
          </w:rPr>
          <w:t>Source</w:t>
        </w:r>
      </w:hyperlink>
      <w:r>
        <w:t xml:space="preserve"> | </w:t>
      </w:r>
      <w:hyperlink r:id="rId177">
        <w:r>
          <w:rPr>
            <w:color w:val="0563C1"/>
            <w:u w:val="single"/>
          </w:rPr>
          <w:t>Full-text access</w:t>
        </w:r>
      </w:hyperlink>
    </w:p>
    <w:p>
      <w:pPr>
        <w:pStyle w:val="Normal"/>
        <w:widowControl/>
        <w:spacing w:after="120"/>
      </w:pPr>
      <w:r>
        <w:t xml:space="preserve"/>
      </w:r>
      <w:r>
        <w:t xml:space="preserve">[V12-24] DiMartini, A.; Dew, M.A.; Liu, Q.; et al. Social and Financial Outcomes of Living Liver Donation: A Prospective Investigation Within the Adult-to-Adult Living Donor Liver Transplantation Cohort Study 2 (A2ALL-2). American Journal of Transplantation. 2017; 17(4):1081-1096. </w:t>
      </w:r>
      <w:hyperlink r:id="rId178">
        <w:r>
          <w:rPr>
            <w:color w:val="0563C1"/>
            <w:u w:val="single"/>
          </w:rPr>
          <w:t>Source</w:t>
        </w:r>
      </w:hyperlink>
      <w:r>
        <w:t xml:space="preserve"> | </w:t>
      </w:r>
      <w:hyperlink r:id="rId179">
        <w:r>
          <w:rPr>
            <w:color w:val="0563C1"/>
            <w:u w:val="single"/>
          </w:rPr>
          <w:t>Full-text access</w:t>
        </w:r>
      </w:hyperlink>
    </w:p>
    <w:p>
      <w:pPr>
        <w:pStyle w:val="Normal"/>
        <w:widowControl/>
        <w:spacing w:after="120"/>
      </w:pPr>
      <w:r>
        <w:t xml:space="preserve"/>
      </w:r>
      <w:r>
        <w:t xml:space="preserve">[V12-25] Xiao, Jieling; Zeng, Rebecca Wenling; Lim, Wen Hui; et al. The incidence of adverse outcome in donors after living donor liver transplantation: A meta-analysis of 60,829 donors. Liver Transplantation. 2024; 30(5):493-504. </w:t>
      </w:r>
      <w:hyperlink r:id="rId180">
        <w:r>
          <w:rPr>
            <w:color w:val="0563C1"/>
            <w:u w:val="single"/>
          </w:rPr>
          <w:t>Source</w:t>
        </w:r>
      </w:hyperlink>
      <w:r>
        <w:t xml:space="preserve"> | </w:t>
      </w:r>
      <w:hyperlink r:id="rId181">
        <w:r>
          <w:rPr>
            <w:color w:val="0563C1"/>
            <w:u w:val="single"/>
          </w:rPr>
          <w:t>Full-text access</w:t>
        </w:r>
      </w:hyperlink>
    </w:p>
    <w:p>
      <w:pPr>
        <w:pStyle w:val="Normal"/>
        <w:widowControl/>
        <w:spacing w:after="120"/>
      </w:pPr>
      <w:r>
        <w:t xml:space="preserve"/>
      </w:r>
      <w:r>
        <w:t xml:space="preserve">[V12-26] Ito, Takashi; Taura, Kojiro; Fukumitsu, Ken; et al. Safety and efficacy of living donor liver transplantation for unresectable perihilar cholangiocarcinoma: A single center prospective study. Journal of Hepato-Biliary-Pancreatic Sciences. 2025; 32(4):276-286. </w:t>
      </w:r>
      <w:hyperlink r:id="rId182">
        <w:r>
          <w:rPr>
            <w:color w:val="0563C1"/>
            <w:u w:val="single"/>
          </w:rPr>
          <w:t>Source</w:t>
        </w:r>
      </w:hyperlink>
      <w:r>
        <w:t xml:space="preserve"> | </w:t>
      </w:r>
      <w:hyperlink r:id="rId183">
        <w:r>
          <w:rPr>
            <w:color w:val="0563C1"/>
            <w:u w:val="single"/>
          </w:rPr>
          <w:t>Full-text access</w:t>
        </w:r>
      </w:hyperlink>
    </w:p>
    <w:p>
      <w:pPr>
        <w:pStyle w:val="Normal"/>
        <w:widowControl/>
        <w:spacing w:after="120"/>
      </w:pPr>
      <w:r>
        <w:t xml:space="preserve"/>
      </w:r>
      <w:r>
        <w:t xml:space="preserve">[V12-27] Vugts, Jaynee J A; Gaspersz, Marcia P; Roos, Eva; et al. Eligibility for Liver Transplantation in Patients with Perihilar Cholangiocarcinoma. Annals of Surgical Oncology. 2021. </w:t>
      </w:r>
      <w:hyperlink r:id="rId184">
        <w:r>
          <w:rPr>
            <w:color w:val="0563C1"/>
            <w:u w:val="single"/>
          </w:rPr>
          <w:t>Source</w:t>
        </w:r>
      </w:hyperlink>
      <w:r>
        <w:t xml:space="preserve"> | </w:t>
      </w:r>
      <w:hyperlink r:id="rId185">
        <w:r>
          <w:rPr>
            <w:color w:val="0563C1"/>
            <w:u w:val="single"/>
          </w:rPr>
          <w:t>Full-text access</w:t>
        </w:r>
      </w:hyperlink>
    </w:p>
    <w:p>
      <w:pPr>
        <w:pStyle w:val="Normal"/>
        <w:widowControl/>
        <w:spacing w:after="120"/>
      </w:pPr>
      <w:r>
        <w:t xml:space="preserve"/>
      </w:r>
      <w:r>
        <w:t xml:space="preserve">[V12-28] Shroff RT; Kennedy EB; Alarcon Rozas AE; et al. Treatment of Advanced Biliary Tract Cancer: ASCO Living Guideline, Version 2026.1.0.. Journal of clinical oncology : official journal of the American Society of Clinical Oncology. 2026; :101200JCO2602462. </w:t>
      </w:r>
      <w:hyperlink r:id="rId186">
        <w:r>
          <w:rPr>
            <w:color w:val="0563C1"/>
            <w:u w:val="single"/>
          </w:rPr>
          <w:t>Source</w:t>
        </w:r>
      </w:hyperlink>
      <w:r>
        <w:t xml:space="preserve"> | </w:t>
      </w:r>
      <w:hyperlink r:id="rId187">
        <w:r>
          <w:rPr>
            <w:color w:val="0563C1"/>
            <w:u w:val="single"/>
          </w:rPr>
          <w:t>Full-text access</w:t>
        </w:r>
      </w:hyperlink>
    </w:p>
    <w:p>
      <w:pPr>
        <w:pStyle w:val="Normal"/>
        <w:widowControl/>
        <w:spacing w:after="120"/>
      </w:pPr>
      <w:r>
        <w:t xml:space="preserve"/>
      </w:r>
      <w:r>
        <w:t xml:space="preserve">[V12-29] Vogel A; Saborowski A; Wenzel P; et al. Nanoliposomal irinotecan and fluorouracil plus leucovorin versus fluorouracil plus leucovorin in patients with cholangiocarcinoma and gallbladder carcinoma previously treated with gemcitabine-based therapies (AIO NALIRICC): a multicentre, open-label, randomised, phase 2 trial. The lancet. Gastroenterology &amp; hepatology. 2024; 9(8):734-744. </w:t>
      </w:r>
      <w:hyperlink r:id="rId188">
        <w:r>
          <w:rPr>
            <w:color w:val="0563C1"/>
            <w:u w:val="single"/>
          </w:rPr>
          <w:t>Source</w:t>
        </w:r>
      </w:hyperlink>
      <w:r>
        <w:t xml:space="preserve"> | </w:t>
      </w:r>
      <w:hyperlink r:id="rId189">
        <w:r>
          <w:rPr>
            <w:color w:val="0563C1"/>
            <w:u w:val="single"/>
          </w:rPr>
          <w:t>Full-text access</w:t>
        </w:r>
      </w:hyperlink>
      <w:r>
        <w:fldChar w:fldCharType="end"/>
      </w:r>
    </w:p>
    <w:p>
      <w:pPr>
        <w:pStyle w:val="Heading1"/>
        <w:widowControl/>
        <w:keepNext/>
      </w:pPr>
      <w:r>
        <w:t xml:space="preserve">Revision history</w:t>
      </w:r>
    </w:p>
    <w:p>
      <w:pPr>
        <w:pStyle w:val="Normal"/>
        <w:widowControl/>
        <w:spacing w:after="120"/>
      </w:pPr>
      <w:r>
        <w:t xml:space="preserve">2026-10-25 04:38 CDT. Problem and correction: Integrate pCCA full-text findings at the treatment/selection interface. Separate systemic cancer control from transplant eligibility and allocation. Do not infer new transplant eligibility from these regimen studies.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D09"/>
    <w:rPr>
      <w:sz w:val="20"/>
      <w:szCs w:val="20"/>
    </w:rPr>
  </w:style>
  <w:style w:type="paragraph" w:styleId="Heading1">
    <w:name w:val="heading 1"/>
    <w:basedOn w:val="Normal"/>
    <w:next w:val="Normal"/>
    <w:link w:val="Heading1Char"/>
    <w:uiPriority w:val="9"/>
    <w:qFormat/>
    <w:rsid w:val="00073D0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073D0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073D09"/>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073D09"/>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073D09"/>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073D09"/>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073D09"/>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073D09"/>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73D09"/>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73D09"/>
    <w:pPr>
      <w:spacing w:before="720"/>
    </w:pPr>
    <w:rPr>
      <w:caps/>
      <w:color w:val="15608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073D09"/>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073D09"/>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073D09"/>
    <w:rPr>
      <w:caps/>
      <w:spacing w:val="15"/>
      <w:shd w:val="clear" w:color="auto" w:fill="C1E4F5" w:themeFill="accent1" w:themeFillTint="33"/>
    </w:rPr>
  </w:style>
  <w:style w:type="character" w:customStyle="1" w:styleId="Heading3Char">
    <w:name w:val="Heading 3 Char"/>
    <w:basedOn w:val="DefaultParagraphFont"/>
    <w:link w:val="Heading3"/>
    <w:uiPriority w:val="9"/>
    <w:rsid w:val="00073D09"/>
    <w:rPr>
      <w:caps/>
      <w:color w:val="0A2F40" w:themeColor="accent1" w:themeShade="7F"/>
      <w:spacing w:val="15"/>
    </w:rPr>
  </w:style>
  <w:style w:type="character" w:customStyle="1" w:styleId="Heading4Char">
    <w:name w:val="Heading 4 Char"/>
    <w:basedOn w:val="DefaultParagraphFont"/>
    <w:link w:val="Heading4"/>
    <w:uiPriority w:val="9"/>
    <w:semiHidden/>
    <w:rsid w:val="00073D09"/>
    <w:rPr>
      <w:caps/>
      <w:color w:val="0F4761" w:themeColor="accent1" w:themeShade="BF"/>
      <w:spacing w:val="10"/>
    </w:rPr>
  </w:style>
  <w:style w:type="character" w:customStyle="1" w:styleId="Heading5Char">
    <w:name w:val="Heading 5 Char"/>
    <w:basedOn w:val="DefaultParagraphFont"/>
    <w:link w:val="Heading5"/>
    <w:uiPriority w:val="9"/>
    <w:semiHidden/>
    <w:rsid w:val="00073D09"/>
    <w:rPr>
      <w:caps/>
      <w:color w:val="0F4761" w:themeColor="accent1" w:themeShade="BF"/>
      <w:spacing w:val="10"/>
    </w:rPr>
  </w:style>
  <w:style w:type="character" w:customStyle="1" w:styleId="Heading6Char">
    <w:name w:val="Heading 6 Char"/>
    <w:basedOn w:val="DefaultParagraphFont"/>
    <w:link w:val="Heading6"/>
    <w:uiPriority w:val="9"/>
    <w:semiHidden/>
    <w:rsid w:val="00073D09"/>
    <w:rPr>
      <w:caps/>
      <w:color w:val="0F4761" w:themeColor="accent1" w:themeShade="BF"/>
      <w:spacing w:val="10"/>
    </w:rPr>
  </w:style>
  <w:style w:type="character" w:customStyle="1" w:styleId="Heading7Char">
    <w:name w:val="Heading 7 Char"/>
    <w:basedOn w:val="DefaultParagraphFont"/>
    <w:link w:val="Heading7"/>
    <w:uiPriority w:val="9"/>
    <w:semiHidden/>
    <w:rsid w:val="00073D09"/>
    <w:rPr>
      <w:caps/>
      <w:color w:val="0F4761" w:themeColor="accent1" w:themeShade="BF"/>
      <w:spacing w:val="10"/>
    </w:rPr>
  </w:style>
  <w:style w:type="character" w:customStyle="1" w:styleId="Heading8Char">
    <w:name w:val="Heading 8 Char"/>
    <w:basedOn w:val="DefaultParagraphFont"/>
    <w:link w:val="Heading8"/>
    <w:uiPriority w:val="9"/>
    <w:semiHidden/>
    <w:rsid w:val="00073D09"/>
    <w:rPr>
      <w:caps/>
      <w:spacing w:val="10"/>
      <w:sz w:val="18"/>
      <w:szCs w:val="18"/>
    </w:rPr>
  </w:style>
  <w:style w:type="character" w:customStyle="1" w:styleId="Heading9Char">
    <w:name w:val="Heading 9 Char"/>
    <w:basedOn w:val="DefaultParagraphFont"/>
    <w:link w:val="Heading9"/>
    <w:uiPriority w:val="9"/>
    <w:semiHidden/>
    <w:rsid w:val="00073D09"/>
    <w:rPr>
      <w:i/>
      <w:caps/>
      <w:spacing w:val="10"/>
      <w:sz w:val="18"/>
      <w:szCs w:val="18"/>
    </w:rPr>
  </w:style>
  <w:style w:type="paragraph" w:styleId="Caption">
    <w:name w:val="caption"/>
    <w:basedOn w:val="Normal"/>
    <w:next w:val="Normal"/>
    <w:uiPriority w:val="35"/>
    <w:semiHidden/>
    <w:unhideWhenUsed/>
    <w:qFormat/>
    <w:rsid w:val="00073D09"/>
    <w:rPr>
      <w:b/>
      <w:bCs/>
      <w:color w:val="0F4761" w:themeColor="accent1" w:themeShade="BF"/>
      <w:sz w:val="16"/>
      <w:szCs w:val="16"/>
    </w:rPr>
  </w:style>
  <w:style w:type="character" w:customStyle="1" w:styleId="TitleChar">
    <w:name w:val="Title Char"/>
    <w:basedOn w:val="DefaultParagraphFont"/>
    <w:link w:val="Title"/>
    <w:uiPriority w:val="10"/>
    <w:rsid w:val="00073D09"/>
    <w:rPr>
      <w:caps/>
      <w:color w:val="156082" w:themeColor="accent1"/>
      <w:spacing w:val="10"/>
      <w:kern w:val="28"/>
      <w:sz w:val="52"/>
      <w:szCs w:val="52"/>
    </w:rPr>
  </w:style>
  <w:style w:type="paragraph" w:styleId="Subtitle">
    <w:name w:val="Subtitle"/>
    <w:basedOn w:val="Normal"/>
    <w:next w:val="Normal"/>
    <w:link w:val="SubtitleChar"/>
    <w:uiPriority w:val="11"/>
    <w:qFormat/>
    <w:rsid w:val="00073D09"/>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073D09"/>
    <w:rPr>
      <w:caps/>
      <w:color w:val="595959" w:themeColor="text1" w:themeTint="A6"/>
      <w:spacing w:val="10"/>
      <w:sz w:val="24"/>
      <w:szCs w:val="24"/>
    </w:rPr>
  </w:style>
  <w:style w:type="character" w:styleId="Strong">
    <w:name w:val="Strong"/>
    <w:uiPriority w:val="22"/>
    <w:qFormat/>
    <w:rsid w:val="00073D09"/>
    <w:rPr>
      <w:b/>
      <w:bCs/>
    </w:rPr>
  </w:style>
  <w:style w:type="character" w:styleId="Emphasis">
    <w:name w:val="Emphasis"/>
    <w:uiPriority w:val="20"/>
    <w:qFormat/>
    <w:rsid w:val="00073D09"/>
    <w:rPr>
      <w:caps/>
      <w:color w:val="0A2F40" w:themeColor="accent1" w:themeShade="7F"/>
      <w:spacing w:val="5"/>
    </w:rPr>
  </w:style>
  <w:style w:type="paragraph" w:styleId="NoSpacing">
    <w:name w:val="No Spacing"/>
    <w:basedOn w:val="Normal"/>
    <w:link w:val="NoSpacingChar"/>
    <w:uiPriority w:val="1"/>
    <w:qFormat/>
    <w:rsid w:val="00073D09"/>
    <w:pPr>
      <w:spacing w:before="0" w:after="0" w:line="240" w:lineRule="auto"/>
    </w:pPr>
  </w:style>
  <w:style w:type="character" w:customStyle="1" w:styleId="NoSpacingChar">
    <w:name w:val="No Spacing Char"/>
    <w:basedOn w:val="DefaultParagraphFont"/>
    <w:link w:val="NoSpacing"/>
    <w:uiPriority w:val="1"/>
    <w:rsid w:val="00073D09"/>
    <w:rPr>
      <w:sz w:val="20"/>
      <w:szCs w:val="20"/>
    </w:rPr>
  </w:style>
  <w:style w:type="paragraph" w:styleId="Quote">
    <w:name w:val="Quote"/>
    <w:basedOn w:val="Normal"/>
    <w:next w:val="Normal"/>
    <w:link w:val="QuoteChar"/>
    <w:uiPriority w:val="29"/>
    <w:qFormat/>
    <w:rsid w:val="00073D09"/>
    <w:rPr>
      <w:i/>
      <w:iCs/>
    </w:rPr>
  </w:style>
  <w:style w:type="character" w:customStyle="1" w:styleId="QuoteChar">
    <w:name w:val="Quote Char"/>
    <w:basedOn w:val="DefaultParagraphFont"/>
    <w:link w:val="Quote"/>
    <w:uiPriority w:val="29"/>
    <w:rsid w:val="00073D09"/>
    <w:rPr>
      <w:i/>
      <w:iCs/>
      <w:sz w:val="20"/>
      <w:szCs w:val="20"/>
    </w:rPr>
  </w:style>
  <w:style w:type="paragraph" w:styleId="IntenseQuote">
    <w:name w:val="Intense Quote"/>
    <w:basedOn w:val="Normal"/>
    <w:next w:val="Normal"/>
    <w:link w:val="IntenseQuoteChar"/>
    <w:uiPriority w:val="30"/>
    <w:qFormat/>
    <w:rsid w:val="00073D09"/>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073D09"/>
    <w:rPr>
      <w:i/>
      <w:iCs/>
      <w:color w:val="156082" w:themeColor="accent1"/>
      <w:sz w:val="20"/>
      <w:szCs w:val="20"/>
    </w:rPr>
  </w:style>
  <w:style w:type="character" w:styleId="SubtleEmphasis">
    <w:name w:val="Subtle Emphasis"/>
    <w:uiPriority w:val="19"/>
    <w:qFormat/>
    <w:rsid w:val="00073D09"/>
    <w:rPr>
      <w:i/>
      <w:iCs/>
      <w:color w:val="0A2F40" w:themeColor="accent1" w:themeShade="7F"/>
    </w:rPr>
  </w:style>
  <w:style w:type="character" w:styleId="IntenseEmphasis">
    <w:name w:val="Intense Emphasis"/>
    <w:uiPriority w:val="21"/>
    <w:qFormat/>
    <w:rsid w:val="00073D09"/>
    <w:rPr>
      <w:b/>
      <w:bCs/>
      <w:caps/>
      <w:color w:val="0A2F40" w:themeColor="accent1" w:themeShade="7F"/>
      <w:spacing w:val="10"/>
    </w:rPr>
  </w:style>
  <w:style w:type="character" w:styleId="SubtleReference">
    <w:name w:val="Subtle Reference"/>
    <w:uiPriority w:val="31"/>
    <w:qFormat/>
    <w:rsid w:val="00073D09"/>
    <w:rPr>
      <w:b/>
      <w:bCs/>
      <w:color w:val="156082" w:themeColor="accent1"/>
    </w:rPr>
  </w:style>
  <w:style w:type="character" w:styleId="IntenseReference">
    <w:name w:val="Intense Reference"/>
    <w:uiPriority w:val="32"/>
    <w:qFormat/>
    <w:rsid w:val="00073D09"/>
    <w:rPr>
      <w:b/>
      <w:bCs/>
      <w:i/>
      <w:iCs/>
      <w:caps/>
      <w:color w:val="156082" w:themeColor="accent1"/>
    </w:rPr>
  </w:style>
  <w:style w:type="character" w:styleId="BookTitle">
    <w:name w:val="Book Title"/>
    <w:uiPriority w:val="33"/>
    <w:qFormat/>
    <w:rsid w:val="00073D09"/>
    <w:rPr>
      <w:b/>
      <w:bCs/>
      <w:i/>
      <w:iCs/>
      <w:spacing w:val="9"/>
    </w:rPr>
  </w:style>
  <w:style w:type="paragraph" w:styleId="TOCHeading">
    <w:name w:val="TOC Heading"/>
    <w:basedOn w:val="Heading1"/>
    <w:next w:val="Normal"/>
    <w:uiPriority w:val="39"/>
    <w:semiHidden/>
    <w:unhideWhenUsed/>
    <w:qFormat/>
    <w:rsid w:val="00073D09"/>
    <w:pPr>
      <w:outlineLvl w:val="9"/>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s1eqwtejbt6fad7bttkla" Type="http://schemas.openxmlformats.org/officeDocument/2006/relationships/hyperlink" Target="https://doi.org/10.1002/hep.32771" TargetMode="External"/><Relationship Id="rIdr8inpyax5gy96gts3eo5p" Type="http://schemas.openxmlformats.org/officeDocument/2006/relationships/hyperlink" Target="https://doi.org/10.1097/HEP.0000000000001644" TargetMode="External"/><Relationship Id="rIdqssj9czqemee1n3l7yvud" Type="http://schemas.openxmlformats.org/officeDocument/2006/relationships/hyperlink" Target="https://www.nccn.org/professionals/physician_gls/pdf/btc.pdf#page=23" TargetMode="External"/><Relationship Id="rIdjpvwiwjsfy9vrzfsy034h" Type="http://schemas.openxmlformats.org/officeDocument/2006/relationships/hyperlink" Target="https://pubmed.ncbi.nlm.nih.gov/32671802" TargetMode="External"/><Relationship Id="rIdgvhnqvuhaimk9pemvhnwk" Type="http://schemas.openxmlformats.org/officeDocument/2006/relationships/hyperlink" Target="https://onlinelibrary.wiley.com/doi/10.1002/jso.27511" TargetMode="External"/><Relationship Id="rIdnb8jto2kvuvp8pbgxpfdi" Type="http://schemas.openxmlformats.org/officeDocument/2006/relationships/hyperlink" Target="https://jamanetwork.com/journals/jamasurgery/fullarticle/10.1001/jamasurg.2023.6083?utm_source=openevidence&amp;utm_medium=referral" TargetMode="External"/><Relationship Id="rIdvt9i8kjhgrvclooarmsjc" Type="http://schemas.openxmlformats.org/officeDocument/2006/relationships/hyperlink" Target="https://doi.org/10.1002/hep.26972" TargetMode="External"/><Relationship Id="rIdgr56vommnphmzrszqbeig" Type="http://schemas.openxmlformats.org/officeDocument/2006/relationships/hyperlink" Target="https://pubmed.ncbi.nlm.nih.gov/29548617" TargetMode="External"/><Relationship Id="rIdsjixnukvi5iewpsl6tmf1" Type="http://schemas.openxmlformats.org/officeDocument/2006/relationships/hyperlink" Target="https://onlinelibrary.wiley.com/doi/10.1111/ctr.13023" TargetMode="External"/><Relationship Id="rIdwnmj0zfnc4gcwxzi4m5kw" Type="http://schemas.openxmlformats.org/officeDocument/2006/relationships/hyperlink" Target="https://pubmed.ncbi.nlm.nih.gov/39939239" TargetMode="External"/><Relationship Id="rIdrv8ezywjyfchxdaztc3v7" Type="http://schemas.openxmlformats.org/officeDocument/2006/relationships/hyperlink" Target="https://onlinelibrary.wiley.com/doi/10.1111/ctr.70547" TargetMode="External"/><Relationship Id="rIdyrgsm_-3ite8glop60jgl" Type="http://schemas.openxmlformats.org/officeDocument/2006/relationships/hyperlink" Target="https://pubmed.ncbi.nlm.nih.gov/31972704" TargetMode="External"/><Relationship Id="rIddevqlwro1v_pbh8imtxbo" Type="http://schemas.openxmlformats.org/officeDocument/2006/relationships/hyperlink" Target="https://pubmed.ncbi.nlm.nih.gov/40622853" TargetMode="External"/><Relationship Id="rIdah40xaiwshz2cm5s3ouz0" Type="http://schemas.openxmlformats.org/officeDocument/2006/relationships/hyperlink" Target="https://onlinelibrary.wiley.com/doi/10.1002/jso.24833" TargetMode="External"/><Relationship Id="rIdd0oxcj9dm-ekcgq4rcxz4" Type="http://schemas.openxmlformats.org/officeDocument/2006/relationships/hyperlink" Target="https://pubmed.ncbi.nlm.nih.gov/41899493" TargetMode="External"/><Relationship Id="rId1naamldjfpmbuqysogu3d" Type="http://schemas.openxmlformats.org/officeDocument/2006/relationships/hyperlink" Target="https://pubmed.ncbi.nlm.nih.gov/42073607" TargetMode="External"/><Relationship Id="rIdb2_lubzxx4n3lvvi8l1ai" Type="http://schemas.openxmlformats.org/officeDocument/2006/relationships/hyperlink" Target="https://www.ncbi.nlm.nih.gov/pmc/articles/PMC10663390/" TargetMode="External"/><Relationship Id="rIdgspakwp1qfentfjvyzty5" Type="http://schemas.openxmlformats.org/officeDocument/2006/relationships/hyperlink" Target="https://meetings.asco.org/abstracts-presentations/247656" TargetMode="External"/><Relationship Id="rIdul2eciutnbgv7ujwojggg" Type="http://schemas.openxmlformats.org/officeDocument/2006/relationships/hyperlink" Target="https://meetings.asco.org/abstracts-presentations/255564" TargetMode="External"/><Relationship Id="rIdy9jr0bzcoynngb0otf66m" Type="http://schemas.openxmlformats.org/officeDocument/2006/relationships/hyperlink" Target="https://pubmed.ncbi.nlm.nih.gov/37760542" TargetMode="External"/><Relationship Id="rIdk14r2uu5xunnsalzz-so1" Type="http://schemas.openxmlformats.org/officeDocument/2006/relationships/hyperlink" Target="https://pubmed.ncbi.nlm.nih.gov/41919430" TargetMode="External"/><Relationship Id="rId27" Type="http://schemas.openxmlformats.org/officeDocument/2006/relationships/fontTable" Target="fontTable.xml"/><Relationship Id="rId28" Type="http://schemas.openxmlformats.org/officeDocument/2006/relationships/hyperlink" Target="https://doi.org/10.1097/HEP.0000000000001644" TargetMode="External"/><Relationship Id="rId29" Type="http://schemas.openxmlformats.org/officeDocument/2006/relationships/hyperlink" Target="https://libkey.io/libraries/480/10.1097/HEP.0000000000001644" TargetMode="External"/><Relationship Id="rId30" Type="http://schemas.openxmlformats.org/officeDocument/2006/relationships/hyperlink" Target="https://doi.org/10.3389/fonc.2026.1866870" TargetMode="External"/><Relationship Id="rId31" Type="http://schemas.openxmlformats.org/officeDocument/2006/relationships/hyperlink" Target="https://libkey.io/libraries/480/10.3389/fonc.2026.1866870" TargetMode="External"/><Relationship Id="rId32" Type="http://schemas.openxmlformats.org/officeDocument/2006/relationships/hyperlink" Target="https://doi.org/10.1111/j.1600-6143.2011.03972.x" TargetMode="External"/><Relationship Id="rId33" Type="http://schemas.openxmlformats.org/officeDocument/2006/relationships/hyperlink" Target="https://libkey.io/libraries/480/10.1111/j.1600-6143.2011.03972.x" TargetMode="External"/><Relationship Id="rId34" Type="http://schemas.openxmlformats.org/officeDocument/2006/relationships/hyperlink" Target="https://doi.org/10.1111/ajt.14055" TargetMode="External"/><Relationship Id="rId35" Type="http://schemas.openxmlformats.org/officeDocument/2006/relationships/hyperlink" Target="https://libkey.io/libraries/480/10.1111/ajt.14055" TargetMode="External"/><Relationship Id="rId36" Type="http://schemas.openxmlformats.org/officeDocument/2006/relationships/hyperlink" Target="https://doi.org/10.1097/LVT.0000000000000303" TargetMode="External"/><Relationship Id="rId37" Type="http://schemas.openxmlformats.org/officeDocument/2006/relationships/hyperlink" Target="https://libkey.io/libraries/480/10.1097/LVT.0000000000000303" TargetMode="External"/><Relationship Id="rId38" Type="http://schemas.openxmlformats.org/officeDocument/2006/relationships/hyperlink" Target="https://doi.org/10.1002/jhbp.12121" TargetMode="External"/><Relationship Id="rId39" Type="http://schemas.openxmlformats.org/officeDocument/2006/relationships/hyperlink" Target="https://libkey.io/libraries/480/10.1002/jhbp.12121" TargetMode="External"/><Relationship Id="rId40" Type="http://schemas.openxmlformats.org/officeDocument/2006/relationships/hyperlink" Target="https://pmc.ncbi.nlm.nih.gov/articles/PMC9085963/" TargetMode="External"/><Relationship Id="rId41" Type="http://schemas.openxmlformats.org/officeDocument/2006/relationships/hyperlink" Target="https://libkey.io/libraries/480/10.1016/j.hpb.2021.11.001" TargetMode="External"/><Relationship Id="rId42" Type="http://schemas.openxmlformats.org/officeDocument/2006/relationships/hyperlink" Target="https://pmc.ncbi.nlm.nih.gov/articles/PMC6002861/" TargetMode="External"/><Relationship Id="rId43" Type="http://schemas.openxmlformats.org/officeDocument/2006/relationships/hyperlink" Target="https://libkey.io/libraries/480/10.1097/SLA.0000000000002574" TargetMode="External"/><Relationship Id="rId44" Type="http://schemas.openxmlformats.org/officeDocument/2006/relationships/hyperlink" Target="https://onlinelibrary.wiley.com/doi/full/10.1002/hep.25629" TargetMode="External"/><Relationship Id="rId45" Type="http://schemas.openxmlformats.org/officeDocument/2006/relationships/hyperlink" Target="https://libkey.io/libraries/480/10.1002/hep.25629" TargetMode="External"/><Relationship Id="rId46" Type="http://schemas.openxmlformats.org/officeDocument/2006/relationships/hyperlink" Target="https://link.springer.com/article/10.1245/s10434-020-08258-3" TargetMode="External"/><Relationship Id="rId47" Type="http://schemas.openxmlformats.org/officeDocument/2006/relationships/hyperlink" Target="https://libkey.io/libraries/480/10.1245/s10434-020-08258-3" TargetMode="External"/><Relationship Id="rId48" Type="http://schemas.openxmlformats.org/officeDocument/2006/relationships/hyperlink" Target="https://link.springer.com/article/10.1245/s10434-020-09001-8" TargetMode="External"/><Relationship Id="rId49" Type="http://schemas.openxmlformats.org/officeDocument/2006/relationships/hyperlink" Target="https://libkey.io/libraries/480/10.1245/s10434-020-09001-8" TargetMode="External"/><Relationship Id="rId50" Type="http://schemas.openxmlformats.org/officeDocument/2006/relationships/hyperlink" Target="https://jamanetwork.com/journals/jamasurgery/fullarticle/10.1001/jamasurg.2023.6083?utm_source=openevidence&amp;utm_medium=referral" TargetMode="External"/><Relationship Id="rId51" Type="http://schemas.openxmlformats.org/officeDocument/2006/relationships/hyperlink" Target="https://libkey.io/libraries/480/10.1001/jamasurg.2023.6083" TargetMode="External"/><Relationship Id="rId52" Type="http://schemas.openxmlformats.org/officeDocument/2006/relationships/hyperlink" Target="https://onlinelibrary.wiley.com/doi/10.1002/jso.27511" TargetMode="External"/><Relationship Id="rId53" Type="http://schemas.openxmlformats.org/officeDocument/2006/relationships/hyperlink" Target="https://libkey.io/libraries/480/10.1002/jso.27511" TargetMode="External"/><Relationship Id="rId54" Type="http://schemas.openxmlformats.org/officeDocument/2006/relationships/hyperlink" Target="https://pubmed.ncbi.nlm.nih.gov/39939239" TargetMode="External"/><Relationship Id="rId55" Type="http://schemas.openxmlformats.org/officeDocument/2006/relationships/hyperlink" Target="https://libkey.io/libraries/480/10.1016/j.transproceed.2025.02.001" TargetMode="External"/><Relationship Id="rId56" Type="http://schemas.openxmlformats.org/officeDocument/2006/relationships/hyperlink" Target="https://onlinelibrary.wiley.com/doi/10.1111/ctr.13023" TargetMode="External"/><Relationship Id="rId57" Type="http://schemas.openxmlformats.org/officeDocument/2006/relationships/hyperlink" Target="https://libkey.io/libraries/480/10.1111/ctr.13023" TargetMode="External"/><Relationship Id="rId58" Type="http://schemas.openxmlformats.org/officeDocument/2006/relationships/hyperlink" Target="https://onlinelibrary.wiley.com/doi/10.1111/ctr.70547" TargetMode="External"/><Relationship Id="rId59" Type="http://schemas.openxmlformats.org/officeDocument/2006/relationships/hyperlink" Target="https://libkey.io/libraries/480/10.1111/ctr.70547" TargetMode="External"/><Relationship Id="rId60" Type="http://schemas.openxmlformats.org/officeDocument/2006/relationships/hyperlink" Target="https://www.nccn.org/professionals/physician_gls/pdf/btc.pdf#page=23" TargetMode="External"/><Relationship Id="rId61" Type="http://schemas.openxmlformats.org/officeDocument/2006/relationships/hyperlink" Target="https://drliuhao.github.io/mh-liver-pathways/evidence/2026-10-25/" TargetMode="External"/><Relationship Id="rId62" Type="http://schemas.openxmlformats.org/officeDocument/2006/relationships/hyperlink" Target="https://doi.org/10.1097/lvt.0000000000000715" TargetMode="External"/><Relationship Id="rId63" Type="http://schemas.openxmlformats.org/officeDocument/2006/relationships/hyperlink" Target="https://libkey.io/libraries/480/10.1097/lvt.0000000000000715" TargetMode="External"/><Relationship Id="rId64" Type="http://schemas.openxmlformats.org/officeDocument/2006/relationships/hyperlink" Target="https://doi.org/10.1002/hep.32771" TargetMode="External"/><Relationship Id="rId65" Type="http://schemas.openxmlformats.org/officeDocument/2006/relationships/hyperlink" Target="https://libkey.io/libraries/480/10.1002/hep.32771" TargetMode="External"/><Relationship Id="rId66" Type="http://schemas.openxmlformats.org/officeDocument/2006/relationships/hyperlink" Target="https://pubmed.ncbi.nlm.nih.gov/32671802" TargetMode="External"/><Relationship Id="rId67" Type="http://schemas.openxmlformats.org/officeDocument/2006/relationships/hyperlink" Target="https://libkey.io/libraries/480/10.1007/s11605-020-04721-4" TargetMode="External"/><Relationship Id="rId68" Type="http://schemas.openxmlformats.org/officeDocument/2006/relationships/hyperlink" Target="https://onlinelibrary.wiley.com/doi/10.1002/jso.24833" TargetMode="External"/><Relationship Id="rId69" Type="http://schemas.openxmlformats.org/officeDocument/2006/relationships/hyperlink" Target="https://libkey.io/libraries/480/10.1002/jso.24833" TargetMode="External"/><Relationship Id="rId70" Type="http://schemas.openxmlformats.org/officeDocument/2006/relationships/hyperlink" Target="https://drliuhao.github.io/mh-liver-pathways/evidence/2026-10-25/" TargetMode="External"/><Relationship Id="rId71" Type="http://schemas.openxmlformats.org/officeDocument/2006/relationships/hyperlink" Target="https://drliuhao.github.io/mh-liver-pathways/evidence/2026-10-25/" TargetMode="External"/><Relationship Id="rId72" Type="http://schemas.openxmlformats.org/officeDocument/2006/relationships/hyperlink" Target="https://drliuhao.github.io/mh-liver-pathways/evidence/2026-10-25/" TargetMode="External"/><Relationship Id="rId73" Type="http://schemas.openxmlformats.org/officeDocument/2006/relationships/hyperlink" Target="https://www.hrsa.gov/sites/default/files/hrsa/optn/optn_policies.pdf" TargetMode="External"/><Relationship Id="rId74" Type="http://schemas.openxmlformats.org/officeDocument/2006/relationships/hyperlink" Target="https://drliuhao.github.io/mh-liver-pathways/evidence/2026-10-25/" TargetMode="External"/><Relationship Id="rId75" Type="http://schemas.openxmlformats.org/officeDocument/2006/relationships/hyperlink" Target="https://www.hrsa.gov/sites/default/files/hrsa/optn/adult-meld-exception-transplant-oncology-review-guidance.pdf" TargetMode="External"/><Relationship Id="rId76" Type="http://schemas.openxmlformats.org/officeDocument/2006/relationships/hyperlink" Target="https://drliuhao.github.io/mh-liver-pathways/evidence/2026-10-25/" TargetMode="External"/><Relationship Id="rId77" Type="http://schemas.openxmlformats.org/officeDocument/2006/relationships/hyperlink" Target="https://www.nccn.org/professionals/physician_gls/pdf/btc.pdf#page=23" TargetMode="External"/><Relationship Id="rId78" Type="http://schemas.openxmlformats.org/officeDocument/2006/relationships/hyperlink" Target="https://drliuhao.github.io/mh-liver-pathways/evidence/2026-10-25/" TargetMode="External"/><Relationship Id="rId79" Type="http://schemas.openxmlformats.org/officeDocument/2006/relationships/hyperlink" Target="https://onlinelibrary.wiley.com/doi/full/10.1002/hep.25629" TargetMode="External"/><Relationship Id="rId80" Type="http://schemas.openxmlformats.org/officeDocument/2006/relationships/hyperlink" Target="https://libkey.io/libraries/480/10.1002/hep.25629" TargetMode="External"/><Relationship Id="rId81" Type="http://schemas.openxmlformats.org/officeDocument/2006/relationships/hyperlink" Target="https://pmc.ncbi.nlm.nih.gov/articles/PMC6002861/" TargetMode="External"/><Relationship Id="rId82" Type="http://schemas.openxmlformats.org/officeDocument/2006/relationships/hyperlink" Target="https://libkey.io/libraries/480/10.1097/SLA.0000000000002574" TargetMode="External"/><Relationship Id="rId83" Type="http://schemas.openxmlformats.org/officeDocument/2006/relationships/hyperlink" Target="https://link.springer.com/article/10.1245/s10434-020-08258-3" TargetMode="External"/><Relationship Id="rId84" Type="http://schemas.openxmlformats.org/officeDocument/2006/relationships/hyperlink" Target="https://libkey.io/libraries/480/10.1245/s10434-020-08258-3" TargetMode="External"/><Relationship Id="rId85" Type="http://schemas.openxmlformats.org/officeDocument/2006/relationships/hyperlink" Target="https://doi.org/10.1002/hep.32771" TargetMode="External"/><Relationship Id="rId86" Type="http://schemas.openxmlformats.org/officeDocument/2006/relationships/hyperlink" Target="https://libkey.io/libraries/480/10.1002/hep.32771" TargetMode="External"/><Relationship Id="rId87" Type="http://schemas.openxmlformats.org/officeDocument/2006/relationships/hyperlink" Target="https://pmc.ncbi.nlm.nih.gov/articles/PMC9085963/" TargetMode="External"/><Relationship Id="rId88" Type="http://schemas.openxmlformats.org/officeDocument/2006/relationships/hyperlink" Target="https://libkey.io/libraries/480/10.1016/j.hpb.2021.11.001" TargetMode="External"/><Relationship Id="rId89" Type="http://schemas.openxmlformats.org/officeDocument/2006/relationships/hyperlink" Target="https://doi.org/10.1097/HEP.0000000000001644" TargetMode="External"/><Relationship Id="rId90" Type="http://schemas.openxmlformats.org/officeDocument/2006/relationships/hyperlink" Target="https://libkey.io/libraries/480/10.1097/HEP.0000000000001644" TargetMode="External"/><Relationship Id="rId91" Type="http://schemas.openxmlformats.org/officeDocument/2006/relationships/hyperlink" Target="https://pubmed.ncbi.nlm.nih.gov/32671802" TargetMode="External"/><Relationship Id="rId92" Type="http://schemas.openxmlformats.org/officeDocument/2006/relationships/hyperlink" Target="https://libkey.io/libraries/480/10.1007/s11605-020-04721-4" TargetMode="External"/><Relationship Id="rId93" Type="http://schemas.openxmlformats.org/officeDocument/2006/relationships/hyperlink" Target="https://onlinelibrary.wiley.com/doi/10.1002/jso.27511" TargetMode="External"/><Relationship Id="rId94" Type="http://schemas.openxmlformats.org/officeDocument/2006/relationships/hyperlink" Target="https://libkey.io/libraries/480/10.1002/jso.27511" TargetMode="External"/><Relationship Id="rId95" Type="http://schemas.openxmlformats.org/officeDocument/2006/relationships/hyperlink" Target="https://jamanetwork.com/journals/jamasurgery/fullarticle/10.1001/jamasurg.2023.6083?utm_source=openevidence&amp;utm_medium=referral" TargetMode="External"/><Relationship Id="rId96" Type="http://schemas.openxmlformats.org/officeDocument/2006/relationships/hyperlink" Target="https://libkey.io/libraries/480/10.1001/jamasurg.2023.6083" TargetMode="External"/><Relationship Id="rId97" Type="http://schemas.openxmlformats.org/officeDocument/2006/relationships/hyperlink" Target="https://doi.org/10.1097/HEP.0000000000001449" TargetMode="External"/><Relationship Id="rId98" Type="http://schemas.openxmlformats.org/officeDocument/2006/relationships/hyperlink" Target="https://libkey.io/libraries/480/10.1097/HEP.0000000000001449" TargetMode="External"/><Relationship Id="rId99" Type="http://schemas.openxmlformats.org/officeDocument/2006/relationships/hyperlink" Target="https://doi.org/10.1016/S2468-1253(18)30045-1" TargetMode="External"/><Relationship Id="rId100" Type="http://schemas.openxmlformats.org/officeDocument/2006/relationships/hyperlink" Target="https://libkey.io/libraries/480/10.1016/S2468-1253(18)30045-1" TargetMode="External"/><Relationship Id="rId101" Type="http://schemas.openxmlformats.org/officeDocument/2006/relationships/hyperlink" Target="https://onlinelibrary.wiley.com/doi/10.1111/ctr.13023" TargetMode="External"/><Relationship Id="rId102" Type="http://schemas.openxmlformats.org/officeDocument/2006/relationships/hyperlink" Target="https://libkey.io/libraries/480/10.1111/ctr.13023" TargetMode="External"/><Relationship Id="rId103" Type="http://schemas.openxmlformats.org/officeDocument/2006/relationships/hyperlink" Target="https://pubmed.ncbi.nlm.nih.gov/39939239" TargetMode="External"/><Relationship Id="rId104" Type="http://schemas.openxmlformats.org/officeDocument/2006/relationships/hyperlink" Target="https://libkey.io/libraries/480/10.1016/j.transproceed.2025.02.001" TargetMode="External"/><Relationship Id="rId105" Type="http://schemas.openxmlformats.org/officeDocument/2006/relationships/hyperlink" Target="https://dailymed.nlm.nih.gov/dailymed/drugInfo.cfm?setid=e082a024-7850-400b-a5c2-2a140612562a" TargetMode="External"/><Relationship Id="rId106" Type="http://schemas.openxmlformats.org/officeDocument/2006/relationships/hyperlink" Target="https://drliuhao.github.io/mh-liver-pathways/evidence/2026-10-25/" TargetMode="External"/><Relationship Id="rId107" Type="http://schemas.openxmlformats.org/officeDocument/2006/relationships/hyperlink" Target="https://onlinelibrary.wiley.com/doi/10.1111/ctr.70547" TargetMode="External"/><Relationship Id="rId108" Type="http://schemas.openxmlformats.org/officeDocument/2006/relationships/hyperlink" Target="https://libkey.io/libraries/480/10.1111/ctr.70547" TargetMode="External"/><Relationship Id="rId109" Type="http://schemas.openxmlformats.org/officeDocument/2006/relationships/hyperlink" Target="https://doi.org/10.1053/j.gastro.2012.04.008" TargetMode="External"/><Relationship Id="rId110" Type="http://schemas.openxmlformats.org/officeDocument/2006/relationships/hyperlink" Target="https://libkey.io/libraries/480/10.1053/j.gastro.2012.04.008" TargetMode="External"/><Relationship Id="rId111" Type="http://schemas.openxmlformats.org/officeDocument/2006/relationships/hyperlink" Target="https://onlinelibrary.wiley.com/doi/10.1002/jso.24833" TargetMode="External"/><Relationship Id="rId112" Type="http://schemas.openxmlformats.org/officeDocument/2006/relationships/hyperlink" Target="https://libkey.io/libraries/480/10.1002/jso.24833" TargetMode="External"/><Relationship Id="rId113" Type="http://schemas.openxmlformats.org/officeDocument/2006/relationships/hyperlink" Target="https://doi.org/10.1097/lvt.0000000000000715" TargetMode="External"/><Relationship Id="rId114" Type="http://schemas.openxmlformats.org/officeDocument/2006/relationships/hyperlink" Target="https://libkey.io/libraries/480/10.1097/lvt.0000000000000715" TargetMode="External"/><Relationship Id="rId115" Type="http://schemas.openxmlformats.org/officeDocument/2006/relationships/hyperlink" Target="https://doi.org/10.3389/fonc.2026.1866870" TargetMode="External"/><Relationship Id="rId116" Type="http://schemas.openxmlformats.org/officeDocument/2006/relationships/hyperlink" Target="https://libkey.io/libraries/480/10.3389/fonc.2026.1866870" TargetMode="External"/><Relationship Id="rId117" Type="http://schemas.openxmlformats.org/officeDocument/2006/relationships/hyperlink" Target="https://doi.org/10.1111/j.1600-6143.2011.03972.x" TargetMode="External"/><Relationship Id="rId118" Type="http://schemas.openxmlformats.org/officeDocument/2006/relationships/hyperlink" Target="https://libkey.io/libraries/480/10.1111/j.1600-6143.2011.03972.x" TargetMode="External"/><Relationship Id="rId119" Type="http://schemas.openxmlformats.org/officeDocument/2006/relationships/hyperlink" Target="https://doi.org/10.1111/ajt.14055" TargetMode="External"/><Relationship Id="rId120" Type="http://schemas.openxmlformats.org/officeDocument/2006/relationships/hyperlink" Target="https://libkey.io/libraries/480/10.1111/ajt.14055" TargetMode="External"/><Relationship Id="rId121" Type="http://schemas.openxmlformats.org/officeDocument/2006/relationships/hyperlink" Target="https://doi.org/10.1097/LVT.0000000000000303" TargetMode="External"/><Relationship Id="rId122" Type="http://schemas.openxmlformats.org/officeDocument/2006/relationships/hyperlink" Target="https://libkey.io/libraries/480/10.1097/LVT.0000000000000303" TargetMode="External"/><Relationship Id="rId123" Type="http://schemas.openxmlformats.org/officeDocument/2006/relationships/hyperlink" Target="https://doi.org/10.1002/jhbp.12121" TargetMode="External"/><Relationship Id="rId124" Type="http://schemas.openxmlformats.org/officeDocument/2006/relationships/hyperlink" Target="https://libkey.io/libraries/480/10.1002/jhbp.12121" TargetMode="External"/><Relationship Id="rId125" Type="http://schemas.openxmlformats.org/officeDocument/2006/relationships/hyperlink" Target="https://link.springer.com/article/10.1245/s10434-020-09001-8" TargetMode="External"/><Relationship Id="rId126" Type="http://schemas.openxmlformats.org/officeDocument/2006/relationships/hyperlink" Target="https://libkey.io/libraries/480/10.1245/s10434-020-09001-8" TargetMode="External"/><Relationship Id="rId127" Type="http://schemas.openxmlformats.org/officeDocument/2006/relationships/hyperlink" Target="https://drliuhao.github.io/mh-liver-pathways/evidence/2026-10-25/docs/HPB_Cross_Tumor_Systemic_Treatment_Matrix_2026-10-25.docx" TargetMode="External"/><Relationship Id="rId128" Type="http://schemas.openxmlformats.org/officeDocument/2006/relationships/hyperlink" Target="https://doi.org/10.1200/JCO-26-02462" TargetMode="External"/><Relationship Id="rId129" Type="http://schemas.openxmlformats.org/officeDocument/2006/relationships/hyperlink" Target="https://libkey.io/libraries/480/10.1200/JCO-26-02462" TargetMode="External"/><Relationship Id="rId130" Type="http://schemas.openxmlformats.org/officeDocument/2006/relationships/hyperlink" Target="https://doi.org/10.1016/S2468-1253(24)00119-5" TargetMode="External"/><Relationship Id="rId131" Type="http://schemas.openxmlformats.org/officeDocument/2006/relationships/hyperlink" Target="https://libkey.io/libraries/480/10.1016/S2468-1253(24)00119-5" TargetMode="External"/><Relationship Id="rId132" Type="http://schemas.openxmlformats.org/officeDocument/2006/relationships/hyperlink" Target="https://www.hrsa.gov/sites/default/files/hrsa/optn/optn_policies.pdf" TargetMode="External"/><Relationship Id="rId133" Type="http://schemas.openxmlformats.org/officeDocument/2006/relationships/hyperlink" Target="https://drliuhao.github.io/mh-liver-pathways/evidence/2026-10-25/" TargetMode="External"/><Relationship Id="rId134" Type="http://schemas.openxmlformats.org/officeDocument/2006/relationships/hyperlink" Target="https://www.hrsa.gov/sites/default/files/hrsa/optn/adult-meld-exception-transplant-oncology-review-guidance.pdf" TargetMode="External"/><Relationship Id="rId135" Type="http://schemas.openxmlformats.org/officeDocument/2006/relationships/hyperlink" Target="https://drliuhao.github.io/mh-liver-pathways/evidence/2026-10-25/" TargetMode="External"/><Relationship Id="rId136" Type="http://schemas.openxmlformats.org/officeDocument/2006/relationships/hyperlink" Target="https://www.nccn.org/professionals/physician_gls/pdf/btc.pdf#page=16" TargetMode="External"/><Relationship Id="rId137" Type="http://schemas.openxmlformats.org/officeDocument/2006/relationships/hyperlink" Target="https://drliuhao.github.io/mh-liver-pathways/evidence/2026-10-25/" TargetMode="External"/><Relationship Id="rId138" Type="http://schemas.openxmlformats.org/officeDocument/2006/relationships/hyperlink" Target="https://onlinelibrary.wiley.com/doi/full/10.1002/hep.25629" TargetMode="External"/><Relationship Id="rId139" Type="http://schemas.openxmlformats.org/officeDocument/2006/relationships/hyperlink" Target="https://libkey.io/libraries/480/10.1002/hep.25629" TargetMode="External"/><Relationship Id="rId140" Type="http://schemas.openxmlformats.org/officeDocument/2006/relationships/hyperlink" Target="https://pmc.ncbi.nlm.nih.gov/articles/PMC6002861/" TargetMode="External"/><Relationship Id="rId141" Type="http://schemas.openxmlformats.org/officeDocument/2006/relationships/hyperlink" Target="https://libkey.io/libraries/480/10.1097/SLA.0000000000002574" TargetMode="External"/><Relationship Id="rId142" Type="http://schemas.openxmlformats.org/officeDocument/2006/relationships/hyperlink" Target="https://link.springer.com/article/10.1245/s10434-020-08258-3" TargetMode="External"/><Relationship Id="rId143" Type="http://schemas.openxmlformats.org/officeDocument/2006/relationships/hyperlink" Target="https://libkey.io/libraries/480/10.1245/s10434-020-08258-3" TargetMode="External"/><Relationship Id="rId144" Type="http://schemas.openxmlformats.org/officeDocument/2006/relationships/hyperlink" Target="https://doi.org/10.1002/hep.32771" TargetMode="External"/><Relationship Id="rId145" Type="http://schemas.openxmlformats.org/officeDocument/2006/relationships/hyperlink" Target="https://libkey.io/libraries/480/10.1002/hep.32771" TargetMode="External"/><Relationship Id="rId146" Type="http://schemas.openxmlformats.org/officeDocument/2006/relationships/hyperlink" Target="https://pmc.ncbi.nlm.nih.gov/articles/PMC9085963/" TargetMode="External"/><Relationship Id="rId147" Type="http://schemas.openxmlformats.org/officeDocument/2006/relationships/hyperlink" Target="https://libkey.io/libraries/480/10.1016/j.hpb.2021.11.001" TargetMode="External"/><Relationship Id="rId148" Type="http://schemas.openxmlformats.org/officeDocument/2006/relationships/hyperlink" Target="https://doi.org/10.1097/HEP.0000000000001644" TargetMode="External"/><Relationship Id="rId149" Type="http://schemas.openxmlformats.org/officeDocument/2006/relationships/hyperlink" Target="https://libkey.io/libraries/480/10.1097/HEP.0000000000001644" TargetMode="External"/><Relationship Id="rId150" Type="http://schemas.openxmlformats.org/officeDocument/2006/relationships/hyperlink" Target="https://pubmed.ncbi.nlm.nih.gov/32671802" TargetMode="External"/><Relationship Id="rId151" Type="http://schemas.openxmlformats.org/officeDocument/2006/relationships/hyperlink" Target="https://libkey.io/libraries/480/10.1007/s11605-020-04721-4" TargetMode="External"/><Relationship Id="rId152" Type="http://schemas.openxmlformats.org/officeDocument/2006/relationships/hyperlink" Target="https://onlinelibrary.wiley.com/doi/10.1002/jso.27511" TargetMode="External"/><Relationship Id="rId153" Type="http://schemas.openxmlformats.org/officeDocument/2006/relationships/hyperlink" Target="https://libkey.io/libraries/480/10.1002/jso.27511" TargetMode="External"/><Relationship Id="rId154" Type="http://schemas.openxmlformats.org/officeDocument/2006/relationships/hyperlink" Target="https://jamanetwork.com/journals/jamasurgery/fullarticle/10.1001/jamasurg.2023.6083?utm_source=openevidence&amp;utm_medium=referral" TargetMode="External"/><Relationship Id="rId155" Type="http://schemas.openxmlformats.org/officeDocument/2006/relationships/hyperlink" Target="https://libkey.io/libraries/480/10.1001/jamasurg.2023.6083" TargetMode="External"/><Relationship Id="rId156" Type="http://schemas.openxmlformats.org/officeDocument/2006/relationships/hyperlink" Target="https://doi.org/10.1097/HEP.0000000000001449" TargetMode="External"/><Relationship Id="rId157" Type="http://schemas.openxmlformats.org/officeDocument/2006/relationships/hyperlink" Target="https://libkey.io/libraries/480/10.1097/HEP.0000000000001449" TargetMode="External"/><Relationship Id="rId158" Type="http://schemas.openxmlformats.org/officeDocument/2006/relationships/hyperlink" Target="https://doi.org/10.1016/S2468-1253(18)30045-1" TargetMode="External"/><Relationship Id="rId159" Type="http://schemas.openxmlformats.org/officeDocument/2006/relationships/hyperlink" Target="https://libkey.io/libraries/480/10.1016/S2468-1253(18)30045-1" TargetMode="External"/><Relationship Id="rId160" Type="http://schemas.openxmlformats.org/officeDocument/2006/relationships/hyperlink" Target="https://onlinelibrary.wiley.com/doi/10.1111/ctr.13023" TargetMode="External"/><Relationship Id="rId161" Type="http://schemas.openxmlformats.org/officeDocument/2006/relationships/hyperlink" Target="https://libkey.io/libraries/480/10.1111/ctr.13023" TargetMode="External"/><Relationship Id="rId162" Type="http://schemas.openxmlformats.org/officeDocument/2006/relationships/hyperlink" Target="https://pubmed.ncbi.nlm.nih.gov/39939239" TargetMode="External"/><Relationship Id="rId163" Type="http://schemas.openxmlformats.org/officeDocument/2006/relationships/hyperlink" Target="https://libkey.io/libraries/480/10.1016/j.transproceed.2025.02.001" TargetMode="External"/><Relationship Id="rId164" Type="http://schemas.openxmlformats.org/officeDocument/2006/relationships/hyperlink" Target="https://dailymed.nlm.nih.gov/dailymed/drugInfo.cfm?setid=e082a024-7850-400b-a5c2-2a140612562a" TargetMode="External"/><Relationship Id="rId165" Type="http://schemas.openxmlformats.org/officeDocument/2006/relationships/hyperlink" Target="https://drliuhao.github.io/mh-liver-pathways/evidence/2026-10-25/" TargetMode="External"/><Relationship Id="rId166" Type="http://schemas.openxmlformats.org/officeDocument/2006/relationships/hyperlink" Target="https://onlinelibrary.wiley.com/doi/10.1111/ctr.70547" TargetMode="External"/><Relationship Id="rId167" Type="http://schemas.openxmlformats.org/officeDocument/2006/relationships/hyperlink" Target="https://libkey.io/libraries/480/10.1111/ctr.70547" TargetMode="External"/><Relationship Id="rId168" Type="http://schemas.openxmlformats.org/officeDocument/2006/relationships/hyperlink" Target="https://doi.org/10.1053/j.gastro.2012.04.008" TargetMode="External"/><Relationship Id="rId169" Type="http://schemas.openxmlformats.org/officeDocument/2006/relationships/hyperlink" Target="https://libkey.io/libraries/480/10.1053/j.gastro.2012.04.008" TargetMode="External"/><Relationship Id="rId170" Type="http://schemas.openxmlformats.org/officeDocument/2006/relationships/hyperlink" Target="https://onlinelibrary.wiley.com/doi/10.1002/jso.24833" TargetMode="External"/><Relationship Id="rId171" Type="http://schemas.openxmlformats.org/officeDocument/2006/relationships/hyperlink" Target="https://libkey.io/libraries/480/10.1002/jso.24833" TargetMode="External"/><Relationship Id="rId172" Type="http://schemas.openxmlformats.org/officeDocument/2006/relationships/hyperlink" Target="https://doi.org/10.1097/lvt.0000000000000715" TargetMode="External"/><Relationship Id="rId173" Type="http://schemas.openxmlformats.org/officeDocument/2006/relationships/hyperlink" Target="https://libkey.io/libraries/480/10.1097/lvt.0000000000000715" TargetMode="External"/><Relationship Id="rId174" Type="http://schemas.openxmlformats.org/officeDocument/2006/relationships/hyperlink" Target="https://doi.org/10.3389/fonc.2026.1866870" TargetMode="External"/><Relationship Id="rId175" Type="http://schemas.openxmlformats.org/officeDocument/2006/relationships/hyperlink" Target="https://libkey.io/libraries/480/10.3389/fonc.2026.1866870" TargetMode="External"/><Relationship Id="rId176" Type="http://schemas.openxmlformats.org/officeDocument/2006/relationships/hyperlink" Target="https://doi.org/10.1111/j.1600-6143.2011.03972.x" TargetMode="External"/><Relationship Id="rId177" Type="http://schemas.openxmlformats.org/officeDocument/2006/relationships/hyperlink" Target="https://libkey.io/libraries/480/10.1111/j.1600-6143.2011.03972.x" TargetMode="External"/><Relationship Id="rId178" Type="http://schemas.openxmlformats.org/officeDocument/2006/relationships/hyperlink" Target="https://doi.org/10.1111/ajt.14055" TargetMode="External"/><Relationship Id="rId179" Type="http://schemas.openxmlformats.org/officeDocument/2006/relationships/hyperlink" Target="https://libkey.io/libraries/480/10.1111/ajt.14055" TargetMode="External"/><Relationship Id="rId180" Type="http://schemas.openxmlformats.org/officeDocument/2006/relationships/hyperlink" Target="https://doi.org/10.1097/LVT.0000000000000303" TargetMode="External"/><Relationship Id="rId181" Type="http://schemas.openxmlformats.org/officeDocument/2006/relationships/hyperlink" Target="https://libkey.io/libraries/480/10.1097/LVT.0000000000000303" TargetMode="External"/><Relationship Id="rId182" Type="http://schemas.openxmlformats.org/officeDocument/2006/relationships/hyperlink" Target="https://doi.org/10.1002/jhbp.12121" TargetMode="External"/><Relationship Id="rId183" Type="http://schemas.openxmlformats.org/officeDocument/2006/relationships/hyperlink" Target="https://libkey.io/libraries/480/10.1002/jhbp.12121" TargetMode="External"/><Relationship Id="rId184" Type="http://schemas.openxmlformats.org/officeDocument/2006/relationships/hyperlink" Target="https://link.springer.com/article/10.1245/s10434-020-09001-8" TargetMode="External"/><Relationship Id="rId185" Type="http://schemas.openxmlformats.org/officeDocument/2006/relationships/hyperlink" Target="https://libkey.io/libraries/480/10.1245/s10434-020-09001-8" TargetMode="External"/><Relationship Id="rId186" Type="http://schemas.openxmlformats.org/officeDocument/2006/relationships/hyperlink" Target="https://doi.org/10.1200/JCO-26-02462" TargetMode="External"/><Relationship Id="rId187" Type="http://schemas.openxmlformats.org/officeDocument/2006/relationships/hyperlink" Target="https://libkey.io/libraries/480/10.1200/JCO-26-02462" TargetMode="External"/><Relationship Id="rId188" Type="http://schemas.openxmlformats.org/officeDocument/2006/relationships/hyperlink" Target="https://doi.org/10.1016/S2468-1253(24)00119-5" TargetMode="External"/><Relationship Id="rId189" Type="http://schemas.openxmlformats.org/officeDocument/2006/relationships/hyperlink" Target="https://libkey.io/libraries/480/10.1016/S2468-1253(24)00119-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2026-07-15T23:24:36.929Z</dcterms:created>
  <dcterms:modified xsi:type="dcterms:W3CDTF">2026-10-25T09:38:04Z</dcterms:modified>
  <dc:title>UTHealth Houston / Memorial Hermann — Perihilar cholangiocarcinoma Standard / Guidance-Aligned Transplant Protocol V8</dc:title>
  <dc:subject>OPTN Policy 9.5.A standardized exception pathway</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