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rPr>
          <w:color w:val="A8470A"/>
        </w:rPr>
        <w:pStyle w:val="Heading1"/>
        <w:keepNext/>
        <w:widowControl/>
      </w:pPr>
      <w:r>
        <w:rPr>
          <w:color w:val="A8470A"/>
        </w:rPr>
        <w:t xml:space="preserve">UTHealth Houston and Memorial Hermann High Risk Liver Transplant Protocol for Colorectal Liver Metastases</w:t>
      </w:r>
    </w:p>
    <w:p>
      <w:pPr>
        <w:pStyle w:val="Normal"/>
        <w:widowControl/>
      </w:pPr>
      <w:r>
        <w:t xml:space="preserve">Distinguish a TransMet-like clinical population and current US nonstandard-exception guidance from specific proposed expansions. The central clinical requirement is persistent inability to achieve durable complete clearance by nontransplant treatment, not simply lesion number or an abnormal biomarker.</w:t>
      </w:r>
    </w:p>
    <w:p>
      <w:pPr>
        <w:pStyle w:val="Normal"/>
        <w:widowControl/>
      </w:pPr>
      <w:r>
        <w:t xml:space="preserve">Version 12  |  Revised 2026-10-25 04:54 CDT  |  Institutional approval pending</w:t>
      </w:r>
    </w:p>
    <w:p>
      <w:pPr>
        <w:rPr>
          <w:color w:val="A8470A"/>
        </w:rPr>
        <w:pStyle w:val="Heading2"/>
        <w:keepNext/>
        <w:widowControl/>
      </w:pPr>
      <w:r>
        <w:rPr>
          <w:color w:val="A8470A"/>
        </w:rP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2MWYzZmVmMC03NGY1LTUzMDAtYjBlMC1jZGIwMDRlMjRlMDIiIHRpbWVzdGFtcD0iMTc5MjkyMTA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2MWYzZmVmMC03NGY1LTUzMDAtYjBlMC1jZGIwMDRlMjRlMDI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rPr>
          <w:color w:val="A8470A"/>
        </w:rPr>
        <w:pStyle w:val="Heading2"/>
        <w:keepNext/>
        <w:widowControl/>
      </w:pPr>
      <w:r>
        <w:rPr>
          <w:color w:val="A8470A"/>
        </w:rPr>
        <w:t xml:space="preserve">1 Purpose and evidence basis</w:t>
      </w:r>
    </w:p>
    <w:p>
      <w:pPr>
        <w:pStyle w:val="Normal"/>
        <w:widowControl/>
      </w:pPr>
      <w:r>
        <w:t xml:space="preserve">TransMet randomized 94 patients, 47 per arm. Five-year intention-to-treat OS from randomization was 56.6% with LT plus chemotherapy versus 12.6% with chemotherapy alone, HR 0.37 (95% CI 0.21–0.65). Thirty-eight assigned to LT received a graft, 36 were in the LT per-protocol analysis, and two control crossovers produced a 40-recipient safety population. These denominators must remain separate.</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NjFmM2ZlZjAtNzRmNS01MzAwLWIwZTAtY2RiMDA0ZTI0ZTAy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pPr>
      <w:r>
        <w:t xml:space="preserve">Recurrence affected 26/36 per-protocol recipients. Serious adverse events affected 32/40 safety-population recipients and three required retransplantation. Median time to LT after randomization was approximately 50.5 days; accelerated access was part of the trial strategy. A center with different access cannot assume identical outcomes. Recurrence salvage may prolong survival but does not make recurrence harmless or uniformly curable.</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NjFmM2ZlZjAtNzRmNS01MzAwLWIwZTAtY2RiMDA0ZTI0ZTAy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pPr>
      <w:r>
        <w:t xml:space="preserve">The former high-risk protocol relied on a conference abstract for multiple selection rules. It no longer accepts R1 margins, BRAF non-V600E mutation, unrestricted chemotherapy lines, MTV at or below 70 cm3, ctDNA clearance or 12–18 treatment cycles as validated transplant gates. Any expansion requires its own rationale and prospective rule.</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NjFmM2ZlZjAtNzRmNS01MzAwLWIwZTAtY2RiMDA0ZTI0ZTAy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yLTRdPC9EaXNwbGF5VGV4dD48cmVjb3JkPjxyZWMtbnVtYmVyPjQ8L3JlYy1udW1iZXI+PGZvcmVpZ24ta2V5cz48a2V5IGFwcD0iRU4iIGRiLWlkPSI2MWYzZmVmMC03NGY1LTUzMDAtYjBlMC1jZGIwMDRlMjRlMDIiIHRpbWVzdGFtcD0iMTc5MjkyMTA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Q29tcGxldGUgbG9jYWwgcHJpbWFyeSBQREYgYXZhaWxhYmxlOyByZWxldmFudCBtZXRob2RzLCBzZWxlY3Rpb24sIHJlc3VsdHMgYW5kIGxpbWl0YXRpb25zIHJldmlld2VkIFNlbGVjdGlvbiwgYmlvbG9naWNhbCBwcm9nbm9zaXMgYW5kIHRlY2huaWNhbCByZXNlY3RhYmlsaXR5IGhhdmUgZGlzdGluY3Qgcm9sZXMuIEFuIGV4cGVydCByZWNvbW1lbmRhdGlvbiBpcyBub3QgYSBuYXRpb25hbCBhbGxvY2F0aW9uIHJ1bGUuPC9ub3Rlcz48dXJscz48cmVsYXRlZC11cmxzPjx1cmw+aHR0cHM6Ly9kb2kub3JnLzEwLjEwMTYvUzI0NjgtMTI1MygyMSkwMDIxOS0z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p>
    <w:p>
      <w:pPr>
        <w:rPr>
          <w:color w:val="A8470A"/>
        </w:rPr>
        <w:pStyle w:val="Heading2"/>
        <w:keepNext/>
        <w:widowControl/>
      </w:pPr>
      <w:r>
        <w:rPr>
          <w:color w:val="A8470A"/>
        </w:rPr>
        <w:t xml:space="preserve">2 Patient selection and workup</w:t>
      </w:r>
    </w:p>
    <w:p>
      <w:pPr>
        <w:rPr>
          <w:color w:val="A8470A"/>
        </w:rPr>
        <w:pStyle w:val="Heading3"/>
        <w:keepNext/>
        <w:widowControl/>
      </w:pPr>
      <w:r>
        <w:rPr>
          <w:color w:val="A8470A"/>
        </w:rPr>
        <w:t xml:space="preserve">2.1 Confirm the primary and original disease</w:t>
      </w:r>
    </w:p>
    <w:p>
      <w:pPr>
        <w:pStyle w:val="Normal"/>
        <w:widowControl/>
        <w:numPr>
          <w:ilvl w:val="0"/>
          <w:numId w:val="3"/>
        </w:numPr>
      </w:pPr>
      <w:r>
        <w:t xml:space="preserve">Obtain colorectal primary pathology, operative/margin and nodal reports, all prior liver-resection/ablation reports and the pretreatment lesion map. Confirm adenocarcinoma and document RAS/BRAF and mismatch-repair/microsatellite status.</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2MWYzZmVmMC03NGY1LTUzMDAtYjBlMC1jZGIwMDRlMjRlMDI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yLTRdPC9EaXNwbGF5VGV4dD48cmVjb3JkPjxyZWMtbnVtYmVyPjQ8L3JlYy1udW1iZXI+PGZvcmVpZ24ta2V5cz48a2V5IGFwcD0iRU4iIGRiLWlkPSI2MWYzZmVmMC03NGY1LTUzMDAtYjBlMC1jZGIwMDRlMjRlMDIiIHRpbWVzdGFtcD0iMTc5MjkyMTA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Q29tcGxldGUgbG9jYWwgcHJpbWFyeSBQREYgYXZhaWxhYmxlOyByZWxldmFudCBtZXRob2RzLCBzZWxlY3Rpb24sIHJlc3VsdHMgYW5kIGxpbWl0YXRpb25zIHJldmlld2VkIFNlbGVjdGlvbiwgYmlvbG9naWNhbCBwcm9nbm9zaXMgYW5kIHRlY2huaWNhbCByZXNlY3RhYmlsaXR5IGhhdmUgZGlzdGluY3Qgcm9sZXMuIEFuIGV4cGVydCByZWNvbW1lbmRhdGlvbiBpcyBub3QgYSBuYXRpb25hbCBhbGxvY2F0aW9uIHJ1bGUuPC9ub3Rlcz48dXJscz48cmVsYXRlZC11cmxzPjx1cmw+aHR0cHM6Ly9kb2kub3JnLzEwLjEwMTYvUzI0NjgtMTI1MygyMSkwMDIxOS0z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Order or review chest/abdomen/pelvis CT, high-quality liver MRI when needed for lesion mapping, CEA with units/date, colonoscopy status and PET according to the intended selection/allocation pathway. Review ECOG, frailty, cardiopulmonary risk, renal function and chemotherapy-related marrow or liver injury.</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2MWYzZmVmMC03NGY1LTUzMDAtYjBlMC1jZGIwMDRlMjRlMDI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U8L1JlY051bT48RGlzcGxheVRleHQ+W1YxMi01XTwvRGlzcGxheVRleHQ+PHJlY29yZD48cmVjLW51bWJlcj41PC9yZWMtbnVtYmVyPjxmb3JlaWduLWtleXM+PGtleSBhcHA9IkVOIiBkYi1pZD0iNjFmM2ZlZjAtNzRmNS01MzAwLWIwZTAtY2RiMDA0ZTI0ZTAyIiB0aW1lc3RhbXA9IjE3OTI5MjEwODYiPjU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[V12-5]</w:t>
      </w:r>
      <w:r>
        <w:fldChar w:fldCharType="end"/>
      </w:r>
    </w:p>
    <w:p>
      <w:pPr>
        <w:pStyle w:val="Normal"/>
        <w:widowControl/>
        <w:numPr>
          <w:ilvl w:val="0"/>
          <w:numId w:val="3"/>
        </w:numPr>
      </w:pPr>
      <w:r>
        <w:t xml:space="preserve">Age and performance limits used in a particular trial are not universal national rules. Fitness or age expansions still need explicit benefit/risk assessment; do not open ECOG 2 or heavily pretreated cohorts simply because they were listed in an abstract.</w:t>
      </w:r>
    </w:p>
    <w:p>
      <w:pPr>
        <w:rPr>
          <w:color w:val="A8470A"/>
        </w:rPr>
        <w:pStyle w:val="Heading3"/>
        <w:keepNext/>
        <w:widowControl/>
      </w:pPr>
      <w:r>
        <w:rPr>
          <w:color w:val="A8470A"/>
        </w:rPr>
        <w:t xml:space="preserve">2.2 Certify persistent unresectability</w:t>
      </w:r>
    </w:p>
    <w:p>
      <w:pPr>
        <w:pStyle w:val="Normal"/>
        <w:widowControl/>
        <w:numPr>
          <w:ilvl w:val="0"/>
          <w:numId w:val="3"/>
        </w:numPr>
      </w:pPr>
      <w:r>
        <w:t xml:space="preserve">HPB surgery, radiology and an ablation/HAI-capable team must review a lesion-by-lesion map. For every baseline site, record current visibility, suspected viability, prior resection/ablation, vascular relationship and whether complete clearance is possible. Record future remnant volume/function and the specific reason a one-stage, staged, hypertrophy-assisted or combined resection/ablation approach cannot provide durable clearance.</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yLTRdPC9EaXNwbGF5VGV4dD48cmVjb3JkPjxyZWMtbnVtYmVyPjQ8L3JlYy1udW1iZXI+PGZvcmVpZ24ta2V5cz48a2V5IGFwcD0iRU4iIGRiLWlkPSI2MWYzZmVmMC03NGY1LTUzMDAtYjBlMC1jZGIwMDRlMjRlMDIiIHRpbWVzdGFtcD0iMTc5MjkyMTA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Q29tcGxldGUgbG9jYWwgcHJpbWFyeSBQREYgYXZhaWxhYmxlOyByZWxldmFudCBtZXRob2RzLCBzZWxlY3Rpb24sIHJlc3VsdHMgYW5kIGxpbWl0YXRpb25zIHJldmlld2VkIFNlbGVjdGlvbiwgYmlvbG9naWNhbCBwcm9nbm9zaXMgYW5kIHRlY2huaWNhbCByZXNlY3RhYmlsaXR5IGhhdmUgZGlzdGluY3Qgcm9sZXMuIEFuIGV4cGVydCByZWNvbW1lbmRhdGlvbiBpcyBub3QgYSBuYXRpb25hbCBhbGxvY2F0aW9uIHJ1bGUuPC9ub3Rlcz48dXJscz48cmVsYXRlZC11cmxzPjx1cmw+aHR0cHM6Ly9kb2kub3JnLzEwLjEwMTYvUzI0NjgtMTI1MygyMSkwMDIxOS0z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Mi02XTwvRGlzcGxheVRleHQ+PHJlY29yZD48cmVjLW51bWJlcj42PC9yZWMtbnVtYmVyPjxmb3JlaWduLWtleXM+PGtleSBhcHA9IkVOIiBkYi1pZD0iNjFmM2ZlZjAtNzRmNS01MzAwLWIwZTAtY2RiMDA0ZTI0ZTAyIiB0aW1lc3RhbXA9IjE3OTI5MjEwODY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[V12-6]</w:t>
      </w:r>
      <w:r>
        <w:fldChar w:fldCharType="end"/>
      </w:r>
    </w:p>
    <w:p>
      <w:pPr>
        <w:pStyle w:val="Normal"/>
        <w:widowControl/>
        <w:numPr>
          <w:ilvl w:val="0"/>
          <w:numId w:val="3"/>
        </w:numPr>
      </w:pPr>
      <w:r>
        <w:t xml:space="preserve">Repeat this assessment after meaningful treatment response and before LT activation. A prior hepatectomy, bilobar distribution, many lesions or KRAS mutation alone does not establish permanent unresectability or automatically force a high-risk pathway.</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2MWYzZmVmMC03NGY1LTUzMDAtYjBlMC1jZGIwMDRlMjRlMDI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yLTRdPC9EaXNwbGF5VGV4dD48cmVjb3JkPjxyZWMtbnVtYmVyPjQ8L3JlYy1udW1iZXI+PGZvcmVpZ24ta2V5cz48a2V5IGFwcD0iRU4iIGRiLWlkPSI2MWYzZmVmMC03NGY1LTUzMDAtYjBlMC1jZGIwMDRlMjRlMDIiIHRpbWVzdGFtcD0iMTc5MjkyMTA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Q29tcGxldGUgbG9jYWwgcHJpbWFyeSBQREYgYXZhaWxhYmxlOyByZWxldmFudCBtZXRob2RzLCBzZWxlY3Rpb24sIHJlc3VsdHMgYW5kIGxpbWl0YXRpb25zIHJldmlld2VkIFNlbGVjdGlvbiwgYmlvbG9naWNhbCBwcm9nbm9zaXMgYW5kIHRlY2huaWNhbCByZXNlY3RhYmlsaXR5IGhhdmUgZGlzdGluY3Qgcm9sZXMuIEFuIGV4cGVydCByZWNvbW1lbmRhdGlvbiBpcyBub3QgYSBuYXRpb25hbCBhbGxvY2F0aW9uIHJ1bGUuPC9ub3Rlcz48dXJscz48cmVsYXRlZC11cmxzPjx1cmw+aHR0cHM6Ly9kb2kub3JnLzEwLjEwMTYvUzI0NjgtMTI1MygyMSkwMDIxOS0z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p>
    <w:p>
      <w:pPr>
        <w:pStyle w:val="Normal"/>
        <w:widowControl/>
      </w:pPr>
      <w:r>
        <w:t xml:space="preserve">In an HAI cohort, 23 of 483 patients met modified transplant-selection criteria and 18 underwent resection. Five-year OS was approximately 53% from HAI initiation. This supports renewed conversion review, not equivalence with LT or a requirement that every patient receive HAI.</w:t>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Mi02XTwvRGlzcGxheVRleHQ+PHJlY29yZD48cmVjLW51bWJlcj42PC9yZWMtbnVtYmVyPjxmb3JlaWduLWtleXM+PGtleSBhcHA9IkVOIiBkYi1pZD0iNjFmM2ZlZjAtNzRmNS01MzAwLWIwZTAtY2RiMDA0ZTI0ZTAyIiB0aW1lc3RhbXA9IjE3OTI5MjEwODY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[V12-6]</w:t>
      </w:r>
      <w:r>
        <w:fldChar w:fldCharType="end"/>
      </w:r>
    </w:p>
    <w:p>
      <w:pPr>
        <w:rPr>
          <w:color w:val="A8470A"/>
        </w:rPr>
        <w:pStyle w:val="Heading3"/>
        <w:keepNext/>
        <w:widowControl/>
      </w:pPr>
      <w:bookmarkStart w:id="1" w:name="CRLM_B1"/>
      <w:r>
        <w:rPr>
          <w:color w:val="A8470A"/>
        </w:rPr>
        <w:t xml:space="preserve">CRLM-B1 — What exactly proves persistent unresectability?</w:t>
      </w:r>
      <w:bookmarkEnd w:id="1"/>
    </w:p>
    <w:p>
      <w:pPr>
        <w:rPr>
          <w:color w:val="A8470A"/>
        </w:rPr>
        <w:pStyle w:val="Heading3"/>
        <w:keepNext/>
        <w:widowControl/>
      </w:pPr>
      <w:r>
        <w:rPr>
          <w:color w:val="A8470A"/>
        </w:rPr>
        <w:t xml:space="preserve">Question and comparison</w:t>
      </w:r>
    </w:p>
    <w:p>
      <w:pPr>
        <w:pStyle w:val="Normal"/>
        <w:widowControl/>
        <w:spacing w:before="60" w:after="20"/>
      </w:pPr>
      <w:r>
        <w:t xml:space="preserve">In an otherwise transplant-eligible patient with liver-only CRLM, what evidence should establish persistent unresectability after modern systemic therapy, versus an achievable resection/ablation/conversion strategy?</w:t>
      </w:r>
    </w:p>
    <w:p>
      <w:pPr>
        <w:rPr>
          <w:color w:val="A8470A"/>
        </w:rPr>
        <w:pStyle w:val="Heading3"/>
        <w:keepNext/>
        <w:widowControl/>
      </w:pPr>
      <w:r>
        <w:rPr>
          <w:color w:val="A8470A"/>
        </w:rP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TransMet 2024</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NjFmM2ZlZjAtNzRmNS01MzAwLWIwZTAtY2RiMDA0ZTI0ZTAy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spacing w:before="60" w:after="20"/>
            </w:pPr>
            <w:r>
              <w:t xml:space="preserve">Multicentre open-label randomized trial, 20 European centres, 157 screened and 94 randomized (47 LT-plus-chemotherapy, 47 chemotherapy); 63 screened excluded, including 13 with equivocal unresectability and 36 with progression.</w:t>
            </w:r>
          </w:p>
          <w:p>
            <w:pPr>
              <w:pStyle w:val="Normal"/>
              <w:widowControl/>
              <w:spacing w:before="60" w:after="20"/>
            </w:pPr>
            <w:hyperlink r:id="rId8">
              <w:r>
                <w:rPr>
                  <w:color w:val="77230C"/>
                  <w:sz w:val="20"/>
                  <w:u w:val="single"/>
                </w:rPr>
                <w:t>Primary source</w:t>
              </w:r>
            </w:hyperlink>
            <w:r>
              <w:t xml:space="preserve"> | </w:t>
            </w:r>
            <w:hyperlink r:id="rId9">
              <w:r>
                <w:rPr>
                  <w:color w:val="77230C"/>
                  <w:sz w:val="20"/>
                  <w:u w:val="single"/>
                </w:rPr>
                <w:t>Full-text PDF</w:t>
              </w:r>
            </w:hyperlink>
          </w:p>
          <w:p>
            <w:pPr>
              <w:pStyle w:val="Normal"/>
              <w:widowControl/>
              <w:spacing w:before="60" w:after="20"/>
            </w:pPr>
            <w:r>
              <w:t xml:space="preserve">Locator: Interim safety Methods PDF 3; final Methods.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pStyle w:val="Normal"/>
              <w:widowControl/>
              <w:spacing w:before="60" w:after="20"/>
            </w:pPr>
            <w:r>
              <w:rPr>
                <w:b/>
              </w:rPr>
              <w:t xml:space="preserve">Do not infer: </w:t>
            </w:r>
            <w:r>
              <w:t xml:space="preserve">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tc>
      </w:tr>
      <w:tr>
        <w:trPr/>
        <w:tc>
          <w:tcPr>
            <w:tcW w:w="3400" w:type="dxa"/>
            <w:tcMar>
              <w:top w:w="90" w:type="dxa"/>
              <w:left w:w="90" w:type="dxa"/>
              <w:bottom w:w="90" w:type="dxa"/>
              <w:right w:w="90" w:type="dxa"/>
            </w:tcMar>
          </w:tcPr>
          <w:p>
            <w:pPr>
              <w:pStyle w:val="Normal"/>
              <w:widowControl/>
              <w:spacing w:before="60" w:after="20"/>
            </w:pPr>
            <w:r>
              <w:rPr>
                <w:b/>
              </w:rPr>
              <w:t xml:space="preserve">Chandra 2026 · HAIP comparator</w:t>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Mi02XTwvRGlzcGxheVRleHQ+PHJlY29yZD48cmVjLW51bWJlcj42PC9yZWMtbnVtYmVyPjxmb3JlaWduLWtleXM+PGtleSBhcHA9IkVOIiBkYi1pZD0iNjFmM2ZlZjAtNzRmNS01MzAwLWIwZTAtY2RiMDA0ZTI0ZTAyIiB0aW1lc3RhbXA9IjE3OTI5MjEwODY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[V12-6]</w:t>
            </w:r>
            <w:r>
              <w:fldChar w:fldCharType="end"/>
            </w:r>
          </w:p>
          <w:p>
            <w:pPr>
              <w:pStyle w:val="Normal"/>
              <w:widowControl/>
              <w:spacing w:before="60" w:after="20"/>
            </w:pPr>
            <w:r>
              <w:t xml:space="preserve">Single-centre retrospective HAIP cohort: 1,110 patients treated in 2006–2016, 483 initially unresectable after exclusions; 83 met modified transplant criteria, but only 23 were pretreated, chemotherapy-controlled transplant-like candidates.</w:t>
            </w:r>
          </w:p>
          <w:p>
            <w:pPr>
              <w:pStyle w:val="Normal"/>
              <w:widowControl/>
              <w:spacing w:before="60" w:after="20"/>
            </w:pPr>
            <w:hyperlink r:id="rId10">
              <w:r>
                <w:rPr>
                  <w:color w:val="77230C"/>
                  <w:sz w:val="20"/>
                  <w:u w:val="single"/>
                </w:rPr>
                <w:t>Primary source</w:t>
              </w:r>
            </w:hyperlink>
            <w:r>
              <w:t xml:space="preserve"> | </w:t>
            </w:r>
            <w:hyperlink r:id="rId11">
              <w:r>
                <w:rPr>
                  <w:color w:val="77230C"/>
                  <w:sz w:val="20"/>
                  <w:u w:val="single"/>
                </w:rPr>
                <w:t>Full-text PDF</w:t>
              </w:r>
            </w:hyperlink>
          </w:p>
          <w:p>
            <w:pPr>
              <w:pStyle w:val="Normal"/>
              <w:widowControl/>
              <w:spacing w:before="60" w:after="20"/>
            </w:pPr>
            <w:r>
              <w:t xml:space="preserve">Locator: Complete accepted manuscript, PDF pp.6–11: cohort derivation, modified criteria, conversion, survival and adverse events; subsequent tables.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was HAIP placement, not a common LT-versus-HAIP eligibility date. In the 23 selected pretreated patients, 18/23 (78%) converted to resection; only 10/18 were R0, and 17/18 recurred, with salvage treatment in 15. Median follow-up was 97.7 months; median OS 61 months (95% CI 36–92), five-year OS 53% (36–79), PFS 13 months (9.6–22), hepatic PFS 16 months (11–61). Median treatment comprised five HAIP cycles and nine systemic cycles. Biliary sclerosis requiring stents occurred in 3/23 (13%); one pump-arterial dissection required revision.</w:t>
            </w:r>
          </w:p>
          <w:p>
            <w:pPr>
              <w:pStyle w:val="Normal"/>
              <w:widowControl/>
              <w:spacing w:before="60" w:after="20"/>
            </w:pPr>
            <w:r>
              <w:rPr>
                <w:b/>
              </w:rPr>
              <w:t xml:space="preserve">Do not infer: </w:t>
            </w:r>
            <w:r>
              <w:t xml:space="preserve">Selection from a large denominator, modified eligibility, expert-centre availability, retrospective ascertainment and a different time origin prohibit equivalence claims against TransMet. The high conversion rate is clinically important counterevidence to declaring unresectability before specialist conversion review. It does not make HAIP compulsory or establish that its toxicities are an indication to create for LT.</w:t>
            </w:r>
          </w:p>
        </w:tc>
      </w:tr>
      <w:tr>
        <w:trPr/>
        <w:tc>
          <w:tcPr>
            <w:tcW w:w="3400" w:type="dxa"/>
            <w:tcMar>
              <w:top w:w="90" w:type="dxa"/>
              <w:left w:w="90" w:type="dxa"/>
              <w:bottom w:w="90" w:type="dxa"/>
              <w:right w:w="90" w:type="dxa"/>
            </w:tcMar>
          </w:tcPr>
          <w:p>
            <w:pPr>
              <w:pStyle w:val="Normal"/>
              <w:widowControl/>
              <w:spacing w:before="60" w:after="20"/>
            </w:pPr>
            <w:r>
              <w:rPr>
                <w:b/>
              </w:rPr>
              <w:t xml:space="preserve">Dueland 2020 · SECA-II</w:t>
            </w:r>
            <w:r>
              <w:t xml:space="preserve"> </w:t>
            </w:r>
            <w:r>
              <w:t xml:space="preserve"> </w:t>
            </w:r>
            <w:r>
              <w:fldChar w:fldCharType="begin"/>
            </w:r>
            <w:r>
              <w:instrText xml:space="preserve"> ADDIN EN.CITE </w:instrText>
            </w:r>
            <w:r>
              <w:fldChar w:fldCharType="begin">
                <w:fldData>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p>
          <w:p>
            <w:pPr>
              <w:pStyle w:val="Normal"/>
              <w:widowControl/>
              <w:spacing w:before="60" w:after="20"/>
            </w:pPr>
            <w:r>
              <w:t xml:space="preserve">Prospective single-centre, single-arm study, 15 transplanted April 2012–November 2016. R0 primary, ECOG 0–1, no current or prior extrahepatic metastasis/local relapse, liver-only unresectable disease. At least 10% chemotherapy shrinkage; before treatment no lesion &gt;10 cm; when &gt;30 lesions, all &lt;5 cm and at least 30% shrinkage. Less than 10% chemotherapy response could be supplemented by at least 20% response to DEB-IRI or Y90. Table 1 requires at least one year from CRC diagnosis to listing, not merely an elapsed year by transplantation.</w:t>
            </w:r>
          </w:p>
          <w:p>
            <w:pPr>
              <w:pStyle w:val="Normal"/>
              <w:widowControl/>
              <w:spacing w:before="60" w:after="20"/>
            </w:pPr>
            <w:hyperlink r:id="rId12">
              <w:r>
                <w:rPr>
                  <w:color w:val="77230C"/>
                  <w:sz w:val="20"/>
                  <w:u w:val="single"/>
                </w:rPr>
                <w:t>Primary source</w:t>
              </w:r>
            </w:hyperlink>
            <w:r>
              <w:t xml:space="preserve"> | </w:t>
            </w:r>
            <w:hyperlink r:id="rId13">
              <w:r>
                <w:rPr>
                  <w:color w:val="77230C"/>
                  <w:sz w:val="20"/>
                  <w:u w:val="single"/>
                </w:rPr>
                <w:t>Full-text PDF</w:t>
              </w:r>
            </w:hyperlink>
          </w:p>
          <w:p>
            <w:pPr>
              <w:pStyle w:val="Normal"/>
              <w:widowControl/>
              <w:spacing w:before="60" w:after="20"/>
            </w:pPr>
            <w:r>
              <w:t xml:space="preserve">Locator: Printed pp 212–218; eligibility Table 1 p 213; outcomes and complications p 214; relapse Table 4 and cohort comparison Table 5 p 216.</w:t>
            </w:r>
          </w:p>
          <w:p>
            <w:pPr>
              <w:pStyle w:val="Normal"/>
              <w:widowControl/>
              <w:spacing w:before="60" w:after="20"/>
            </w:pPr>
            <w:r>
              <w:t xml:space="preserve">Review depth: Complete seven-page published main article read, including methods, Tables 1–5, figures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Fifteen transplanted; no wait-list dropout, median wait 29 days (7–148). OS and DFS start at LT. Median follow-up among living patients 36 months (5–60); five-year estimates have very few at risk. Median diagnosis-to-LT 24.0 months and primary resection-to-LT 22.6 months. One-, three- and five-year OS 100%, 83%, 83%; median DFS 13.7 months; one-, two-, three-year DFS 53%, 44%, 35%. Eight recurrences, six initially/only pulmonary. Five patients underwent six lung resections. Median interval detection-to-lung resection 21.4 months illustrates selection and slow growth, not a required waiting interval. Eleven of 15 were NED at last follow-up: seven never relapsed and four after salvage. Three-year NED 76.4% is not the same endpoint as DFS. Grade IIIa–IVa complications in seven of 15 (47%); no adjuvant chemotherapy. Two deaths from recurrence at 26 months.</w:t>
            </w:r>
          </w:p>
          <w:p>
            <w:pPr>
              <w:pStyle w:val="Normal"/>
              <w:widowControl/>
              <w:spacing w:before="60" w:after="20"/>
            </w:pPr>
            <w:r>
              <w:rPr>
                <w:b/>
              </w:rPr>
              <w:t xml:space="preserve">Do not infer: </w:t>
            </w:r>
            <w:r>
              <w:t xml:space="preserve">Highly selected recipients, no randomised comparator or all-evaluated denominator; favourable Oslo scores 0–1, CEA 1–30 and largest pre-LT lesions 3–47 mm. The comparison with expected chemotherapy survival is historical/selected and should not be used as a causal effect estimate. SECA-II long-term report expands and overlaps this cohort; do not count as an independent replication. Single old-era immunosuppression protocol is not a validated best regimen. Supplement access: No separate supplemental file is cited in the main paper.</w:t>
            </w:r>
          </w:p>
        </w:tc>
      </w:tr>
      <w:tr>
        <w:trPr/>
        <w:tc>
          <w:tcPr>
            <w:tcW w:w="3400" w:type="dxa"/>
            <w:tcMar>
              <w:top w:w="90" w:type="dxa"/>
              <w:left w:w="90" w:type="dxa"/>
              <w:bottom w:w="90" w:type="dxa"/>
              <w:right w:w="90" w:type="dxa"/>
            </w:tcMar>
          </w:tcPr>
          <w:p>
            <w:pPr>
              <w:pStyle w:val="Normal"/>
              <w:widowControl/>
              <w:spacing w:before="60" w:after="20"/>
            </w:pPr>
            <w:r>
              <w:rPr>
                <w:b/>
              </w:rPr>
              <w:t xml:space="preserve">Dueland 2026 · SECA-II ten-year</w:t>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Mi04XTwvRGlzcGxheVRleHQ+PHJlY29yZD48cmVjLW51bWJlcj44PC9yZWMtbnVtYmVyPjxmb3JlaWduLWtleXM+PGtleSBhcHA9IkVOIiBkYi1pZD0iNjFmM2ZlZjAtNzRmNS01MzAwLWIwZTAtY2RiMDA0ZTI0ZTAyIiB0aW1lc3RhbXA9IjE3OTI5MjEwODY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p>
          <w:p>
            <w:pPr>
              <w:pStyle w:val="Normal"/>
              <w:widowControl/>
              <w:spacing w:before="60" w:after="20"/>
            </w:pPr>
            <w:r>
              <w:t xml:space="preserve">Twenty-five consecutive SECA-II recipients April 2012–November 2023; one metachronous, 24 synchronous. This expands and overlaps the original 15-patient SECA-II cohort, not an independent trial. A patient dying about four weeks after LT is included in OS/RFS but excluded from the 24-patient baseline and other analyses. Of those 24, CEA 1–33, largest lesion 4–48 mm, Oslo 0–2, only two MTV &gt;70 cm³; one ascending primary and one pN2.</w:t>
            </w:r>
          </w:p>
          <w:p>
            <w:pPr>
              <w:pStyle w:val="Normal"/>
              <w:widowControl/>
              <w:spacing w:before="60" w:after="20"/>
            </w:pPr>
            <w:hyperlink r:id="rId14">
              <w:r>
                <w:rPr>
                  <w:color w:val="77230C"/>
                  <w:sz w:val="20"/>
                  <w:u w:val="single"/>
                </w:rPr>
                <w:t>Primary source</w:t>
              </w:r>
            </w:hyperlink>
            <w:r>
              <w:t xml:space="preserve"> | </w:t>
            </w:r>
            <w:hyperlink r:id="rId15">
              <w:r>
                <w:rPr>
                  <w:color w:val="77230C"/>
                  <w:sz w:val="20"/>
                  <w:u w:val="single"/>
                </w:rPr>
                <w:t>Full-text PDF</w:t>
              </w:r>
            </w:hyperlink>
          </w:p>
          <w:p>
            <w:pPr>
              <w:pStyle w:val="Normal"/>
              <w:widowControl/>
              <w:spacing w:before="60" w:after="20"/>
            </w:pPr>
            <w:r>
              <w:t xml:space="preserve">Locator: PDF pp 2–3 methods and Results/Table 1; pp 4–5 relapse, potential-cure discussion and harms; pp 5–6 limitations.</w:t>
            </w:r>
          </w:p>
          <w:p>
            <w:pPr>
              <w:pStyle w:val="Normal"/>
              <w:widowControl/>
              <w:spacing w:before="60" w:after="20"/>
            </w:pPr>
            <w:r>
              <w:t xml:space="preserve">Review depth: Complete seven-page advance-online main article read, including all figures, table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Analysis to 1 January 2025. OS/RFS measured from LT. Median follow-up in living patients 97.2 months by reverse KM. Fourteen followed &gt;5 years, six ≥10 years. Twelve recurrences; postrecurrence survival starts at recurrence. Median OS 128.2 months (95% CI 74.8–181.6); five-/ten-year OS 77.8%/51.5%. Median RFS 24.3 months; 12/25 recurrences (six lung-only first relapse). Median survival after recurrence 62.9 months (25.7–101.1). Twelve without relapse for median 74 months (13–122); four ≥10 years. Four cancer deaths occurred &gt;5 years after LT. Long-term survival or salvaged NED is not proof of cure. Five grade IIIa complications, three grade IIIb and one grade V death from hepatic artery thrombosis. One patient was transplanted with progressive disease on a CT performed locally the preceding day because the result was unknown to the transplant centre. This is a process failure, not a validated expansion criterion.</w:t>
            </w:r>
          </w:p>
          <w:p>
            <w:pPr>
              <w:pStyle w:val="Normal"/>
              <w:widowControl/>
              <w:spacing w:before="60" w:after="20"/>
            </w:pPr>
            <w:r>
              <w:rPr>
                <w:b/>
              </w:rPr>
              <w:t xml:space="preserve">Do not infer: </w:t>
            </w:r>
            <w:r>
              <w:t xml:space="preserve">Single-centre selected nonrandomised recipient cohort, no contemporary control or screened denominator. Long-term tail small. Abstract says up to 15 potentially cured; body says up to 13 and relies partly on short recurrence-free intervals. Neither is a measured cure fraction. Discussion's assertion that RFS is invalid is stronger than the data: RFS remains relevant for recurrence burden, but is insufficient alone to measure benefit when salvage prolongs survival. Methods refer eligibility to reference 16, the SECA-I paper; cross-check original SECA-II Table 1 rather than assuming identical criteria. Table/source typographical inconsistencies do not alter the observed OS estimates. Supplement access: No separate supplementary file cited in this article.</w:t>
            </w:r>
          </w:p>
        </w:tc>
      </w:tr>
      <w:tr>
        <w:trPr/>
        <w:tc>
          <w:tcPr>
            <w:tcW w:w="3400" w:type="dxa"/>
            <w:tcMar>
              <w:top w:w="90" w:type="dxa"/>
              <w:left w:w="90" w:type="dxa"/>
              <w:bottom w:w="90" w:type="dxa"/>
              <w:right w:w="90" w:type="dxa"/>
            </w:tcMar>
          </w:tcPr>
          <w:p>
            <w:pPr>
              <w:pStyle w:val="Normal"/>
              <w:widowControl/>
              <w:spacing w:before="60" w:after="20"/>
            </w:pPr>
            <w:r>
              <w:rPr>
                <w:b/>
              </w:rPr>
              <w:t xml:space="preserve">IHPBA 2021</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yLTRdPC9EaXNwbGF5VGV4dD48cmVjb3JkPjxyZWMtbnVtYmVyPjQ8L3JlYy1udW1iZXI+PGZvcmVpZ24ta2V5cz48a2V5IGFwcD0iRU4iIGRiLWlkPSI2MWYzZmVmMC03NGY1LTUzMDAtYjBlMC1jZGIwMDRlMjRlMDIiIHRpbWVzdGFtcD0iMTc5MjkyMTA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Q29tcGxldGUgbG9jYWwgcHJpbWFyeSBQREYgYXZhaWxhYmxlOyByZWxldmFudCBtZXRob2RzLCBzZWxlY3Rpb24sIHJlc3VsdHMgYW5kIGxpbWl0YXRpb25zIHJldmlld2VkIFNlbGVjdGlvbiwgYmlvbG9naWNhbCBwcm9nbm9zaXMgYW5kIHRlY2huaWNhbCByZXNlY3RhYmlsaXR5IGhhdmUgZGlzdGluY3Qgcm9sZXMuIEFuIGV4cGVydCByZWNvbW1lbmRhdGlvbiBpcyBub3QgYSBuYXRpb25hbCBhbGxvY2F0aW9uIHJ1bGUuPC9ub3Rlcz48dXJscz48cmVsYXRlZC11cmxzPjx1cmw+aHR0cHM6Ly9kb2kub3JnLzEwLjEwMTYvUzI0NjgtMTI1MygyMSkwMDIxOS0z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p>
          <w:p>
            <w:pPr>
              <w:pStyle w:val="Normal"/>
              <w:widowControl/>
              <w:spacing w:before="60" w:after="20"/>
            </w:pPr>
            <w:r>
              <w:t xml:space="preserve">2021 international multidisciplinary consensus; not a prospective eligibility-strategy trial.</w:t>
            </w:r>
          </w:p>
          <w:p>
            <w:pPr>
              <w:pStyle w:val="Normal"/>
              <w:widowControl/>
              <w:spacing w:before="60" w:after="20"/>
            </w:pPr>
            <w:hyperlink r:id="rId16">
              <w:r>
                <w:rPr>
                  <w:color w:val="77230C"/>
                  <w:sz w:val="20"/>
                  <w:u w:val="single"/>
                </w:rPr>
                <w:t>Primary source</w:t>
              </w:r>
            </w:hyperlink>
            <w:r>
              <w:t xml:space="preserve"> | </w:t>
            </w:r>
            <w:hyperlink r:id="rId17">
              <w:r>
                <w:rPr>
                  <w:color w:val="77230C"/>
                  <w:sz w:val="20"/>
                  <w:u w:val="single"/>
                </w:rPr>
                <w:t>Full-text PDF</w:t>
              </w:r>
            </w:hyperlink>
          </w:p>
          <w:p>
            <w:pPr>
              <w:pStyle w:val="Normal"/>
              <w:widowControl/>
              <w:spacing w:before="60" w:after="20"/>
            </w:pPr>
            <w:r>
              <w:t xml:space="preserve">Locator: Lancet Gastroenterol Hepatol 2021;6:933–946; full PDF selection, molecular, PET and tumour-response statements.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original randomized outcome denominator. Consensus suggests response/observation, CEA trajectory and PET burden (MTV 70 cm³/TLG 260) as risk criteria. Rising CEA &gt;80 is treated more adversely than falling CEA.</w:t>
            </w:r>
          </w:p>
          <w:p>
            <w:pPr>
              <w:pStyle w:val="Normal"/>
              <w:widowControl/>
              <w:spacing w:before="60" w:after="20"/>
            </w:pPr>
            <w:r>
              <w:rPr>
                <w:b/>
              </w:rPr>
              <w:t xml:space="preserve">Do not infer: </w:t>
            </w:r>
            <w:r>
              <w:t xml:space="preserve">Expert recommendations differ from current NLRB wording and TransMet criteria; do not merge them into a falsely universal threshold. Non-V600E BRAF is not thereby proven safe for LT, and contemporary guidance requests BRAF-wild-type tumours.</w:t>
            </w:r>
          </w:p>
        </w:tc>
      </w:tr>
      <w:tr>
        <w:trPr/>
        <w:tc>
          <w:tcPr>
            <w:tcW w:w="3400" w:type="dxa"/>
            <w:tcMar>
              <w:top w:w="90" w:type="dxa"/>
              <w:left w:w="90" w:type="dxa"/>
              <w:bottom w:w="90" w:type="dxa"/>
              <w:right w:w="90" w:type="dxa"/>
            </w:tcMar>
          </w:tcPr>
          <w:p>
            <w:pPr>
              <w:pStyle w:val="Normal"/>
              <w:widowControl/>
              <w:spacing w:before="60" w:after="20"/>
            </w:pPr>
            <w:r>
              <w:rPr>
                <w:b/>
              </w:rPr>
              <w:t xml:space="preserve">Bilhim 2024</w:t>
            </w:r>
            <w:r>
              <w:t xml:space="preserve"> </w:t>
            </w:r>
            <w:r>
              <w:t xml:space="preserve"> </w:t>
            </w:r>
            <w:r>
              <w:fldChar w:fldCharType="begin"/>
            </w:r>
            <w:r>
              <w:instrText xml:space="preserve"> ADDIN EN.CITE </w:instrText>
            </w:r>
            <w:r>
              <w:fldChar w:fldCharType="begin">
                <w:fldData>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</w:fldData>
              </w:fldChar>
            </w:r>
            <w:r>
              <w:instrText xml:space="preserve"> ADDIN EN.CITE.DATA </w:instrText>
            </w:r>
            <w:r>
              <w:fldChar w:fldCharType="end"/>
            </w:r>
            <w:r>
              <w:fldChar w:fldCharType="separate"/>
            </w:r>
            <w:r>
              <w:t xml:space="preserve">[V12-9]</w:t>
            </w:r>
            <w:r>
              <w:fldChar w:fldCharType="end"/>
            </w:r>
          </w:p>
          <w:p>
            <w:pPr>
              <w:pStyle w:val="Normal"/>
              <w:widowControl/>
              <w:spacing w:before="60" w:after="20"/>
            </w:pPr>
            <w:r>
              <w:t xml:space="preserve">CIRSE consensus standards for portal-vein embolization and liver venous deprivation, 2024; not a transplant-versus-resection comparative trial.</w:t>
            </w:r>
          </w:p>
          <w:p>
            <w:pPr>
              <w:pStyle w:val="Normal"/>
              <w:widowControl/>
              <w:spacing w:before="60" w:after="20"/>
            </w:pPr>
            <w:hyperlink r:id="rId18">
              <w:r>
                <w:rPr>
                  <w:color w:val="77230C"/>
                  <w:sz w:val="20"/>
                  <w:u w:val="single"/>
                </w:rPr>
                <w:t>Primary source</w:t>
              </w:r>
            </w:hyperlink>
            <w:r>
              <w:t xml:space="preserve"> | </w:t>
            </w:r>
            <w:hyperlink r:id="rId19">
              <w:r>
                <w:rPr>
                  <w:color w:val="77230C"/>
                  <w:sz w:val="20"/>
                  <w:u w:val="single"/>
                </w:rPr>
                <w:t>Full-text PDF</w:t>
              </w:r>
            </w:hyperlink>
          </w:p>
          <w:p>
            <w:pPr>
              <w:pStyle w:val="Normal"/>
              <w:widowControl/>
              <w:spacing w:before="60" w:after="20"/>
            </w:pPr>
            <w:r>
              <w:t xml:space="preserve">Locator: Cardiovasc Intervent Radiol 2024;47:1025–1036; complete PDF patient selection/FLR assessment.</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Frequently used planning benchmarks are approximately &gt;20% normal parenchyma, &gt;30% chemotherapy-exposed/injured liver and &gt;40% cirrhosis. These are resection-risk benchmarks, not an LT eligibility test or a guarantee of safe resection.</w:t>
            </w:r>
          </w:p>
          <w:p>
            <w:pPr>
              <w:pStyle w:val="Normal"/>
              <w:widowControl/>
              <w:spacing w:before="60" w:after="20"/>
            </w:pPr>
            <w:r>
              <w:rPr>
                <w:b/>
              </w:rPr>
              <w:t xml:space="preserve">Do not infer: </w:t>
            </w:r>
            <w:r>
              <w:t xml:space="preserve">Volume cannot substitute for function, and the relevant injury severity differs by patient. Failure of a numerical FLR threshold alone does not establish persistent oncological unresectability if PVE/LVD, staged or parenchymal-sparing treatment remains feasible.</w:t>
            </w:r>
          </w:p>
        </w:tc>
      </w:tr>
    </w:tbl>
    <w:p>
      <w:pPr>
        <w:rPr>
          <w:color w:val="A8470A"/>
        </w:rPr>
        <w:pStyle w:val="Heading3"/>
        <w:keepNext/>
        <w:widowControl/>
      </w:pPr>
      <w:r>
        <w:rPr>
          <w:color w:val="A8470A"/>
        </w:rPr>
        <w:t xml:space="preserve">Synthesis and evidence that challenges the proposal</w:t>
      </w:r>
    </w:p>
    <w:p>
      <w:pPr>
        <w:pStyle w:val="Normal"/>
        <w:widowControl/>
        <w:spacing w:before="60" w:after="20"/>
      </w:pPr>
      <w:r>
        <w:t xml:space="preserve">The best evidence supports LT only after a credible expert determination that complete, safe hepatic clearance cannot be achieved. TransMet excluded equivocal unresectability and used independent adjudication. The HAIP series shows that a subset labelled transplant-like can convert, but does not prove mandatory HAIP or equal survival. Long-term SECA-II supports durable benefit in narrowly selected unresectable disease, not a shortcut around reconstruction, ablation or FLR review. SECA-II follow-up is an expanded overlapping cohort, not independent replication. The original Table 1 requires one year from colorectal-cancer diagnosis to listing; this study criterion must not replace the separate current NLRB CRLM-diagnosis-to-exception rule.</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NjFmM2ZlZjAtNzRmNS01MzAwLWIwZTAtY2RiMDA0ZTI0ZTAy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Mi02XTwvRGlzcGxheVRleHQ+PHJlY29yZD48cmVjLW51bWJlcj42PC9yZWMtbnVtYmVyPjxmb3JlaWduLWtleXM+PGtleSBhcHA9IkVOIiBkYi1pZD0iNjFmM2ZlZjAtNzRmNS01MzAwLWIwZTAtY2RiMDA0ZTI0ZTAyIiB0aW1lc3RhbXA9IjE3OTI5MjEwODY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[V12-6]</w:t>
      </w:r>
      <w:r>
        <w:fldChar w:fldCharType="end"/>
      </w:r>
      <w:r>
        <w:t xml:space="preserve"> </w:t>
      </w:r>
      <w:r>
        <w:t xml:space="preserve"> </w:t>
      </w:r>
      <w:r>
        <w:fldChar w:fldCharType="begin"/>
      </w:r>
      <w:r>
        <w:instrText xml:space="preserve"> ADDIN EN.CITE </w:instrText>
      </w:r>
      <w:r>
        <w:fldChar w:fldCharType="begin">
          <w:fldData>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Mi04XTwvRGlzcGxheVRleHQ+PHJlY29yZD48cmVjLW51bWJlcj44PC9yZWMtbnVtYmVyPjxmb3JlaWduLWtleXM+PGtleSBhcHA9IkVOIiBkYi1pZD0iNjFmM2ZlZjAtNzRmNS01MzAwLWIwZTAtY2RiMDA0ZTI0ZTAyIiB0aW1lc3RhbXA9IjE3OTI5MjEwODY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yLTRdPC9EaXNwbGF5VGV4dD48cmVjb3JkPjxyZWMtbnVtYmVyPjQ8L3JlYy1udW1iZXI+PGZvcmVpZ24ta2V5cz48a2V5IGFwcD0iRU4iIGRiLWlkPSI2MWYzZmVmMC03NGY1LTUzMDAtYjBlMC1jZGIwMDRlMjRlMDIiIHRpbWVzdGFtcD0iMTc5MjkyMTA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Q29tcGxldGUgbG9jYWwgcHJpbWFyeSBQREYgYXZhaWxhYmxlOyByZWxldmFudCBtZXRob2RzLCBzZWxlY3Rpb24sIHJlc3VsdHMgYW5kIGxpbWl0YXRpb25zIHJldmlld2VkIFNlbGVjdGlvbiwgYmlvbG9naWNhbCBwcm9nbm9zaXMgYW5kIHRlY2huaWNhbCByZXNlY3RhYmlsaXR5IGhhdmUgZGlzdGluY3Qgcm9sZXMuIEFuIGV4cGVydCByZWNvbW1lbmRhdGlvbiBpcyBub3QgYSBuYXRpb25hbCBhbGxvY2F0aW9uIHJ1bGUuPC9ub3Rlcz48dXJscz48cmVsYXRlZC11cmxzPjx1cmw+aHR0cHM6Ly9kb2kub3JnLzEwLjEwMTYvUzI0NjgtMTI1MygyMSkwMDIxOS0z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r>
        <w:t xml:space="preserve"> </w:t>
      </w:r>
      <w:r>
        <w:t xml:space="preserve"> </w:t>
      </w:r>
      <w:r>
        <w:fldChar w:fldCharType="begin"/>
      </w:r>
      <w:r>
        <w:instrText xml:space="preserve"> ADDIN EN.CITE </w:instrText>
      </w:r>
      <w:r>
        <w:fldChar w:fldCharType="begin">
          <w:fldData>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</w:fldData>
        </w:fldChar>
      </w:r>
      <w:r>
        <w:instrText xml:space="preserve"> ADDIN EN.CITE.DATA </w:instrText>
      </w:r>
      <w:r>
        <w:fldChar w:fldCharType="end"/>
      </w:r>
      <w:r>
        <w:fldChar w:fldCharType="separate"/>
      </w:r>
      <w:r>
        <w:t xml:space="preserve">[V12-9]</w:t>
      </w:r>
      <w:r>
        <w:fldChar w:fldCharType="end"/>
      </w:r>
    </w:p>
    <w:p>
      <w:pPr>
        <w:pStyle w:val="Normal"/>
        <w:widowControl/>
        <w:numPr>
          <w:ilvl w:val="0"/>
          <w:numId w:val="3"/>
        </w:numPr>
        <w:spacing w:before="60" w:after="20"/>
      </w:pPr>
      <w:r>
        <w:t xml:space="preserve">Many initially unresectable patients can be converted; HAIP brought 18/23 highly selected pretreated patients to resection, although most recurred and only 10/18 were R0. A high lesion count, bilobar distribution, chemotherapy injury or a low raw FLR alone is insufficient. Conversely, mandatory repeated conversion attempts can expose patients to biliary injury and progression without validated benefit.</w:t>
      </w:r>
    </w:p>
    <w:p>
      <w:pPr>
        <w:pStyle w:val="Normal"/>
        <w:widowControl/>
        <w:spacing w:before="60" w:after="20"/>
      </w:pPr>
      <w:r>
        <w:rPr>
          <w:b/>
        </w:rPr>
        <w:t xml:space="preserve">Certainty / applicability: </w:t>
      </w:r>
      <w:r>
        <w:t xml:space="preserve">Moderate-to-high certainty for the TransMet treatment strategy in its restricted randomized population; low certainty for an individual unresectability threshold, comparative HAIP effect, and broad expansions. FLR cutoffs are technical risk guidance, not predictive LT-benefit biomarkers.</w:t>
      </w:r>
    </w:p>
    <w:p>
      <w:pPr>
        <w:rPr>
          <w:color w:val="A8470A"/>
        </w:rPr>
        <w:pStyle w:val="Heading3"/>
        <w:keepNext/>
        <w:widowControl/>
      </w:pPr>
      <w:r>
        <w:rPr>
          <w:color w:val="A8470A"/>
        </w:rPr>
        <w:t xml:space="preserve">Where each proposed threshold comes from</w:t>
      </w:r>
    </w:p>
    <w:p>
      <w:pPr>
        <w:pStyle w:val="Normal"/>
        <w:widowControl/>
        <w:numPr>
          <w:ilvl w:val="0"/>
          <w:numId w:val="3"/>
        </w:numPr>
        <w:spacing w:before="60" w:after="20"/>
      </w:pPr>
      <w:r>
        <w:t xml:space="preserve">20/30/40% FLR values originate in hepatectomy planning, not validated LT-selection trials. Two reviewers and reassessment within 30 days before activation, with imaging about every eight weeks during treatment, are proposed local workflow intervals. The national exception application requires its own current staging intervals; a 30-day local review does not replace them.</w:t>
      </w:r>
    </w:p>
    <w:p>
      <w:pPr>
        <w:rPr>
          <w:color w:val="A8470A"/>
        </w:rPr>
        <w:pStyle w:val="Heading3"/>
        <w:keepNext/>
        <w:widowControl/>
      </w:pPr>
      <w:r>
        <w:rPr>
          <w:color w:val="A8470A"/>
        </w:rP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TransMet 2024</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NjFmM2ZlZjAtNzRmNS01MzAwLWIwZTAtY2RiMDA0ZTI0ZTAy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spacing w:before="60" w:after="20"/>
            </w:pPr>
            <w:r>
              <w:t xml:space="preserve">“at least two expert liver surgeons”</w:t>
            </w:r>
          </w:p>
          <w:p>
            <w:pPr>
              <w:pStyle w:val="Normal"/>
              <w:widowControl/>
              <w:spacing w:before="60" w:after="20"/>
            </w:pPr>
            <w:r>
              <w:t xml:space="preserve">Published PDF p3 / journal p1109, Procedures</w:t>
            </w:r>
          </w:p>
          <w:p>
            <w:pPr>
              <w:pStyle w:val="Normal"/>
              <w:widowControl/>
              <w:spacing w:before="60" w:after="20"/>
            </w:pPr>
            <w:hyperlink r:id="rId20">
              <w:r>
                <w:rPr>
                  <w:color w:val="77230C"/>
                  <w:sz w:val="20"/>
                  <w:u w:val="single"/>
                </w:rPr>
                <w:t>Source</w:t>
              </w:r>
            </w:hyperlink>
            <w:r>
              <w:t xml:space="preserve"> | </w:t>
            </w:r>
            <w:hyperlink r:id="rId21">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Independent expert unresectability assessment was part of the trial, not inferred from tumor count.</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Bilhim 2024</w:t>
            </w:r>
            <w:r>
              <w:t xml:space="preserve"> </w:t>
            </w:r>
            <w:r>
              <w:t xml:space="preserve"> </w:t>
            </w:r>
            <w:r>
              <w:fldChar w:fldCharType="begin"/>
            </w:r>
            <w:r>
              <w:instrText xml:space="preserve"> ADDIN EN.CITE </w:instrText>
            </w:r>
            <w:r>
              <w:fldChar w:fldCharType="begin">
                <w:fldData>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</w:fldData>
              </w:fldChar>
            </w:r>
            <w:r>
              <w:instrText xml:space="preserve"> ADDIN EN.CITE.DATA </w:instrText>
            </w:r>
            <w:r>
              <w:fldChar w:fldCharType="end"/>
            </w:r>
            <w:r>
              <w:fldChar w:fldCharType="separate"/>
            </w:r>
            <w:r>
              <w:t xml:space="preserve">[V12-9]</w:t>
            </w:r>
            <w:r>
              <w:fldChar w:fldCharType="end"/>
            </w:r>
          </w:p>
          <w:p>
            <w:pPr>
              <w:pStyle w:val="Normal"/>
              <w:widowControl/>
              <w:spacing w:before="60" w:after="20"/>
            </w:pPr>
            <w:r>
              <w:t xml:space="preserve">“does not estimate the function and regenerative capacity of FLR”</w:t>
            </w:r>
          </w:p>
          <w:p>
            <w:pPr>
              <w:pStyle w:val="Normal"/>
              <w:widowControl/>
              <w:spacing w:before="60" w:after="20"/>
            </w:pPr>
            <w:r>
              <w:t xml:space="preserve">CIRSE 2024, Indications and Contra-Indications; thresholds in Table 2</w:t>
            </w:r>
          </w:p>
          <w:p>
            <w:pPr>
              <w:pStyle w:val="Normal"/>
              <w:widowControl/>
              <w:spacing w:before="60" w:after="20"/>
            </w:pPr>
            <w:hyperlink r:id="rId22">
              <w:r>
                <w:rPr>
                  <w:color w:val="77230C"/>
                  <w:sz w:val="20"/>
                  <w:u w:val="single"/>
                </w:rPr>
                <w:t>Source</w:t>
              </w:r>
            </w:hyperlink>
            <w:r>
              <w:t xml:space="preserve"> | </w:t>
            </w:r>
            <w:hyperlink r:id="rId23">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CT volume alone does not establish function. Table 2 gives &gt;20%, &gt;30% and &gt;40% suggested resection thresholds for normal, chemotherapy-exposed and cirrhotic/cholestatic liver respectively.</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Require two expert HPB certifications of persistent unresectability, not a lesion-count shortcut.</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NjFmM2ZlZjAtNzRmNS01MzAwLWIwZTAtY2RiMDA0ZTI0ZTAy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</w:fldData>
        </w:fldChar>
      </w:r>
      <w:r>
        <w:instrText xml:space="preserve"> ADDIN EN.CITE.DATA </w:instrText>
      </w:r>
      <w:r>
        <w:fldChar w:fldCharType="end"/>
      </w:r>
      <w:r>
        <w:fldChar w:fldCharType="separate"/>
      </w:r>
      <w:r>
        <w:t xml:space="preserve">[V12-9]</w:t>
      </w:r>
      <w:r>
        <w:fldChar w:fldCharType="end"/>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Mi02XTwvRGlzcGxheVRleHQ+PHJlY29yZD48cmVjLW51bWJlcj42PC9yZWMtbnVtYmVyPjxmb3JlaWduLWtleXM+PGtleSBhcHA9IkVOIiBkYi1pZD0iNjFmM2ZlZjAtNzRmNS01MzAwLWIwZTAtY2RiMDA0ZTI0ZTAyIiB0aW1lc3RhbXA9IjE3OTI5MjEwODY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[V12-6]</w:t>
      </w:r>
      <w:r>
        <w:fldChar w:fldCharType="end"/>
      </w:r>
      <w:r>
        <w:t xml:space="preserve"> </w:t>
      </w:r>
      <w:r>
        <w:t xml:space="preserve"> </w:t>
      </w:r>
      <w:r>
        <w:fldChar w:fldCharType="begin"/>
      </w:r>
      <w:r>
        <w:instrText xml:space="preserve"> ADDIN EN.CITE </w:instrText>
      </w:r>
      <w:r>
        <w:fldChar w:fldCharType="begin">
          <w:fldData>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Mi04XTwvRGlzcGxheVRleHQ+PHJlY29yZD48cmVjLW51bWJlcj44PC9yZWMtbnVtYmVyPjxmb3JlaWduLWtleXM+PGtleSBhcHA9IkVOIiBkYi1pZD0iNjFmM2ZlZjAtNzRmNS01MzAwLWIwZTAtY2RiMDA0ZTI0ZTAyIiB0aW1lc3RhbXA9IjE3OTI5MjEwODY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yLTRdPC9EaXNwbGF5VGV4dD48cmVjb3JkPjxyZWMtbnVtYmVyPjQ8L3JlYy1udW1iZXI+PGZvcmVpZ24ta2V5cz48a2V5IGFwcD0iRU4iIGRiLWlkPSI2MWYzZmVmMC03NGY1LTUzMDAtYjBlMC1jZGIwMDRlMjRlMDIiIHRpbWVzdGFtcD0iMTc5MjkyMTA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Q29tcGxldGUgbG9jYWwgcHJpbWFyeSBQREYgYXZhaWxhYmxlOyByZWxldmFudCBtZXRob2RzLCBzZWxlY3Rpb24sIHJlc3VsdHMgYW5kIGxpbWl0YXRpb25zIHJldmlld2VkIFNlbGVjdGlvbiwgYmlvbG9naWNhbCBwcm9nbm9zaXMgYW5kIHRlY2huaWNhbCByZXNlY3RhYmlsaXR5IGhhdmUgZGlzdGluY3Qgcm9sZXMuIEFuIGV4cGVydCByZWNvbW1lbmRhdGlvbiBpcyBub3QgYSBuYXRpb25hbCBhbGxvY2F0aW9uIHJ1bGUuPC9ub3Rlcz48dXJscz48cmVsYXRlZC11cmxzPjx1cmw+aHR0cHM6Ly9kb2kub3JnLzEwLjEwMTYvUzI0NjgtMTI1MygyMSkwMDIxOS0z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Proposed gate: two HPB surgeons, including one who is not the proposed transplant surgeon, agree that complete nontransplant clearance is infeasible.</w:t>
      </w:r>
    </w:p>
    <w:p>
      <w:pPr>
        <w:pStyle w:val="Normal"/>
        <w:widowControl/>
        <w:numPr>
          <w:ilvl w:val="1"/>
          <w:numId w:val="3"/>
        </w:numPr>
        <w:spacing w:before="60" w:after="20"/>
      </w:pPr>
      <w:r>
        <w:t xml:space="preserve">Include radiology, oncology and an ablation/HAI-capable clinician; disagreement is HOLD with independent external review.</w:t>
      </w:r>
    </w:p>
    <w:p>
      <w:pPr>
        <w:pStyle w:val="Normal"/>
        <w:widowControl/>
        <w:numPr>
          <w:ilvl w:val="0"/>
          <w:numId w:val="3"/>
        </w:numPr>
      </w:pPr>
      <w:r>
        <w:t xml:space="preserve">Review parenchymal-sparing, staged, combined resection/ablation and hypertrophy-assisted options.</w:t>
      </w:r>
    </w:p>
    <w:p>
      <w:pPr>
        <w:pStyle w:val="Normal"/>
        <w:widowControl/>
        <w:numPr>
          <w:ilvl w:val="1"/>
          <w:numId w:val="3"/>
        </w:numPr>
        <w:spacing w:before="60" w:after="20"/>
      </w:pPr>
      <w:r>
        <w:t xml:space="preserve">Use FLR benchmarks of about 20% in normal liver, 30% in chemotherapy-injured liver and 40% in cirrhosis to assess resection—not as automatic LT criteria.</w:t>
      </w:r>
    </w:p>
    <w:p>
      <w:pPr>
        <w:pStyle w:val="Normal"/>
        <w:widowControl/>
        <w:numPr>
          <w:ilvl w:val="1"/>
          <w:numId w:val="3"/>
        </w:numPr>
        <w:spacing w:before="60" w:after="20"/>
      </w:pPr>
      <w:r>
        <w:t xml:space="preserve">Assess function, inflow, outflow and biliary drainage as well as volume.</w:t>
      </w:r>
    </w:p>
    <w:p>
      <w:pPr>
        <w:pStyle w:val="Normal"/>
        <w:widowControl/>
        <w:numPr>
          <w:ilvl w:val="0"/>
          <w:numId w:val="3"/>
        </w:numPr>
      </w:pPr>
      <w:r>
        <w:t xml:space="preserve">Renew certification after meaningful response or material treatment change and within 30 days before LT activation.</w:t>
      </w:r>
    </w:p>
    <w:p>
      <w:pPr>
        <w:pStyle w:val="Normal"/>
        <w:widowControl/>
        <w:numPr>
          <w:ilvl w:val="1"/>
          <w:numId w:val="3"/>
        </w:numPr>
        <w:spacing w:before="60" w:after="20"/>
      </w:pPr>
      <w:r>
        <w:t xml:space="preserve">Restage approximately every eight weeks on active treatment.</w:t>
      </w:r>
    </w:p>
    <w:p>
      <w:pPr>
        <w:pStyle w:val="Normal"/>
        <w:widowControl/>
        <w:numPr>
          <w:ilvl w:val="1"/>
          <w:numId w:val="3"/>
        </w:numPr>
        <w:spacing w:before="60" w:after="20"/>
      </w:pPr>
      <w:r>
        <w:t xml:space="preserve">Consider HAI conversion when appropriate; do not mandate HAI treatment for every patient.</w:t>
      </w:r>
    </w:p>
    <w:p>
      <w:pPr>
        <w:pStyle w:val="Normal"/>
        <w:widowControl/>
        <w:numPr>
          <w:ilvl w:val="0"/>
          <w:numId w:val="3"/>
        </w:numPr>
      </w:pPr>
      <w:r>
        <w:t xml:space="preserve">Before induction/incision, the responsible transplant team must review and document the final staging report, not merely that the scan was performed; a pending or newly discordant result is HOLD.</w:t>
      </w:r>
    </w:p>
    <w:p>
      <w:pPr>
        <w:pStyle w:val="Normal"/>
        <w:widowControl/>
        <w:numPr>
          <w:ilvl w:val="1"/>
          <w:numId w:val="3"/>
        </w:numPr>
        <w:spacing w:before="60" w:after="20"/>
      </w:pPr>
      <w:r>
        <w:t xml:space="preserve">This is a proposed local safety process, informed by an inadvertently transplanted progression case in SECA-II.</w:t>
      </w:r>
    </w:p>
    <w:p>
      <w:pPr>
        <w:pStyle w:val="Normal"/>
        <w:widowControl/>
        <w:spacing w:before="60" w:after="20"/>
      </w:pPr>
      <w:r>
        <w:rPr>
          <w:b/>
        </w:rPr>
        <w:t xml:space="preserve">Why retain or change it: </w:t>
      </w:r>
      <w:r>
        <w:t xml:space="preserve">Retain an OPEN two-expert certification requirement, one reviewer independent of the transplant operating team. The form must record original/current lesion map; feasible R0/complete ablation plan or reason impossible; FLR volume AND functional/parenchymal assessment; vascular inflow/outflow and biliary drainage; parenchymal-sparing, staged and hypertrophy options; and a documented HAIP/conversion opinion where clinically accessible. A feasible safe curative non-LT plan returns to that pathway. Do not require every modality to fail or administer treatment solely to create eligibility. Institutional decision remains blank.</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Pretreatment/current lesion maps including disappearing sites; contrast liver MRI and systemic staging; volumetry/function; vascular/biliary map; prior treatments; signed alternative-clearance assessment. Obtain a specialized conversion/HAIP opinion when clinically appropriate and accessible; document why it is omitted otherwise. A mandatory opinion is not a requirement to expose every patient to HAIP.</w:t>
      </w:r>
    </w:p>
    <w:p>
      <w:pPr>
        <w:pStyle w:val="Normal"/>
        <w:widowControl/>
        <w:spacing w:before="60" w:after="20"/>
      </w:pPr>
      <w:r>
        <w:rPr>
          <w:b/>
        </w:rPr>
        <w:t xml:space="preserve">Clinical versus allocation: </w:t>
      </w:r>
      <w:r>
        <w:t xml:space="preserve">Persistent unresectability is a clinical finding; the separate NLRB molecular, timing, imaging and response requirements still apply if exception review is pursued.</w:t>
      </w:r>
    </w:p>
    <w:p>
      <w:pPr>
        <w:pStyle w:val="Normal"/>
        <w:widowControl/>
        <w:spacing w:before="60" w:after="20"/>
      </w:pPr>
      <w:r>
        <w:rPr>
          <w:b/>
        </w:rPr>
        <w:t xml:space="preserve">Roadmap / protocol reconciliation: </w:t>
      </w:r>
      <w:r>
        <w:t xml:space="preserve">Use the CRLM roadmap’s conversion and resection/ablation/HAI options before assigning the transplant route.</w:t>
      </w:r>
    </w:p>
    <w:p>
      <w:pPr>
        <w:pStyle w:val="Normal"/>
        <w:widowControl/>
        <w:spacing w:before="60" w:after="20"/>
      </w:pPr>
      <w:hyperlink r:id="rId24">
        <w:r>
          <w:rPr>
            <w:color w:val="77230C"/>
            <w:sz w:val="20"/>
            <w:u w:val="single"/>
          </w:rPr>
          <w:t>Meeting record: CRLM-B1</w:t>
        </w:r>
      </w:hyperlink>
      <w:r>
        <w:t xml:space="preserve">  |  </w:t>
      </w:r>
      <w:hyperlink r:id="rId25">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3"/>
        <w:keepNext/>
        <w:widowControl/>
      </w:pPr>
      <w:r>
        <w:rPr>
          <w:color w:val="A8470A"/>
        </w:rPr>
        <w:t xml:space="preserve">2.3 Disappearing lesions and radiographic NED</w:t>
      </w:r>
    </w:p>
    <w:p>
      <w:pPr>
        <w:pStyle w:val="Normal"/>
        <w:widowControl/>
        <w:numPr>
          <w:ilvl w:val="0"/>
          <w:numId w:val="3"/>
        </w:numPr>
      </w:pPr>
      <w:r>
        <w:t xml:space="preserve">Keep original sites on the disease map after radiographic disappearance. PET negativity or absent enhancement does not prove sterilization; correlate MRI/CT, treatment timing and the feasibility of treating the original sites.</w:t>
      </w:r>
      <w:r>
        <w:t xml:space="preserve"> </w:t>
      </w:r>
      <w:r>
        <w:t xml:space="preserve"> </w:t>
      </w:r>
      <w:r>
        <w:fldChar w:fldCharType="begin"/>
      </w:r>
      <w:r>
        <w:instrText xml:space="preserve"> ADDIN EN.CITE </w:instrText>
      </w:r>
      <w:r>
        <w:fldChar w:fldCharType="begin">
          <w:fldData>PEVuZE5vdGU+PENpdGU+PEF1dGhvcj5DaCYjMjI1O3Zlei1WaWxsYTwvQXV0aG9yPjxZZWFyPjIwMjM8L1llYXI+PFJlY051bT4xMDwvUmVjTnVtPjxEaXNwbGF5VGV4dD5bVjEyLTEwXTwvRGlzcGxheVRleHQ+PHJlY29yZD48cmVjLW51bWJlcj4xMDwvcmVjLW51bWJlcj48Zm9yZWlnbi1rZXlzPjxrZXkgYXBwPSJFTiIgZGItaWQ9IjYxZjNmZWYwLTc0ZjUtNTMwMC1iMGUwLWNkYjAwNGUyNGUwMiIgdGltZXN0YW1wPSIxNzkyOTIxMDg2Ij4xMDwva2V5PjwvZm9yZWlnbi1rZXlzPjxyZWYtdHlwZSBuYW1lPSJKb3VybmFsIEFydGljbGUiPjE3PC9yZWYtdHlwZT48Y29udHJpYnV0b3JzPjxhdXRob3JzPjxhdXRob3I+Q2gmIzIyNTt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</w:fldData>
        </w:fldChar>
      </w:r>
      <w:r>
        <w:instrText xml:space="preserve"> ADDIN EN.CITE.DATA </w:instrText>
      </w:r>
      <w:r>
        <w:fldChar w:fldCharType="end"/>
      </w:r>
      <w:r>
        <w:fldChar w:fldCharType="separate"/>
      </w:r>
      <w:r>
        <w:t xml:space="preserve">[V12-10]</w:t>
      </w:r>
      <w:r>
        <w:fldChar w:fldCharType="end"/>
      </w:r>
    </w:p>
    <w:p>
      <w:pPr>
        <w:pStyle w:val="Normal"/>
        <w:widowControl/>
      </w:pPr>
      <w:r>
        <w:t xml:space="preserve">A selected 14-explant series found viable tumor in 11 explants and in 4/7 patients classified as complete radiographic response. Some patients were transplanted for treatment-related liver failure rather than persistent active unresectable cancer. These rationales must not be combined.</w:t>
      </w:r>
      <w:r>
        <w:t xml:space="preserve"> </w:t>
      </w:r>
      <w:r>
        <w:t xml:space="preserve"> </w:t>
      </w:r>
      <w:r>
        <w:fldChar w:fldCharType="begin"/>
      </w:r>
      <w:r>
        <w:instrText xml:space="preserve"> ADDIN EN.CITE </w:instrText>
      </w:r>
      <w:r>
        <w:fldChar w:fldCharType="begin">
          <w:fldData>PEVuZE5vdGU+PENpdGU+PEF1dGhvcj5DaCYjMjI1O3Zlei1WaWxsYTwvQXV0aG9yPjxZZWFyPjIwMjM8L1llYXI+PFJlY051bT4xMDwvUmVjTnVtPjxEaXNwbGF5VGV4dD5bVjEyLTEwXTwvRGlzcGxheVRleHQ+PHJlY29yZD48cmVjLW51bWJlcj4xMDwvcmVjLW51bWJlcj48Zm9yZWlnbi1rZXlzPjxrZXkgYXBwPSJFTiIgZGItaWQ9IjYxZjNmZWYwLTc0ZjUtNTMwMC1iMGUwLWNkYjAwNGUyNGUwMiIgdGltZXN0YW1wPSIxNzkyOTIxMDg2Ij4xMDwva2V5PjwvZm9yZWlnbi1rZXlzPjxyZWYtdHlwZSBuYW1lPSJKb3VybmFsIEFydGljbGUiPjE3PC9yZWYtdHlwZT48Y29udHJpYnV0b3JzPjxhdXRob3JzPjxhdXRob3I+Q2gmIzIyNTt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</w:fldData>
        </w:fldChar>
      </w:r>
      <w:r>
        <w:instrText xml:space="preserve"> ADDIN EN.CITE.DATA </w:instrText>
      </w:r>
      <w:r>
        <w:fldChar w:fldCharType="end"/>
      </w:r>
      <w:r>
        <w:fldChar w:fldCharType="separate"/>
      </w:r>
      <w:r>
        <w:t xml:space="preserve">[V12-10]</w:t>
      </w:r>
      <w:r>
        <w:fldChar w:fldCharType="end"/>
      </w:r>
    </w:p>
    <w:p>
      <w:pPr>
        <w:pStyle w:val="Normal"/>
        <w:widowControl/>
        <w:numPr>
          <w:ilvl w:val="0"/>
          <w:numId w:val="3"/>
        </w:numPr>
      </w:pPr>
      <w:r>
        <w:t xml:space="preserve">Classify the indication explicitly as residual unresectable disease, uncertain occult residual risk/radiographic NED, or documented irreversible treatment-related liver failure. NED is neither proof of cure nor an automatic indication for oncologic LT.</w:t>
      </w:r>
    </w:p>
    <w:p>
      <w:pPr>
        <w:rPr>
          <w:color w:val="A8470A"/>
        </w:rPr>
        <w:pStyle w:val="Heading3"/>
        <w:keepNext/>
        <w:widowControl/>
      </w:pPr>
      <w:bookmarkStart w:id="2" w:name="CRLM_B2"/>
      <w:r>
        <w:rPr>
          <w:color w:val="A8470A"/>
        </w:rPr>
        <w:t xml:space="preserve">CRLM-B2 — How do we handle PET-negative/disappearing lesions or radiographic NED?</w:t>
      </w:r>
      <w:bookmarkEnd w:id="2"/>
    </w:p>
    <w:p>
      <w:pPr>
        <w:rPr>
          <w:color w:val="A8470A"/>
        </w:rPr>
        <w:pStyle w:val="Heading3"/>
        <w:keepNext/>
        <w:widowControl/>
      </w:pPr>
      <w:r>
        <w:rPr>
          <w:color w:val="A8470A"/>
        </w:rPr>
        <w:t xml:space="preserve">Question and comparison</w:t>
      </w:r>
    </w:p>
    <w:p>
      <w:pPr>
        <w:pStyle w:val="Normal"/>
        <w:widowControl/>
        <w:spacing w:before="60" w:after="20"/>
      </w:pPr>
      <w:r>
        <w:t xml:space="preserve">When treated CRLM disappears or becomes PET-negative, what counts as persistent disease, and should LT be considered for radiographic NED or irreversible treatment-related liver failure?</w:t>
      </w:r>
    </w:p>
    <w:p>
      <w:pPr>
        <w:rPr>
          <w:color w:val="A8470A"/>
        </w:rPr>
        <w:pStyle w:val="Heading3"/>
        <w:keepNext/>
        <w:widowControl/>
      </w:pPr>
      <w:r>
        <w:rPr>
          <w:color w:val="A8470A"/>
        </w:rP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Chávez-Villa 2023 · occult disease</w:t>
            </w:r>
            <w:r>
              <w:t xml:space="preserve"> </w:t>
            </w:r>
            <w:r>
              <w:t xml:space="preserve"> </w:t>
            </w:r>
            <w:r>
              <w:fldChar w:fldCharType="begin"/>
            </w:r>
            <w:r>
              <w:instrText xml:space="preserve"> ADDIN EN.CITE </w:instrText>
            </w:r>
            <w:r>
              <w:fldChar w:fldCharType="begin">
                <w:fldData>PEVuZE5vdGU+PENpdGU+PEF1dGhvcj5DaCYjMjI1O3Zlei1WaWxsYTwvQXV0aG9yPjxZZWFyPjIwMjM8L1llYXI+PFJlY051bT4xMDwvUmVjTnVtPjxEaXNwbGF5VGV4dD5bVjEyLTEwXTwvRGlzcGxheVRleHQ+PHJlY29yZD48cmVjLW51bWJlcj4xMDwvcmVjLW51bWJlcj48Zm9yZWlnbi1rZXlzPjxrZXkgYXBwPSJFTiIgZGItaWQ9IjYxZjNmZWYwLTc0ZjUtNTMwMC1iMGUwLWNkYjAwNGUyNGUwMiIgdGltZXN0YW1wPSIxNzkyOTIxMDg2Ij4xMDwva2V5PjwvZm9yZWlnbi1rZXlzPjxyZWYtdHlwZSBuYW1lPSJKb3VybmFsIEFydGljbGUiPjE3PC9yZWYtdHlwZT48Y29udHJpYnV0b3JzPjxhdXRob3JzPjxhdXRob3I+Q2gmIzIyNTt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</w:fldData>
              </w:fldChar>
            </w:r>
            <w:r>
              <w:instrText xml:space="preserve"> ADDIN EN.CITE.DATA </w:instrText>
            </w:r>
            <w:r>
              <w:fldChar w:fldCharType="end"/>
            </w:r>
            <w:r>
              <w:fldChar w:fldCharType="separate"/>
            </w:r>
            <w:r>
              <w:t xml:space="preserve">[V12-10]</w:t>
            </w:r>
            <w:r>
              <w:fldChar w:fldCharType="end"/>
            </w:r>
          </w:p>
          <w:p>
            <w:pPr>
              <w:pStyle w:val="Normal"/>
              <w:widowControl/>
              <w:spacing w:before="60" w:after="20"/>
            </w:pPr>
            <w:r>
              <w:t xml:space="preserve">Retrospective radiology–explant study of 14 selected LT recipients; eight indications were unresectable disease and six treatment-associated liver failure/biliary complications.</w:t>
            </w:r>
          </w:p>
          <w:p>
            <w:pPr>
              <w:pStyle w:val="Normal"/>
              <w:widowControl/>
              <w:spacing w:before="60" w:after="20"/>
            </w:pPr>
            <w:hyperlink r:id="rId26">
              <w:r>
                <w:rPr>
                  <w:color w:val="77230C"/>
                  <w:sz w:val="20"/>
                  <w:u w:val="single"/>
                </w:rPr>
                <w:t>Primary source</w:t>
              </w:r>
            </w:hyperlink>
            <w:r>
              <w:t xml:space="preserve"> | </w:t>
            </w:r>
            <w:hyperlink r:id="rId27">
              <w:r>
                <w:rPr>
                  <w:color w:val="77230C"/>
                  <w:sz w:val="20"/>
                  <w:u w:val="single"/>
                </w:rPr>
                <w:t>Full-text PDF</w:t>
              </w:r>
            </w:hyperlink>
          </w:p>
          <w:p>
            <w:pPr>
              <w:pStyle w:val="Normal"/>
              <w:widowControl/>
              <w:spacing w:before="60" w:after="20"/>
            </w:pPr>
            <w:r>
              <w:t xml:space="preserve">Locator: Ann Surg 2023;278:e1026–e1034; full PDF methods, radiology/explant correlation tables, Results and Discussion.</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Explant contained viable carcinoma in 11/14; nine had additional lesions not accounted for on pre-LT imaging. Four of seven imaging complete responders still had viable tumour. The three pathological complete responders were all in the liver-failure indication group.</w:t>
            </w:r>
          </w:p>
          <w:p>
            <w:pPr>
              <w:pStyle w:val="Normal"/>
              <w:widowControl/>
              <w:spacing w:before="60" w:after="20"/>
            </w:pPr>
            <w:r>
              <w:rPr>
                <w:b/>
              </w:rPr>
              <w:t xml:space="preserve">Do not infer: </w:t>
            </w:r>
            <w:r>
              <w:t xml:space="preserve">Demonstrates imperfect imaging negative predictive value, not that every scar remains viable or that prophylactic LT improves survival for radiographic NED. No non-LT or observation comparator; complete-response definition and treatment injury matter. Likely overlap with subsequent US protocols.</w:t>
            </w:r>
          </w:p>
        </w:tc>
      </w:tr>
      <w:tr>
        <w:trPr/>
        <w:tc>
          <w:tcPr>
            <w:tcW w:w="3400" w:type="dxa"/>
            <w:tcMar>
              <w:top w:w="90" w:type="dxa"/>
              <w:left w:w="90" w:type="dxa"/>
              <w:bottom w:w="90" w:type="dxa"/>
              <w:right w:w="90" w:type="dxa"/>
            </w:tcMar>
          </w:tcPr>
          <w:p>
            <w:pPr>
              <w:pStyle w:val="Normal"/>
              <w:widowControl/>
              <w:spacing w:before="60" w:after="20"/>
            </w:pPr>
            <w:r>
              <w:rPr>
                <w:b/>
              </w:rPr>
              <w:t xml:space="preserve">Kataoka 2025 · DREAM</w:t>
            </w:r>
            <w:r>
              <w:t xml:space="preserve"> </w:t>
            </w:r>
            <w:r>
              <w:t xml:space="preserve"> </w:t>
            </w:r>
            <w:r>
              <w:fldChar w:fldCharType="begin"/>
            </w:r>
            <w:r>
              <w:instrText xml:space="preserve"> ADDIN EN.CITE </w:instrText>
            </w:r>
            <w:r>
              <w:fldChar w:fldCharType="begin">
                <w:fldData>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</w:fldData>
              </w:fldChar>
            </w:r>
            <w:r>
              <w:instrText xml:space="preserve"> ADDIN EN.CITE.DATA </w:instrText>
            </w:r>
            <w:r>
              <w:fldChar w:fldCharType="end"/>
            </w:r>
            <w:r>
              <w:fldChar w:fldCharType="separate"/>
            </w:r>
            <w:r>
              <w:t xml:space="preserve">[V12-11]</w:t>
            </w:r>
            <w:r>
              <w:fldChar w:fldCharType="end"/>
            </w:r>
          </w:p>
          <w:p>
            <w:pPr>
              <w:pStyle w:val="Normal"/>
              <w:widowControl/>
              <w:spacing w:before="60" w:after="20"/>
            </w:pPr>
            <w:r>
              <w:t xml:space="preserve">Prospective international diagnostic study at 21 centres. 233 registered with initially borderline/unresectable CLM; 112 considered suitable for conversion surgery after chemotherapy and enrolled, 109 operated. WHO 0–1, with resectable extrahepatic disease allowed. R0 feasibility with functional vascular/biliary anatomy and ≥30% future liver remnant was this study's definition, not a universal LT criterion. CT disappearance = DLM; disappearance on CT and multiparametric MRI = cDLM.</w:t>
            </w:r>
          </w:p>
          <w:p>
            <w:pPr>
              <w:pStyle w:val="Normal"/>
              <w:widowControl/>
              <w:spacing w:before="60" w:after="20"/>
            </w:pPr>
            <w:hyperlink r:id="rId28">
              <w:r>
                <w:rPr>
                  <w:color w:val="77230C"/>
                  <w:sz w:val="20"/>
                  <w:u w:val="single"/>
                </w:rPr>
                <w:t>Primary source</w:t>
              </w:r>
            </w:hyperlink>
            <w:r>
              <w:t xml:space="preserve"> | </w:t>
            </w:r>
            <w:hyperlink r:id="rId29">
              <w:r>
                <w:rPr>
                  <w:color w:val="77230C"/>
                  <w:sz w:val="20"/>
                  <w:u w:val="single"/>
                </w:rPr>
                <w:t>Full-text PDF</w:t>
              </w:r>
            </w:hyperlink>
          </w:p>
          <w:p>
            <w:pPr>
              <w:pStyle w:val="Normal"/>
              <w:widowControl/>
              <w:spacing w:before="60" w:after="20"/>
            </w:pPr>
            <w:r>
              <w:t xml:space="preserve">Locator: Methods pp 1213–1214; patient table p 1215; flowchart and outcomes p 1216; NPV Figure 2 p 1217; survival Figure 4 and limitations p 1218.</w:t>
            </w:r>
          </w:p>
          <w:p>
            <w:pPr>
              <w:pStyle w:val="Normal"/>
              <w:widowControl/>
              <w:spacing w:before="60" w:after="20"/>
            </w:pPr>
            <w:r>
              <w:t xml:space="preserve">Review depth: All nine PDF pages read. Complete primary study pp 1212–1220, including references; final page also begins a separate invited commentary whose continuation is not included and was not treated as complete.</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203 cDLMs in 54 patients; 152 evaluable cDLMs in 44 patients (88 resected, 64 left). Fifty-one cDLMs excluded, including death before two years, missing/out-of-window MRI, ablation or pathology data. Median follow-up 26.1 months after surgery. Survival time zero is initial hepatic surgery. Primary endpoint combines pathology at surgery and lack of site recurrence at two years; these are not identical gold standards. Nonviability NPV for CT+MRI disappearance 95/152 =62.5% (90% CI 50.8–74.2), below prespecified 85%; CT-only DLM NPV 52.9%. Resected cDLMs: 50/88 nonviable, leaving 38/88 with residual viable disease. Left cDLMs: 45/64 without site recurrence at two years, 19/64 with recurrence. With CEUS and cDLM: 42/57 lesions invisible on CEUS were nonviable/no two-year site recurrence (73.7%; 90% CI 55.0–92.3), still imperfect. No equivalence to Oba's expert-centre results. Among 45 patients without extrahepatic disease and R0/R1 resection, all cDLMs removed (19) versus some left (26): DFS HR 0.92 (95% CI 0.48–1.77), OS HR 0.80 (0.21–3.08). Underpowered nonrandom comparison, not proof that resection is useless. Among 109 surgeries, grade ≥IIIa early complications 12/109 (11.0%), late complications 4/109 (3.7%); no postoperative mortality. Postoperative chemotherapy in 46/109.</w:t>
            </w:r>
          </w:p>
          <w:p>
            <w:pPr>
              <w:pStyle w:val="Normal"/>
              <w:widowControl/>
              <w:spacing w:before="60" w:after="20"/>
            </w:pPr>
            <w:r>
              <w:rPr>
                <w:b/>
              </w:rPr>
              <w:t xml:space="preserve">Do not infer: </w:t>
            </w:r>
            <w:r>
              <w:t xml:space="preserve">No central imaging review completed; mixed MRI contrast agents and intraoperative ultrasound practice. Selection and verification bias from conversion-only population and exclusions; per-lesion within-patient correlation was addressed statistically but clinical selection remained. Not powered for survival benefit, no adjustment of survival comparisons; trial discussion of possible LT is hypothesis, not direct evidence. Supplement 1 imaging/pathology guidelines, additional tables/figures and Supplement 2 data-sharing statement are not in this download. Supplement access: Main study complete; Supplement 1 and Supplement 2 absent. Separate invited commentary only begins on the last page.</w:t>
            </w:r>
          </w:p>
        </w:tc>
      </w:tr>
      <w:tr>
        <w:trPr/>
        <w:tc>
          <w:tcPr>
            <w:tcW w:w="3400" w:type="dxa"/>
            <w:tcMar>
              <w:top w:w="90" w:type="dxa"/>
              <w:left w:w="90" w:type="dxa"/>
              <w:bottom w:w="90" w:type="dxa"/>
              <w:right w:w="90" w:type="dxa"/>
            </w:tcMar>
          </w:tcPr>
          <w:p>
            <w:pPr>
              <w:pStyle w:val="Normal"/>
              <w:widowControl/>
              <w:spacing w:before="60" w:after="20"/>
            </w:pPr>
            <w:r>
              <w:rPr>
                <w:b/>
              </w:rPr>
              <w:t xml:space="preserve">Oba 2018 · disappearing lesions</w:t>
            </w:r>
            <w:r>
              <w:t xml:space="preserve"> </w:t>
            </w:r>
            <w:r>
              <w:t xml:space="preserve"> </w:t>
            </w:r>
            <w:r>
              <w:fldChar w:fldCharType="begin"/>
            </w:r>
            <w:r>
              <w:instrText xml:space="preserve"> ADDIN EN.CITE </w:instrText>
            </w:r>
            <w:r>
              <w:fldChar w:fldCharType="begin">
                <w:fldData>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</w:fldData>
              </w:fldChar>
            </w:r>
            <w:r>
              <w:instrText xml:space="preserve"> ADDIN EN.CITE.DATA </w:instrText>
            </w:r>
            <w:r>
              <w:fldChar w:fldCharType="end"/>
            </w:r>
            <w:r>
              <w:fldChar w:fldCharType="separate"/>
            </w:r>
            <w:r>
              <w:t xml:space="preserve">[V12-12]</w:t>
            </w:r>
            <w:r>
              <w:fldChar w:fldCharType="end"/>
            </w:r>
          </w:p>
          <w:p>
            <w:pPr>
              <w:pStyle w:val="Normal"/>
              <w:widowControl/>
              <w:spacing w:before="60" w:after="20"/>
            </w:pPr>
            <w:r>
              <w:t xml:space="preserve">Single-centre diagnostic/surgical cohort: 392 hepatectomy patients, 228 treated with preoperative chemotherapy, 184 with CT, EOB-MRI and contrast-enhanced intraoperative ultrasound (CE-IOUS). Fifty-nine patients had 275 CT-disappearing liver metastases; median original size 8 mm. Ninety-eight percent had partial response and 75% received postoperative chemotherapy. This was not an LT cohort.</w:t>
            </w:r>
          </w:p>
          <w:p>
            <w:pPr>
              <w:pStyle w:val="Normal"/>
              <w:widowControl/>
              <w:spacing w:before="60" w:after="20"/>
            </w:pPr>
            <w:hyperlink r:id="rId30">
              <w:r>
                <w:rPr>
                  <w:color w:val="77230C"/>
                  <w:sz w:val="20"/>
                  <w:u w:val="single"/>
                </w:rPr>
                <w:t>Primary source</w:t>
              </w:r>
            </w:hyperlink>
            <w:r>
              <w:t xml:space="preserve"> | </w:t>
            </w:r>
            <w:hyperlink r:id="rId31">
              <w:r>
                <w:rPr>
                  <w:color w:val="77230C"/>
                  <w:sz w:val="20"/>
                  <w:u w:val="single"/>
                </w:rPr>
                <w:t>Full-text PDF</w:t>
              </w:r>
            </w:hyperlink>
          </w:p>
          <w:p>
            <w:pPr>
              <w:pStyle w:val="Normal"/>
              <w:widowControl/>
              <w:spacing w:before="60" w:after="20"/>
            </w:pPr>
            <w:r>
              <w:t xml:space="preserve">Locator: Printed pp 708–714; methods pp 709–710; Figure 2 p 711; Table 2 p 712; limitations p 713.</w:t>
            </w:r>
          </w:p>
          <w:p>
            <w:pPr>
              <w:pStyle w:val="Normal"/>
              <w:widowControl/>
              <w:spacing w:before="60" w:after="20"/>
            </w:pPr>
            <w:r>
              <w:t xml:space="preserve">Review depth: Complete seven-page main paper read, including methods, results, tables, figure text/captions,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Lesion-level reference standard: pathology for resected lesions and subsequent site recurrence for unresected lesions. Unresected-site follow-up median 27 months (range 9–72), not a transplant survival endpoint. EOB-MRI detected 71 of 275 lesions, 65 viable. EOB-MRI plus CE-IOUS detected 165 lesions, 127 viable. Of 110 lesions undetected by both methods, 68 were resected with three viable; 42 were left in situ with six site recurrences. Table 2: combined sensitivity 127/136 (93%), negative predictive value 101/110 (92%).</w:t>
            </w:r>
          </w:p>
          <w:p>
            <w:pPr>
              <w:pStyle w:val="Normal"/>
              <w:widowControl/>
              <w:spacing w:before="60" w:after="20"/>
            </w:pPr>
            <w:r>
              <w:rPr>
                <w:b/>
              </w:rPr>
              <w:t xml:space="preserve">Do not infer: </w:t>
            </w:r>
            <w:r>
              <w:t xml:space="preserve">Unblinded imaging, operator-dependent ultrasound, different pathology and recurrence reference standards. Pathological sections 3–10 mm apart can miss residual cancer; postoperative chemotherapy can suppress recurrence. Japanese perflubutane protocol and expertise are not a mandate for an unavailable US contrast agent. Does not establish a survival benefit from blind resection of every old site or from LT; no comparative operative-harm estimate. Supplement access: No separate supplement included or identified in the main paper; earlier imaging-method papers were not re-reviewed.</w:t>
            </w:r>
          </w:p>
        </w:tc>
      </w:tr>
      <w:tr>
        <w:trPr/>
        <w:tc>
          <w:tcPr>
            <w:tcW w:w="3400" w:type="dxa"/>
            <w:tcMar>
              <w:top w:w="90" w:type="dxa"/>
              <w:left w:w="90" w:type="dxa"/>
              <w:bottom w:w="90" w:type="dxa"/>
              <w:right w:w="90" w:type="dxa"/>
            </w:tcMar>
          </w:tcPr>
          <w:p>
            <w:pPr>
              <w:pStyle w:val="Normal"/>
              <w:widowControl/>
              <w:spacing w:before="60" w:after="20"/>
            </w:pPr>
            <w:r>
              <w:rPr>
                <w:b/>
              </w:rPr>
              <w:t xml:space="preserve">Wehrle 2024 · intensive LRT</w:t>
            </w:r>
            <w:r>
              <w:t xml:space="preserve"> </w:t>
            </w:r>
            <w:r>
              <w:t xml:space="preserve"> </w:t>
            </w:r>
            <w:r>
              <w:fldChar w:fldCharType="begin"/>
            </w:r>
            <w:r>
              <w:instrText xml:space="preserve"> ADDIN EN.CITE </w:instrText>
            </w:r>
            <w:r>
              <w:fldChar w:fldCharType="begin">
                <w:fldData>PEVuZE5vdGU+PENpdGU+PEF1dGhvcj5XZWhybGU8L0F1dGhvcj48WWVhcj4yMDI0PC9ZZWFyPjxSZWNOdW0+MTM8L1JlY051bT48RGlzcGxheVRleHQ+W1YxMi0xM108L0Rpc3BsYXlUZXh0PjxyZWNvcmQ+PHJlYy1udW1iZXI+MTM8L3JlYy1udW1iZXI+PGZvcmVpZ24ta2V5cz48a2V5IGFwcD0iRU4iIGRiLWlkPSI2MWYzZmVmMC03NGY1LTUzMDAtYjBlMC1jZGIwMDRlMjRlMDIiIHRpbWVzdGFtcD0iMTc5MjkyMTA4NiI+MTM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p>
          <w:p>
            <w:pPr>
              <w:pStyle w:val="Normal"/>
              <w:widowControl/>
              <w:spacing w:before="60" w:after="20"/>
            </w:pPr>
            <w:r>
              <w:t xml:space="preserve">Retrospective single-centre experience: 27 evaluated; 11 initially ineligible (two extrahepatic disease, four advanced burden, five comorbidity/performance); 16 entered intensive systemic/locoregional treatment; nine received LT, seven from living donors. Included one R1 primary, one MSI-high tumour and one pretreatment 12.3-cm lesion, which cannot validate those guidance departures.</w:t>
            </w:r>
          </w:p>
          <w:p>
            <w:pPr>
              <w:pStyle w:val="Normal"/>
              <w:widowControl/>
              <w:spacing w:before="60" w:after="20"/>
            </w:pPr>
            <w:hyperlink r:id="rId32">
              <w:r>
                <w:rPr>
                  <w:color w:val="77230C"/>
                  <w:sz w:val="20"/>
                  <w:u w:val="single"/>
                </w:rPr>
                <w:t>Primary source</w:t>
              </w:r>
            </w:hyperlink>
            <w:r>
              <w:t xml:space="preserve"> | </w:t>
            </w:r>
            <w:hyperlink r:id="rId33">
              <w:r>
                <w:rPr>
                  <w:color w:val="77230C"/>
                  <w:sz w:val="20"/>
                  <w:u w:val="single"/>
                </w:rPr>
                <w:t>Full-text PDF</w:t>
              </w:r>
            </w:hyperlink>
          </w:p>
          <w:p>
            <w:pPr>
              <w:pStyle w:val="Normal"/>
              <w:widowControl/>
              <w:spacing w:before="60" w:after="20"/>
            </w:pPr>
            <w:r>
              <w:t xml:space="preserve">Locator: PDF pp 4–5 / printed pp 1240–1241: cohort and conflicting chemotherapy cycles; PDF p 7 / printed p 1243: dropout/death and Table 2; PDF pp 8–11 / printed pp 1244–1247: Table 3, explant viability and NED definitions.</w:t>
            </w:r>
          </w:p>
          <w:p>
            <w:pPr>
              <w:pStyle w:val="Normal"/>
              <w:widowControl/>
              <w:spacing w:before="60" w:after="20"/>
            </w:pPr>
            <w:r>
              <w:t xml:space="preserve">Review depth: Complete 13-page PDF read: visual abstract and 12-page main paper, including patient-level tables,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Six of 16 entrants progressed and one died from treatment-associated liver failure before LT. Recipient follow-up median 700 days (285–2024), with survival measured from LT. Published one-/two-year percentages use mature denominators of eight/five, not all nine recipients. Among nine recipients, three recurred. One-/two-year RFS 6/8 (75%) and 3/5 (60%); OS 7/8 (87.5%) and 4/5 (80%). Five recipients were labelled no detectable disease using PET/CEA, not proven CT/MRI or microscopic eradication. Five explants were viable and four nonviable; all three recurrences occurred with viable explants. Eight of nine explants showed treatment injury: seven cirrhosis and one bridging fibrosis. Four recipients were transplanted for injury. One of 16 entrants died from severe liver failure within two weeks of bilobar Y90 while receiving systemic chemo-immunotherapy. Four recipients required biliary drainage or reoperation; one also had acute rejection. Highest reported postoperative complication grade was IIIb.</w:t>
            </w:r>
          </w:p>
          <w:p>
            <w:pPr>
              <w:pStyle w:val="Normal"/>
              <w:widowControl/>
              <w:spacing w:before="60" w:after="20"/>
            </w:pPr>
            <w:r>
              <w:rPr>
                <w:b/>
              </w:rPr>
              <w:t xml:space="preserve">Do not infer: </w:t>
            </w:r>
            <w:r>
              <w:t xml:space="preserve">Nine selected recipients, no credible matched non-LT comparator; comparison of 16 entrants with 11 ineligible patients from evaluation is strongly confounded. Patient-level Table 2 and abstract give median 16 chemotherapy cycles (10–40), while the body gives 47 (20–77). Do not extract an eligibility cycle minimum. Body NED definition uses MTV zero and CEA &lt;5, while Figure 4 uses CEA &gt;10 for activity; individual borderline values further prevent a clean validated cutoff. Overlapping patients with other US PET, ctDNA and explant cohorts are not independent replications. Treatment-induced hepatic failure is a harm, not a therapeutic objective or evidence that a graft will rescue toxicity. Supplement access: No separate supplement supplied; patient-level Tables 2–3 are in the main PDF.</w:t>
            </w:r>
          </w:p>
        </w:tc>
      </w:tr>
      <w:tr>
        <w:trPr/>
        <w:tc>
          <w:tcPr>
            <w:tcW w:w="3400" w:type="dxa"/>
            <w:tcMar>
              <w:top w:w="90" w:type="dxa"/>
              <w:left w:w="90" w:type="dxa"/>
              <w:bottom w:w="90" w:type="dxa"/>
              <w:right w:w="90" w:type="dxa"/>
            </w:tcMar>
          </w:tcPr>
          <w:p>
            <w:pPr>
              <w:pStyle w:val="Normal"/>
              <w:widowControl/>
              <w:spacing w:before="60" w:after="20"/>
            </w:pPr>
            <w:r>
              <w:rPr>
                <w:b/>
              </w:rPr>
              <w:t xml:space="preserve">TransMet 2024</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NjFmM2ZlZjAtNzRmNS01MzAwLWIwZTAtY2RiMDA0ZTI0ZTAy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spacing w:before="60" w:after="20"/>
            </w:pPr>
            <w:r>
              <w:t xml:space="preserve">Multicentre open-label randomized trial, 20 European centres, 157 screened and 94 randomized (47 LT-plus-chemotherapy, 47 chemotherapy); 63 screened excluded, including 13 with equivocal unresectability and 36 with progression.</w:t>
            </w:r>
          </w:p>
          <w:p>
            <w:pPr>
              <w:pStyle w:val="Normal"/>
              <w:widowControl/>
              <w:spacing w:before="60" w:after="20"/>
            </w:pPr>
            <w:hyperlink r:id="rId34">
              <w:r>
                <w:rPr>
                  <w:color w:val="77230C"/>
                  <w:sz w:val="20"/>
                  <w:u w:val="single"/>
                </w:rPr>
                <w:t>Primary source</w:t>
              </w:r>
            </w:hyperlink>
            <w:r>
              <w:t xml:space="preserve"> | </w:t>
            </w:r>
            <w:hyperlink r:id="rId35">
              <w:r>
                <w:rPr>
                  <w:color w:val="77230C"/>
                  <w:sz w:val="20"/>
                  <w:u w:val="single"/>
                </w:rPr>
                <w:t>Full-text PDF</w:t>
              </w:r>
            </w:hyperlink>
          </w:p>
          <w:p>
            <w:pPr>
              <w:pStyle w:val="Normal"/>
              <w:widowControl/>
              <w:spacing w:before="60" w:after="20"/>
            </w:pPr>
            <w:r>
              <w:t xml:space="preserve">Locator: Interim safety Methods PDF 3; final Methods.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pStyle w:val="Normal"/>
              <w:widowControl/>
              <w:spacing w:before="60" w:after="20"/>
            </w:pPr>
            <w:r>
              <w:rPr>
                <w:b/>
              </w:rPr>
              <w:t xml:space="preserve">Do not infer: </w:t>
            </w:r>
            <w:r>
              <w:t xml:space="preserve">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tc>
      </w:tr>
    </w:tbl>
    <w:p>
      <w:pPr>
        <w:rPr>
          <w:color w:val="A8470A"/>
        </w:rPr>
        <w:pStyle w:val="Heading3"/>
        <w:keepNext/>
        <w:widowControl/>
      </w:pPr>
      <w:r>
        <w:rPr>
          <w:color w:val="A8470A"/>
        </w:rPr>
        <w:t xml:space="preserve">Synthesis and evidence that challenges the proposal</w:t>
      </w:r>
    </w:p>
    <w:p>
      <w:pPr>
        <w:pStyle w:val="Normal"/>
        <w:widowControl/>
        <w:spacing w:before="60" w:after="20"/>
      </w:pPr>
      <w:r>
        <w:t xml:space="preserve">CT/MRI/PET disappearance lowers but does not eliminate residual cancer risk; it does not by itself establish persistent unresectability or transplant benefit. DREAM and Oba support original-site mapping and expert MRI/IOUS review while showing that detection accuracy and the benefit of removing every invisible site are separate questions. Wehrle is a selected PET/CEA-defined minimal-disease/treatment-injury experience, not a proven anatomical-NED LT indication: 27 were evaluated, 16 entered, nine were transplanted, six progressed and one died from treatment-associated liver failure. The paper's chemotherapy and NED definitions contain internal inconsistencies. Residual suspicious disease, radiographic NED with preserved function and irreversible treatment-related liver failure must remain separate dispositions.</w:t>
      </w:r>
      <w:r>
        <w:t xml:space="preserve"> </w:t>
      </w:r>
      <w:r>
        <w:t xml:space="preserve"> </w:t>
      </w:r>
      <w:r>
        <w:fldChar w:fldCharType="begin"/>
      </w:r>
      <w:r>
        <w:instrText xml:space="preserve"> ADDIN EN.CITE </w:instrText>
      </w:r>
      <w:r>
        <w:fldChar w:fldCharType="begin">
          <w:fldData>PEVuZE5vdGU+PENpdGU+PEF1dGhvcj5DaCYjMjI1O3Zlei1WaWxsYTwvQXV0aG9yPjxZZWFyPjIwMjM8L1llYXI+PFJlY051bT4xMDwvUmVjTnVtPjxEaXNwbGF5VGV4dD5bVjEyLTEwXTwvRGlzcGxheVRleHQ+PHJlY29yZD48cmVjLW51bWJlcj4xMDwvcmVjLW51bWJlcj48Zm9yZWlnbi1rZXlzPjxrZXkgYXBwPSJFTiIgZGItaWQ9IjYxZjNmZWYwLTc0ZjUtNTMwMC1iMGUwLWNkYjAwNGUyNGUwMiIgdGltZXN0YW1wPSIxNzkyOTIxMDg2Ij4xMDwva2V5PjwvZm9yZWlnbi1rZXlzPjxyZWYtdHlwZSBuYW1lPSJKb3VybmFsIEFydGljbGUiPjE3PC9yZWYtdHlwZT48Y29udHJpYnV0b3JzPjxhdXRob3JzPjxhdXRob3I+Q2gmIzIyNTt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</w:fldData>
        </w:fldChar>
      </w:r>
      <w:r>
        <w:instrText xml:space="preserve"> ADDIN EN.CITE.DATA </w:instrText>
      </w:r>
      <w:r>
        <w:fldChar w:fldCharType="end"/>
      </w:r>
      <w:r>
        <w:fldChar w:fldCharType="separate"/>
      </w:r>
      <w:r>
        <w:t xml:space="preserve">[V12-10]</w:t>
      </w:r>
      <w:r>
        <w:fldChar w:fldCharType="end"/>
      </w:r>
      <w:r>
        <w:t xml:space="preserve"> </w:t>
      </w:r>
      <w:r>
        <w:t xml:space="preserve"> </w:t>
      </w:r>
      <w:r>
        <w:fldChar w:fldCharType="begin"/>
      </w:r>
      <w:r>
        <w:instrText xml:space="preserve"> ADDIN EN.CITE </w:instrText>
      </w:r>
      <w:r>
        <w:fldChar w:fldCharType="begin">
          <w:fldData>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</w:fldData>
        </w:fldChar>
      </w:r>
      <w:r>
        <w:instrText xml:space="preserve"> ADDIN EN.CITE.DATA </w:instrText>
      </w:r>
      <w:r>
        <w:fldChar w:fldCharType="end"/>
      </w:r>
      <w:r>
        <w:fldChar w:fldCharType="separate"/>
      </w:r>
      <w:r>
        <w:t xml:space="preserve">[V12-11]</w:t>
      </w:r>
      <w:r>
        <w:fldChar w:fldCharType="end"/>
      </w:r>
      <w:r>
        <w:t xml:space="preserve"> </w:t>
      </w:r>
      <w:r>
        <w:t xml:space="preserve"> </w:t>
      </w:r>
      <w:r>
        <w:fldChar w:fldCharType="begin"/>
      </w:r>
      <w:r>
        <w:instrText xml:space="preserve"> ADDIN EN.CITE </w:instrText>
      </w:r>
      <w:r>
        <w:fldChar w:fldCharType="begin">
          <w:fldData>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</w:fldData>
        </w:fldChar>
      </w:r>
      <w:r>
        <w:instrText xml:space="preserve"> ADDIN EN.CITE.DATA </w:instrText>
      </w:r>
      <w:r>
        <w:fldChar w:fldCharType="end"/>
      </w:r>
      <w:r>
        <w:fldChar w:fldCharType="separate"/>
      </w:r>
      <w:r>
        <w:t xml:space="preserve">[V12-12]</w:t>
      </w:r>
      <w:r>
        <w:fldChar w:fldCharType="end"/>
      </w:r>
      <w:r>
        <w:t xml:space="preserve"> </w:t>
      </w:r>
      <w:r>
        <w:t xml:space="preserve"> </w:t>
      </w:r>
      <w:r>
        <w:fldChar w:fldCharType="begin"/>
      </w:r>
      <w:r>
        <w:instrText xml:space="preserve"> ADDIN EN.CITE </w:instrText>
      </w:r>
      <w:r>
        <w:fldChar w:fldCharType="begin">
          <w:fldData>PEVuZE5vdGU+PENpdGU+PEF1dGhvcj5XZWhybGU8L0F1dGhvcj48WWVhcj4yMDI0PC9ZZWFyPjxSZWNOdW0+MTM8L1JlY051bT48RGlzcGxheVRleHQ+W1YxMi0xM108L0Rpc3BsYXlUZXh0PjxyZWNvcmQ+PHJlYy1udW1iZXI+MTM8L3JlYy1udW1iZXI+PGZvcmVpZ24ta2V5cz48a2V5IGFwcD0iRU4iIGRiLWlkPSI2MWYzZmVmMC03NGY1LTUzMDAtYjBlMC1jZGIwMDRlMjRlMDIiIHRpbWVzdGFtcD0iMTc5MjkyMTA4NiI+MTM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NjFmM2ZlZjAtNzRmNS01MzAwLWIwZTAtY2RiMDA0ZTI0ZTAy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spacing w:before="60" w:after="20"/>
      </w:pPr>
      <w:r>
        <w:t xml:space="preserve">Some disappearing lesions are genuinely nonviable: DREAM classified 95/152 CT-plus-MRI disappearing lesions as nonviable by pathology or two-year observation; Oba found only 3/68 viable lesions after negative MRI plus CE-IOUS. Conversely, 4/7 complete imaging responders in the explant series had viable cancer. Both prevent a binary 'all scars count' or 'none count' rule. NED patients with preserved liver function lack comparative evidence of benefit from prophylactic LT.</w:t>
      </w:r>
    </w:p>
    <w:p>
      <w:pPr>
        <w:pStyle w:val="Normal"/>
        <w:widowControl/>
        <w:spacing w:before="60" w:after="20"/>
      </w:pPr>
      <w:r>
        <w:rPr>
          <w:b/>
        </w:rPr>
        <w:t xml:space="preserve">Certainty / applicability: </w:t>
      </w:r>
      <w:r>
        <w:t xml:space="preserve">Moderate certainty that imaging disappearance does not reliably prove nonviability; low certainty about the best lesion-management strategy; very low certainty for LT in true radiographic NED or treatment-injury subgroups. Explant findings are diagnostic, not a causal efficacy comparison.</w:t>
      </w:r>
    </w:p>
    <w:p>
      <w:pPr>
        <w:rPr>
          <w:color w:val="A8470A"/>
        </w:rPr>
        <w:pStyle w:val="Heading3"/>
        <w:keepNext/>
        <w:widowControl/>
      </w:pPr>
      <w:r>
        <w:rPr>
          <w:color w:val="A8470A"/>
        </w:rPr>
        <w:t xml:space="preserve">Where each proposed threshold comes from</w:t>
      </w:r>
    </w:p>
    <w:p>
      <w:pPr>
        <w:pStyle w:val="Normal"/>
        <w:widowControl/>
        <w:numPr>
          <w:ilvl w:val="0"/>
          <w:numId w:val="3"/>
        </w:numPr>
        <w:spacing w:before="60" w:after="20"/>
      </w:pPr>
      <w:r>
        <w:t xml:space="preserve">No validated chemotherapy-cycle minimum, scar count, PET-negative interval, ctDNA-negativity requirement or NED duration establishes LT benefit. Proposed approximately eight-week imaging while on active treatment is local workflow, adjustable for clinical need; more sensitive imaging/CE-IOUS informs resection planning but is not a transplant clearance test.</w:t>
      </w:r>
    </w:p>
    <w:p>
      <w:pPr>
        <w:rPr>
          <w:color w:val="A8470A"/>
        </w:rPr>
        <w:pStyle w:val="Heading3"/>
        <w:keepNext/>
        <w:widowControl/>
      </w:pPr>
      <w:r>
        <w:rPr>
          <w:color w:val="A8470A"/>
        </w:rP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Chávez-Villa 2023 · occult disease</w:t>
            </w:r>
            <w:r>
              <w:t xml:space="preserve"> </w:t>
            </w:r>
            <w:r>
              <w:t xml:space="preserve"> </w:t>
            </w:r>
            <w:r>
              <w:fldChar w:fldCharType="begin"/>
            </w:r>
            <w:r>
              <w:instrText xml:space="preserve"> ADDIN EN.CITE </w:instrText>
            </w:r>
            <w:r>
              <w:fldChar w:fldCharType="begin">
                <w:fldData>PEVuZE5vdGU+PENpdGU+PEF1dGhvcj5DaCYjMjI1O3Zlei1WaWxsYTwvQXV0aG9yPjxZZWFyPjIwMjM8L1llYXI+PFJlY051bT4xMDwvUmVjTnVtPjxEaXNwbGF5VGV4dD5bVjEyLTEwXTwvRGlzcGxheVRleHQ+PHJlY29yZD48cmVjLW51bWJlcj4xMDwvcmVjLW51bWJlcj48Zm9yZWlnbi1rZXlzPjxrZXkgYXBwPSJFTiIgZGItaWQ9IjYxZjNmZWYwLTc0ZjUtNTMwMC1iMGUwLWNkYjAwNGUyNGUwMiIgdGltZXN0YW1wPSIxNzkyOTIxMDg2Ij4xMDwva2V5PjwvZm9yZWlnbi1rZXlzPjxyZWYtdHlwZSBuYW1lPSJKb3VybmFsIEFydGljbGUiPjE3PC9yZWYtdHlwZT48Y29udHJpYnV0b3JzPjxhdXRob3JzPjxhdXRob3I+Q2gmIzIyNTt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</w:fldData>
              </w:fldChar>
            </w:r>
            <w:r>
              <w:instrText xml:space="preserve"> ADDIN EN.CITE.DATA </w:instrText>
            </w:r>
            <w:r>
              <w:fldChar w:fldCharType="end"/>
            </w:r>
            <w:r>
              <w:fldChar w:fldCharType="separate"/>
            </w:r>
            <w:r>
              <w:t xml:space="preserve">[V12-10]</w:t>
            </w:r>
            <w:r>
              <w:fldChar w:fldCharType="end"/>
            </w:r>
          </w:p>
          <w:p>
            <w:pPr>
              <w:pStyle w:val="Normal"/>
              <w:widowControl/>
              <w:spacing w:before="60" w:after="20"/>
            </w:pPr>
            <w:r>
              <w:t xml:space="preserve">“4 (57.1%) of the 7 patients who demonstrated complete radiographic response harbored viable carcinoma on explant pathology.”</w:t>
            </w:r>
          </w:p>
          <w:p>
            <w:pPr>
              <w:pStyle w:val="Normal"/>
              <w:widowControl/>
              <w:spacing w:before="60" w:after="20"/>
            </w:pPr>
            <w:r>
              <w:t xml:space="preserve">Published PDF p1 / journal pe1026, abstract Results</w:t>
            </w:r>
          </w:p>
          <w:p>
            <w:pPr>
              <w:pStyle w:val="Normal"/>
              <w:widowControl/>
              <w:spacing w:before="60" w:after="20"/>
            </w:pPr>
            <w:hyperlink r:id="rId36">
              <w:r>
                <w:rPr>
                  <w:color w:val="77230C"/>
                  <w:sz w:val="20"/>
                  <w:u w:val="single"/>
                </w:rPr>
                <w:t>Source</w:t>
              </w:r>
            </w:hyperlink>
            <w:r>
              <w:t xml:space="preserve"> | </w:t>
            </w:r>
            <w:hyperlink r:id="rId3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Imaging can miss viable tumor; this selected series does not prove comparative benefit from transplanting all NED patients.</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Do not activate LT solely for presumed microscopic disease in radiographic NED; separate residual cancer from treatment-related liver failure.</w:t>
      </w:r>
      <w:r>
        <w:t xml:space="preserve"> </w:t>
      </w:r>
      <w:r>
        <w:t xml:space="preserve"> </w:t>
      </w:r>
      <w:r>
        <w:fldChar w:fldCharType="begin"/>
      </w:r>
      <w:r>
        <w:instrText xml:space="preserve"> ADDIN EN.CITE </w:instrText>
      </w:r>
      <w:r>
        <w:fldChar w:fldCharType="begin">
          <w:fldData>PEVuZE5vdGU+PENpdGU+PEF1dGhvcj5DaCYjMjI1O3Zlei1WaWxsYTwvQXV0aG9yPjxZZWFyPjIwMjM8L1llYXI+PFJlY051bT4xMDwvUmVjTnVtPjxEaXNwbGF5VGV4dD5bVjEyLTEwXTwvRGlzcGxheVRleHQ+PHJlY29yZD48cmVjLW51bWJlcj4xMDwvcmVjLW51bWJlcj48Zm9yZWlnbi1rZXlzPjxrZXkgYXBwPSJFTiIgZGItaWQ9IjYxZjNmZWYwLTc0ZjUtNTMwMC1iMGUwLWNkYjAwNGUyNGUwMiIgdGltZXN0YW1wPSIxNzkyOTIxMDg2Ij4xMDwva2V5PjwvZm9yZWlnbi1rZXlzPjxyZWYtdHlwZSBuYW1lPSJKb3VybmFsIEFydGljbGUiPjE3PC9yZWYtdHlwZT48Y29udHJpYnV0b3JzPjxhdXRob3JzPjxhdXRob3I+Q2gmIzIyNTt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</w:fldData>
        </w:fldChar>
      </w:r>
      <w:r>
        <w:instrText xml:space="preserve"> ADDIN EN.CITE.DATA </w:instrText>
      </w:r>
      <w:r>
        <w:fldChar w:fldCharType="end"/>
      </w:r>
      <w:r>
        <w:fldChar w:fldCharType="separate"/>
      </w:r>
      <w:r>
        <w:t xml:space="preserve">[V12-10]</w:t>
      </w:r>
      <w:r>
        <w:fldChar w:fldCharType="end"/>
      </w:r>
      <w:r>
        <w:t xml:space="preserve"> </w:t>
      </w:r>
      <w:r>
        <w:t xml:space="preserve"> </w:t>
      </w:r>
      <w:r>
        <w:fldChar w:fldCharType="begin"/>
      </w:r>
      <w:r>
        <w:instrText xml:space="preserve"> ADDIN EN.CITE </w:instrText>
      </w:r>
      <w:r>
        <w:fldChar w:fldCharType="begin">
          <w:fldData>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</w:fldData>
        </w:fldChar>
      </w:r>
      <w:r>
        <w:instrText xml:space="preserve"> ADDIN EN.CITE.DATA </w:instrText>
      </w:r>
      <w:r>
        <w:fldChar w:fldCharType="end"/>
      </w:r>
      <w:r>
        <w:fldChar w:fldCharType="separate"/>
      </w:r>
      <w:r>
        <w:t xml:space="preserve">[V12-11]</w:t>
      </w:r>
      <w:r>
        <w:fldChar w:fldCharType="end"/>
      </w:r>
      <w:r>
        <w:t xml:space="preserve"> </w:t>
      </w:r>
      <w:r>
        <w:t xml:space="preserve"> </w:t>
      </w:r>
      <w:r>
        <w:fldChar w:fldCharType="begin"/>
      </w:r>
      <w:r>
        <w:instrText xml:space="preserve"> ADDIN EN.CITE </w:instrText>
      </w:r>
      <w:r>
        <w:fldChar w:fldCharType="begin">
          <w:fldData>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</w:fldData>
        </w:fldChar>
      </w:r>
      <w:r>
        <w:instrText xml:space="preserve"> ADDIN EN.CITE.DATA </w:instrText>
      </w:r>
      <w:r>
        <w:fldChar w:fldCharType="end"/>
      </w:r>
      <w:r>
        <w:fldChar w:fldCharType="separate"/>
      </w:r>
      <w:r>
        <w:t xml:space="preserve">[V12-12]</w:t>
      </w:r>
      <w:r>
        <w:fldChar w:fldCharType="end"/>
      </w:r>
      <w:r>
        <w:t xml:space="preserve"> </w:t>
      </w:r>
      <w:r>
        <w:t xml:space="preserve"> </w:t>
      </w:r>
      <w:r>
        <w:fldChar w:fldCharType="begin"/>
      </w:r>
      <w:r>
        <w:instrText xml:space="preserve"> ADDIN EN.CITE </w:instrText>
      </w:r>
      <w:r>
        <w:fldChar w:fldCharType="begin">
          <w:fldData>PEVuZE5vdGU+PENpdGU+PEF1dGhvcj5XZWhybGU8L0F1dGhvcj48WWVhcj4yMDI0PC9ZZWFyPjxSZWNOdW0+MTM8L1JlY051bT48RGlzcGxheVRleHQ+W1YxMi0xM108L0Rpc3BsYXlUZXh0PjxyZWNvcmQ+PHJlYy1udW1iZXI+MTM8L3JlYy1udW1iZXI+PGZvcmVpZ24ta2V5cz48a2V5IGFwcD0iRU4iIGRiLWlkPSI2MWYzZmVmMC03NGY1LTUzMDAtYjBlMC1jZGIwMDRlMjRlMDIiIHRpbWVzdGFtcD0iMTc5MjkyMTA4NiI+MTM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NjFmM2ZlZjAtNzRmNS01MzAwLWIwZTAtY2RiMDA0ZTI0ZTAy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Residual unresectable disease: convincing viable/suspicious disease on appropriate cross-sectional imaging may proceed to B1 review even if PET is negative.</w:t>
      </w:r>
    </w:p>
    <w:p>
      <w:pPr>
        <w:pStyle w:val="Normal"/>
        <w:widowControl/>
        <w:numPr>
          <w:ilvl w:val="1"/>
          <w:numId w:val="3"/>
        </w:numPr>
        <w:spacing w:before="60" w:after="20"/>
      </w:pPr>
      <w:r>
        <w:t xml:space="preserve">PET negativity alone does not prove cure.</w:t>
      </w:r>
    </w:p>
    <w:p>
      <w:pPr>
        <w:pStyle w:val="Normal"/>
        <w:widowControl/>
        <w:numPr>
          <w:ilvl w:val="0"/>
          <w:numId w:val="3"/>
        </w:numPr>
      </w:pPr>
      <w:r>
        <w:t xml:space="preserve">Radiographic NED/occult-residual-risk: no convincing remaining disease on high-quality staging.</w:t>
      </w:r>
    </w:p>
    <w:p>
      <w:pPr>
        <w:pStyle w:val="Normal"/>
        <w:widowControl/>
        <w:numPr>
          <w:ilvl w:val="1"/>
          <w:numId w:val="3"/>
        </w:numPr>
        <w:spacing w:before="60" w:after="20"/>
      </w:pPr>
      <w:r>
        <w:t xml:space="preserve">Maintain the original lesion map, continue appropriate oncology care and reassess in about eight weeks; LT for presumed microscopic risk requires a separately approved NED study.</w:t>
      </w:r>
    </w:p>
    <w:p>
      <w:pPr>
        <w:pStyle w:val="Normal"/>
        <w:widowControl/>
        <w:numPr>
          <w:ilvl w:val="0"/>
          <w:numId w:val="3"/>
        </w:numPr>
      </w:pPr>
      <w:r>
        <w:t xml:space="preserve">Irreversible treatment-related liver failure: evaluate a separate liver-failure indication with independent hepatology and oncologic-suitability review.</w:t>
      </w:r>
    </w:p>
    <w:p>
      <w:pPr>
        <w:pStyle w:val="Normal"/>
        <w:widowControl/>
        <w:numPr>
          <w:ilvl w:val="1"/>
          <w:numId w:val="3"/>
        </w:numPr>
        <w:spacing w:before="60" w:after="20"/>
      </w:pPr>
      <w:r>
        <w:t xml:space="preserve">Do not relabel it active unresectable cancer.</w:t>
      </w:r>
    </w:p>
    <w:p>
      <w:pPr>
        <w:pStyle w:val="Normal"/>
        <w:widowControl/>
        <w:numPr>
          <w:ilvl w:val="1"/>
          <w:numId w:val="3"/>
        </w:numPr>
        <w:spacing w:before="60" w:after="20"/>
      </w:pPr>
      <w:r>
        <w:t xml:space="preserve">Do not stop effective treatment to provoke recurrence or biopsy every scar.</w:t>
      </w:r>
    </w:p>
    <w:p>
      <w:pPr>
        <w:pStyle w:val="Normal"/>
        <w:widowControl/>
        <w:numPr>
          <w:ilvl w:val="0"/>
          <w:numId w:val="3"/>
        </w:numPr>
      </w:pPr>
      <w:r>
        <w:t xml:space="preserve">Keep all original lesion sites mapped.</w:t>
      </w:r>
    </w:p>
    <w:p>
      <w:pPr>
        <w:pStyle w:val="Normal"/>
        <w:widowControl/>
        <w:numPr>
          <w:ilvl w:val="1"/>
          <w:numId w:val="3"/>
        </w:numPr>
        <w:spacing w:before="60" w:after="20"/>
      </w:pPr>
      <w:r>
        <w:t xml:space="preserve">Disappearance does not establish eradication, but uncertain microscopic viability alone does not establish persistent unresectability or transplant benefit; diagnostic accuracy and treatment benefit are different questions.</w:t>
      </w:r>
    </w:p>
    <w:p>
      <w:pPr>
        <w:pStyle w:val="Normal"/>
        <w:widowControl/>
        <w:numPr>
          <w:ilvl w:val="0"/>
          <w:numId w:val="3"/>
        </w:numPr>
      </w:pPr>
      <w:r>
        <w:t xml:space="preserve">Do not escalate treatment with the purpose of causing liver failure or making LT necessary.</w:t>
      </w:r>
    </w:p>
    <w:p>
      <w:pPr>
        <w:pStyle w:val="Normal"/>
        <w:widowControl/>
        <w:numPr>
          <w:ilvl w:val="1"/>
          <w:numId w:val="3"/>
        </w:numPr>
        <w:spacing w:before="60" w:after="20"/>
      </w:pPr>
      <w:r>
        <w:t xml:space="preserve">At each treatment change, document hepatic reserve, expected oncologic benefit, foreseeable liver injury and whether toxicity requires holding therapy; include pre-LT fatal/nonfatal harms in the all-entered denominator.</w:t>
      </w:r>
    </w:p>
    <w:p>
      <w:pPr>
        <w:pStyle w:val="Normal"/>
        <w:widowControl/>
        <w:spacing w:before="60" w:after="20"/>
      </w:pPr>
      <w:r>
        <w:rPr>
          <w:b/>
        </w:rPr>
        <w:t xml:space="preserve">Why retain or change it: </w:t>
      </w:r>
      <w:r>
        <w:t xml:space="preserve">Retain three separate OPEN dispositions. (1) Residual suspicious lesions or original-site anatomy that still prevents safe complete clearance: return to B1 expert certification, with imaging uncertainty documented. (2) True radiographic NED and preserved liver function: no automatic oncologic LT activation; multidisciplinary surveillance/non-LT care, with any future NED-LT study unopened and separately justified. (3) Irreversible liver failure/biliary injury after appropriate treatment: independent hepatology/transplant assessment of native-liver indication and cancer-recurrence risk, not reclassification as proven persistent viable CRLM. Do not biopsy every scar or stop effective therapy to provoke measurable disease. Decision remains blank.</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Expert comparison of pretreatment and current liver MRI/CT; systemic staging; treatment dates and PET interpretation; liver reserve; separate adjudication of NED versus suspicious residual sites.</w:t>
      </w:r>
    </w:p>
    <w:p>
      <w:pPr>
        <w:pStyle w:val="Normal"/>
        <w:widowControl/>
        <w:spacing w:before="60" w:after="20"/>
      </w:pPr>
      <w:r>
        <w:rPr>
          <w:b/>
        </w:rPr>
        <w:t xml:space="preserve">Clinical versus allocation: </w:t>
      </w:r>
      <w:r>
        <w:t xml:space="preserve">A separate liver-failure indication does not automatically meet the CRLM exception pathway. Obtain case-specific clinical and allocation adjudication.</w:t>
      </w:r>
    </w:p>
    <w:p>
      <w:pPr>
        <w:pStyle w:val="Normal"/>
        <w:widowControl/>
        <w:spacing w:before="60" w:after="20"/>
      </w:pPr>
      <w:r>
        <w:rPr>
          <w:b/>
        </w:rPr>
        <w:t xml:space="preserve">Roadmap / protocol reconciliation: </w:t>
      </w:r>
      <w:r>
        <w:t xml:space="preserve">Preserve disappearing-lesion mapping and conversion assessment in the CRLM roadmap; do not manufacture measurable disease for eligibility.</w:t>
      </w:r>
    </w:p>
    <w:p>
      <w:pPr>
        <w:pStyle w:val="Normal"/>
        <w:widowControl/>
        <w:spacing w:before="60" w:after="20"/>
      </w:pPr>
      <w:hyperlink r:id="rId38">
        <w:r>
          <w:rPr>
            <w:color w:val="77230C"/>
            <w:sz w:val="20"/>
            <w:u w:val="single"/>
          </w:rPr>
          <w:t>Meeting record: CRLM-B2</w:t>
        </w:r>
      </w:hyperlink>
      <w:r>
        <w:t xml:space="preserve">  |  </w:t>
      </w:r>
      <w:hyperlink r:id="rId3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2"/>
        <w:keepNext/>
        <w:widowControl/>
      </w:pPr>
      <w:r>
        <w:rPr>
          <w:color w:val="A8470A"/>
        </w:rPr>
        <w:t xml:space="preserve">3 Guidance aligned criteria and proposed expansions</w:t>
      </w:r>
    </w:p>
    <w:p>
      <w:pPr>
        <w:pStyle w:val="Normal"/>
        <w:widowControl/>
        <w:numPr>
          <w:ilvl w:val="0"/>
          <w:numId w:val="3"/>
        </w:numPr>
      </w:pPr>
      <w:r>
        <w:t xml:space="preserve">Current NLRB guidance requires BRAF wild type and microsatellite stability; KRAS mutation is not an automatic exclusion. Primary resection requires negative margins and no local recurrence. A non-V600E BRAF mutation is not silently equivalent to BRAF wild type.</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2MWYzZmVmMC03NGY1LTUzMDAtYjBlMC1jZGIwMDRlMjRlMDI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numPr>
          <w:ilvl w:val="0"/>
          <w:numId w:val="3"/>
        </w:numPr>
      </w:pPr>
      <w:r>
        <w:t xml:space="preserve">Record at least 12 months from CRLM diagnosis to the initial exception request, not simply from primary resection, and the specified stability/regression interval of at least six months. The guidance includes additional timing conditions for synchronous disease. These are access criteria to document, not instructions to delay clinically indicated primary treatment.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2MWYzZmVmMC03NGY1LTUzMDAtYjBlMC1jZGIwMDRlMjRlMDI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numPr>
          <w:ilvl w:val="0"/>
          <w:numId w:val="3"/>
        </w:numPr>
      </w:pPr>
      <w:r>
        <w:t xml:space="preserve">For the guidance route, document that no pretreatment liver lesion exceeded 10 cm, required therapy was delivered, and CT/MRI plus PET show no extrahepatic disease or local relapse within one month before the initial request. Colonoscopy must meet the guidance window. The guidance also specifies a chemotherapy pause of at least four weeks before pretransplant PET; oncology must assess safety and scheduling rather than interrupt effective therapy automatically.</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2MWYzZmVmMC03NGY1LTUzMDAtYjBlMC1jZGIwMDRlMjRlMDI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numPr>
          <w:ilvl w:val="0"/>
          <w:numId w:val="3"/>
        </w:numPr>
      </w:pPr>
      <w:r>
        <w:t xml:space="preserve">The initial CEA exclusion is above 80 micrograms/L, whereas extension wording requires below 80. An exact value of 80 therefore needs explicit clarification. Guidance defines progression as more than 10% diameter growth or a new lesion despite referencing RECIST 1.1; do not silently substitute conventional RECIST progression.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2MWYzZmVmMC03NGY1LTUzMDAtYjBlMC1jZGIwMDRlMjRlMDI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numPr>
          <w:ilvl w:val="0"/>
          <w:numId w:val="3"/>
        </w:numPr>
      </w:pPr>
      <w:r>
        <w:t xml:space="preserve">R1 primary margins, extrahepatic disease after primary resection outside the primary nodal field, BRAF-mutant or MSI-H disease, progression and unmet timing criteria are outside the specified guidance. Cleared lung or distant nodal disease requires a separate research rationale; it is not covered by response alone.</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2MWYzZmVmMC03NGY1LTUzMDAtYjBlMC1jZGIwMDRlMjRlMDI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pPr>
      <w:r>
        <w:t xml:space="preserve">SECA-II arm D reported only ten extended-criteria recipients, with median DFS approximately four months and OS approximately 18 months. This cautions against relaxing several features together; it does not estimate the effect of each individual deviation.</w:t>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ItMTRdPC9EaXNwbGF5VGV4dD48cmVjb3JkPjxyZWMtbnVtYmVyPjE0PC9yZWMtbnVtYmVyPjxmb3JlaWduLWtleXM+PGtleSBhcHA9IkVOIiBkYi1pZD0iNjFmM2ZlZjAtNzRmNS01MzAwLWIwZTAtY2RiMDA0ZTI0ZTAyIiB0aW1lc3RhbXA9IjE3OTI5MjEw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NvbXBsZXRlIGxvY2FsIHByaW1hcnkgUERGIGF2YWlsYWJsZTsgcmVsZXZhbnQgbWV0aG9kcywgc2VsZWN0aW9uLCByZXN1bHRzIGFuZCBsaW1pdGF0aW9ucyByZXZpZXdlZCBUZW4gYnJvYWRseSBleHBhbmRlZCByZWNpcGllbnRzOyBtZWRpYW4gREZTIGZvdXIgbW9udGhzLCBPUyAxOCBtb250aHMuIE11bHRpcGxlIGFkdmVyc2UgZmVhdHVyZXMgcHJldmVudCBpc29sYXRpbmcgYW55IG9uZSBkZXZpYXRpb24sIGluY2x1ZGluZyBwcmlvciBsdW5nIGRpc2Vhc2UuPC9ub3Rlcz48dXJscz48cmVsYXRlZC11cmxzPjx1cmw+aHR0cHM6Ly9kb2kub3JnLzEwLjEwMDIvYmpzNS41MDI3OD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p>
    <w:p>
      <w:pPr>
        <w:rPr>
          <w:color w:val="A8470A"/>
        </w:rPr>
        <w:pStyle w:val="Heading3"/>
        <w:keepNext/>
        <w:widowControl/>
      </w:pPr>
      <w:bookmarkStart w:id="3" w:name="CRLM_B3"/>
      <w:r>
        <w:rPr>
          <w:color w:val="A8470A"/>
        </w:rPr>
        <w:t xml:space="preserve">CRLM-B3 — Which molecular or extrahepatic expansions should be studied?</w:t>
      </w:r>
      <w:bookmarkEnd w:id="3"/>
    </w:p>
    <w:p>
      <w:pPr>
        <w:rPr>
          <w:color w:val="A8470A"/>
        </w:rPr>
        <w:pStyle w:val="Heading3"/>
        <w:keepNext/>
        <w:widowControl/>
      </w:pPr>
      <w:r>
        <w:rPr>
          <w:color w:val="A8470A"/>
        </w:rPr>
        <w:t xml:space="preserve">Question and comparison</w:t>
      </w:r>
    </w:p>
    <w:p>
      <w:pPr>
        <w:pStyle w:val="Normal"/>
        <w:widowControl/>
        <w:spacing w:before="60" w:after="20"/>
      </w:pPr>
      <w:r>
        <w:t xml:space="preserve">Which molecular, extrahepatic, CEA, response-duration and metabolic criteria can safely expand CRLM LT eligibility, and which are merely prognostic or allocation constraints?</w:t>
      </w:r>
    </w:p>
    <w:p>
      <w:pPr>
        <w:rPr>
          <w:color w:val="A8470A"/>
        </w:rPr>
        <w:pStyle w:val="Heading3"/>
        <w:keepNext/>
        <w:widowControl/>
      </w:pPr>
      <w:r>
        <w:rPr>
          <w:color w:val="A8470A"/>
        </w:rP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TransMet 2024</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NjFmM2ZlZjAtNzRmNS01MzAwLWIwZTAtY2RiMDA0ZTI0ZTAy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spacing w:before="60" w:after="20"/>
            </w:pPr>
            <w:r>
              <w:t xml:space="preserve">Multicentre open-label randomized trial, 20 European centres, 157 screened and 94 randomized (47 LT-plus-chemotherapy, 47 chemotherapy); 63 screened excluded, including 13 with equivocal unresectability and 36 with progression.</w:t>
            </w:r>
          </w:p>
          <w:p>
            <w:pPr>
              <w:pStyle w:val="Normal"/>
              <w:widowControl/>
              <w:spacing w:before="60" w:after="20"/>
            </w:pPr>
            <w:hyperlink r:id="rId40">
              <w:r>
                <w:rPr>
                  <w:color w:val="77230C"/>
                  <w:sz w:val="20"/>
                  <w:u w:val="single"/>
                </w:rPr>
                <w:t>Primary source</w:t>
              </w:r>
            </w:hyperlink>
            <w:r>
              <w:t xml:space="preserve"> | </w:t>
            </w:r>
            <w:hyperlink r:id="rId41">
              <w:r>
                <w:rPr>
                  <w:color w:val="77230C"/>
                  <w:sz w:val="20"/>
                  <w:u w:val="single"/>
                </w:rPr>
                <w:t>Full-text PDF</w:t>
              </w:r>
            </w:hyperlink>
          </w:p>
          <w:p>
            <w:pPr>
              <w:pStyle w:val="Normal"/>
              <w:widowControl/>
              <w:spacing w:before="60" w:after="20"/>
            </w:pPr>
            <w:r>
              <w:t xml:space="preserve">Locator: Interim safety Methods PDF 3; final Methods.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pStyle w:val="Normal"/>
              <w:widowControl/>
              <w:spacing w:before="60" w:after="20"/>
            </w:pPr>
            <w:r>
              <w:rPr>
                <w:b/>
              </w:rPr>
              <w:t xml:space="preserve">Do not infer: </w:t>
            </w:r>
            <w:r>
              <w:t xml:space="preserve">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tc>
      </w:tr>
      <w:tr>
        <w:trPr/>
        <w:tc>
          <w:tcPr>
            <w:tcW w:w="3400" w:type="dxa"/>
            <w:tcMar>
              <w:top w:w="90" w:type="dxa"/>
              <w:left w:w="90" w:type="dxa"/>
              <w:bottom w:w="90" w:type="dxa"/>
              <w:right w:w="90" w:type="dxa"/>
            </w:tcMar>
          </w:tcPr>
          <w:p>
            <w:pPr>
              <w:pStyle w:val="Normal"/>
              <w:widowControl/>
              <w:spacing w:before="60" w:after="20"/>
            </w:pPr>
            <w:r>
              <w:rPr>
                <w:b/>
              </w:rPr>
              <w:t xml:space="preserve">Dueland 2026 · SECA-II ten-year</w:t>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Mi04XTwvRGlzcGxheVRleHQ+PHJlY29yZD48cmVjLW51bWJlcj44PC9yZWMtbnVtYmVyPjxmb3JlaWduLWtleXM+PGtleSBhcHA9IkVOIiBkYi1pZD0iNjFmM2ZlZjAtNzRmNS01MzAwLWIwZTAtY2RiMDA0ZTI0ZTAyIiB0aW1lc3RhbXA9IjE3OTI5MjEwODY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p>
          <w:p>
            <w:pPr>
              <w:pStyle w:val="Normal"/>
              <w:widowControl/>
              <w:spacing w:before="60" w:after="20"/>
            </w:pPr>
            <w:r>
              <w:t xml:space="preserve">Twenty-five consecutive SECA-II recipients April 2012–November 2023; one metachronous, 24 synchronous. This expands and overlaps the original 15-patient SECA-II cohort, not an independent trial. A patient dying about four weeks after LT is included in OS/RFS but excluded from the 24-patient baseline and other analyses. Of those 24, CEA 1–33, largest lesion 4–48 mm, Oslo 0–2, only two MTV &gt;70 cm³; one ascending primary and one pN2.</w:t>
            </w:r>
          </w:p>
          <w:p>
            <w:pPr>
              <w:pStyle w:val="Normal"/>
              <w:widowControl/>
              <w:spacing w:before="60" w:after="20"/>
            </w:pPr>
            <w:hyperlink r:id="rId42">
              <w:r>
                <w:rPr>
                  <w:color w:val="77230C"/>
                  <w:sz w:val="20"/>
                  <w:u w:val="single"/>
                </w:rPr>
                <w:t>Primary source</w:t>
              </w:r>
            </w:hyperlink>
            <w:r>
              <w:t xml:space="preserve"> | </w:t>
            </w:r>
            <w:hyperlink r:id="rId43">
              <w:r>
                <w:rPr>
                  <w:color w:val="77230C"/>
                  <w:sz w:val="20"/>
                  <w:u w:val="single"/>
                </w:rPr>
                <w:t>Full-text PDF</w:t>
              </w:r>
            </w:hyperlink>
          </w:p>
          <w:p>
            <w:pPr>
              <w:pStyle w:val="Normal"/>
              <w:widowControl/>
              <w:spacing w:before="60" w:after="20"/>
            </w:pPr>
            <w:r>
              <w:t xml:space="preserve">Locator: PDF pp 2–3 methods and Results/Table 1; pp 4–5 relapse, potential-cure discussion and harms; pp 5–6 limitations.</w:t>
            </w:r>
          </w:p>
          <w:p>
            <w:pPr>
              <w:pStyle w:val="Normal"/>
              <w:widowControl/>
              <w:spacing w:before="60" w:after="20"/>
            </w:pPr>
            <w:r>
              <w:t xml:space="preserve">Review depth: Complete seven-page advance-online main article read, including all figures, table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Analysis to 1 January 2025. OS/RFS measured from LT. Median follow-up in living patients 97.2 months by reverse KM. Fourteen followed &gt;5 years, six ≥10 years. Twelve recurrences; postrecurrence survival starts at recurrence. Median OS 128.2 months (95% CI 74.8–181.6); five-/ten-year OS 77.8%/51.5%. Median RFS 24.3 months; 12/25 recurrences (six lung-only first relapse). Median survival after recurrence 62.9 months (25.7–101.1). Twelve without relapse for median 74 months (13–122); four ≥10 years. Four cancer deaths occurred &gt;5 years after LT. Long-term survival or salvaged NED is not proof of cure. Five grade IIIa complications, three grade IIIb and one grade V death from hepatic artery thrombosis. One patient was transplanted with progressive disease on a CT performed locally the preceding day because the result was unknown to the transplant centre. This is a process failure, not a validated expansion criterion.</w:t>
            </w:r>
          </w:p>
          <w:p>
            <w:pPr>
              <w:pStyle w:val="Normal"/>
              <w:widowControl/>
              <w:spacing w:before="60" w:after="20"/>
            </w:pPr>
            <w:r>
              <w:rPr>
                <w:b/>
              </w:rPr>
              <w:t xml:space="preserve">Do not infer: </w:t>
            </w:r>
            <w:r>
              <w:t xml:space="preserve">Single-centre selected nonrandomised recipient cohort, no contemporary control or screened denominator. Long-term tail small. Abstract says up to 15 potentially cured; body says up to 13 and relies partly on short recurrence-free intervals. Neither is a measured cure fraction. Discussion's assertion that RFS is invalid is stronger than the data: RFS remains relevant for recurrence burden, but is insufficient alone to measure benefit when salvage prolongs survival. Methods refer eligibility to reference 16, the SECA-I paper; cross-check original SECA-II Table 1 rather than assuming identical criteria. Table/source typographical inconsistencies do not alter the observed OS estimates. Supplement access: No separate supplementary file cited in this article.</w:t>
            </w:r>
          </w:p>
        </w:tc>
      </w:tr>
      <w:tr>
        <w:trPr/>
        <w:tc>
          <w:tcPr>
            <w:tcW w:w="3400" w:type="dxa"/>
            <w:tcMar>
              <w:top w:w="90" w:type="dxa"/>
              <w:left w:w="90" w:type="dxa"/>
              <w:bottom w:w="90" w:type="dxa"/>
              <w:right w:w="90" w:type="dxa"/>
            </w:tcMar>
          </w:tcPr>
          <w:p>
            <w:pPr>
              <w:pStyle w:val="Normal"/>
              <w:widowControl/>
              <w:spacing w:before="60" w:after="20"/>
            </w:pPr>
            <w:r>
              <w:rPr>
                <w:b/>
              </w:rPr>
              <w:t xml:space="preserve">SECA-II arm D</w:t>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ItMTRdPC9EaXNwbGF5VGV4dD48cmVjb3JkPjxyZWMtbnVtYmVyPjE0PC9yZWMtbnVtYmVyPjxmb3JlaWduLWtleXM+PGtleSBhcHA9IkVOIiBkYi1pZD0iNjFmM2ZlZjAtNzRmNS01MzAwLWIwZTAtY2RiMDA0ZTI0ZTAyIiB0aW1lc3RhbXA9IjE3OTI5MjEw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NvbXBsZXRlIGxvY2FsIHByaW1hcnkgUERGIGF2YWlsYWJsZTsgcmVsZXZhbnQgbWV0aG9kcywgc2VsZWN0aW9uLCByZXN1bHRzIGFuZCBsaW1pdGF0aW9ucyByZXZpZXdlZCBUZW4gYnJvYWRseSBleHBhbmRlZCByZWNpcGllbnRzOyBtZWRpYW4gREZTIGZvdXIgbW9udGhzLCBPUyAxOCBtb250aHMuIE11bHRpcGxlIGFkdmVyc2UgZmVhdHVyZXMgcHJldmVudCBpc29sYXRpbmcgYW55IG9uZSBkZXZpYXRpb24sIGluY2x1ZGluZyBwcmlvciBsdW5nIGRpc2Vhc2UuPC9ub3Rlcz48dXJscz48cmVsYXRlZC11cmxzPjx1cmw+aHR0cHM6Ly9kb2kub3JnLzEwLjEwMDIvYmpzNS41MDI3OD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p>
          <w:p>
            <w:pPr>
              <w:pStyle w:val="Normal"/>
              <w:widowControl/>
              <w:spacing w:before="60" w:after="20"/>
            </w:pPr>
            <w:r>
              <w:t xml:space="preserve">Prospective SECA-II arm D expanded-criteria cohort, ten recipients, without control.</w:t>
            </w:r>
          </w:p>
          <w:p>
            <w:pPr>
              <w:pStyle w:val="Normal"/>
              <w:widowControl/>
              <w:spacing w:before="60" w:after="20"/>
            </w:pPr>
            <w:hyperlink r:id="rId44">
              <w:r>
                <w:rPr>
                  <w:color w:val="77230C"/>
                  <w:sz w:val="20"/>
                  <w:u w:val="single"/>
                </w:rPr>
                <w:t>Primary source</w:t>
              </w:r>
            </w:hyperlink>
            <w:r>
              <w:t xml:space="preserve"> | </w:t>
            </w:r>
            <w:hyperlink r:id="rId45">
              <w:r>
                <w:rPr>
                  <w:color w:val="77230C"/>
                  <w:sz w:val="20"/>
                  <w:u w:val="single"/>
                </w:rPr>
                <w:t>Full-text PDF</w:t>
              </w:r>
            </w:hyperlink>
          </w:p>
          <w:p>
            <w:pPr>
              <w:pStyle w:val="Normal"/>
              <w:widowControl/>
              <w:spacing w:before="60" w:after="20"/>
            </w:pPr>
            <w:r>
              <w:t xml:space="preserve">Locator: BJS Open 2020;4:467–477; full text methods, Tables 1–3 and survival figures.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LT, median DFS four months and median OS 18 months. Rapid recurrence and limited survival contrast with strictly selected SECA-II, despite use of donor grafts intended to broaden access.</w:t>
            </w:r>
          </w:p>
          <w:p>
            <w:pPr>
              <w:pStyle w:val="Normal"/>
              <w:widowControl/>
              <w:spacing w:before="60" w:after="20"/>
            </w:pPr>
            <w:r>
              <w:rPr>
                <w:b/>
              </w:rPr>
              <w:t xml:space="preserve">Do not infer: </w:t>
            </w:r>
            <w:r>
              <w:t xml:space="preserve">Very small and uncontrolled; simultaneous biologic, anatomic and donor expansions prevent estimating the independent effect of prior pulmonary disease, BRAF status, grade or donor quality. Negative experience argues against opening several expansions at once, not that every single deviation has proven futility.</w:t>
            </w:r>
          </w:p>
        </w:tc>
      </w:tr>
      <w:tr>
        <w:trPr/>
        <w:tc>
          <w:tcPr>
            <w:tcW w:w="3400" w:type="dxa"/>
            <w:tcMar>
              <w:top w:w="90" w:type="dxa"/>
              <w:left w:w="90" w:type="dxa"/>
              <w:bottom w:w="90" w:type="dxa"/>
              <w:right w:w="90" w:type="dxa"/>
            </w:tcMar>
          </w:tcPr>
          <w:p>
            <w:pPr>
              <w:pStyle w:val="Normal"/>
              <w:widowControl/>
              <w:spacing w:before="60" w:after="20"/>
            </w:pPr>
            <w:r>
              <w:rPr>
                <w:b/>
              </w:rPr>
              <w:t xml:space="preserve">Grut 2022 · MTV</w:t>
            </w:r>
            <w:r>
              <w:t xml:space="preserve"> </w:t>
            </w:r>
            <w:r>
              <w:t xml:space="preserve"> </w:t>
            </w:r>
            <w:r>
              <w:fldChar w:fldCharType="begin"/>
            </w:r>
            <w:r>
              <w:instrText xml:space="preserve"> ADDIN EN.CITE </w:instrText>
            </w:r>
            <w:r>
              <w:fldChar w:fldCharType="begin">
                <w:fldData>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</w:fldData>
              </w:fldChar>
            </w:r>
            <w:r>
              <w:instrText xml:space="preserve"> ADDIN EN.CITE.DATA </w:instrText>
            </w:r>
            <w:r>
              <w:fldChar w:fldCharType="end"/>
            </w:r>
            <w:r>
              <w:fldChar w:fldCharType="separate"/>
            </w:r>
            <w:r>
              <w:t xml:space="preserve">[V12-15]</w:t>
            </w:r>
            <w:r>
              <w:fldChar w:fldCharType="end"/>
            </w:r>
          </w:p>
          <w:p>
            <w:pPr>
              <w:pStyle w:val="Normal"/>
              <w:widowControl/>
              <w:spacing w:before="60" w:after="20"/>
            </w:pPr>
            <w:r>
              <w:t xml:space="preserve">Retrospective pooled prognostic analysis of 40 already-transplanted SECA recipients: 23 SECA-I and 17 SECA-II (November 2006–August 2018). ECOG 0–1, radically resected primary, liver-only unresectable metastases. Different trial criteria allowed progression in SECA-I, but not SECA-II.</w:t>
            </w:r>
          </w:p>
          <w:p>
            <w:pPr>
              <w:pStyle w:val="Normal"/>
              <w:widowControl/>
              <w:spacing w:before="60" w:after="20"/>
            </w:pPr>
            <w:hyperlink r:id="rId46">
              <w:r>
                <w:rPr>
                  <w:color w:val="77230C"/>
                  <w:sz w:val="20"/>
                  <w:u w:val="single"/>
                </w:rPr>
                <w:t>Primary source</w:t>
              </w:r>
            </w:hyperlink>
            <w:r>
              <w:t xml:space="preserve"> | </w:t>
            </w:r>
            <w:hyperlink r:id="rId47">
              <w:r>
                <w:rPr>
                  <w:color w:val="77230C"/>
                  <w:sz w:val="20"/>
                  <w:u w:val="single"/>
                </w:rPr>
                <w:t>Full-text PDF</w:t>
              </w:r>
            </w:hyperlink>
          </w:p>
          <w:p>
            <w:pPr>
              <w:pStyle w:val="Normal"/>
              <w:widowControl/>
              <w:spacing w:before="60" w:after="20"/>
            </w:pPr>
            <w:r>
              <w:t xml:space="preserve">Locator: Printed pp 1074–1075 Methods and ROC; Tables 1–2 pp 1075–1076; recurrence p 1077; limitations and scan timing p 1079.</w:t>
            </w:r>
          </w:p>
          <w:p>
            <w:pPr>
              <w:pStyle w:val="Normal"/>
              <w:widowControl/>
              <w:spacing w:before="60" w:after="20"/>
            </w:pPr>
            <w:r>
              <w:t xml:space="preserve">Review depth: Complete nine-page published paper read, including Methods, all tables/figures,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OS/DFS from LT to 22 December 2021, postrecurrence survival from relapse. Twenty-six MTV &lt;70 cm³ and 14 &gt;70; the exact equality boundary was not specified. ROC-derived cutpoint 66.09 rounded to 70. TLG ROC cutpoint 238.80, not 260. Five-/ten-year OS 76%/50% for low MTV versus 21%/7% for high MTV (P&lt;0.001). Median DFS 16 versus 4 months; all 14 high-MTV and 19/26 low-MTV recipients recurred. Five-/ten-year postrecurrence survival 57%/37% versus 14%/7%. No randomized comparison or incremental benefit analysis. High-MTV group had progression in 79% versus 19%, CEA median 95 versus 3, larger lesions 83 versus 29 mm and substantially more second/third-line treatment: strong confounding by biology. PET was performed after a reported chemotherapy pause of four to six weeks. Among 20 scanned &lt;90 days before LT, MTV was strongly associated with OS; among 20 scanned &gt;90 days, P=0.093. Timing subgroup findings do not prove an optimal universal interval.</w:t>
            </w:r>
          </w:p>
          <w:p>
            <w:pPr>
              <w:pStyle w:val="Normal"/>
              <w:widowControl/>
              <w:spacing w:before="60" w:after="20"/>
            </w:pPr>
            <w:r>
              <w:rPr>
                <w:b/>
              </w:rPr>
              <w:t xml:space="preserve">Do not infer: </w:t>
            </w:r>
            <w:r>
              <w:t xml:space="preserve">Threshold derived and assessed in the same small overlapping SECA cohort; no multivariable isolation of MTV and no untreated comparator. TLG separated the identical patients, so it is not independent validation or an additive test. The paper reports no PET-attributable harms; withholding chemotherapy four to six weeks was study practice, not a universally safe requirement. A zero MTV indicates below-threshold FDG uptake, not histological clearance. Supplement access: No separate supplement cited.</w:t>
            </w:r>
          </w:p>
        </w:tc>
      </w:tr>
      <w:tr>
        <w:trPr/>
        <w:tc>
          <w:tcPr>
            <w:tcW w:w="3400" w:type="dxa"/>
            <w:tcMar>
              <w:top w:w="90" w:type="dxa"/>
              <w:left w:w="90" w:type="dxa"/>
              <w:bottom w:w="90" w:type="dxa"/>
              <w:right w:w="90" w:type="dxa"/>
            </w:tcMar>
          </w:tcPr>
          <w:p>
            <w:pPr>
              <w:pStyle w:val="Normal"/>
              <w:widowControl/>
              <w:spacing w:before="60" w:after="20"/>
            </w:pPr>
            <w:r>
              <w:rPr>
                <w:b/>
              </w:rPr>
              <w:t xml:space="preserve">Wehrle 2025 · PET</w:t>
            </w:r>
            <w:r>
              <w:t xml:space="preserve"> </w:t>
            </w:r>
            <w:r>
              <w:t xml:space="preserve"> </w:t>
            </w:r>
            <w:r>
              <w:fldChar w:fldCharType="begin"/>
            </w:r>
            <w:r>
              <w:instrText xml:space="preserve"> ADDIN EN.CITE </w:instrText>
            </w:r>
            <w:r>
              <w:fldChar w:fldCharType="begin">
                <w:fldData>PEVuZE5vdGU+PENpdGU+PEF1dGhvcj5XZWhybGU8L0F1dGhvcj48WWVhcj4yMDI1PC9ZZWFyPjxSZWNOdW0+MTY8L1JlY051bT48RGlzcGxheVRleHQ+W1YxMi0xNl08L0Rpc3BsYXlUZXh0PjxyZWNvcmQ+PHJlYy1udW1iZXI+MTY8L3JlYy1udW1iZXI+PGZvcmVpZ24ta2V5cz48a2V5IGFwcD0iRU4iIGRiLWlkPSI2MWYzZmVmMC03NGY1LTUzMDAtYjBlMC1jZGIwMDRlMjRlMDIiIHRpbWVzdGFtcD0iMTc5MjkyMTA4NiI+MTY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[V12-16]</w:t>
            </w:r>
            <w:r>
              <w:fldChar w:fldCharType="end"/>
            </w:r>
          </w:p>
          <w:p>
            <w:pPr>
              <w:pStyle w:val="Normal"/>
              <w:widowControl/>
              <w:spacing w:before="60" w:after="20"/>
            </w:pPr>
            <w:r>
              <w:t xml:space="preserve">Retrospective two-US-centre study of 26 recipients (24 LDLT), 2017–2023; all Oslo score 0–2. Five had PET MTV ≥70 cm3 and 21 had lower MTV. No nontransplanted comparator.</w:t>
            </w:r>
          </w:p>
          <w:p>
            <w:pPr>
              <w:pStyle w:val="Normal"/>
              <w:widowControl/>
              <w:spacing w:before="60" w:after="20"/>
            </w:pPr>
            <w:hyperlink r:id="rId48">
              <w:r>
                <w:rPr>
                  <w:color w:val="77230C"/>
                  <w:sz w:val="20"/>
                  <w:u w:val="single"/>
                </w:rPr>
                <w:t>Primary source</w:t>
              </w:r>
            </w:hyperlink>
            <w:r>
              <w:t xml:space="preserve"> | </w:t>
            </w:r>
            <w:hyperlink r:id="rId49">
              <w:r>
                <w:rPr>
                  <w:color w:val="77230C"/>
                  <w:sz w:val="20"/>
                  <w:u w:val="single"/>
                </w:rPr>
                <w:t>Full-text PDF</w:t>
              </w:r>
            </w:hyperlink>
          </w:p>
          <w:p>
            <w:pPr>
              <w:pStyle w:val="Normal"/>
              <w:widowControl/>
              <w:spacing w:before="60" w:after="20"/>
            </w:pPr>
            <w:r>
              <w:t xml:space="preserve">Locator: PDF pp 4–6: methods, results and Table 1; pp 7–8: Table 2/explant viability; pp 10–11: chemotherapy timing and limitations.</w:t>
            </w:r>
          </w:p>
          <w:p>
            <w:pPr>
              <w:pStyle w:val="Normal"/>
              <w:widowControl/>
              <w:spacing w:before="60" w:after="20"/>
            </w:pPr>
            <w:r>
              <w:t xml:space="preserve">Review depth: Complete 13-page main paper read, including methods, Tables 1–2, figures/captions,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recipient follow-up 21 months (IQR 11–36); PET within four months of LT, median 1.9 months. Chemotherapy-to-PET interval median 20 days (IQR 0–30), unlike the Oslo four-to-six-week interruption. One-/two-year survival percentages use mature denominators 18/13. Recurrence occurred in four of five high-MTV recipients versus four of 21 low-MTV recipients; two cancer deaths. One-/two-year RFS 15/18 (83%) and 8/13 (62%); OS 18/18 (100%) and 11/13 (85%). Nineteen of 26 explants were viable. All 11 PET-avid cases were viable; eight of 15 nonavid cases were also viable (53.3%). Eight of 19 viable and none of seven nonviable explants recurred. High-MTV patients also had more poorly differentiated tumours (80% versus 14.3%) and higher CEA (35 versus 3.3), without multivariable adjustment.</w:t>
            </w:r>
          </w:p>
          <w:p>
            <w:pPr>
              <w:pStyle w:val="Normal"/>
              <w:widowControl/>
              <w:spacing w:before="60" w:after="20"/>
            </w:pPr>
            <w:r>
              <w:rPr>
                <w:b/>
              </w:rPr>
              <w:t xml:space="preserve">Do not infer: </w:t>
            </w:r>
            <w:r>
              <w:t xml:space="preserve">Reported HR 2.42 with CI 2.2–62.2 is internally inconsistent; do not repair or reuse it without author clarification. Several count/percentage/table inconsistencies: 19/26 incorrectly labelled 69.2%; LDLT subgroup totals conflict; MTV IQR and cohort-centre totals differ. Use explicit raw counts and flag uncertainty. Recent chemotherapy can suppress FDG avidity. PET negativity is not pathological nonviability. Data-derived Youden MTV 1.6 is exploratory, not an alternative eligibility threshold. Small recipient-only cohort with possible overlap with other US series; cannot establish incremental transplant benefit or efficacy of reducing MTV. Supplement access: Supplementary Figures S1/S2 at http://links.lww.com/LVT/A684 are not included or reviewed.</w:t>
            </w:r>
          </w:p>
        </w:tc>
      </w:tr>
      <w:tr>
        <w:trPr/>
        <w:tc>
          <w:tcPr>
            <w:tcW w:w="3400" w:type="dxa"/>
            <w:tcMar>
              <w:top w:w="90" w:type="dxa"/>
              <w:left w:w="90" w:type="dxa"/>
              <w:bottom w:w="90" w:type="dxa"/>
              <w:right w:w="90" w:type="dxa"/>
            </w:tcMar>
          </w:tcPr>
          <w:p>
            <w:pPr>
              <w:pStyle w:val="Normal"/>
              <w:widowControl/>
              <w:spacing w:before="60" w:after="20"/>
            </w:pPr>
            <w:r>
              <w:rPr>
                <w:b/>
              </w:rPr>
              <w:t xml:space="preserve">Wehrle 2023 · ctDNA</w:t>
            </w:r>
            <w:r>
              <w:t xml:space="preserve"> </w:t>
            </w:r>
            <w:r>
              <w:t xml:space="preserve"> </w:t>
            </w:r>
            <w:r>
              <w:fldChar w:fldCharType="begin"/>
            </w:r>
            <w:r>
              <w:instrText xml:space="preserve"> ADDIN EN.CITE </w:instrText>
            </w:r>
            <w:r>
              <w:fldChar w:fldCharType="begin">
                <w:fldData>PEVuZE5vdGU+PENpdGU+PEF1dGhvcj5XZWhybGU8L0F1dGhvcj48WWVhcj4yMDIzPC9ZZWFyPjxSZWNOdW0+MTc8L1JlY051bT48RGlzcGxheVRleHQ+W1YxMi0xN108L0Rpc3BsYXlUZXh0PjxyZWNvcmQ+PHJlYy1udW1iZXI+MTc8L3JlYy1udW1iZXI+PGZvcmVpZ24ta2V5cz48a2V5IGFwcD0iRU4iIGRiLWlkPSI2MWYzZmVmMC03NGY1LTUzMDAtYjBlMC1jZGIwMDRlMjRlMDIiIHRpbWVzdGFtcD0iMTc5MjkyMTA4NiI+MTc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[V12-17]</w:t>
            </w:r>
            <w:r>
              <w:fldChar w:fldCharType="end"/>
            </w:r>
          </w:p>
          <w:p>
            <w:pPr>
              <w:pStyle w:val="Normal"/>
              <w:widowControl/>
              <w:spacing w:before="60" w:after="20"/>
            </w:pPr>
            <w:r>
              <w:t xml:space="preserve">Exploratory January–August 2022 CRLM series: 52 patients, described as 34 preoperative and 18 postoperative tests; nine paired pre/postoperative samples. Twenty-nine operations comprised 24 resections and five LT. Guardant360 tumour-agnostic 83-gene assay.</w:t>
            </w:r>
          </w:p>
          <w:p>
            <w:pPr>
              <w:pStyle w:val="Normal"/>
              <w:widowControl/>
              <w:spacing w:before="60" w:after="20"/>
            </w:pPr>
            <w:hyperlink r:id="rId50">
              <w:r>
                <w:rPr>
                  <w:color w:val="77230C"/>
                  <w:sz w:val="20"/>
                  <w:u w:val="single"/>
                </w:rPr>
                <w:t>Primary source</w:t>
              </w:r>
            </w:hyperlink>
            <w:r>
              <w:t xml:space="preserve"> | </w:t>
            </w:r>
            <w:hyperlink r:id="rId51">
              <w:r>
                <w:rPr>
                  <w:color w:val="77230C"/>
                  <w:sz w:val="20"/>
                  <w:u w:val="single"/>
                </w:rPr>
                <w:t>Full-text PDF</w:t>
              </w:r>
            </w:hyperlink>
          </w:p>
          <w:p>
            <w:pPr>
              <w:pStyle w:val="Normal"/>
              <w:widowControl/>
              <w:spacing w:before="60" w:after="20"/>
            </w:pPr>
            <w:r>
              <w:t xml:space="preserve">Locator: PDF p 3: Results/Table 1; pp 4–5: paired cohort/Table 2; p 6: Figure 4; p 7: donor-derived/nononcologic DNA; p 8: limitations; p 10: appendix.</w:t>
            </w:r>
          </w:p>
          <w:p>
            <w:pPr>
              <w:pStyle w:val="Normal"/>
              <w:widowControl/>
              <w:spacing w:before="60" w:after="20"/>
            </w:pPr>
            <w:r>
              <w:t xml:space="preserve">Review depth: Complete ten-page paper read, including methods, Tables 1–2, figures, discussion and Appendix 1.</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Only four LT recipients had paired samples. Postoperative draws ranged from nine to 191 days and preoperative draws from one to 146 days. Mean postoperative follow-up 271 days overall; paired-LT follow-up mean 574 days (160–1160). These are not uniform landmark analyses. All nine paired patients had preoperative ctDNA; three remained positive postoperatively. Three of four paired LT recipients cleared ctDNA; none of the four recurred during reported follow-up. The Results describe 14 positive plus six negative postoperative tests, totaling 20, despite stating a postoperative cohort of 18; the associated eight of 14 versus zero of six recurrence comparison must not be presented as a reliable LT risk estimate. One post-LT NOTCH1-positive patient was NED at 4.5 years; newly detected variants may be donor-derived or nononcologic.</w:t>
            </w:r>
          </w:p>
          <w:p>
            <w:pPr>
              <w:pStyle w:val="Normal"/>
              <w:widowControl/>
              <w:spacing w:before="60" w:after="20"/>
            </w:pPr>
            <w:r>
              <w:rPr>
                <w:b/>
              </w:rPr>
              <w:t xml:space="preserve">Do not infer: </w:t>
            </w:r>
            <w:r>
              <w:t xml:space="preserve">Mixed resection/LT population, very small LT subset, discretionary testing, inconsistent postoperative denominator and variable sample timing. Paired-test P values differ between abstract, body and Table 2; avoid a definitive numerical significance claim. No validated ctDNA threshold for listing, delisting, surveillance escalation or transplant benefit. Tumour mutational burden was not significantly associated with response (P=.1035); no TMB eligibility cutoff. No assay safety problem was established; the important risks are false reassurance and inappropriate exclusion or treatment based on unvalidated results. Supplement access: Appendix 1 is included. No separately supplied supplement.</w:t>
            </w:r>
          </w:p>
        </w:tc>
      </w:tr>
      <w:tr>
        <w:trPr/>
        <w:tc>
          <w:tcPr>
            <w:tcW w:w="3400" w:type="dxa"/>
            <w:tcMar>
              <w:top w:w="90" w:type="dxa"/>
              <w:left w:w="90" w:type="dxa"/>
              <w:bottom w:w="90" w:type="dxa"/>
              <w:right w:w="90" w:type="dxa"/>
            </w:tcMar>
          </w:tcPr>
          <w:p>
            <w:pPr>
              <w:pStyle w:val="Normal"/>
              <w:widowControl/>
              <w:spacing w:before="60" w:after="20"/>
            </w:pPr>
            <w:r>
              <w:rPr>
                <w:b/>
              </w:rPr>
              <w:t xml:space="preserve">IHPBA 2021</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yLTRdPC9EaXNwbGF5VGV4dD48cmVjb3JkPjxyZWMtbnVtYmVyPjQ8L3JlYy1udW1iZXI+PGZvcmVpZ24ta2V5cz48a2V5IGFwcD0iRU4iIGRiLWlkPSI2MWYzZmVmMC03NGY1LTUzMDAtYjBlMC1jZGIwMDRlMjRlMDIiIHRpbWVzdGFtcD0iMTc5MjkyMTA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Q29tcGxldGUgbG9jYWwgcHJpbWFyeSBQREYgYXZhaWxhYmxlOyByZWxldmFudCBtZXRob2RzLCBzZWxlY3Rpb24sIHJlc3VsdHMgYW5kIGxpbWl0YXRpb25zIHJldmlld2VkIFNlbGVjdGlvbiwgYmlvbG9naWNhbCBwcm9nbm9zaXMgYW5kIHRlY2huaWNhbCByZXNlY3RhYmlsaXR5IGhhdmUgZGlzdGluY3Qgcm9sZXMuIEFuIGV4cGVydCByZWNvbW1lbmRhdGlvbiBpcyBub3QgYSBuYXRpb25hbCBhbGxvY2F0aW9uIHJ1bGUuPC9ub3Rlcz48dXJscz48cmVsYXRlZC11cmxzPjx1cmw+aHR0cHM6Ly9kb2kub3JnLzEwLjEwMTYvUzI0NjgtMTI1MygyMSkwMDIxOS0z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p>
          <w:p>
            <w:pPr>
              <w:pStyle w:val="Normal"/>
              <w:widowControl/>
              <w:spacing w:before="60" w:after="20"/>
            </w:pPr>
            <w:r>
              <w:t xml:space="preserve">2021 international multidisciplinary consensus; not a prospective eligibility-strategy trial.</w:t>
            </w:r>
          </w:p>
          <w:p>
            <w:pPr>
              <w:pStyle w:val="Normal"/>
              <w:widowControl/>
              <w:spacing w:before="60" w:after="20"/>
            </w:pPr>
            <w:hyperlink r:id="rId52">
              <w:r>
                <w:rPr>
                  <w:color w:val="77230C"/>
                  <w:sz w:val="20"/>
                  <w:u w:val="single"/>
                </w:rPr>
                <w:t>Primary source</w:t>
              </w:r>
            </w:hyperlink>
            <w:r>
              <w:t xml:space="preserve"> | </w:t>
            </w:r>
            <w:hyperlink r:id="rId53">
              <w:r>
                <w:rPr>
                  <w:color w:val="77230C"/>
                  <w:sz w:val="20"/>
                  <w:u w:val="single"/>
                </w:rPr>
                <w:t>Full-text PDF</w:t>
              </w:r>
            </w:hyperlink>
          </w:p>
          <w:p>
            <w:pPr>
              <w:pStyle w:val="Normal"/>
              <w:widowControl/>
              <w:spacing w:before="60" w:after="20"/>
            </w:pPr>
            <w:r>
              <w:t xml:space="preserve">Locator: Lancet Gastroenterol Hepatol 2021;6:933–946; full PDF selection, molecular, PET and tumour-response statements.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original randomized outcome denominator. Consensus suggests response/observation, CEA trajectory and PET burden (MTV 70 cm³/TLG 260) as risk criteria. Rising CEA &gt;80 is treated more adversely than falling CEA.</w:t>
            </w:r>
          </w:p>
          <w:p>
            <w:pPr>
              <w:pStyle w:val="Normal"/>
              <w:widowControl/>
              <w:spacing w:before="60" w:after="20"/>
            </w:pPr>
            <w:r>
              <w:rPr>
                <w:b/>
              </w:rPr>
              <w:t xml:space="preserve">Do not infer: </w:t>
            </w:r>
            <w:r>
              <w:t xml:space="preserve">Expert recommendations differ from current NLRB wording and TransMet criteria; do not merge them into a falsely universal threshold. Non-V600E BRAF is not thereby proven safe for LT, and contemporary guidance requests BRAF-wild-type tumours.</w:t>
            </w:r>
          </w:p>
        </w:tc>
      </w:tr>
      <w:tr>
        <w:trPr/>
        <w:tc>
          <w:tcPr>
            <w:tcW w:w="34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2MWYzZmVmMC03NGY1LTUzMDAtYjBlMC1jZGIwMDRlMjRlMDI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spacing w:before="60" w:after="20"/>
            </w:pPr>
            <w:r>
              <w:t xml:space="preserve">Official Adult MELD Exceptions for Transplant Oncology guidance, December 2025 posting checked 24 October 2026. Allocation-review guidance, not national clinical policy or proof of efficacy.</w:t>
            </w:r>
          </w:p>
          <w:p>
            <w:pPr>
              <w:pStyle w:val="Normal"/>
              <w:widowControl/>
              <w:spacing w:before="60" w:after="20"/>
            </w:pPr>
            <w:hyperlink r:id="rId54">
              <w:r>
                <w:rPr>
                  <w:color w:val="77230C"/>
                  <w:sz w:val="20"/>
                  <w:u w:val="single"/>
                </w:rPr>
                <w:t>Primary source</w:t>
              </w:r>
            </w:hyperlink>
            <w:r>
              <w:t xml:space="preserve"> | </w:t>
            </w:r>
            <w:hyperlink r:id="rId55">
              <w:r>
                <w:rPr>
                  <w:color w:val="77230C"/>
                  <w:sz w:val="20"/>
                  <w:u w:val="single"/>
                </w:rPr>
                <w:t>Full-text PDF</w:t>
              </w:r>
            </w:hyperlink>
          </w:p>
          <w:p>
            <w:pPr>
              <w:pStyle w:val="Normal"/>
              <w:widowControl/>
              <w:spacing w:before="60" w:after="20"/>
            </w:pPr>
            <w:r>
              <w:t xml:space="preserve">Locator: Official PDF NET pp.8–9; CRLM pp.9–10; introduction on purpose/status.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efficacy denominator. NET guidance has no explicit numerical age or hepatic-volume cutoff. CRLM wording excludes &gt;10% diameter growth or new lesions and labels this RECIST 1.1, although conventional RECIST 1.1 progression generally uses at least 20% summed-diameter increase plus an absolute change; record both, do not silently equate them.</w:t>
            </w:r>
          </w:p>
          <w:p>
            <w:pPr>
              <w:pStyle w:val="Normal"/>
              <w:widowControl/>
              <w:spacing w:before="60" w:after="20"/>
            </w:pPr>
            <w:r>
              <w:rPr>
                <w:b/>
              </w:rPr>
              <w:t xml:space="preserve">Do not infer: </w:t>
            </w:r>
            <w:r>
              <w:t xml:space="preserve">Clinical judgment, exception endorsement and graft availability are distinct. A reasonable research hypothesis or living donor does not override allocation guidance or demonstrate acceptable benefit. At exactly CEA 80 the initial/extension wording differs; the draft's strict &lt;80 harmonization is a conservative local rule.</w:t>
            </w:r>
          </w:p>
        </w:tc>
      </w:tr>
      <w:tr>
        <w:trPr/>
        <w:tc>
          <w:tcPr>
            <w:tcW w:w="3400" w:type="dxa"/>
            <w:tcMar>
              <w:top w:w="90" w:type="dxa"/>
              <w:left w:w="90" w:type="dxa"/>
              <w:bottom w:w="90" w:type="dxa"/>
              <w:right w:w="90" w:type="dxa"/>
            </w:tcMar>
          </w:tcPr>
          <w:p>
            <w:pPr>
              <w:pStyle w:val="Normal"/>
              <w:widowControl/>
              <w:spacing w:before="60" w:after="20"/>
            </w:pPr>
            <w:r>
              <w:rPr>
                <w:b/>
              </w:rPr>
              <w:t xml:space="preserve">Adam 2024</w:t>
            </w:r>
            <w:r>
              <w:t xml:space="preserve"> </w:t>
            </w:r>
            <w:r>
              <w:t xml:space="preserve"> </w:t>
            </w:r>
            <w:r>
              <w:fldChar w:fldCharType="begin"/>
            </w:r>
            <w:r>
              <w:instrText xml:space="preserve"> ADDIN EN.CITE </w:instrText>
            </w:r>
            <w:r>
              <w:fldChar w:fldCharType="begin">
                <w:fldData>PEVuZE5vdGU+PENpdGU+PEF1dGhvcj5BZGFtPC9BdXRob3I+PFllYXI+MjAyNDwvWWVhcj48UmVjTnVtPjE4PC9SZWNOdW0+PERpc3BsYXlUZXh0PltWMTItMThdPC9EaXNwbGF5VGV4dD48cmVjb3JkPjxyZWMtbnVtYmVyPjE4PC9yZWMtbnVtYmVyPjxmb3JlaWduLWtleXM+PGtleSBhcHA9IkVOIiBkYi1pZD0iNjFmM2ZlZjAtNzRmNS01MzAwLWIwZTAtY2RiMDA0ZTI0ZTAyIiB0aW1lc3RhbXA9IjE3OTI5MjEwODYiPjE4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[V12-18]</w:t>
            </w:r>
            <w:r>
              <w:fldChar w:fldCharType="end"/>
            </w:r>
          </w:p>
          <w:p>
            <w:pPr>
              <w:pStyle w:val="Normal"/>
              <w:widowControl/>
              <w:spacing w:before="60" w:after="20"/>
            </w:pPr>
            <w:r>
              <w:t xml:space="preserve">Unplanned interim safety/feasibility analysis of TransMet RCT; 157 evaluated, 94 randomized, 47 per arm, 38 protocol-LT recipients.</w:t>
            </w:r>
          </w:p>
          <w:p>
            <w:pPr>
              <w:pStyle w:val="Normal"/>
              <w:widowControl/>
              <w:spacing w:before="60" w:after="20"/>
            </w:pPr>
            <w:hyperlink r:id="rId56">
              <w:r>
                <w:rPr>
                  <w:color w:val="77230C"/>
                  <w:sz w:val="20"/>
                  <w:u w:val="single"/>
                </w:rPr>
                <w:t>Primary source</w:t>
              </w:r>
            </w:hyperlink>
            <w:r>
              <w:t xml:space="preserve"> | </w:t>
            </w:r>
            <w:hyperlink r:id="rId57">
              <w:r>
                <w:rPr>
                  <w:color w:val="77230C"/>
                  <w:sz w:val="20"/>
                  <w:u w:val="single"/>
                </w:rPr>
                <w:t>Full-text PDF</w:t>
              </w:r>
            </w:hyperlink>
          </w:p>
          <w:p>
            <w:pPr>
              <w:pStyle w:val="Normal"/>
              <w:widowControl/>
              <w:spacing w:before="60" w:after="20"/>
            </w:pPr>
            <w:r>
              <w:t xml:space="preserve">Locator: Methods pp 3–4; detailed eligibility/dropout pp 4–5; Table 1 pp 6–7; complications Table 2 p 8; discussion p 9.</w:t>
            </w:r>
          </w:p>
          <w:p>
            <w:pPr>
              <w:pStyle w:val="Normal"/>
              <w:widowControl/>
              <w:spacing w:before="60" w:after="20"/>
            </w:pPr>
            <w:r>
              <w:t xml:space="preserve">Review depth: Complete ten-page open-access primary article read; matched index PDF rejected and actual complete article located.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Methods p 3: stable or partial RECIST response on last regimen ≥3 months within ≤3 chemotherapy lines; not objective response only. BRAF mutation excluded; CEA &lt;80 ng/mL OR ≥50% reduction was the trial rule, not the same as current NLRB.; Independent committee rejected 63/157. Detailed reasons: intrahepatic progression 18, extrahepatic 16, both two, equivocal unresectability 13, &gt;3 lines/resistance five, miscellaneous nine.; 38/47 reached LT after median 51 days; nine did not, including three occult metastatic nodes at laparotomy and one new prostate cancer. Eighty-one percent feasibility applies to selected/randomized candidates, not all screened.; Three of 38 retransplanted; one of 38 postoperative deaths. Grade ≥IIIb complications in 14/41 explored patients (24 events), not 14/38.; 26/38 received postoperative chemotherapy at median 71 days; this descriptive exposure does not establish adjuvant efficacy.; Table 1 p 6: KRAS 11/47 in LT arm and NRAS six (one missing); do not call the combined 17 KRAS-mutant.</w:t>
            </w:r>
          </w:p>
          <w:p>
            <w:pPr>
              <w:pStyle w:val="Normal"/>
              <w:widowControl/>
              <w:spacing w:before="60" w:after="20"/>
            </w:pPr>
            <w:r>
              <w:rPr>
                <w:b/>
              </w:rPr>
              <w:t xml:space="preserve">Do not infer: </w:t>
            </w:r>
            <w:r>
              <w:t xml:space="preserve">Unplanned interim analysis, incomplete long-term endpoint reporting; overlap with final TransMet RCT, not independent replication.; Abstract/discussion groups 50 exclusions as progression but detailed Results include other reasons; use detailed counts.; No universal two-month deadline or priority entitlement follows from allocation priority used in participating countries.; Main paper's frozen-section workup does not establish mandatory systematic portal lymphadenectomy.</w:t>
            </w:r>
          </w:p>
        </w:tc>
      </w:tr>
    </w:tbl>
    <w:p>
      <w:pPr>
        <w:rPr>
          <w:color w:val="A8470A"/>
        </w:rPr>
        <w:pStyle w:val="Heading3"/>
        <w:keepNext/>
        <w:widowControl/>
      </w:pPr>
      <w:r>
        <w:rPr>
          <w:color w:val="A8470A"/>
        </w:rPr>
        <w:t xml:space="preserve">Synthesis and evidence that challenges the proposal</w:t>
      </w:r>
    </w:p>
    <w:p>
      <w:pPr>
        <w:pStyle w:val="Normal"/>
        <w:widowControl/>
        <w:spacing w:before="60" w:after="20"/>
      </w:pPr>
      <w:r>
        <w:t xml:space="preserve">BRAF-wild-type, controlled liver-only disease with a cleared primary has the strongest treatment evidence. RAS-mutant disease was allowed in TransMet (17/47 assigned LT; the final Table 1 reports combined RAS, not KRAS alone), so a blanket KRAS ban would exceed evidence; that does not prove every molecular subgroup derives equal benefit. Arm D is a warning against stacking expansions. PET/Oslo/CEA markers forecast prognosis in recipients but have not demonstrated that crossing a threshold changes the incremental benefit of LT over modern non-LT care. The 40-patient PET study's approximately 70-cm3 MTV threshold was ROC-derived (66.09 rounded) in overlapping Oslo recipients; its TLG threshold was 238.8, not a universal 260. US PET results are confounded by treatment timing and adverse tumour factors, with an internally inconsistent HR/CI. The ctDNA study has only four paired LT recipients and a postoperative denominator conflict. None establishes a ctDNA-negative or PET-negative requirement, a causal PET-downstaging target, or safe molecular/extrahepatic expansion.</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NjFmM2ZlZjAtNzRmNS01MzAwLWIwZTAtY2RiMDA0ZTI0ZTAy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Mi04XTwvRGlzcGxheVRleHQ+PHJlY29yZD48cmVjLW51bWJlcj44PC9yZWMtbnVtYmVyPjxmb3JlaWduLWtleXM+PGtleSBhcHA9IkVOIiBkYi1pZD0iNjFmM2ZlZjAtNzRmNS01MzAwLWIwZTAtY2RiMDA0ZTI0ZTAyIiB0aW1lc3RhbXA9IjE3OTI5MjEwODY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ItMTRdPC9EaXNwbGF5VGV4dD48cmVjb3JkPjxyZWMtbnVtYmVyPjE0PC9yZWMtbnVtYmVyPjxmb3JlaWduLWtleXM+PGtleSBhcHA9IkVOIiBkYi1pZD0iNjFmM2ZlZjAtNzRmNS01MzAwLWIwZTAtY2RiMDA0ZTI0ZTAyIiB0aW1lc3RhbXA9IjE3OTI5MjEw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NvbXBsZXRlIGxvY2FsIHByaW1hcnkgUERGIGF2YWlsYWJsZTsgcmVsZXZhbnQgbWV0aG9kcywgc2VsZWN0aW9uLCByZXN1bHRzIGFuZCBsaW1pdGF0aW9ucyByZXZpZXdlZCBUZW4gYnJvYWRseSBleHBhbmRlZCByZWNpcGllbnRzOyBtZWRpYW4gREZTIGZvdXIgbW9udGhzLCBPUyAxOCBtb250aHMuIE11bHRpcGxlIGFkdmVyc2UgZmVhdHVyZXMgcHJldmVudCBpc29sYXRpbmcgYW55IG9uZSBkZXZpYXRpb24sIGluY2x1ZGluZyBwcmlvciBsdW5nIGRpc2Vhc2UuPC9ub3Rlcz48dXJscz48cmVsYXRlZC11cmxzPjx1cmw+aHR0cHM6Ly9kb2kub3JnLzEwLjEwMDIvYmpzNS41MDI3OD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r>
        <w:t xml:space="preserve"> </w:t>
      </w:r>
      <w:r>
        <w:t xml:space="preserve"> </w:t>
      </w:r>
      <w:r>
        <w:fldChar w:fldCharType="begin"/>
      </w:r>
      <w:r>
        <w:instrText xml:space="preserve"> ADDIN EN.CITE </w:instrText>
      </w:r>
      <w:r>
        <w:fldChar w:fldCharType="begin">
          <w:fldData>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</w:fldData>
        </w:fldChar>
      </w:r>
      <w:r>
        <w:instrText xml:space="preserve"> ADDIN EN.CITE.DATA </w:instrText>
      </w:r>
      <w:r>
        <w:fldChar w:fldCharType="end"/>
      </w:r>
      <w:r>
        <w:fldChar w:fldCharType="separate"/>
      </w:r>
      <w:r>
        <w:t xml:space="preserve">[V12-15]</w:t>
      </w:r>
      <w:r>
        <w:fldChar w:fldCharType="end"/>
      </w:r>
      <w:r>
        <w:t xml:space="preserve"> </w:t>
      </w:r>
      <w:r>
        <w:t xml:space="preserve"> </w:t>
      </w:r>
      <w:r>
        <w:fldChar w:fldCharType="begin"/>
      </w:r>
      <w:r>
        <w:instrText xml:space="preserve"> ADDIN EN.CITE </w:instrText>
      </w:r>
      <w:r>
        <w:fldChar w:fldCharType="begin">
          <w:fldData>PEVuZE5vdGU+PENpdGU+PEF1dGhvcj5XZWhybGU8L0F1dGhvcj48WWVhcj4yMDI1PC9ZZWFyPjxSZWNOdW0+MTY8L1JlY051bT48RGlzcGxheVRleHQ+W1YxMi0xNl08L0Rpc3BsYXlUZXh0PjxyZWNvcmQ+PHJlYy1udW1iZXI+MTY8L3JlYy1udW1iZXI+PGZvcmVpZ24ta2V5cz48a2V5IGFwcD0iRU4iIGRiLWlkPSI2MWYzZmVmMC03NGY1LTUzMDAtYjBlMC1jZGIwMDRlMjRlMDIiIHRpbWVzdGFtcD0iMTc5MjkyMTA4NiI+MTY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[V12-16]</w:t>
      </w:r>
      <w:r>
        <w:fldChar w:fldCharType="end"/>
      </w:r>
      <w:r>
        <w:t xml:space="preserve"> </w:t>
      </w:r>
      <w:r>
        <w:t xml:space="preserve"> </w:t>
      </w:r>
      <w:r>
        <w:fldChar w:fldCharType="begin"/>
      </w:r>
      <w:r>
        <w:instrText xml:space="preserve"> ADDIN EN.CITE </w:instrText>
      </w:r>
      <w:r>
        <w:fldChar w:fldCharType="begin">
          <w:fldData>PEVuZE5vdGU+PENpdGU+PEF1dGhvcj5XZWhybGU8L0F1dGhvcj48WWVhcj4yMDIzPC9ZZWFyPjxSZWNOdW0+MTc8L1JlY051bT48RGlzcGxheVRleHQ+W1YxMi0xN108L0Rpc3BsYXlUZXh0PjxyZWNvcmQ+PHJlYy1udW1iZXI+MTc8L3JlYy1udW1iZXI+PGZvcmVpZ24ta2V5cz48a2V5IGFwcD0iRU4iIGRiLWlkPSI2MWYzZmVmMC03NGY1LTUzMDAtYjBlMC1jZGIwMDRlMjRlMDIiIHRpbWVzdGFtcD0iMTc5MjkyMTA4NiI+MTc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[V12-17]</w:t>
      </w:r>
      <w:r>
        <w:fldChar w:fldCharType="end"/>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yLTRdPC9EaXNwbGF5VGV4dD48cmVjb3JkPjxyZWMtbnVtYmVyPjQ8L3JlYy1udW1iZXI+PGZvcmVpZ24ta2V5cz48a2V5IGFwcD0iRU4iIGRiLWlkPSI2MWYzZmVmMC03NGY1LTUzMDAtYjBlMC1jZGIwMDRlMjRlMDIiIHRpbWVzdGFtcD0iMTc5MjkyMTA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Q29tcGxldGUgbG9jYWwgcHJpbWFyeSBQREYgYXZhaWxhYmxlOyByZWxldmFudCBtZXRob2RzLCBzZWxlY3Rpb24sIHJlc3VsdHMgYW5kIGxpbWl0YXRpb25zIHJldmlld2VkIFNlbGVjdGlvbiwgYmlvbG9naWNhbCBwcm9nbm9zaXMgYW5kIHRlY2huaWNhbCByZXNlY3RhYmlsaXR5IGhhdmUgZGlzdGluY3Qgcm9sZXMuIEFuIGV4cGVydCByZWNvbW1lbmRhdGlvbiBpcyBub3QgYSBuYXRpb25hbCBhbGxvY2F0aW9uIHJ1bGUuPC9ub3Rlcz48dXJscz48cmVsYXRlZC11cmxzPjx1cmw+aHR0cHM6Ly9kb2kub3JnLzEwLjEwMTYvUzI0NjgtMTI1MygyMSkwMDIxOS0z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2MWYzZmVmMC03NGY1LTUzMDAtYjBlMC1jZGIwMDRlMjRlMDI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BZGFtPC9BdXRob3I+PFllYXI+MjAyNDwvWWVhcj48UmVjTnVtPjE4PC9SZWNOdW0+PERpc3BsYXlUZXh0PltWMTItMThdPC9EaXNwbGF5VGV4dD48cmVjb3JkPjxyZWMtbnVtYmVyPjE4PC9yZWMtbnVtYmVyPjxmb3JlaWduLWtleXM+PGtleSBhcHA9IkVOIiBkYi1pZD0iNjFmM2ZlZjAtNzRmNS01MzAwLWIwZTAtY2RiMDA0ZTI0ZTAyIiB0aW1lc3RhbXA9IjE3OTI5MjEwODYiPjE4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[V12-18]</w:t>
      </w:r>
      <w:r>
        <w:fldChar w:fldCharType="end"/>
      </w:r>
    </w:p>
    <w:p>
      <w:pPr>
        <w:pStyle w:val="Normal"/>
        <w:widowControl/>
        <w:numPr>
          <w:ilvl w:val="0"/>
          <w:numId w:val="3"/>
        </w:numPr>
        <w:spacing w:before="60" w:after="20"/>
      </w:pPr>
      <w:r>
        <w:t xml:space="preserve">IHPBA specifically excludes BRAF V600E, whereas NLRB requests BRAF wild type; non-V600E cases are therefore a true guideline/research gap, not automatically eligible. TransMet accepted CEA &lt;80 OR a ≥50% decline, unlike the draft strict &lt;80 rule. SECA-II's excellent long-term outcomes mostly occurred with CEA ≤33, small lesions and low MTV; they cannot establish safety at every nominal upper limit. Negative ctDNA has not been validated to rescue other exclusion criteria.</w:t>
      </w:r>
    </w:p>
    <w:p>
      <w:pPr>
        <w:pStyle w:val="Normal"/>
        <w:widowControl/>
        <w:spacing w:before="60" w:after="20"/>
      </w:pPr>
      <w:r>
        <w:rPr>
          <w:b/>
        </w:rPr>
        <w:t xml:space="preserve">Certainty / applicability: </w:t>
      </w:r>
      <w:r>
        <w:t xml:space="preserve">Moderate-to-high for narrow TransMet eligibility; low/very low for non-V600E BRAF, prior pulmonary disease, R1 primary, ECOG 2, or ctDNA-directed selection. Prognostic association does not equal predictive treatment-benefit validation. Allocation criteria have authoritative administrative status but are not randomized cutoff evidence.</w:t>
      </w:r>
    </w:p>
    <w:p>
      <w:pPr>
        <w:rPr>
          <w:color w:val="A8470A"/>
        </w:rPr>
        <w:pStyle w:val="Heading3"/>
        <w:keepNext/>
        <w:widowControl/>
      </w:pPr>
      <w:r>
        <w:rPr>
          <w:color w:val="A8470A"/>
        </w:rPr>
        <w:t xml:space="preserve">Where each proposed threshold comes from</w:t>
      </w:r>
    </w:p>
    <w:p>
      <w:pPr>
        <w:pStyle w:val="Normal"/>
        <w:widowControl/>
        <w:numPr>
          <w:ilvl w:val="0"/>
          <w:numId w:val="3"/>
        </w:numPr>
        <w:spacing w:before="60" w:after="20"/>
      </w:pPr>
      <w:r>
        <w:t xml:space="preserve">Current NLRB contains six-month/12-month/10-cm/CEA requirements and &gt;10% growth wording. TransMet used at least three months control and a CEA-decline alternative. Oslo &gt;5.5 cm, CEA &gt;80, &lt;2 years and progression are prognostic score components; MTV ~70 is data-derived; TLG 260 is consensus, not the same as Grut's 238.8. Resetting a six-month clock after confirmed progression and requiring repeat CEA are proposed local safeguards, not validated rescue rules.</w:t>
      </w:r>
    </w:p>
    <w:p>
      <w:pPr>
        <w:rPr>
          <w:color w:val="A8470A"/>
        </w:rPr>
        <w:pStyle w:val="Heading3"/>
        <w:keepNext/>
        <w:widowControl/>
      </w:pPr>
      <w:r>
        <w:rPr>
          <w:color w:val="A8470A"/>
        </w:rP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2MWYzZmVmMC03NGY1LTUzMDAtYjBlMC1jZGIwMDRlMjRlMDI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spacing w:before="60" w:after="20"/>
            </w:pPr>
            <w:r>
              <w:t xml:space="preserve">“BRAF wild type, microsatellite stable”</w:t>
            </w:r>
          </w:p>
          <w:p>
            <w:pPr>
              <w:pStyle w:val="Normal"/>
              <w:widowControl/>
              <w:spacing w:before="60" w:after="20"/>
            </w:pPr>
            <w:r>
              <w:t xml:space="preserve">December 2025 oncology guidance p9, initial CRLM exception criteria</w:t>
            </w:r>
          </w:p>
          <w:p>
            <w:pPr>
              <w:pStyle w:val="Normal"/>
              <w:widowControl/>
              <w:spacing w:before="60" w:after="20"/>
            </w:pPr>
            <w:hyperlink r:id="rId58">
              <w:r>
                <w:rPr>
                  <w:color w:val="77230C"/>
                  <w:sz w:val="20"/>
                  <w:u w:val="single"/>
                </w:rPr>
                <w:t>Source</w:t>
              </w:r>
            </w:hyperlink>
            <w:r>
              <w:t xml:space="preserve"> | </w:t>
            </w:r>
            <w:hyperlink r:id="rId59">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Molecular guidance is more specific than simply “favorable biology”; KRAS is not stated as a blanket exclusion.</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SECA-II arm D</w:t>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ItMTRdPC9EaXNwbGF5VGV4dD48cmVjb3JkPjxyZWMtbnVtYmVyPjE0PC9yZWMtbnVtYmVyPjxmb3JlaWduLWtleXM+PGtleSBhcHA9IkVOIiBkYi1pZD0iNjFmM2ZlZjAtNzRmNS01MzAwLWIwZTAtY2RiMDA0ZTI0ZTAyIiB0aW1lc3RhbXA9IjE3OTI5MjEw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NvbXBsZXRlIGxvY2FsIHByaW1hcnkgUERGIGF2YWlsYWJsZTsgcmVsZXZhbnQgbWV0aG9kcywgc2VsZWN0aW9uLCByZXN1bHRzIGFuZCBsaW1pdGF0aW9ucyByZXZpZXdlZCBUZW4gYnJvYWRseSBleHBhbmRlZCByZWNpcGllbnRzOyBtZWRpYW4gREZTIGZvdXIgbW9udGhzLCBPUyAxOCBtb250aHMuIE11bHRpcGxlIGFkdmVyc2UgZmVhdHVyZXMgcHJldmVudCBpc29sYXRpbmcgYW55IG9uZSBkZXZpYXRpb24sIGluY2x1ZGluZyBwcmlvciBsdW5nIGRpc2Vhc2UuPC9ub3Rlcz48dXJscz48cmVsYXRlZC11cmxzPjx1cmw+aHR0cHM6Ly9kb2kub3JnLzEwLjEwMDIvYmpzNS41MDI3OD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p>
          <w:p>
            <w:pPr>
              <w:pStyle w:val="Normal"/>
              <w:widowControl/>
              <w:spacing w:before="60" w:after="20"/>
            </w:pPr>
            <w:r>
              <w:t xml:space="preserve">“Median disease-free and overall survival was 4 and 18 months respectively.”</w:t>
            </w:r>
          </w:p>
          <w:p>
            <w:pPr>
              <w:pStyle w:val="Normal"/>
              <w:widowControl/>
              <w:spacing w:before="60" w:after="20"/>
            </w:pPr>
            <w:r>
              <w:t xml:space="preserve">Published PDF p1 / journal p467, abstract Results</w:t>
            </w:r>
          </w:p>
          <w:p>
            <w:pPr>
              <w:pStyle w:val="Normal"/>
              <w:widowControl/>
              <w:spacing w:before="60" w:after="20"/>
            </w:pPr>
            <w:hyperlink r:id="rId60">
              <w:r>
                <w:rPr>
                  <w:color w:val="77230C"/>
                  <w:sz w:val="20"/>
                  <w:u w:val="single"/>
                </w:rPr>
                <w:t>Source</w:t>
              </w:r>
            </w:hyperlink>
            <w:r>
              <w:t xml:space="preserve"> | </w:t>
            </w:r>
            <w:hyperlink r:id="rId61">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Poor outcomes after multiple simultaneous relaxations caution against broad expansion; the study does not isolate any one criterion’s causal effect.</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Do not open molecular/extrahepatic expansions initially; permit KRAS-mutant disease when all other selected criteria are met.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2MWYzZmVmMC03NGY1LTUzMDAtYjBlMC1jZGIwMDRlMjRlMDI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ItMTRdPC9EaXNwbGF5VGV4dD48cmVjb3JkPjxyZWMtbnVtYmVyPjE0PC9yZWMtbnVtYmVyPjxmb3JlaWduLWtleXM+PGtleSBhcHA9IkVOIiBkYi1pZD0iNjFmM2ZlZjAtNzRmNS01MzAwLWIwZTAtY2RiMDA0ZTI0ZTAyIiB0aW1lc3RhbXA9IjE3OTI5MjEw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NvbXBsZXRlIGxvY2FsIHByaW1hcnkgUERGIGF2YWlsYWJsZTsgcmVsZXZhbnQgbWV0aG9kcywgc2VsZWN0aW9uLCByZXN1bHRzIGFuZCBsaW1pdGF0aW9ucyByZXZpZXdlZCBUZW4gYnJvYWRseSBleHBhbmRlZCByZWNpcGllbnRzOyBtZWRpYW4gREZTIGZvdXIgbW9udGhzLCBPUyAxOCBtb250aHMuIE11bHRpcGxlIGFkdmVyc2UgZmVhdHVyZXMgcHJldmVudCBpc29sYXRpbmcgYW55IG9uZSBkZXZpYXRpb24sIGluY2x1ZGluZyBwcmlvciBsdW5nIGRpc2Vhc2UuPC9ub3Rlcz48dXJscz48cmVsYXRlZC11cmxzPjx1cmw+aHR0cHM6Ly9kb2kub3JnLzEwLjEwMDIvYmpzNS41MDI3OD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NjFmM2ZlZjAtNzRmNS01MzAwLWIwZTAtY2RiMDA0ZTI0ZTAy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Mi04XTwvRGlzcGxheVRleHQ+PHJlY29yZD48cmVjLW51bWJlcj44PC9yZWMtbnVtYmVyPjxmb3JlaWduLWtleXM+PGtleSBhcHA9IkVOIiBkYi1pZD0iNjFmM2ZlZjAtNzRmNS01MzAwLWIwZTAtY2RiMDA0ZTI0ZTAyIiB0aW1lc3RhbXA9IjE3OTI5MjEwODY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r>
        <w:t xml:space="preserve"> </w:t>
      </w:r>
      <w:r>
        <w:t xml:space="preserve"> </w:t>
      </w:r>
      <w:r>
        <w:fldChar w:fldCharType="begin"/>
      </w:r>
      <w:r>
        <w:instrText xml:space="preserve"> ADDIN EN.CITE </w:instrText>
      </w:r>
      <w:r>
        <w:fldChar w:fldCharType="begin">
          <w:fldData>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</w:fldData>
        </w:fldChar>
      </w:r>
      <w:r>
        <w:instrText xml:space="preserve"> ADDIN EN.CITE.DATA </w:instrText>
      </w:r>
      <w:r>
        <w:fldChar w:fldCharType="end"/>
      </w:r>
      <w:r>
        <w:fldChar w:fldCharType="separate"/>
      </w:r>
      <w:r>
        <w:t xml:space="preserve">[V12-15]</w:t>
      </w:r>
      <w:r>
        <w:fldChar w:fldCharType="end"/>
      </w:r>
      <w:r>
        <w:t xml:space="preserve"> </w:t>
      </w:r>
      <w:r>
        <w:t xml:space="preserve"> </w:t>
      </w:r>
      <w:r>
        <w:fldChar w:fldCharType="begin"/>
      </w:r>
      <w:r>
        <w:instrText xml:space="preserve"> ADDIN EN.CITE </w:instrText>
      </w:r>
      <w:r>
        <w:fldChar w:fldCharType="begin">
          <w:fldData>PEVuZE5vdGU+PENpdGU+PEF1dGhvcj5XZWhybGU8L0F1dGhvcj48WWVhcj4yMDI1PC9ZZWFyPjxSZWNOdW0+MTY8L1JlY051bT48RGlzcGxheVRleHQ+W1YxMi0xNl08L0Rpc3BsYXlUZXh0PjxyZWNvcmQ+PHJlYy1udW1iZXI+MTY8L3JlYy1udW1iZXI+PGZvcmVpZ24ta2V5cz48a2V5IGFwcD0iRU4iIGRiLWlkPSI2MWYzZmVmMC03NGY1LTUzMDAtYjBlMC1jZGIwMDRlMjRlMDIiIHRpbWVzdGFtcD0iMTc5MjkyMTA4NiI+MTY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[V12-16]</w:t>
      </w:r>
      <w:r>
        <w:fldChar w:fldCharType="end"/>
      </w:r>
      <w:r>
        <w:t xml:space="preserve"> </w:t>
      </w:r>
      <w:r>
        <w:t xml:space="preserve"> </w:t>
      </w:r>
      <w:r>
        <w:fldChar w:fldCharType="begin"/>
      </w:r>
      <w:r>
        <w:instrText xml:space="preserve"> ADDIN EN.CITE </w:instrText>
      </w:r>
      <w:r>
        <w:fldChar w:fldCharType="begin">
          <w:fldData>PEVuZE5vdGU+PENpdGU+PEF1dGhvcj5XZWhybGU8L0F1dGhvcj48WWVhcj4yMDIzPC9ZZWFyPjxSZWNOdW0+MTc8L1JlY051bT48RGlzcGxheVRleHQ+W1YxMi0xN108L0Rpc3BsYXlUZXh0PjxyZWNvcmQ+PHJlYy1udW1iZXI+MTc8L3JlYy1udW1iZXI+PGZvcmVpZ24ta2V5cz48a2V5IGFwcD0iRU4iIGRiLWlkPSI2MWYzZmVmMC03NGY1LTUzMDAtYjBlMC1jZGIwMDRlMjRlMDIiIHRpbWVzdGFtcD0iMTc5MjkyMTA4NiI+MTc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[V12-17]</w:t>
      </w:r>
      <w:r>
        <w:fldChar w:fldCharType="end"/>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yLTRdPC9EaXNwbGF5VGV4dD48cmVjb3JkPjxyZWMtbnVtYmVyPjQ8L3JlYy1udW1iZXI+PGZvcmVpZ24ta2V5cz48a2V5IGFwcD0iRU4iIGRiLWlkPSI2MWYzZmVmMC03NGY1LTUzMDAtYjBlMC1jZGIwMDRlMjRlMDIiIHRpbWVzdGFtcD0iMTc5MjkyMTA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Q29tcGxldGUgbG9jYWwgcHJpbWFyeSBQREYgYXZhaWxhYmxlOyByZWxldmFudCBtZXRob2RzLCBzZWxlY3Rpb24sIHJlc3VsdHMgYW5kIGxpbWl0YXRpb25zIHJldmlld2VkIFNlbGVjdGlvbiwgYmlvbG9naWNhbCBwcm9nbm9zaXMgYW5kIHRlY2huaWNhbCByZXNlY3RhYmlsaXR5IGhhdmUgZGlzdGluY3Qgcm9sZXMuIEFuIGV4cGVydCByZWNvbW1lbmRhdGlvbiBpcyBub3QgYSBuYXRpb25hbCBhbGxvY2F0aW9uIHJ1bGUuPC9ub3Rlcz48dXJscz48cmVsYXRlZC11cmxzPjx1cmw+aHR0cHM6Ly9kb2kub3JnLzEwLjEwMTYvUzI0NjgtMTI1MygyMSkwMDIxOS0z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r>
        <w:t xml:space="preserve"> </w:t>
      </w:r>
      <w:r>
        <w:t xml:space="preserve"> </w:t>
      </w:r>
      <w:r>
        <w:fldChar w:fldCharType="begin"/>
      </w:r>
      <w:r>
        <w:instrText xml:space="preserve"> ADDIN EN.CITE </w:instrText>
      </w:r>
      <w:r>
        <w:fldChar w:fldCharType="begin">
          <w:fldData>PEVuZE5vdGU+PENpdGU+PEF1dGhvcj5BZGFtPC9BdXRob3I+PFllYXI+MjAyNDwvWWVhcj48UmVjTnVtPjE4PC9SZWNOdW0+PERpc3BsYXlUZXh0PltWMTItMThdPC9EaXNwbGF5VGV4dD48cmVjb3JkPjxyZWMtbnVtYmVyPjE4PC9yZWMtbnVtYmVyPjxmb3JlaWduLWtleXM+PGtleSBhcHA9IkVOIiBkYi1pZD0iNjFmM2ZlZjAtNzRmNS01MzAwLWIwZTAtY2RiMDA0ZTI0ZTAyIiB0aW1lc3RhbXA9IjE3OTI5MjEwODYiPjE4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[V12-18]</w:t>
      </w:r>
      <w:r>
        <w:fldChar w:fldCharType="end"/>
      </w:r>
    </w:p>
    <w:p>
      <w:pPr>
        <w:pStyle w:val="Normal"/>
        <w:widowControl/>
        <w:numPr>
          <w:ilvl w:val="0"/>
          <w:numId w:val="3"/>
        </w:numPr>
      </w:pPr>
      <w:r>
        <w:t xml:space="preserve">Initial proposed exclusions: BRAF-mutant disease, MSI-H/dMMR disease, R1 primary margins, prior post-primary extrahepatic metastases, pretreatment liver lesion &gt;10 cm, or progression despite treatment.</w:t>
      </w:r>
    </w:p>
    <w:p>
      <w:pPr>
        <w:pStyle w:val="Normal"/>
        <w:widowControl/>
        <w:numPr>
          <w:ilvl w:val="1"/>
          <w:numId w:val="3"/>
        </w:numPr>
        <w:spacing w:before="60" w:after="20"/>
      </w:pPr>
      <w:r>
        <w:t xml:space="preserve">Preserve these as separate research questions; do not combine several relaxations.</w:t>
      </w:r>
    </w:p>
    <w:p>
      <w:pPr>
        <w:pStyle w:val="Normal"/>
        <w:widowControl/>
        <w:numPr>
          <w:ilvl w:val="0"/>
          <w:numId w:val="3"/>
        </w:numPr>
      </w:pPr>
      <w:r>
        <w:t xml:space="preserve">Proposed CEA gate: strictly &lt;80 ng/mL, including initial activation.</w:t>
      </w:r>
    </w:p>
    <w:p>
      <w:pPr>
        <w:pStyle w:val="Normal"/>
        <w:widowControl/>
        <w:numPr>
          <w:ilvl w:val="1"/>
          <w:numId w:val="3"/>
        </w:numPr>
        <w:spacing w:before="60" w:after="20"/>
      </w:pPr>
      <w:r>
        <w:t xml:space="preserve">Repeat a borderline/unexpected result and review the trajectory; a falling value still ≥80 does not clear this local rule.</w:t>
      </w:r>
    </w:p>
    <w:p>
      <w:pPr>
        <w:pStyle w:val="Normal"/>
        <w:widowControl/>
        <w:numPr>
          <w:ilvl w:val="0"/>
          <w:numId w:val="3"/>
        </w:numPr>
      </w:pPr>
      <w:r>
        <w:t xml:space="preserve">Require ≥6 months of documented control and the applicable ≥12-month CRLM-diagnosis interval.</w:t>
      </w:r>
    </w:p>
    <w:p>
      <w:pPr>
        <w:pStyle w:val="Normal"/>
        <w:widowControl/>
        <w:numPr>
          <w:ilvl w:val="1"/>
          <w:numId w:val="3"/>
        </w:numPr>
        <w:spacing w:before="60" w:after="20"/>
      </w:pPr>
      <w:r>
        <w:t xml:space="preserve">Report ordinary RECIST separately from the NLRB &gt;10% wording; new lesions or concerning growth are HOLD pending central measurement review.</w:t>
      </w:r>
    </w:p>
    <w:p>
      <w:pPr>
        <w:pStyle w:val="Normal"/>
        <w:widowControl/>
        <w:numPr>
          <w:ilvl w:val="0"/>
          <w:numId w:val="3"/>
        </w:numPr>
      </w:pPr>
      <w:r>
        <w:t xml:space="preserve">Confirmed progression resets the proposed six-month control clock after subsequent effective treatment; one improved scan is insufficient.</w:t>
      </w:r>
    </w:p>
    <w:p>
      <w:pPr>
        <w:pStyle w:val="Normal"/>
        <w:widowControl/>
        <w:numPr>
          <w:ilvl w:val="1"/>
          <w:numId w:val="3"/>
        </w:numPr>
        <w:spacing w:before="60" w:after="20"/>
      </w:pPr>
      <w:r>
        <w:t xml:space="preserve">Use the actual application imaging/CEA windows.</w:t>
      </w:r>
    </w:p>
    <w:p>
      <w:pPr>
        <w:pStyle w:val="Normal"/>
        <w:widowControl/>
        <w:numPr>
          <w:ilvl w:val="1"/>
          <w:numId w:val="3"/>
        </w:numPr>
        <w:spacing w:before="60" w:after="20"/>
      </w:pPr>
      <w:r>
        <w:t xml:space="preserve">Do not delay indicated primary surgery to manufacture eligibility.</w:t>
      </w:r>
    </w:p>
    <w:p>
      <w:pPr>
        <w:pStyle w:val="Normal"/>
        <w:widowControl/>
        <w:numPr>
          <w:ilvl w:val="0"/>
          <w:numId w:val="3"/>
        </w:numPr>
      </w:pPr>
      <w:r>
        <w:t xml:space="preserve">Treat PET MTV/TLG and ctDNA as adjunctive or research measurements, not independent listing/delisting or permanent exclusion rules.</w:t>
      </w:r>
    </w:p>
    <w:p>
      <w:pPr>
        <w:pStyle w:val="Normal"/>
        <w:widowControl/>
        <w:numPr>
          <w:ilvl w:val="1"/>
          <w:numId w:val="3"/>
        </w:numPr>
        <w:spacing w:before="60" w:after="20"/>
      </w:pPr>
      <w:r>
        <w:t xml:space="preserve">Record assay/PET timing relative to treatment, repeat or adjudicate discordant results and use conventional staging/clinical review.</w:t>
      </w:r>
    </w:p>
    <w:p>
      <w:pPr>
        <w:pStyle w:val="Normal"/>
        <w:widowControl/>
        <w:numPr>
          <w:ilvl w:val="1"/>
          <w:numId w:val="3"/>
        </w:numPr>
        <w:spacing w:before="60" w:after="20"/>
      </w:pPr>
      <w:r>
        <w:t xml:space="preserve">Do not interrupt beneficial chemotherapy solely to reproduce a published PET interval.</w:t>
      </w:r>
    </w:p>
    <w:p>
      <w:pPr>
        <w:pStyle w:val="Normal"/>
        <w:widowControl/>
        <w:spacing w:before="60" w:after="20"/>
      </w:pPr>
      <w:r>
        <w:rPr>
          <w:b/>
        </w:rPr>
        <w:t xml:space="preserve">Why retain or change it: </w:t>
      </w:r>
      <w:r>
        <w:t xml:space="preserve">Keep initial clinical/research activation restricted: no BRAF mutation, MSI-H/dMMR, R1 primary, prior post-primary extrahepatic metastasis, active progression, or pretreatment largest lesion &gt;10 cm under this pathway. KRAS alone is not an absolute stop; document full molecular profile, sidedness and adverse co-mutations as risk. Use CEA strictly &lt;80 for initial and renewal local workflow, with unexpected values repeated and trajectory reviewed; do not call the strict inequality a universal evidence-based biological boundary. Require ≥12 months since CRLM diagnosis and ≥6 months of control to align exception review; reassess a new progression event explicitly, rather than silently reusing an old response interval. Do not open several deviations together. Decision remains blank.</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Primary R0 pathology; BRAF, RAS and MMR/MSI; original maximum lesion diameter; complete EHD history; dated CEA; dated response and primary/CRLM diagnosis; current staging.</w:t>
      </w:r>
    </w:p>
    <w:p>
      <w:pPr>
        <w:pStyle w:val="Normal"/>
        <w:widowControl/>
        <w:spacing w:before="60" w:after="20"/>
      </w:pPr>
      <w:r>
        <w:rPr>
          <w:b/>
        </w:rPr>
        <w:t xml:space="preserve">Clinical versus allocation: </w:t>
      </w:r>
      <w:r>
        <w:t xml:space="preserve">National guidance, study criteria and local choices remain separate. Confirm current NLRB wording at application and do not substitute RECIST for an expressly different guidance threshold.</w:t>
      </w:r>
    </w:p>
    <w:p>
      <w:pPr>
        <w:pStyle w:val="Normal"/>
        <w:widowControl/>
        <w:spacing w:before="60" w:after="20"/>
      </w:pPr>
      <w:r>
        <w:rPr>
          <w:b/>
        </w:rPr>
        <w:t xml:space="preserve">Roadmap / protocol reconciliation: </w:t>
      </w:r>
      <w:r>
        <w:t xml:space="preserve">Use the CRLM roadmap’s biomarker-matched treatments and primary-tumor management. MSI-H response to immunotherapy does not by itself validate LT.</w:t>
      </w:r>
    </w:p>
    <w:p>
      <w:pPr>
        <w:pStyle w:val="Normal"/>
        <w:widowControl/>
        <w:spacing w:before="60" w:after="20"/>
      </w:pPr>
      <w:hyperlink r:id="rId62">
        <w:r>
          <w:rPr>
            <w:color w:val="77230C"/>
            <w:sz w:val="20"/>
            <w:u w:val="single"/>
          </w:rPr>
          <w:t>Meeting record: CRLM-B3</w:t>
        </w:r>
      </w:hyperlink>
      <w:r>
        <w:t xml:space="preserve">  |  </w:t>
      </w:r>
      <w:hyperlink r:id="rId63">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2"/>
        <w:keepNext/>
        <w:widowControl/>
      </w:pPr>
      <w:r>
        <w:rPr>
          <w:color w:val="A8470A"/>
        </w:rPr>
        <w:t xml:space="preserve">4 Pretransplant treatment and response assessment</w:t>
      </w:r>
    </w:p>
    <w:p>
      <w:pPr>
        <w:pStyle w:val="Normal"/>
        <w:widowControl/>
        <w:numPr>
          <w:ilvl w:val="0"/>
          <w:numId w:val="3"/>
        </w:numPr>
      </w:pPr>
      <w:r>
        <w:t xml:space="preserve">Medical oncology selects systemic therapy using molecular profile, primary sidedness, prior response, organ function and the colorectal roadmap. Record delivered regimen/lines and cumulative toxicity. There is no transplant-validated minimum of 12–18 cycles and no mandate for multimodality treatment solely to reach LT.</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yLTRdPC9EaXNwbGF5VGV4dD48cmVjb3JkPjxyZWMtbnVtYmVyPjQ8L3JlYy1udW1iZXI+PGZvcmVpZ24ta2V5cz48a2V5IGFwcD0iRU4iIGRiLWlkPSI2MWYzZmVmMC03NGY1LTUzMDAtYjBlMC1jZGIwMDRlMjRlMDIiIHRpbWVzdGFtcD0iMTc5MjkyMTA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Q29tcGxldGUgbG9jYWwgcHJpbWFyeSBQREYgYXZhaWxhYmxlOyByZWxldmFudCBtZXRob2RzLCBzZWxlY3Rpb24sIHJlc3VsdHMgYW5kIGxpbWl0YXRpb25zIHJldmlld2VkIFNlbGVjdGlvbiwgYmlvbG9naWNhbCBwcm9nbm9zaXMgYW5kIHRlY2huaWNhbCByZXNlY3RhYmlsaXR5IGhhdmUgZGlzdGluY3Qgcm9sZXMuIEFuIGV4cGVydCByZWNvbW1lbmRhdGlvbiBpcyBub3QgYSBuYXRpb25hbCBhbGxvY2F0aW9uIHJ1bGUuPC9ub3Rlcz48dXJscz48cmVsYXRlZC11cmxzPjx1cmw+aHR0cHM6Ly9kb2kub3JnLzEwLjEwMTYvUzI0NjgtMTI1MygyMSkwMDIxOS0z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Consider HAI, resection, ablation or other liver-directed options when they offer disease control or complete clearance. Before arterial intervention, document hepatic arterial anatomy and a possible future reconstruction strategy. Avoid a plan in which intentionally excessive treatment creates the liver failure used to justify LT.</w:t>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Mi02XTwvRGlzcGxheVRleHQ+PHJlY29yZD48cmVjLW51bWJlcj42PC9yZWMtbnVtYmVyPjxmb3JlaWduLWtleXM+PGtleSBhcHA9IkVOIiBkYi1pZD0iNjFmM2ZlZjAtNzRmNS01MzAwLWIwZTAtY2RiMDA0ZTI0ZTAyIiB0aW1lc3RhbXA9IjE3OTI5MjEwODY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[V12-6]</w:t>
      </w:r>
      <w:r>
        <w:fldChar w:fldCharType="end"/>
      </w:r>
    </w:p>
    <w:p>
      <w:pPr>
        <w:pStyle w:val="Normal"/>
        <w:widowControl/>
        <w:numPr>
          <w:ilvl w:val="0"/>
          <w:numId w:val="3"/>
        </w:numPr>
      </w:pPr>
      <w:r>
        <w:t xml:space="preserve">OPEN proposed local monitoring: CT/MRI approximately every eight weeks during active therapy, CEA at oncology reviews, reassessment of functional/liver reserve and repeat two-surgeon HPB review after meaningful response and within 30 days before LT activation. PET quantification and ctDNA are not independent eligibility tests.</w:t>
      </w:r>
      <w:r>
        <w:t xml:space="preserve"> </w:t>
      </w:r>
      <w:r>
        <w:t xml:space="preserve"> </w:t>
      </w:r>
      <w:r>
        <w:fldChar w:fldCharType="begin"/>
      </w:r>
      <w:r>
        <w:instrText xml:space="preserve"> ADDIN EN.CITE </w:instrText>
      </w:r>
      <w:r>
        <w:fldChar w:fldCharType="begin">
          <w:fldData>PEVuZE5vdGU+PENpdGU+PEF1dGhvcj5XZWhybGU8L0F1dGhvcj48WWVhcj4yMDI1PC9ZZWFyPjxSZWNOdW0+MTY8L1JlY051bT48RGlzcGxheVRleHQ+W1YxMi0xNl08L0Rpc3BsYXlUZXh0PjxyZWNvcmQ+PHJlYy1udW1iZXI+MTY8L3JlYy1udW1iZXI+PGZvcmVpZ24ta2V5cz48a2V5IGFwcD0iRU4iIGRiLWlkPSI2MWYzZmVmMC03NGY1LTUzMDAtYjBlMC1jZGIwMDRlMjRlMDIiIHRpbWVzdGFtcD0iMTc5MjkyMTA4NiI+MTY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[V12-16]</w:t>
      </w:r>
      <w:r>
        <w:fldChar w:fldCharType="end"/>
      </w:r>
      <w:r>
        <w:t xml:space="preserve"> </w:t>
      </w:r>
      <w:r>
        <w:t xml:space="preserve"> </w:t>
      </w:r>
      <w:r>
        <w:fldChar w:fldCharType="begin"/>
      </w:r>
      <w:r>
        <w:instrText xml:space="preserve"> ADDIN EN.CITE </w:instrText>
      </w:r>
      <w:r>
        <w:fldChar w:fldCharType="begin">
          <w:fldData>PEVuZE5vdGU+PENpdGU+PEF1dGhvcj5XZWhybGU8L0F1dGhvcj48WWVhcj4yMDIzPC9ZZWFyPjxSZWNOdW0+MTc8L1JlY051bT48RGlzcGxheVRleHQ+W1YxMi0xN108L0Rpc3BsYXlUZXh0PjxyZWNvcmQ+PHJlYy1udW1iZXI+MTc8L3JlYy1udW1iZXI+PGZvcmVpZ24ta2V5cz48a2V5IGFwcD0iRU4iIGRiLWlkPSI2MWYzZmVmMC03NGY1LTUzMDAtYjBlMC1jZGIwMDRlMjRlMDIiIHRpbWVzdGFtcD0iMTc5MjkyMTA4NiI+MTc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[V12-17]</w:t>
      </w:r>
      <w:r>
        <w:fldChar w:fldCharType="end"/>
      </w:r>
    </w:p>
    <w:p>
      <w:pPr>
        <w:pStyle w:val="Normal"/>
        <w:widowControl/>
        <w:numPr>
          <w:ilvl w:val="0"/>
          <w:numId w:val="3"/>
        </w:numPr>
      </w:pPr>
      <w:r>
        <w:t xml:space="preserve">Advance to final selection only if disease remains controlled, no extrahepatic/local recurrence is found, persistent unresectability is independently confirmed, medical fitness remains acceptable, and the chosen clinical or approved study stratum plus allocation route is documented.</w:t>
      </w:r>
    </w:p>
    <w:p>
      <w:pPr>
        <w:pStyle w:val="Normal"/>
        <w:widowControl/>
        <w:numPr>
          <w:ilvl w:val="0"/>
          <w:numId w:val="3"/>
        </w:numPr>
      </w:pPr>
      <w:r>
        <w:t xml:space="preserve">Hold for indeterminate lesions, NED without a clear LT rationale, discordant biomarkers, unresolved primary margins, unreviewed treatment toxicity or an unapproved expansion. Progression, confirmed extrahepatic/local recurrence or prohibitive medical risk stops the guidance-aligned route.</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2MWYzZmVmMC03NGY1LTUzMDAtYjBlMC1jZGIwMDRlMjRlMDI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numPr>
          <w:ilvl w:val="0"/>
          <w:numId w:val="3"/>
        </w:numPr>
      </w:pPr>
      <w:r>
        <w:t xml:space="preserve">If a molecular subgroup is receiving ICI, retain the separate graft-risk assessment and drug chronology. Activity of immunotherapy in MSI-H CRC does not establish an LT indication or safe post-LT exposure.</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xOTwvUmVjTnVtPjxEaXNwbGF5VGV4dD5bVjEyLTE5XTwvRGlzcGxheVRleHQ+PHJlY29yZD48cmVjLW51bWJlcj4xOTwvcmVjLW51bWJlcj48Zm9yZWlnbi1rZXlzPjxrZXkgYXBwPSJFTiIgZGItaWQ9IjYxZjNmZWYwLTc0ZjUtNTMwMC1iMGUwLWNkYjAwNGUyNGUwMiIgdGltZXN0YW1wPSIxNzkyOTIxMDg2Ij4xOT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[V12-19]</w:t>
      </w:r>
      <w:r>
        <w:fldChar w:fldCharType="end"/>
      </w:r>
    </w:p>
    <w:p>
      <w:pPr>
        <w:rPr>
          <w:color w:val="A8470A"/>
        </w:rPr>
        <w:pStyle w:val="Heading3"/>
        <w:widowControl/>
        <w:keepNext/>
      </w:pPr>
      <w:r>
        <w:rPr>
          <w:color w:val="A8470A"/>
        </w:rPr>
        <w:t xml:space="preserve">Systemic treatment evidence and transplant boundaries</w:t>
      </w:r>
    </w:p>
    <w:p>
      <w:pPr>
        <w:pStyle w:val="Normal"/>
        <w:widowControl/>
        <w:spacing w:after="120"/>
      </w:pPr>
      <w:r>
        <w:t xml:space="preserve">Later-line efficacy does not define persistent unresectability. HPB MDT must document why complete clearance of every original disease site cannot be achieved with a credible resection/ablation strategy, liver reserve and staged options. Treated/nonviable lesions alone are not proof of active unresectable disease. Preserve all biology, extrahepatic and allocation gates.</w:t>
      </w:r>
    </w:p>
    <w:p>
      <w:pPr>
        <w:rPr>
          <w:color w:val="A8470A"/>
        </w:rPr>
        <w:pStyle w:val="Heading4"/>
        <w:widowControl/>
        <w:keepNext/>
      </w:pPr>
      <w:r>
        <w:rPr>
          <w:color w:val="A8470A"/>
        </w:rPr>
        <w:t xml:space="preserve">MOUNTAINEER final: HER2-positive CRC</w:t>
      </w:r>
    </w:p>
    <w:p>
      <w:pPr>
        <w:pStyle w:val="Normal"/>
        <w:widowControl/>
        <w:spacing w:after="120"/>
      </w:pPr>
      <w:r>
        <w:t xml:space="preserve">Use local validated HER2 IHC3+, IHC2+/ISH+, or qualifying tissue amplification with RAS wild type and prior-treatment review. A negative plasma result may require tissue testing. Response can prompt HPB reassessment but does not establish persistent unresectability or transplant benefit.</w:t>
      </w:r>
      <w:r>
        <w:t xml:space="preserve"> </w:t>
      </w:r>
      <w:r>
        <w:fldChar w:fldCharType="begin"/>
      </w:r>
      <w:r>
        <w:instrText xml:space="preserve"> ADDIN EN.CITE </w:instrText>
      </w:r>
      <w:r>
        <w:fldChar w:fldCharType="begin">
          <w:fldData>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</w:fldData>
        </w:fldChar>
      </w:r>
      <w:r>
        <w:instrText xml:space="preserve"> ADDIN EN.CITE.DATA </w:instrText>
      </w:r>
      <w:r>
        <w:fldChar w:fldCharType="end"/>
      </w:r>
      <w:r>
        <w:fldChar w:fldCharType="separate"/>
      </w:r>
      <w:r>
        <w:t xml:space="preserve">[V12-32]</w:t>
      </w:r>
      <w:r>
        <w:fldChar w:fldCharType="end"/>
      </w:r>
      <w:r>
        <w:br/>
      </w:r>
      <w:hyperlink r:id="rId153">
        <w:r>
          <w:rPr>
            <w:color w:val="0563C1"/>
            <w:u w:val="single"/>
          </w:rPr>
          <w:t>Source</w:t>
        </w:r>
      </w:hyperlink>
      <w:r>
        <w:t xml:space="preserve"> · </w:t>
      </w:r>
      <w:hyperlink r:id="rId154">
        <w:r>
          <w:rPr>
            <w:color w:val="0563C1"/>
            <w:u w:val="single"/>
          </w:rPr>
          <w:t>PDF</w:t>
        </w:r>
      </w:hyperlink>
    </w:p>
    <w:p>
      <w:pPr>
        <w:rPr>
          <w:color w:val="A8470A"/>
        </w:rPr>
        <w:pStyle w:val="Heading4"/>
        <w:widowControl/>
        <w:keepNext/>
      </w:pPr>
      <w:r>
        <w:rPr>
          <w:color w:val="A8470A"/>
        </w:rPr>
        <w:t xml:space="preserve">SUNLIGHT: FTD/TPI plus bevacizumab</w:t>
      </w:r>
    </w:p>
    <w:p>
      <w:pPr>
        <w:pStyle w:val="Normal"/>
        <w:widowControl/>
        <w:spacing w:after="120"/>
      </w:pPr>
      <w:r>
        <w:t xml:space="preserve">Offer a later-line disease-control option when marrow reserve and anti-VEGF safety permit. Record bleeding, wound-healing and operative timing; do not translate disease control automatically into LT eligibility.</w:t>
      </w:r>
      <w:r>
        <w:t xml:space="preserve"> </w:t>
      </w:r>
      <w:r>
        <w:fldChar w:fldCharType="begin"/>
      </w:r>
      <w:r>
        <w:instrText xml:space="preserve"> ADDIN EN.CITE </w:instrText>
      </w:r>
      <w:r>
        <w:fldChar w:fldCharType="begin">
          <w:fldData>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</w:fldData>
        </w:fldChar>
      </w:r>
      <w:r>
        <w:instrText xml:space="preserve"> ADDIN EN.CITE.DATA </w:instrText>
      </w:r>
      <w:r>
        <w:fldChar w:fldCharType="end"/>
      </w:r>
      <w:r>
        <w:fldChar w:fldCharType="separate"/>
      </w:r>
      <w:r>
        <w:t xml:space="preserve">[V12-33]</w:t>
      </w:r>
      <w:r>
        <w:fldChar w:fldCharType="end"/>
      </w:r>
      <w:r>
        <w:br/>
      </w:r>
      <w:hyperlink r:id="rId155">
        <w:r>
          <w:rPr>
            <w:color w:val="0563C1"/>
            <w:u w:val="single"/>
          </w:rPr>
          <w:t>Source</w:t>
        </w:r>
      </w:hyperlink>
      <w:r>
        <w:t xml:space="preserve"> · </w:t>
      </w:r>
      <w:hyperlink r:id="rId156">
        <w:r>
          <w:rPr>
            <w:color w:val="0563C1"/>
            <w:u w:val="single"/>
          </w:rPr>
          <w:t>PDF</w:t>
        </w:r>
      </w:hyperlink>
    </w:p>
    <w:p>
      <w:pPr>
        <w:rPr>
          <w:color w:val="A8470A"/>
        </w:rPr>
        <w:pStyle w:val="Heading4"/>
        <w:widowControl/>
        <w:keepNext/>
      </w:pPr>
      <w:r>
        <w:rPr>
          <w:color w:val="A8470A"/>
        </w:rPr>
        <w:t xml:space="preserve">FRESCO-2: fruquintinib</w:t>
      </w:r>
    </w:p>
    <w:p>
      <w:pPr>
        <w:pStyle w:val="Normal"/>
        <w:widowControl/>
        <w:spacing w:after="120"/>
      </w:pPr>
      <w:r>
        <w:t xml:space="preserve">Retain a later-line option with BP, proteinuria, hand–foot, bleeding/perforation and operative safety assessment. Not an evidence-based curative conversion strategy or new transplant-selection route.</w:t>
      </w:r>
      <w:r>
        <w:t xml:space="preserve"> </w:t>
      </w:r>
      <w:r>
        <w:fldChar w:fldCharType="begin"/>
      </w:r>
      <w:r>
        <w:instrText xml:space="preserve"> ADDIN EN.CITE </w:instrText>
      </w:r>
      <w:r>
        <w:fldChar w:fldCharType="begin">
          <w:fldData>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</w:fldData>
        </w:fldChar>
      </w:r>
      <w:r>
        <w:instrText xml:space="preserve"> ADDIN EN.CITE.DATA </w:instrText>
      </w:r>
      <w:r>
        <w:fldChar w:fldCharType="end"/>
      </w:r>
      <w:r>
        <w:fldChar w:fldCharType="separate"/>
      </w:r>
      <w:r>
        <w:t xml:space="preserve">[V12-34]</w:t>
      </w:r>
      <w:r>
        <w:fldChar w:fldCharType="end"/>
      </w:r>
      <w:r>
        <w:br/>
      </w:r>
      <w:hyperlink r:id="rId157">
        <w:r>
          <w:rPr>
            <w:color w:val="0563C1"/>
            <w:u w:val="single"/>
          </w:rPr>
          <w:t>Source</w:t>
        </w:r>
      </w:hyperlink>
      <w:r>
        <w:t xml:space="preserve"> · </w:t>
      </w:r>
      <w:hyperlink r:id="rId158">
        <w:r>
          <w:rPr>
            <w:color w:val="0563C1"/>
            <w:u w:val="single"/>
          </w:rPr>
          <w:t>PDF</w:t>
        </w:r>
      </w:hyperlink>
    </w:p>
    <w:p>
      <w:pPr>
        <w:pStyle w:val="Normal"/>
        <w:widowControl/>
        <w:spacing w:after="120"/>
      </w:pPr>
      <w:r>
        <w:t xml:space="preserve">Treatment comparisons and detailed regimen evidence: </w:t>
      </w:r>
      <w:hyperlink r:id="rId152">
        <w:r>
          <w:rPr>
            <w:color w:val="0563C1"/>
            <w:u w:val="single"/>
          </w:rPr>
          <w:t>Cross-tumor systemic matrix</w:t>
        </w:r>
      </w:hyperlink>
    </w:p>
    <w:p>
      <w:pPr>
        <w:rPr>
          <w:color w:val="A8470A"/>
        </w:rPr>
        <w:pStyle w:val="Heading2"/>
        <w:keepNext/>
        <w:widowControl/>
      </w:pPr>
      <w:r>
        <w:rPr>
          <w:color w:val="A8470A"/>
        </w:rPr>
        <w:t xml:space="preserve">5 Listing and surgical procedure</w:t>
      </w:r>
    </w:p>
    <w:p>
      <w:pPr>
        <w:pStyle w:val="Normal"/>
        <w:widowControl/>
        <w:numPr>
          <w:ilvl w:val="0"/>
          <w:numId w:val="3"/>
        </w:numPr>
      </w:pPr>
      <w:r>
        <w:t xml:space="preserve">NLRB CRLM guidance recommends consideration of MMaT minus 20 with a floor of 15. It is not a standardized exception, guaranteed score or the same priority intervention as TransMet. Keep the approved exception, calculated MELD and expected wait separately documented.</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2MWYzZmVmMC03NGY1LTUzMDAtYjBlMC1jZGIwMDRlMjRlMDI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2MWYzZmVmMC03NGY1LTUzMDAtYjBlMC1jZGIwMDRlMjRlMDIiIHRpbWVzdGFtcD0iMTc5MjkyMTA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p>
    <w:p>
      <w:pPr>
        <w:pStyle w:val="Normal"/>
        <w:widowControl/>
        <w:numPr>
          <w:ilvl w:val="0"/>
          <w:numId w:val="3"/>
        </w:numPr>
      </w:pPr>
      <w:r>
        <w:t xml:space="preserve">Before recipient activation, document the intended DDLT or LDLT route, actual exception decision if applicable, expected waiting time, and a recipient-benefit assessment against contemporary non-LT care. Do not promise priority or treat DCD, an extended-criteria graft or machine perfusion as evidence that no other candidate could benefit.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2MWYzZmVmMC03NGY1LTUzMDAtYjBlMC1jZGIwMDRlMjRlMDIiIHRpbWVzdGFtcD0iMTc5MjkyMTA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U8L1JlY051bT48RGlzcGxheVRleHQ+W1YxMi01XTwvRGlzcGxheVRleHQ+PHJlY29yZD48cmVjLW51bWJlcj41PC9yZWMtbnVtYmVyPjxmb3JlaWduLWtleXM+PGtleSBhcHA9IkVOIiBkYi1pZD0iNjFmM2ZlZjAtNzRmNS01MzAwLWIwZTAtY2RiMDA0ZTI0ZTAyIiB0aW1lc3RhbXA9IjE3OTI5MjEwODYiPjU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[V12-5]</w:t>
      </w:r>
      <w:r>
        <w:fldChar w:fldCharType="end"/>
      </w:r>
    </w:p>
    <w:p>
      <w:pPr>
        <w:pStyle w:val="Normal"/>
        <w:widowControl/>
        <w:numPr>
          <w:ilvl w:val="0"/>
          <w:numId w:val="3"/>
        </w:numPr>
      </w:pPr>
      <w:r>
        <w:t xml:space="preserve">For LDLT, retain independent donor advocacy and donor-team assessment, freedom to withdraw, and separate consent covering uncertain recipient benefit, operative and long-term morbidity, recovery, financial burden and possible retransplantation. Do not relax donor safety criteria or make possession of a living donor a clinical eligibility requirement.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2MWYzZmVmMC03NGY1LTUzMDAtYjBlMC1jZGIwMDRlMjRlMDIiIHRpbWVzdGFtcD0iMTc5MjkyMTA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U8L1JlY051bT48RGlzcGxheVRleHQ+W1YxMi01XTwvRGlzcGxheVRleHQ+PHJlY29yZD48cmVjLW51bWJlcj41PC9yZWMtbnVtYmVyPjxmb3JlaWduLWtleXM+PGtleSBhcHA9IkVOIiBkYi1pZD0iNjFmM2ZlZjAtNzRmNS01MzAwLWIwZTAtY2RiMDA0ZTI0ZTAyIiB0aW1lc3RhbXA9IjE3OTI5MjEwODYiPjU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yMDwvUmVjTnVtPjxEaXNwbGF5VGV4dD5bVjEyLTIwXTwvRGlzcGxheVRleHQ+PHJlY29yZD48cmVjLW51bWJlcj4yMDwvcmVjLW51bWJlcj48Zm9yZWlnbi1rZXlzPjxrZXkgYXBwPSJFTiIgZGItaWQ9IjYxZjNmZWYwLTc0ZjUtNTMwMC1iMGUwLWNkYjAwNGUyNGUwMiIgdGltZXN0YW1wPSIxNzkyOTIxMDg2Ij4yMD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[V12-20]</w:t>
      </w:r>
      <w:r>
        <w:fldChar w:fldCharType="end"/>
      </w:r>
    </w:p>
    <w:p>
      <w:pPr>
        <w:pStyle w:val="Normal"/>
        <w:widowControl/>
        <w:numPr>
          <w:ilvl w:val="0"/>
          <w:numId w:val="3"/>
        </w:numPr>
      </w:pPr>
      <w:r>
        <w:t xml:space="preserve">The living-donor literature reports low but nonzero mortality and incomplete recovery follow-up. Use current center- and graft-specific counseling; do not pool overlapping registry studies or portray donor survival as proof of complete recovery.</w:t>
      </w:r>
      <w:r>
        <w:t xml:space="preserve"> </w:t>
      </w:r>
      <w:r>
        <w:t xml:space="preserve"> </w:t>
      </w:r>
      <w:r>
        <w:fldChar w:fldCharType="begin"/>
      </w:r>
      <w:r>
        <w:instrText xml:space="preserve"> ADDIN EN.CITE </w:instrText>
      </w:r>
      <w:r>
        <w:fldChar w:fldCharType="begin">
          <w:fldData>PEVuZE5vdGU+PENpdGU+PEF1dGhvcj5LZWxseTwvQXV0aG9yPjxZZWFyPjIwMjY8L1llYXI+PFJlY051bT4yMDwvUmVjTnVtPjxEaXNwbGF5VGV4dD5bVjEyLTIwXTwvRGlzcGxheVRleHQ+PHJlY29yZD48cmVjLW51bWJlcj4yMDwvcmVjLW51bWJlcj48Zm9yZWlnbi1rZXlzPjxrZXkgYXBwPSJFTiIgZGItaWQ9IjYxZjNmZWYwLTc0ZjUtNTMwMC1iMGUwLWNkYjAwNGUyNGUwMiIgdGltZXN0YW1wPSIxNzkyOTIxMDg2Ij4yMD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[V12-20]</w:t>
      </w:r>
      <w:r>
        <w:fldChar w:fldCharType="end"/>
      </w:r>
    </w:p>
    <w:p>
      <w:pPr>
        <w:rPr>
          <w:color w:val="A8470A"/>
        </w:rPr>
        <w:pStyle w:val="Heading3"/>
        <w:keepNext/>
        <w:widowControl/>
      </w:pPr>
      <w:bookmarkStart w:id="4" w:name="ALLOC_B1"/>
      <w:r>
        <w:rPr>
          <w:color w:val="A8470A"/>
        </w:rPr>
        <w:t xml:space="preserve">ALLOC-B1 — What are we approving?</w:t>
      </w:r>
      <w:bookmarkEnd w:id="4"/>
    </w:p>
    <w:p>
      <w:pPr>
        <w:pStyle w:val="Normal"/>
        <w:keepNext/>
        <w:widowControl/>
      </w:pPr>
      <w:r>
        <w:t xml:space="preserve">Evidence and uncertainty before the shared rule</w:t>
      </w:r>
    </w:p>
    <w:p>
      <w:pPr>
        <w:pStyle w:val="Normal"/>
        <w:widowControl/>
        <w:spacing w:before="60" w:after="20"/>
      </w:pPr>
      <w:r>
        <w:t xml:space="preserve">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2MWYzZmVmMC03NGY1LTUzMDAtYjBlMC1jZGIwMDRlMjRlMDIiIHRpbWVzdGFtcD0iMTc5MjkyMTA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2MWYzZmVmMC03NGY1LTUzMDAtYjBlMC1jZGIwMDRlMjRlMDI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E8L1JlY051bT48RGlzcGxheVRleHQ+W1YxMi0yMV08L0Rpc3BsYXlUZXh0PjxyZWNvcmQ+PHJlYy1udW1iZXI+MjE8L3JlYy1udW1iZXI+PGZvcmVpZ24ta2V5cz48a2V5IGFwcD0iRU4iIGRiLWlkPSI2MWYzZmVmMC03NGY1LTUzMDAtYjBlMC1jZGIwMDRlMjRlMDIiIHRpbWVzdGFtcD0iMTc5MjkyMTA4NiI+MjE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</w:fldData>
        </w:fldChar>
      </w:r>
      <w:r>
        <w:instrText xml:space="preserve"> ADDIN EN.CITE.DATA </w:instrText>
      </w:r>
      <w:r>
        <w:fldChar w:fldCharType="end"/>
      </w:r>
      <w:r>
        <w:fldChar w:fldCharType="separate"/>
      </w:r>
      <w:r>
        <w:t xml:space="preserve">[V12-21]</w:t>
      </w:r>
      <w:r>
        <w:fldChar w:fldCharType="end"/>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I8L1JlY051bT48RGlzcGxheVRleHQ+W1YxMi0yMl08L0Rpc3BsYXlUZXh0PjxyZWNvcmQ+PHJlYy1udW1iZXI+MjI8L3JlYy1udW1iZXI+PGZvcmVpZ24ta2V5cz48a2V5IGFwcD0iRU4iIGRiLWlkPSI2MWYzZmVmMC03NGY1LTUzMDAtYjBlMC1jZGIwMDRlMjRlMDIiIHRpbWVzdGFtcD0iMTc5MjkyMTA4NiI+MjI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</w:fldData>
        </w:fldChar>
      </w:r>
      <w:r>
        <w:instrText xml:space="preserve"> ADDIN EN.CITE.DATA </w:instrText>
      </w:r>
      <w:r>
        <w:fldChar w:fldCharType="end"/>
      </w:r>
      <w:r>
        <w:fldChar w:fldCharType="separate"/>
      </w:r>
      <w:r>
        <w:t xml:space="preserve">[V12-22]</w:t>
      </w:r>
      <w:r>
        <w:fldChar w:fldCharType="end"/>
      </w:r>
    </w:p>
    <w:p>
      <w:pPr>
        <w:pStyle w:val="Normal"/>
        <w:widowControl/>
        <w:spacing w:before="60" w:after="20"/>
      </w:pPr>
      <w:r>
        <w:t xml:space="preserve">Evidence-to-threshold distinction: Six domains: local checklist architecture, not six mandatory national approvals.; 100% applicable completion: governance safeguard, not an outcome-derived percentage.; Hold pending required authorization: operational implementation of separate clinical, donor and research responsibilities.</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Require 100% completion of the applicable clinical, allocation, donor and research determinations before activation.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2MWYzZmVmMC03NGY1LTUzMDAtYjBlMC1jZGIwMDRlMjRlMDI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2MWYzZmVmMC03NGY1LTUzMDAtYjBlMC1jZGIwMDRlMjRlMDIiIHRpbWVzdGFtcD0iMTc5MjkyMTA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E8L1JlY051bT48RGlzcGxheVRleHQ+W1YxMi0yMV08L0Rpc3BsYXlUZXh0PjxyZWNvcmQ+PHJlYy1udW1iZXI+MjE8L3JlYy1udW1iZXI+PGZvcmVpZ24ta2V5cz48a2V5IGFwcD0iRU4iIGRiLWlkPSI2MWYzZmVmMC03NGY1LTUzMDAtYjBlMC1jZGIwMDRlMjRlMDIiIHRpbWVzdGFtcD0iMTc5MjkyMTA4NiI+MjE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</w:fldData>
        </w:fldChar>
      </w:r>
      <w:r>
        <w:instrText xml:space="preserve"> ADDIN EN.CITE.DATA </w:instrText>
      </w:r>
      <w:r>
        <w:fldChar w:fldCharType="end"/>
      </w:r>
      <w:r>
        <w:fldChar w:fldCharType="separate"/>
      </w:r>
      <w:r>
        <w:t xml:space="preserve">[V12-21]</w:t>
      </w:r>
      <w:r>
        <w:fldChar w:fldCharType="end"/>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I8L1JlY051bT48RGlzcGxheVRleHQ+W1YxMi0yMl08L0Rpc3BsYXlUZXh0PjxyZWNvcmQ+PHJlYy1udW1iZXI+MjI8L3JlYy1udW1iZXI+PGZvcmVpZ24ta2V5cz48a2V5IGFwcD0iRU4iIGRiLWlkPSI2MWYzZmVmMC03NGY1LTUzMDAtYjBlMC1jZGIwMDRlMjRlMDIiIHRpbWVzdGFtcD0iMTc5MjkyMTA4NiI+MjI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</w:fldData>
        </w:fldChar>
      </w:r>
      <w:r>
        <w:instrText xml:space="preserve"> ADDIN EN.CITE.DATA </w:instrText>
      </w:r>
      <w:r>
        <w:fldChar w:fldCharType="end"/>
      </w:r>
      <w:r>
        <w:fldChar w:fldCharType="separate"/>
      </w:r>
      <w:r>
        <w:t xml:space="preserve">[V12-22]</w:t>
      </w:r>
      <w:r>
        <w:fldChar w:fldCharType="end"/>
      </w:r>
    </w:p>
    <w:p>
      <w:pPr>
        <w:pStyle w:val="Normal"/>
        <w:widowControl/>
        <w:numPr>
          <w:ilvl w:val="0"/>
          <w:numId w:val="3"/>
        </w:numPr>
      </w:pPr>
      <w:r>
        <w:t xml:space="preserve">Complete six separate dated determinations: clinical suitability; standardized-exception eligibility; nonstandard NLRB review status; calculated-MELD access; LDLT donor clearance; and research authorization.</w:t>
      </w:r>
    </w:p>
    <w:p>
      <w:pPr>
        <w:pStyle w:val="Normal"/>
        <w:widowControl/>
        <w:numPr>
          <w:ilvl w:val="1"/>
          <w:numId w:val="3"/>
        </w:numPr>
        <w:spacing w:before="60" w:after="20"/>
      </w:pPr>
      <w:r>
        <w:t xml:space="preserve">Mark nonapplicable domains explicitly with a reason—do not manufacture six approvals for every patient.</w:t>
      </w:r>
    </w:p>
    <w:p>
      <w:pPr>
        <w:pStyle w:val="Normal"/>
        <w:widowControl/>
        <w:numPr>
          <w:ilvl w:val="0"/>
          <w:numId w:val="3"/>
        </w:numPr>
      </w:pPr>
      <w:r>
        <w:t xml:space="preserve">Any required missing, pending or adverse determination is a HOLD.</w:t>
      </w:r>
    </w:p>
    <w:p>
      <w:pPr>
        <w:pStyle w:val="Normal"/>
        <w:widowControl/>
        <w:numPr>
          <w:ilvl w:val="1"/>
          <w:numId w:val="3"/>
        </w:numPr>
        <w:spacing w:before="60" w:after="20"/>
      </w:pPr>
      <w:r>
        <w:t xml:space="preserve">An exception application is not approval, a donor is not recipient benefit, and clinical approval is not study activation.</w:t>
      </w:r>
    </w:p>
    <w:p>
      <w:pPr>
        <w:pStyle w:val="Normal"/>
        <w:widowControl/>
        <w:numPr>
          <w:ilvl w:val="0"/>
          <w:numId w:val="3"/>
        </w:numPr>
      </w:pPr>
      <w:r>
        <w:t xml:space="preserve">Recheck the current policy/guidance version before each request; record actual decision and priority rather than predicted entitlement.</w:t>
      </w:r>
    </w:p>
    <w:p>
      <w:pPr>
        <w:pStyle w:val="Normal"/>
        <w:widowControl/>
        <w:spacing w:before="60" w:after="20"/>
      </w:pPr>
      <w:r>
        <w:rPr>
          <w:b/>
        </w:rPr>
        <w:t xml:space="preserve">Why retain or change it: </w:t>
      </w:r>
      <w:r>
        <w:t xml:space="preserve">Retain 100% completion of applicable determinations with dated responsible owners and reasoned N/A entries. A required unresolved determination means HOLD, not an assumed refusal or an authorization by default.</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Signed suitability record; exact allocation route and policy version; exception outcome; donor-team status; study and institutional activation record.</w:t>
      </w:r>
    </w:p>
    <w:p>
      <w:pPr>
        <w:pStyle w:val="Normal"/>
        <w:widowControl/>
        <w:spacing w:before="60" w:after="20"/>
      </w:pPr>
      <w:r>
        <w:rPr>
          <w:b/>
        </w:rPr>
        <w:t xml:space="preserve">Clinical versus allocation: </w:t>
      </w:r>
      <w:r>
        <w:t xml:space="preserve">Policy 9.4 permits discretionary requests where appropriate; absence of favorable diagnosis-specific guidance is not absence of a review mechanism, and a request does not promise approval.</w:t>
      </w:r>
    </w:p>
    <w:p>
      <w:pPr>
        <w:pStyle w:val="Normal"/>
        <w:widowControl/>
        <w:spacing w:before="60" w:after="20"/>
      </w:pPr>
      <w:r>
        <w:rPr>
          <w:b/>
        </w:rPr>
        <w:t xml:space="preserve">Roadmap / protocol reconciliation: </w:t>
      </w:r>
      <w:r>
        <w:t xml:space="preserve">Use the same clinical-versus-allocation separation in every standard and high-risk pathway.</w:t>
      </w:r>
    </w:p>
    <w:p>
      <w:pPr>
        <w:pStyle w:val="Normal"/>
        <w:widowControl/>
        <w:spacing w:before="60" w:after="20"/>
      </w:pPr>
      <w:hyperlink r:id="rId64">
        <w:r>
          <w:rPr>
            <w:color w:val="77230C"/>
            <w:sz w:val="20"/>
            <w:u w:val="single"/>
          </w:rPr>
          <w:t>Meeting record: ALLOC-B1</w:t>
        </w:r>
      </w:hyperlink>
      <w:r>
        <w:t xml:space="preserve">  |  </w:t>
      </w:r>
      <w:hyperlink r:id="rId65">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3"/>
        <w:keepNext/>
        <w:widowControl/>
      </w:pPr>
      <w:bookmarkStart w:id="5" w:name="ALLOC_B2"/>
      <w:r>
        <w:rPr>
          <w:color w:val="A8470A"/>
        </w:rPr>
        <w:t xml:space="preserve">ALLOC-B2 — What is the relevant organ opportunity cost?</w:t>
      </w:r>
      <w:bookmarkEnd w:id="5"/>
    </w:p>
    <w:p>
      <w:pPr>
        <w:pStyle w:val="Normal"/>
        <w:keepNext/>
        <w:widowControl/>
      </w:pPr>
      <w:r>
        <w:t xml:space="preserve">Evidence and uncertainty before the shared rule</w:t>
      </w:r>
    </w:p>
    <w:p>
      <w:pPr>
        <w:pStyle w:val="Normal"/>
        <w:widowControl/>
        <w:spacing w:before="60" w:after="20"/>
      </w:pPr>
      <w:r>
        <w:t xml:space="preserve">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I8L1JlY051bT48RGlzcGxheVRleHQ+W1YxMi0yMl08L0Rpc3BsYXlUZXh0PjxyZWNvcmQ+PHJlYy1udW1iZXI+MjI8L3JlYy1udW1iZXI+PGZvcmVpZ24ta2V5cz48a2V5IGFwcD0iRU4iIGRiLWlkPSI2MWYzZmVmMC03NGY1LTUzMDAtYjBlMC1jZGIwMDRlMjRlMDIiIHRpbWVzdGFtcD0iMTc5MjkyMTA4NiI+MjI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</w:fldData>
        </w:fldChar>
      </w:r>
      <w:r>
        <w:instrText xml:space="preserve"> ADDIN EN.CITE.DATA </w:instrText>
      </w:r>
      <w:r>
        <w:fldChar w:fldCharType="end"/>
      </w:r>
      <w:r>
        <w:fldChar w:fldCharType="separate"/>
      </w:r>
      <w:r>
        <w:t xml:space="preserve">[V12-22]</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2MWYzZmVmMC03NGY1LTUzMDAtYjBlMC1jZGIwMDRlMjRlMDIiIHRpbWVzdGFtcD0iMTc5MjkyMTA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MbG92ZXQ8L0F1dGhvcj48WWVhcj4yMDI2PC9ZZWFyPjxSZWNOdW0+MjM8L1JlY051bT48RGlzcGxheVRleHQ+W1YxMi0yM108L0Rpc3BsYXlUZXh0PjxyZWNvcmQ+PHJlYy1udW1iZXI+MjM8L3JlYy1udW1iZXI+PGZvcmVpZ24ta2V5cz48a2V5IGFwcD0iRU4iIGRiLWlkPSI2MWYzZmVmMC03NGY1LTUzMDAtYjBlMC1jZGIwMDRlMjRlMDIiIHRpbWVzdGFtcD0iMTc5MjkyMTA4NiI+MjM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[V12-23]</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yMDwvUmVjTnVtPjxEaXNwbGF5VGV4dD5bVjEyLTIwXTwvRGlzcGxheVRleHQ+PHJlY29yZD48cmVjLW51bWJlcj4yMDwvcmVjLW51bWJlcj48Zm9yZWlnbi1rZXlzPjxrZXkgYXBwPSJFTiIgZGItaWQ9IjYxZjNmZWYwLTc0ZjUtNTMwMC1iMGUwLWNkYjAwNGUyNGUwMiIgdGltZXN0YW1wPSIxNzkyOTIxMDg2Ij4yMD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[V12-20]</w:t>
      </w:r>
      <w:r>
        <w:fldChar w:fldCharType="end"/>
      </w:r>
      <w:r>
        <w:t xml:space="preserve"> </w:t>
      </w:r>
      <w:r>
        <w:t xml:space="preserve"> </w:t>
      </w:r>
      <w:r>
        <w:fldChar w:fldCharType="begin"/>
      </w:r>
      <w:r>
        <w:instrText xml:space="preserve"> ADDIN EN.CITE </w:instrText>
      </w:r>
      <w:r>
        <w:fldChar w:fldCharType="begin">
          <w:fldData>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IENvbXBsZXRlIGFjY2VwdGVkIG1hbnVzY3JpcHQgaW5jbHVkaW5nIHByb3RvY29sIGFwcGVuZGl4IHBsdXMgZmluYWwgcHVibGlzaGVkIGFic3RyYWN0OyB2ZXJzaW9uLWRlcGVuZGVudCBoYXphcmQgcmF0aW9zIG5vdCBtZXJnZWQ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y8+PC91cmxzPjwvcmVjb3JkPjwvQ2l0ZT48L0VuZE5vdGU+</w:fldData>
        </w:fldChar>
      </w:r>
      <w:r>
        <w:instrText xml:space="preserve"> ADDIN EN.CITE.DATA </w:instrText>
      </w:r>
      <w:r>
        <w:fldChar w:fldCharType="end"/>
      </w:r>
      <w:r>
        <w:fldChar w:fldCharType="separate"/>
      </w:r>
      <w:r>
        <w:t xml:space="preserve">[V12-24]</w:t>
      </w:r>
      <w:r>
        <w:fldChar w:fldCharType="end"/>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NjFmM2ZlZjAtNzRmNS01MzAwLWIwZTAtY2RiMDA0ZTI0ZTAy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BbGxlbjwvQXV0aG9yPjxZZWFyPjIwMjQ8L1llYXI+PFJlY051bT4yNTwvUmVjTnVtPjxEaXNwbGF5VGV4dD5bVjEyLTI1XTwvRGlzcGxheVRleHQ+PHJlY29yZD48cmVjLW51bWJlcj4yNTwvcmVjLW51bWJlcj48Zm9yZWlnbi1rZXlzPjxrZXkgYXBwPSJFTiIgZGItaWQ9IjYxZjNmZWYwLTc0ZjUtNTMwMC1iMGUwLWNkYjAwNGUyNGUwMiIgdGltZXN0YW1wPSIxNzkyOTIxMDg2Ij4yNT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[V12-25]</w:t>
      </w:r>
      <w:r>
        <w:fldChar w:fldCharType="end"/>
      </w:r>
    </w:p>
    <w:p>
      <w:pPr>
        <w:pStyle w:val="Normal"/>
        <w:widowControl/>
        <w:spacing w:before="60" w:after="20"/>
      </w:pPr>
      <w:r>
        <w:t xml:space="preserve">Evidence-to-threshold distinction: Two reviewers: local independence safeguard, not validated optimum.; 6/12/18 months: sensitivity scenarios for access/dropout, not mandatory waits.; HCC ≥60% five-year ITT OS: one expert trial-design benchmark; not a cross-cancer allocation policy.; All grafts: count initial and rescue/retransplant grafts; donor morbidity remains a separate outcome.</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Require two independent recipient-benefit reviews and an explicit organ-use case; do not adopt a universal five-year survival cutoff.</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NjFmM2ZlZjAtNzRmNS01MzAwLWIwZTAtY2RiMDA0ZTI0ZTAy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yMDwvUmVjTnVtPjxEaXNwbGF5VGV4dD5bVjEyLTIwXTwvRGlzcGxheVRleHQ+PHJlY29yZD48cmVjLW51bWJlcj4yMDwvcmVjLW51bWJlcj48Zm9yZWlnbi1rZXlzPjxrZXkgYXBwPSJFTiIgZGItaWQ9IjYxZjNmZWYwLTc0ZjUtNTMwMC1iMGUwLWNkYjAwNGUyNGUwMiIgdGltZXN0YW1wPSIxNzkyOTIxMDg2Ij4yMD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[V12-20]</w:t>
      </w:r>
      <w:r>
        <w:fldChar w:fldCharType="end"/>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I8L1JlY051bT48RGlzcGxheVRleHQ+W1YxMi0yMl08L0Rpc3BsYXlUZXh0PjxyZWNvcmQ+PHJlYy1udW1iZXI+MjI8L3JlYy1udW1iZXI+PGZvcmVpZ24ta2V5cz48a2V5IGFwcD0iRU4iIGRiLWlkPSI2MWYzZmVmMC03NGY1LTUzMDAtYjBlMC1jZGIwMDRlMjRlMDIiIHRpbWVzdGFtcD0iMTc5MjkyMTA4NiI+MjI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</w:fldData>
        </w:fldChar>
      </w:r>
      <w:r>
        <w:instrText xml:space="preserve"> ADDIN EN.CITE.DATA </w:instrText>
      </w:r>
      <w:r>
        <w:fldChar w:fldCharType="end"/>
      </w:r>
      <w:r>
        <w:fldChar w:fldCharType="separate"/>
      </w:r>
      <w:r>
        <w:t xml:space="preserve">[V12-22]</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2MWYzZmVmMC03NGY1LTUzMDAtYjBlMC1jZGIwMDRlMjRlMDIiIHRpbWVzdGFtcD0iMTc5MjkyMTA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MbG92ZXQ8L0F1dGhvcj48WWVhcj4yMDI2PC9ZZWFyPjxSZWNOdW0+MjM8L1JlY051bT48RGlzcGxheVRleHQ+W1YxMi0yM108L0Rpc3BsYXlUZXh0PjxyZWNvcmQ+PHJlYy1udW1iZXI+MjM8L3JlYy1udW1iZXI+PGZvcmVpZ24ta2V5cz48a2V5IGFwcD0iRU4iIGRiLWlkPSI2MWYzZmVmMC03NGY1LTUzMDAtYjBlMC1jZGIwMDRlMjRlMDIiIHRpbWVzdGFtcD0iMTc5MjkyMTA4NiI+MjM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[V12-23]</w:t>
      </w:r>
      <w:r>
        <w:fldChar w:fldCharType="end"/>
      </w:r>
      <w:r>
        <w:t xml:space="preserve"> </w:t>
      </w:r>
      <w:r>
        <w:t xml:space="preserve"> </w:t>
      </w:r>
      <w:r>
        <w:fldChar w:fldCharType="begin"/>
      </w:r>
      <w:r>
        <w:instrText xml:space="preserve"> ADDIN EN.CITE </w:instrText>
      </w:r>
      <w:r>
        <w:fldChar w:fldCharType="begin">
          <w:fldData>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IENvbXBsZXRlIGFjY2VwdGVkIG1hbnVzY3JpcHQgaW5jbHVkaW5nIHByb3RvY29sIGFwcGVuZGl4IHBsdXMgZmluYWwgcHVibGlzaGVkIGFic3RyYWN0OyB2ZXJzaW9uLWRlcGVuZGVudCBoYXphcmQgcmF0aW9zIG5vdCBtZXJnZWQ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y8+PC91cmxzPjwvcmVjb3JkPjwvQ2l0ZT48L0VuZE5vdGU+</w:fldData>
        </w:fldChar>
      </w:r>
      <w:r>
        <w:instrText xml:space="preserve"> ADDIN EN.CITE.DATA </w:instrText>
      </w:r>
      <w:r>
        <w:fldChar w:fldCharType="end"/>
      </w:r>
      <w:r>
        <w:fldChar w:fldCharType="separate"/>
      </w:r>
      <w:r>
        <w:t xml:space="preserve">[V12-24]</w:t>
      </w:r>
      <w:r>
        <w:fldChar w:fldCharType="end"/>
      </w:r>
      <w:r>
        <w:t xml:space="preserve"> </w:t>
      </w:r>
      <w:r>
        <w:t xml:space="preserve"> </w:t>
      </w:r>
      <w:r>
        <w:fldChar w:fldCharType="begin"/>
      </w:r>
      <w:r>
        <w:instrText xml:space="preserve"> ADDIN EN.CITE </w:instrText>
      </w:r>
      <w:r>
        <w:fldChar w:fldCharType="begin">
          <w:fldData>PEVuZE5vdGU+PENpdGU+PEF1dGhvcj5BbGxlbjwvQXV0aG9yPjxZZWFyPjIwMjQ8L1llYXI+PFJlY051bT4yNTwvUmVjTnVtPjxEaXNwbGF5VGV4dD5bVjEyLTI1XTwvRGlzcGxheVRleHQ+PHJlY29yZD48cmVjLW51bWJlcj4yNTwvcmVjLW51bWJlcj48Zm9yZWlnbi1rZXlzPjxrZXkgYXBwPSJFTiIgZGItaWQ9IjYxZjNmZWYwLTc0ZjUtNTMwMC1iMGUwLWNkYjAwNGUyNGUwMiIgdGltZXN0YW1wPSIxNzkyOTIxMDg2Ij4yNT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[V12-25]</w:t>
      </w:r>
      <w:r>
        <w:fldChar w:fldCharType="end"/>
      </w:r>
    </w:p>
    <w:p>
      <w:pPr>
        <w:pStyle w:val="Normal"/>
        <w:widowControl/>
        <w:numPr>
          <w:ilvl w:val="0"/>
          <w:numId w:val="3"/>
        </w:numPr>
      </w:pPr>
      <w:r>
        <w:t xml:space="preserve">Proposed gate: two reviewers not both responsible for recruitment must document expected incremental benefit over the actual contemporary alternative, with unresolved disagreement referred to the full committee.</w:t>
      </w:r>
    </w:p>
    <w:p>
      <w:pPr>
        <w:pStyle w:val="Normal"/>
        <w:widowControl/>
        <w:numPr>
          <w:ilvl w:val="0"/>
          <w:numId w:val="3"/>
        </w:numPr>
      </w:pPr>
      <w:r>
        <w:t xml:space="preserve">For DDLT, show local expected access/dropout and sensitivity scenarios at 6, 12 and 18 months, total graft use including retransplantation, and plausible alternative recipients.</w:t>
      </w:r>
    </w:p>
    <w:p>
      <w:pPr>
        <w:pStyle w:val="Normal"/>
        <w:widowControl/>
        <w:numPr>
          <w:ilvl w:val="1"/>
          <w:numId w:val="3"/>
        </w:numPr>
        <w:spacing w:before="60" w:after="20"/>
      </w:pPr>
      <w:r>
        <w:t xml:space="preserve">These are planning scenarios, not imposed waiting periods.</w:t>
      </w:r>
    </w:p>
    <w:p>
      <w:pPr>
        <w:pStyle w:val="Normal"/>
        <w:widowControl/>
        <w:numPr>
          <w:ilvl w:val="0"/>
          <w:numId w:val="3"/>
        </w:numPr>
      </w:pPr>
      <w:r>
        <w:t xml:space="preserve">For LDLT, separately show healthy-donor risk and potential downstream deceased-donor graft use.</w:t>
      </w:r>
    </w:p>
    <w:p>
      <w:pPr>
        <w:pStyle w:val="Normal"/>
        <w:widowControl/>
        <w:numPr>
          <w:ilvl w:val="1"/>
          <w:numId w:val="3"/>
        </w:numPr>
        <w:spacing w:before="60" w:after="20"/>
      </w:pPr>
      <w:r>
        <w:t xml:space="preserve">Do not call DCD, extended-criteria grafts or machine perfusion “zero opportunity cost.” No priority changes follow from an AI-selected survival threshold.</w:t>
      </w:r>
    </w:p>
    <w:p>
      <w:pPr>
        <w:pStyle w:val="Normal"/>
        <w:widowControl/>
        <w:spacing w:before="60" w:after="20"/>
      </w:pPr>
      <w:r>
        <w:rPr>
          <w:b/>
        </w:rPr>
        <w:t xml:space="preserve">Why retain or change it: </w:t>
      </w:r>
      <w:r>
        <w:t xml:space="preserve">Retain independent benefit and organ-use reviews, but require disease-specific ITT evidence and explicit uncertainty. No universal five-year survival cutoff or numerical allocation weight is adopted.</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Same-eligibility/time-zero comparator; expected access; dropout; donor/graft type; uncertainty intervals; graft loss/retransplant estimate; written independent reviews.</w:t>
      </w:r>
    </w:p>
    <w:p>
      <w:pPr>
        <w:pStyle w:val="Normal"/>
        <w:widowControl/>
        <w:spacing w:before="60" w:after="20"/>
      </w:pPr>
      <w:r>
        <w:rPr>
          <w:b/>
        </w:rPr>
        <w:t xml:space="preserve">Clinical versus allocation: </w:t>
      </w:r>
      <w:r>
        <w:t xml:space="preserve">Only the applicable allocation process determines priority. Favorable post-LT prognosis, evidence grade and urgency are not interchangeable measures.</w:t>
      </w:r>
    </w:p>
    <w:p>
      <w:pPr>
        <w:pStyle w:val="Normal"/>
        <w:widowControl/>
        <w:spacing w:before="60" w:after="20"/>
      </w:pPr>
      <w:r>
        <w:rPr>
          <w:b/>
        </w:rPr>
        <w:t xml:space="preserve">Roadmap / protocol reconciliation: </w:t>
      </w:r>
      <w:r>
        <w:t xml:space="preserve">Compare against the cancer roadmap’s actual resection, ablation, HAI, radiation or systemic alternative—not historical untreated survival.</w:t>
      </w:r>
    </w:p>
    <w:p>
      <w:pPr>
        <w:pStyle w:val="Normal"/>
        <w:widowControl/>
        <w:spacing w:before="60" w:after="20"/>
      </w:pPr>
      <w:hyperlink r:id="rId66">
        <w:r>
          <w:rPr>
            <w:color w:val="77230C"/>
            <w:sz w:val="20"/>
            <w:u w:val="single"/>
          </w:rPr>
          <w:t>Meeting record: ALLOC-B2</w:t>
        </w:r>
      </w:hyperlink>
      <w:r>
        <w:t xml:space="preserve">  |  </w:t>
      </w:r>
      <w:hyperlink r:id="rId6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3"/>
        <w:keepNext/>
        <w:widowControl/>
      </w:pPr>
      <w:bookmarkStart w:id="6" w:name="ALLOC_B3"/>
      <w:r>
        <w:rPr>
          <w:color w:val="A8470A"/>
        </w:rPr>
        <w:t xml:space="preserve">ALLOC-B3 — What must donor consent and follow-up include?</w:t>
      </w:r>
      <w:bookmarkEnd w:id="6"/>
    </w:p>
    <w:p>
      <w:pPr>
        <w:pStyle w:val="Normal"/>
        <w:keepNext/>
        <w:widowControl/>
      </w:pPr>
      <w:r>
        <w:t xml:space="preserve">Evidence and uncertainty before the shared rule</w:t>
      </w:r>
    </w:p>
    <w:p>
      <w:pPr>
        <w:pStyle w:val="Normal"/>
        <w:widowControl/>
        <w:spacing w:before="60" w:after="20"/>
      </w:pPr>
      <w:r>
        <w:t xml:space="preserve">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 Full-text clarification: Use endpoint-specific denominators for donor counseling. Include aborted donation, early and late surgical/psychological events, financial burden and support; historical complication grading cannot be substituted for contemporary Clavien–Dindo major morbidity.</w:t>
      </w:r>
      <w:r>
        <w:t xml:space="preserve"> </w:t>
      </w:r>
      <w:r>
        <w:t xml:space="preserve"> </w:t>
      </w:r>
      <w:r>
        <w:fldChar w:fldCharType="begin"/>
      </w:r>
      <w:r>
        <w:instrText xml:space="preserve"> ADDIN EN.CITE </w:instrText>
      </w:r>
      <w:r>
        <w:fldChar w:fldCharType="begin">
          <w:fldData>PEVuZE5vdGU+PENpdGU+PEF1dGhvcj5LZWxseTwvQXV0aG9yPjxZZWFyPjIwMjY8L1llYXI+PFJlY051bT4yMDwvUmVjTnVtPjxEaXNwbGF5VGV4dD5bVjEyLTIwXTwvRGlzcGxheVRleHQ+PHJlY29yZD48cmVjLW51bWJlcj4yMDwvcmVjLW51bWJlcj48Zm9yZWlnbi1rZXlzPjxrZXkgYXBwPSJFTiIgZGItaWQ9IjYxZjNmZWYwLTc0ZjUtNTMwMC1iMGUwLWNkYjAwNGUyNGUwMiIgdGltZXN0YW1wPSIxNzkyOTIxMDg2Ij4yMD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[V12-20]</w:t>
      </w:r>
      <w:r>
        <w:fldChar w:fldCharType="end"/>
      </w:r>
      <w:r>
        <w:t xml:space="preserve"> </w:t>
      </w:r>
      <w:r>
        <w:t xml:space="preserve"> </w:t>
      </w:r>
      <w:r>
        <w:fldChar w:fldCharType="begin"/>
      </w:r>
      <w:r>
        <w:instrText xml:space="preserve"> ADDIN EN.CITE </w:instrText>
      </w:r>
      <w:r>
        <w:fldChar w:fldCharType="begin">
          <w:fldData>PEVuZE5vdGU+PENpdGU+PEF1dGhvcj5BYmVjYXNzaXM8L0F1dGhvcj48WWVhcj4yMDEyPC9ZZWFyPjxSZWNOdW0+MjY8L1JlY051bT48RGlzcGxheVRleHQ+W1YxMi0yNl08L0Rpc3BsYXlUZXh0PjxyZWNvcmQ+PHJlYy1udW1iZXI+MjY8L3JlYy1udW1iZXI+PGZvcmVpZ24ta2V5cz48a2V5IGFwcD0iRU4iIGRiLWlkPSI2MWYzZmVmMC03NGY1LTUzMDAtYjBlMC1jZGIwMDRlMjRlMDIiIHRpbWVzdGFtcD0iMTc5MjkyMTA4NiI+MjY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[V12-26]</w:t>
      </w:r>
      <w:r>
        <w:fldChar w:fldCharType="end"/>
      </w:r>
      <w:r>
        <w:t xml:space="preserve"> </w:t>
      </w:r>
      <w:r>
        <w:t xml:space="preserve"> </w:t>
      </w:r>
      <w:r>
        <w:fldChar w:fldCharType="begin"/>
      </w:r>
      <w:r>
        <w:instrText xml:space="preserve"> ADDIN EN.CITE </w:instrText>
      </w:r>
      <w:r>
        <w:fldChar w:fldCharType="begin">
          <w:fldData>PEVuZE5vdGU+PENpdGU+PEF1dGhvcj5EaU1hcnRpbmk8L0F1dGhvcj48WWVhcj4yMDE3PC9ZZWFyPjxSZWNOdW0+Mjc8L1JlY051bT48RGlzcGxheVRleHQ+W1YxMi0yN108L0Rpc3BsYXlUZXh0PjxyZWNvcmQ+PHJlYy1udW1iZXI+Mjc8L3JlYy1udW1iZXI+PGZvcmVpZ24ta2V5cz48a2V5IGFwcD0iRU4iIGRiLWlkPSI2MWYzZmVmMC03NGY1LTUzMDAtYjBlMC1jZGIwMDRlMjRlMDIiIHRpbWVzdGFtcD0iMTc5MjkyMTA4NiI+Mjc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[V12-27]</w:t>
      </w:r>
      <w:r>
        <w:fldChar w:fldCharType="end"/>
      </w:r>
      <w:r>
        <w:t xml:space="preserve"> </w:t>
      </w:r>
      <w:r>
        <w:t xml:space="preserve"> </w:t>
      </w:r>
      <w:r>
        <w:fldChar w:fldCharType="begin"/>
      </w:r>
      <w:r>
        <w:instrText xml:space="preserve"> ADDIN EN.CITE </w:instrText>
      </w:r>
      <w:r>
        <w:fldChar w:fldCharType="begin">
          <w:fldData>PEVuZE5vdGU+PENpdGU+PEF1dGhvcj5YaWFvPC9BdXRob3I+PFllYXI+MjAyNDwvWWVhcj48UmVjTnVtPjI4PC9SZWNOdW0+PERpc3BsYXlUZXh0PltWMTItMjhdPC9EaXNwbGF5VGV4dD48cmVjb3JkPjxyZWMtbnVtYmVyPjI4PC9yZWMtbnVtYmVyPjxmb3JlaWduLWtleXM+PGtleSBhcHA9IkVOIiBkYi1pZD0iNjFmM2ZlZjAtNzRmNS01MzAwLWIwZTAtY2RiMDA0ZTI0ZTAyIiB0aW1lc3RhbXA9IjE3OTI5MjEwODYiPjI4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[V12-28]</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2MWYzZmVmMC03NGY1LTUzMDAtYjBlMC1jZGIwMDRlMjRlMDIiIHRpbWVzdGFtcD0iMTc5MjkyMTA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p>
    <w:p>
      <w:pPr>
        <w:pStyle w:val="Normal"/>
        <w:widowControl/>
        <w:spacing w:before="60" w:after="20"/>
      </w:pPr>
      <w:r>
        <w:t xml:space="preserve">Quantitative donor context: Kelly reports 8/8,619 deaths by 90 days across eras; A2ALL recorded ≥1 complication in 296/740 donors. These are different outcomes/eras, not poolable rates. The complete donor evidence and follow-up limitations are in ALLOC-B3.</w:t>
      </w:r>
    </w:p>
    <w:p>
      <w:pPr>
        <w:pStyle w:val="Normal"/>
        <w:widowControl/>
        <w:spacing w:before="60" w:after="20"/>
      </w:pPr>
      <w:r>
        <w:t xml:space="preserve">Evidence-to-threshold distinction: Baseline/6 weeks/6 months/1/2 years then annually to five: proposed support schedule; current mandatory reporting remains separately checked.; One sentinel event: conservative review/pause trigger, not a statistically estimated harm boundary.; No relaxed donor criteria: protection against shifting uncertain recipient benefit onto a healthy person.</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Do not relax donor criteria; fund independent follow-up and pause after a serious sentinel donor event.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2MWYzZmVmMC03NGY1LTUzMDAtYjBlMC1jZGIwMDRlMjRlMDIiIHRpbWVzdGFtcD0iMTc5MjkyMTA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yMDwvUmVjTnVtPjxEaXNwbGF5VGV4dD5bVjEyLTIwXTwvRGlzcGxheVRleHQ+PHJlY29yZD48cmVjLW51bWJlcj4yMDwvcmVjLW51bWJlcj48Zm9yZWlnbi1rZXlzPjxrZXkgYXBwPSJFTiIgZGItaWQ9IjYxZjNmZWYwLTc0ZjUtNTMwMC1iMGUwLWNkYjAwNGUyNGUwMiIgdGltZXN0YW1wPSIxNzkyOTIxMDg2Ij4yMD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[V12-20]</w:t>
      </w:r>
      <w:r>
        <w:fldChar w:fldCharType="end"/>
      </w:r>
      <w:r>
        <w:t xml:space="preserve"> </w:t>
      </w:r>
      <w:r>
        <w:t xml:space="preserve"> </w:t>
      </w:r>
      <w:r>
        <w:fldChar w:fldCharType="begin"/>
      </w:r>
      <w:r>
        <w:instrText xml:space="preserve"> ADDIN EN.CITE </w:instrText>
      </w:r>
      <w:r>
        <w:fldChar w:fldCharType="begin">
          <w:fldData>PEVuZE5vdGU+PENpdGU+PEF1dGhvcj5BYmVjYXNzaXM8L0F1dGhvcj48WWVhcj4yMDEyPC9ZZWFyPjxSZWNOdW0+MjY8L1JlY051bT48RGlzcGxheVRleHQ+W1YxMi0yNl08L0Rpc3BsYXlUZXh0PjxyZWNvcmQ+PHJlYy1udW1iZXI+MjY8L3JlYy1udW1iZXI+PGZvcmVpZ24ta2V5cz48a2V5IGFwcD0iRU4iIGRiLWlkPSI2MWYzZmVmMC03NGY1LTUzMDAtYjBlMC1jZGIwMDRlMjRlMDIiIHRpbWVzdGFtcD0iMTc5MjkyMTA4NiI+MjY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[V12-26]</w:t>
      </w:r>
      <w:r>
        <w:fldChar w:fldCharType="end"/>
      </w:r>
      <w:r>
        <w:t xml:space="preserve"> </w:t>
      </w:r>
      <w:r>
        <w:t xml:space="preserve"> </w:t>
      </w:r>
      <w:r>
        <w:fldChar w:fldCharType="begin"/>
      </w:r>
      <w:r>
        <w:instrText xml:space="preserve"> ADDIN EN.CITE </w:instrText>
      </w:r>
      <w:r>
        <w:fldChar w:fldCharType="begin">
          <w:fldData>PEVuZE5vdGU+PENpdGU+PEF1dGhvcj5EaU1hcnRpbmk8L0F1dGhvcj48WWVhcj4yMDE3PC9ZZWFyPjxSZWNOdW0+Mjc8L1JlY051bT48RGlzcGxheVRleHQ+W1YxMi0yN108L0Rpc3BsYXlUZXh0PjxyZWNvcmQ+PHJlYy1udW1iZXI+Mjc8L3JlYy1udW1iZXI+PGZvcmVpZ24ta2V5cz48a2V5IGFwcD0iRU4iIGRiLWlkPSI2MWYzZmVmMC03NGY1LTUzMDAtYjBlMC1jZGIwMDRlMjRlMDIiIHRpbWVzdGFtcD0iMTc5MjkyMTA4NiI+Mjc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[V12-27]</w:t>
      </w:r>
      <w:r>
        <w:fldChar w:fldCharType="end"/>
      </w:r>
      <w:r>
        <w:t xml:space="preserve"> </w:t>
      </w:r>
      <w:r>
        <w:t xml:space="preserve"> </w:t>
      </w:r>
      <w:r>
        <w:fldChar w:fldCharType="begin"/>
      </w:r>
      <w:r>
        <w:instrText xml:space="preserve"> ADDIN EN.CITE </w:instrText>
      </w:r>
      <w:r>
        <w:fldChar w:fldCharType="begin">
          <w:fldData>PEVuZE5vdGU+PENpdGU+PEF1dGhvcj5YaWFvPC9BdXRob3I+PFllYXI+MjAyNDwvWWVhcj48UmVjTnVtPjI4PC9SZWNOdW0+PERpc3BsYXlUZXh0PltWMTItMjhdPC9EaXNwbGF5VGV4dD48cmVjb3JkPjxyZWMtbnVtYmVyPjI4PC9yZWMtbnVtYmVyPjxmb3JlaWduLWtleXM+PGtleSBhcHA9IkVOIiBkYi1pZD0iNjFmM2ZlZjAtNzRmNS01MzAwLWIwZTAtY2RiMDA0ZTI0ZTAyIiB0aW1lc3RhbXA9IjE3OTI5MjEwODYiPjI4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[V12-28]</w:t>
      </w:r>
      <w:r>
        <w:fldChar w:fldCharType="end"/>
      </w:r>
    </w:p>
    <w:p>
      <w:pPr>
        <w:pStyle w:val="Normal"/>
        <w:widowControl/>
        <w:numPr>
          <w:ilvl w:val="0"/>
          <w:numId w:val="3"/>
        </w:numPr>
      </w:pPr>
      <w:r>
        <w:t xml:space="preserve">Proposed readiness gate: independent donor evaluation/advocacy, documented freedom to withdraw, recipient-benefit uncertainty consent, and funded medical, psychological, recovery and financial follow-up before investigational LDLT.</w:t>
      </w:r>
    </w:p>
    <w:p>
      <w:pPr>
        <w:pStyle w:val="Normal"/>
        <w:widowControl/>
        <w:numPr>
          <w:ilvl w:val="0"/>
          <w:numId w:val="3"/>
        </w:numPr>
      </w:pPr>
      <w:r>
        <w:t xml:space="preserve">Proposed local follow-up: baseline, six weeks, six months, one year, two years, then annually through five years.</w:t>
      </w:r>
    </w:p>
    <w:p>
      <w:pPr>
        <w:pStyle w:val="Normal"/>
        <w:widowControl/>
        <w:numPr>
          <w:ilvl w:val="1"/>
          <w:numId w:val="3"/>
        </w:numPr>
        <w:spacing w:before="60" w:after="20"/>
      </w:pPr>
      <w:r>
        <w:t xml:space="preserve">Meet current OPTN reporting duties separately; this five-year support plan is not claimed to be a national reporting requirement.</w:t>
      </w:r>
    </w:p>
    <w:p>
      <w:pPr>
        <w:pStyle w:val="Normal"/>
        <w:widowControl/>
        <w:numPr>
          <w:ilvl w:val="0"/>
          <w:numId w:val="3"/>
        </w:numPr>
      </w:pPr>
      <w:r>
        <w:t xml:space="preserve">One donor death, life-threatening complication, permanent major disability or liver failure requiring transplantation triggers an immediate pause of the relevant investigational LDLT activity and independent review.</w:t>
      </w:r>
    </w:p>
    <w:p>
      <w:pPr>
        <w:pStyle w:val="Normal"/>
        <w:widowControl/>
        <w:numPr>
          <w:ilvl w:val="1"/>
          <w:numId w:val="3"/>
        </w:numPr>
        <w:spacing w:before="60" w:after="20"/>
      </w:pPr>
      <w:r>
        <w:t xml:space="preserve">Other serious donor harm also warrants review; reopening needs independent authorization.</w:t>
      </w:r>
    </w:p>
    <w:p>
      <w:pPr>
        <w:pStyle w:val="Normal"/>
        <w:widowControl/>
        <w:spacing w:before="60" w:after="20"/>
      </w:pPr>
      <w:r>
        <w:rPr>
          <w:b/>
        </w:rPr>
        <w:t xml:space="preserve">Why retain or change it: </w:t>
      </w:r>
      <w:r>
        <w:t xml:space="preserve">Retain independent advocacy, ability to withdraw, funded medical/psychological/financial follow-up and sentinel-event pause. Add explicit denominator/era caveats to consent estimates and collect local outcomes prospectively. Use endpoint-specific denominators for donor counseling. Include aborted donation, early and late surgical/psychological events, financial burden and support; historical complication grading cannot be substituted for contemporary Clavien–Dindo major morbidity.</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Graft/resection-specific and center-specific risk; donor recovery/employment baseline; independent consent and advocate records; funded follow-up/support; sentinel-event response owner.</w:t>
      </w:r>
    </w:p>
    <w:p>
      <w:pPr>
        <w:pStyle w:val="Normal"/>
        <w:widowControl/>
        <w:spacing w:before="60" w:after="20"/>
      </w:pPr>
      <w:r>
        <w:rPr>
          <w:b/>
        </w:rPr>
        <w:t xml:space="preserve">Clinical versus allocation: </w:t>
      </w:r>
      <w:r>
        <w:t xml:space="preserve">LDLT clearance is separate from recipient selection; the potential need for retransplantation must be included in organ-use discussions.</w:t>
      </w:r>
    </w:p>
    <w:p>
      <w:pPr>
        <w:pStyle w:val="Normal"/>
        <w:widowControl/>
        <w:spacing w:before="60" w:after="20"/>
      </w:pPr>
      <w:r>
        <w:rPr>
          <w:b/>
        </w:rPr>
        <w:t xml:space="preserve">Roadmap / protocol reconciliation: </w:t>
      </w:r>
      <w:r>
        <w:t xml:space="preserve">The same independent donor safeguards apply whether recipient disease is standard or experimental.</w:t>
      </w:r>
    </w:p>
    <w:p>
      <w:pPr>
        <w:pStyle w:val="Normal"/>
        <w:widowControl/>
        <w:spacing w:before="60" w:after="20"/>
      </w:pPr>
      <w:hyperlink r:id="rId68">
        <w:r>
          <w:rPr>
            <w:color w:val="77230C"/>
            <w:sz w:val="20"/>
            <w:u w:val="single"/>
          </w:rPr>
          <w:t>Meeting record: ALLOC-B3</w:t>
        </w:r>
      </w:hyperlink>
      <w:r>
        <w:t xml:space="preserve">  |  </w:t>
      </w:r>
      <w:hyperlink r:id="rId6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Normal"/>
        <w:widowControl/>
        <w:numPr>
          <w:ilvl w:val="0"/>
          <w:numId w:val="3"/>
        </w:numPr>
      </w:pPr>
      <w:r>
        <w:t xml:space="preserve">Before LT, reconfirm staging and inspect for unexpected extrahepatic disease. Obtain pathology of suspicious findings; malignant extrahepatic disease stops this protocol operation. Complete native hepatectomy and map viable and nonviable sites on explant.</w:t>
      </w:r>
    </w:p>
    <w:p>
      <w:pPr>
        <w:pStyle w:val="Normal"/>
        <w:widowControl/>
        <w:numPr>
          <w:ilvl w:val="0"/>
          <w:numId w:val="3"/>
        </w:numPr>
      </w:pPr>
      <w:r>
        <w:t xml:space="preserve">Living-donor RAPID or another auxiliary/two-stage operation is not a default alternative when a whole graft is unavailable. It requires a separate surgical study, graft-growth/functional criteria, small-for-size and interval-progression safeguards, and independent donor assessment. The old 2–3-week completion schedule is not an automatic operative order.</w:t>
      </w:r>
    </w:p>
    <w:p>
      <w:pPr>
        <w:rPr>
          <w:color w:val="A8470A"/>
        </w:rPr>
        <w:pStyle w:val="Heading2"/>
        <w:keepNext/>
        <w:widowControl/>
      </w:pPr>
      <w:r>
        <w:rPr>
          <w:color w:val="A8470A"/>
        </w:rPr>
        <w:t xml:space="preserve">6 Immunosuppression and adjuvant therapy</w:t>
      </w:r>
    </w:p>
    <w:p>
      <w:pPr>
        <w:pStyle w:val="Normal"/>
        <w:widowControl/>
        <w:numPr>
          <w:ilvl w:val="0"/>
          <w:numId w:val="3"/>
        </w:numPr>
      </w:pPr>
      <w:r>
        <w:t xml:space="preserve">Use an approved transplant regimen with individual renal, infection, rejection and oncologic assessment. mTOR conversion and tacrolimus minimization may be considered after appropriate healing and vascular assessment, but no high-risk CRLM recurrence-prevention regimen or universal trough target is established.</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yLTRdPC9EaXNwbGF5VGV4dD48cmVjb3JkPjxyZWMtbnVtYmVyPjQ8L3JlYy1udW1iZXI+PGZvcmVpZ24ta2V5cz48a2V5IGFwcD0iRU4iIGRiLWlkPSI2MWYzZmVmMC03NGY1LTUzMDAtYjBlMC1jZGIwMDRlMjRlMDIiIHRpbWVzdGFtcD0iMTc5MjkyMTA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Q29tcGxldGUgbG9jYWwgcHJpbWFyeSBQREYgYXZhaWxhYmxlOyByZWxldmFudCBtZXRob2RzLCBzZWxlY3Rpb24sIHJlc3VsdHMgYW5kIGxpbWl0YXRpb25zIHJldmlld2VkIFNlbGVjdGlvbiwgYmlvbG9naWNhbCBwcm9nbm9zaXMgYW5kIHRlY2huaWNhbCByZXNlY3RhYmlsaXR5IGhhdmUgZGlzdGluY3Qgcm9sZXMuIEFuIGV4cGVydCByZWNvbW1lbmRhdGlvbiBpcyBub3QgYSBuYXRpb25hbCBhbGxvY2F0aW9uIHJ1bGUuPC9ub3Rlcz48dXJscz48cmVsYXRlZC11cmxzPjx1cmw+aHR0cHM6Ly9kb2kub3JnLzEwLjEwMTYvUzI0NjgtMTI1MygyMSkwMDIxOS0z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U8L1JlY051bT48RGlzcGxheVRleHQ+W1YxMi01XTwvRGlzcGxheVRleHQ+PHJlY29yZD48cmVjLW51bWJlcj41PC9yZWMtbnVtYmVyPjxmb3JlaWduLWtleXM+PGtleSBhcHA9IkVOIiBkYi1pZD0iNjFmM2ZlZjAtNzRmNS01MzAwLWIwZTAtY2RiMDA0ZTI0ZTAyIiB0aW1lc3RhbXA9IjE3OTI5MjEwODYiPjU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[V12-5]</w:t>
      </w:r>
      <w:r>
        <w:fldChar w:fldCharType="end"/>
      </w:r>
    </w:p>
    <w:p>
      <w:pPr>
        <w:pStyle w:val="Normal"/>
        <w:widowControl/>
        <w:numPr>
          <w:ilvl w:val="0"/>
          <w:numId w:val="3"/>
        </w:numPr>
      </w:pPr>
      <w:r>
        <w:t xml:space="preserve">No routine post-LT adjuvant chemotherapy standard is adopted here. Any such plan must specify regimen, recovery requirements, duration and graft/marrow/interaction monitoring in an approved study or individualized MDT decision. Four-week ctDNA status must not alone start, stop or extend chemotherapy.</w:t>
      </w:r>
      <w:r>
        <w:t xml:space="preserve"> </w:t>
      </w:r>
      <w:r>
        <w:t xml:space="preserve"> </w:t>
      </w:r>
      <w:r>
        <w:fldChar w:fldCharType="begin"/>
      </w:r>
      <w:r>
        <w:instrText xml:space="preserve"> ADDIN EN.CITE </w:instrText>
      </w:r>
      <w:r>
        <w:fldChar w:fldCharType="begin">
          <w:fldData>PEVuZE5vdGU+PENpdGU+PEF1dGhvcj5XZWhybGU8L0F1dGhvcj48WWVhcj4yMDIzPC9ZZWFyPjxSZWNOdW0+MTc8L1JlY051bT48RGlzcGxheVRleHQ+W1YxMi0xN108L0Rpc3BsYXlUZXh0PjxyZWNvcmQ+PHJlYy1udW1iZXI+MTc8L3JlYy1udW1iZXI+PGZvcmVpZ24ta2V5cz48a2V5IGFwcD0iRU4iIGRiLWlkPSI2MWYzZmVmMC03NGY1LTUzMDAtYjBlMC1jZGIwMDRlMjRlMDIiIHRpbWVzdGFtcD0iMTc5MjkyMTA4NiI+MTc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[V12-17]</w:t>
      </w:r>
      <w:r>
        <w:fldChar w:fldCharType="end"/>
      </w:r>
    </w:p>
    <w:p>
      <w:pPr>
        <w:rPr>
          <w:color w:val="A8470A"/>
        </w:rPr>
        <w:pStyle w:val="Heading2"/>
        <w:keepNext/>
        <w:widowControl/>
      </w:pPr>
      <w:r>
        <w:rPr>
          <w:color w:val="A8470A"/>
        </w:rPr>
        <w:t xml:space="preserve">7 Post transplant surveillance</w:t>
      </w:r>
    </w:p>
    <w:p>
      <w:pPr>
        <w:pStyle w:val="Normal"/>
        <w:widowControl/>
        <w:numPr>
          <w:ilvl w:val="0"/>
          <w:numId w:val="3"/>
        </w:numPr>
      </w:pPr>
      <w:r>
        <w:t xml:space="preserve">Proposed local schedule for approval: chest/abdomen/pelvis imaging and CEA every three months for years one to three, then every six months through year five, with subsequent follow-up individualized. Choose liver MRI where appropriate; assess kidney function and cumulative imaging burden.</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yLTRdPC9EaXNwbGF5VGV4dD48cmVjb3JkPjxyZWMtbnVtYmVyPjQ8L3JlYy1udW1iZXI+PGZvcmVpZ24ta2V5cz48a2V5IGFwcD0iRU4iIGRiLWlkPSI2MWYzZmVmMC03NGY1LTUzMDAtYjBlMC1jZGIwMDRlMjRlMDIiIHRpbWVzdGFtcD0iMTc5MjkyMTA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Q29tcGxldGUgbG9jYWwgcHJpbWFyeSBQREYgYXZhaWxhYmxlOyByZWxldmFudCBtZXRob2RzLCBzZWxlY3Rpb24sIHJlc3VsdHMgYW5kIGxpbWl0YXRpb25zIHJldmlld2VkIFNlbGVjdGlvbiwgYmlvbG9naWNhbCBwcm9nbm9zaXMgYW5kIHRlY2huaWNhbCByZXNlY3RhYmlsaXR5IGhhdmUgZGlzdGluY3Qgcm9sZXMuIEFuIGV4cGVydCByZWNvbW1lbmRhdGlvbiBpcyBub3QgYSBuYXRpb25hbCBhbGxvY2F0aW9uIHJ1bGUuPC9ub3Rlcz48dXJscz48cmVsYXRlZC11cmxzPjx1cmw+aHR0cHM6Ly9kb2kub3JnLzEwLjEwMTYvUzI0NjgtMTI1MygyMSkwMDIxOS0z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Use PET for an unresolved clinical or imaging question, not automatically every six months. Obtain colonoscopic surveillance through the colorectal team based on prior examination and resection history.</w:t>
      </w:r>
    </w:p>
    <w:p>
      <w:pPr>
        <w:pStyle w:val="Normal"/>
        <w:widowControl/>
        <w:numPr>
          <w:ilvl w:val="0"/>
          <w:numId w:val="3"/>
        </w:numPr>
      </w:pPr>
      <w:r>
        <w:t xml:space="preserve">ctDNA remains a research/risk adjunct. Confirm a new positive result and perform directed restaging/MDT review; do not initiate empiric therapy with negative imaging solely because ctDNA is detected.</w:t>
      </w:r>
      <w:r>
        <w:t xml:space="preserve"> </w:t>
      </w:r>
      <w:r>
        <w:t xml:space="preserve"> </w:t>
      </w:r>
      <w:r>
        <w:fldChar w:fldCharType="begin"/>
      </w:r>
      <w:r>
        <w:instrText xml:space="preserve"> ADDIN EN.CITE </w:instrText>
      </w:r>
      <w:r>
        <w:fldChar w:fldCharType="begin">
          <w:fldData>PEVuZE5vdGU+PENpdGU+PEF1dGhvcj5XZWhybGU8L0F1dGhvcj48WWVhcj4yMDIzPC9ZZWFyPjxSZWNOdW0+MTc8L1JlY051bT48RGlzcGxheVRleHQ+W1YxMi0xN108L0Rpc3BsYXlUZXh0PjxyZWNvcmQ+PHJlYy1udW1iZXI+MTc8L3JlYy1udW1iZXI+PGZvcmVpZ24ta2V5cz48a2V5IGFwcD0iRU4iIGRiLWlkPSI2MWYzZmVmMC03NGY1LTUzMDAtYjBlMC1jZGIwMDRlMjRlMDIiIHRpbWVzdGFtcD0iMTc5MjkyMTA4NiI+MTc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[V12-17]</w:t>
      </w:r>
      <w:r>
        <w:fldChar w:fldCharType="end"/>
      </w:r>
    </w:p>
    <w:p>
      <w:pPr>
        <w:rPr>
          <w:color w:val="A8470A"/>
        </w:rPr>
        <w:pStyle w:val="Heading2"/>
        <w:keepNext/>
        <w:widowControl/>
      </w:pPr>
      <w:r>
        <w:rPr>
          <w:color w:val="A8470A"/>
        </w:rPr>
        <w:t xml:space="preserve">8 Recurrence management</w:t>
      </w:r>
    </w:p>
    <w:p>
      <w:pPr>
        <w:pStyle w:val="Normal"/>
        <w:widowControl/>
        <w:numPr>
          <w:ilvl w:val="0"/>
          <w:numId w:val="3"/>
        </w:numPr>
      </w:pPr>
      <w:r>
        <w:t xml:space="preserve">Restage and discuss each recurrence in the colorectal/transplant MDT. Selected limited pulmonary or other recurrences may be treated with resection, ablation or radiation; systemic treatment depends on disease burden, biology, prior exposure, graft function and patient priorities.</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yLTRdPC9EaXNwbGF5VGV4dD48cmVjb3JkPjxyZWMtbnVtYmVyPjQ8L3JlYy1udW1iZXI+PGZvcmVpZ24ta2V5cz48a2V5IGFwcD0iRU4iIGRiLWlkPSI2MWYzZmVmMC03NGY1LTUzMDAtYjBlMC1jZGIwMDRlMjRlMDIiIHRpbWVzdGFtcD0iMTc5MjkyMTA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Q29tcGxldGUgbG9jYWwgcHJpbWFyeSBQREYgYXZhaWxhYmxlOyByZWxldmFudCBtZXRob2RzLCBzZWxlY3Rpb24sIHJlc3VsdHMgYW5kIGxpbWl0YXRpb25zIHJldmlld2VkIFNlbGVjdGlvbiwgYmlvbG9naWNhbCBwcm9nbm9zaXMgYW5kIHRlY2huaWNhbCByZXNlY3RhYmlsaXR5IGhhdmUgZGlzdGluY3Qgcm9sZXMuIEFuIGV4cGVydCByZWNvbW1lbmRhdGlvbiBpcyBub3QgYSBuYXRpb25hbCBhbGxvY2F0aW9uIHJ1bGUuPC9ub3Rlcz48dXJscz48cmVsYXRlZC11cmxzPjx1cmw+aHR0cHM6Ly9kb2kub3JnLzEwLjEwMTYvUzI0NjgtMTI1MygyMSkwMDIxOS0z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NjFmM2ZlZjAtNzRmNS01MzAwLWIwZTAtY2RiMDA0ZTI0ZTAy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Record recurrence-treatment morbidity, further recurrence, time without treatment and survival after recurrence. Local salvage does not imply cure or justify accepting uncontrolled disease before LT.</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NjFmM2ZlZjAtNzRmNS01MzAwLWIwZTAtY2RiMDA0ZTI0ZTAy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rPr>
          <w:color w:val="A8470A"/>
        </w:rPr>
        <w:pStyle w:val="Heading3"/>
        <w:keepNext/>
        <w:widowControl/>
      </w:pPr>
      <w:bookmarkStart w:id="7" w:name="CRLM_B4"/>
      <w:r>
        <w:rPr>
          <w:color w:val="A8470A"/>
        </w:rPr>
        <w:t xml:space="preserve">CRLM-B4 — How much recurrence/graft use is acceptable for the observed survival benefit?</w:t>
      </w:r>
      <w:bookmarkEnd w:id="7"/>
    </w:p>
    <w:p>
      <w:pPr>
        <w:rPr>
          <w:color w:val="A8470A"/>
        </w:rPr>
        <w:pStyle w:val="Heading3"/>
        <w:keepNext/>
        <w:widowControl/>
      </w:pPr>
      <w:r>
        <w:rPr>
          <w:color w:val="A8470A"/>
        </w:rPr>
        <w:t xml:space="preserve">Question and comparison</w:t>
      </w:r>
    </w:p>
    <w:p>
      <w:pPr>
        <w:pStyle w:val="Normal"/>
        <w:widowControl/>
        <w:spacing w:before="60" w:after="20"/>
      </w:pPr>
      <w:r>
        <w:t xml:space="preserve">How should expected survival, recurrence treatment, graft use and non-LT alternatives determine whether a high-risk CRLM transplant strategy is worthwhile?</w:t>
      </w:r>
    </w:p>
    <w:p>
      <w:pPr>
        <w:rPr>
          <w:color w:val="A8470A"/>
        </w:rPr>
        <w:pStyle w:val="Heading3"/>
        <w:keepNext/>
        <w:widowControl/>
      </w:pPr>
      <w:r>
        <w:rPr>
          <w:color w:val="A8470A"/>
        </w:rP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TransMet 2024</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NjFmM2ZlZjAtNzRmNS01MzAwLWIwZTAtY2RiMDA0ZTI0ZTAy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spacing w:before="60" w:after="20"/>
            </w:pPr>
            <w:r>
              <w:t xml:space="preserve">Multicentre open-label randomized trial, 20 European centres, 157 screened and 94 randomized (47 LT-plus-chemotherapy, 47 chemotherapy); 63 screened excluded, including 13 with equivocal unresectability and 36 with progression.</w:t>
            </w:r>
          </w:p>
          <w:p>
            <w:pPr>
              <w:pStyle w:val="Normal"/>
              <w:widowControl/>
              <w:spacing w:before="60" w:after="20"/>
            </w:pPr>
            <w:hyperlink r:id="rId70">
              <w:r>
                <w:rPr>
                  <w:color w:val="77230C"/>
                  <w:sz w:val="20"/>
                  <w:u w:val="single"/>
                </w:rPr>
                <w:t>Primary source</w:t>
              </w:r>
            </w:hyperlink>
            <w:r>
              <w:t xml:space="preserve"> | </w:t>
            </w:r>
            <w:hyperlink r:id="rId71">
              <w:r>
                <w:rPr>
                  <w:color w:val="77230C"/>
                  <w:sz w:val="20"/>
                  <w:u w:val="single"/>
                </w:rPr>
                <w:t>Full-text PDF</w:t>
              </w:r>
            </w:hyperlink>
          </w:p>
          <w:p>
            <w:pPr>
              <w:pStyle w:val="Normal"/>
              <w:widowControl/>
              <w:spacing w:before="60" w:after="20"/>
            </w:pPr>
            <w:r>
              <w:t xml:space="preserve">Locator: Interim safety Methods PDF 3; final Methods.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pStyle w:val="Normal"/>
              <w:widowControl/>
              <w:spacing w:before="60" w:after="20"/>
            </w:pPr>
            <w:r>
              <w:rPr>
                <w:b/>
              </w:rPr>
              <w:t xml:space="preserve">Do not infer: </w:t>
            </w:r>
            <w:r>
              <w:t xml:space="preserve">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tc>
      </w:tr>
      <w:tr>
        <w:trPr/>
        <w:tc>
          <w:tcPr>
            <w:tcW w:w="3400" w:type="dxa"/>
            <w:tcMar>
              <w:top w:w="90" w:type="dxa"/>
              <w:left w:w="90" w:type="dxa"/>
              <w:bottom w:w="90" w:type="dxa"/>
              <w:right w:w="90" w:type="dxa"/>
            </w:tcMar>
          </w:tcPr>
          <w:p>
            <w:pPr>
              <w:pStyle w:val="Normal"/>
              <w:widowControl/>
              <w:spacing w:before="60" w:after="20"/>
            </w:pPr>
            <w:r>
              <w:rPr>
                <w:b/>
              </w:rPr>
              <w:t xml:space="preserve">Dueland 2026 · SECA-II ten-year</w:t>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Mi04XTwvRGlzcGxheVRleHQ+PHJlY29yZD48cmVjLW51bWJlcj44PC9yZWMtbnVtYmVyPjxmb3JlaWduLWtleXM+PGtleSBhcHA9IkVOIiBkYi1pZD0iNjFmM2ZlZjAtNzRmNS01MzAwLWIwZTAtY2RiMDA0ZTI0ZTAyIiB0aW1lc3RhbXA9IjE3OTI5MjEwODY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p>
          <w:p>
            <w:pPr>
              <w:pStyle w:val="Normal"/>
              <w:widowControl/>
              <w:spacing w:before="60" w:after="20"/>
            </w:pPr>
            <w:r>
              <w:t xml:space="preserve">Twenty-five consecutive SECA-II recipients April 2012–November 2023; one metachronous, 24 synchronous. This expands and overlaps the original 15-patient SECA-II cohort, not an independent trial. A patient dying about four weeks after LT is included in OS/RFS but excluded from the 24-patient baseline and other analyses. Of those 24, CEA 1–33, largest lesion 4–48 mm, Oslo 0–2, only two MTV &gt;70 cm³; one ascending primary and one pN2.</w:t>
            </w:r>
          </w:p>
          <w:p>
            <w:pPr>
              <w:pStyle w:val="Normal"/>
              <w:widowControl/>
              <w:spacing w:before="60" w:after="20"/>
            </w:pPr>
            <w:hyperlink r:id="rId72">
              <w:r>
                <w:rPr>
                  <w:color w:val="77230C"/>
                  <w:sz w:val="20"/>
                  <w:u w:val="single"/>
                </w:rPr>
                <w:t>Primary source</w:t>
              </w:r>
            </w:hyperlink>
            <w:r>
              <w:t xml:space="preserve"> | </w:t>
            </w:r>
            <w:hyperlink r:id="rId73">
              <w:r>
                <w:rPr>
                  <w:color w:val="77230C"/>
                  <w:sz w:val="20"/>
                  <w:u w:val="single"/>
                </w:rPr>
                <w:t>Full-text PDF</w:t>
              </w:r>
            </w:hyperlink>
          </w:p>
          <w:p>
            <w:pPr>
              <w:pStyle w:val="Normal"/>
              <w:widowControl/>
              <w:spacing w:before="60" w:after="20"/>
            </w:pPr>
            <w:r>
              <w:t xml:space="preserve">Locator: PDF pp 2–3 methods and Results/Table 1; pp 4–5 relapse, potential-cure discussion and harms; pp 5–6 limitations.</w:t>
            </w:r>
          </w:p>
          <w:p>
            <w:pPr>
              <w:pStyle w:val="Normal"/>
              <w:widowControl/>
              <w:spacing w:before="60" w:after="20"/>
            </w:pPr>
            <w:r>
              <w:t xml:space="preserve">Review depth: Complete seven-page advance-online main article read, including all figures, table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Analysis to 1 January 2025. OS/RFS measured from LT. Median follow-up in living patients 97.2 months by reverse KM. Fourteen followed &gt;5 years, six ≥10 years. Twelve recurrences; postrecurrence survival starts at recurrence. Median OS 128.2 months (95% CI 74.8–181.6); five-/ten-year OS 77.8%/51.5%. Median RFS 24.3 months; 12/25 recurrences (six lung-only first relapse). Median survival after recurrence 62.9 months (25.7–101.1). Twelve without relapse for median 74 months (13–122); four ≥10 years. Four cancer deaths occurred &gt;5 years after LT. Long-term survival or salvaged NED is not proof of cure. Five grade IIIa complications, three grade IIIb and one grade V death from hepatic artery thrombosis. One patient was transplanted with progressive disease on a CT performed locally the preceding day because the result was unknown to the transplant centre. This is a process failure, not a validated expansion criterion.</w:t>
            </w:r>
          </w:p>
          <w:p>
            <w:pPr>
              <w:pStyle w:val="Normal"/>
              <w:widowControl/>
              <w:spacing w:before="60" w:after="20"/>
            </w:pPr>
            <w:r>
              <w:rPr>
                <w:b/>
              </w:rPr>
              <w:t xml:space="preserve">Do not infer: </w:t>
            </w:r>
            <w:r>
              <w:t xml:space="preserve">Single-centre selected nonrandomised recipient cohort, no contemporary control or screened denominator. Long-term tail small. Abstract says up to 15 potentially cured; body says up to 13 and relies partly on short recurrence-free intervals. Neither is a measured cure fraction. Discussion's assertion that RFS is invalid is stronger than the data: RFS remains relevant for recurrence burden, but is insufficient alone to measure benefit when salvage prolongs survival. Methods refer eligibility to reference 16, the SECA-I paper; cross-check original SECA-II Table 1 rather than assuming identical criteria. Table/source typographical inconsistencies do not alter the observed OS estimates. Supplement access: No separate supplementary file cited in this article.</w:t>
            </w:r>
          </w:p>
        </w:tc>
      </w:tr>
      <w:tr>
        <w:trPr/>
        <w:tc>
          <w:tcPr>
            <w:tcW w:w="3400" w:type="dxa"/>
            <w:tcMar>
              <w:top w:w="90" w:type="dxa"/>
              <w:left w:w="90" w:type="dxa"/>
              <w:bottom w:w="90" w:type="dxa"/>
              <w:right w:w="90" w:type="dxa"/>
            </w:tcMar>
          </w:tcPr>
          <w:p>
            <w:pPr>
              <w:pStyle w:val="Normal"/>
              <w:widowControl/>
              <w:spacing w:before="60" w:after="20"/>
            </w:pPr>
            <w:r>
              <w:rPr>
                <w:b/>
              </w:rPr>
              <w:t xml:space="preserve">SECA-II arm D</w:t>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ItMTRdPC9EaXNwbGF5VGV4dD48cmVjb3JkPjxyZWMtbnVtYmVyPjE0PC9yZWMtbnVtYmVyPjxmb3JlaWduLWtleXM+PGtleSBhcHA9IkVOIiBkYi1pZD0iNjFmM2ZlZjAtNzRmNS01MzAwLWIwZTAtY2RiMDA0ZTI0ZTAyIiB0aW1lc3RhbXA9IjE3OTI5MjEw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NvbXBsZXRlIGxvY2FsIHByaW1hcnkgUERGIGF2YWlsYWJsZTsgcmVsZXZhbnQgbWV0aG9kcywgc2VsZWN0aW9uLCByZXN1bHRzIGFuZCBsaW1pdGF0aW9ucyByZXZpZXdlZCBUZW4gYnJvYWRseSBleHBhbmRlZCByZWNpcGllbnRzOyBtZWRpYW4gREZTIGZvdXIgbW9udGhzLCBPUyAxOCBtb250aHMuIE11bHRpcGxlIGFkdmVyc2UgZmVhdHVyZXMgcHJldmVudCBpc29sYXRpbmcgYW55IG9uZSBkZXZpYXRpb24sIGluY2x1ZGluZyBwcmlvciBsdW5nIGRpc2Vhc2UuPC9ub3Rlcz48dXJscz48cmVsYXRlZC11cmxzPjx1cmw+aHR0cHM6Ly9kb2kub3JnLzEwLjEwMDIvYmpzNS41MDI3OD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p>
          <w:p>
            <w:pPr>
              <w:pStyle w:val="Normal"/>
              <w:widowControl/>
              <w:spacing w:before="60" w:after="20"/>
            </w:pPr>
            <w:r>
              <w:t xml:space="preserve">Prospective SECA-II arm D expanded-criteria cohort, ten recipients, without control.</w:t>
            </w:r>
          </w:p>
          <w:p>
            <w:pPr>
              <w:pStyle w:val="Normal"/>
              <w:widowControl/>
              <w:spacing w:before="60" w:after="20"/>
            </w:pPr>
            <w:hyperlink r:id="rId74">
              <w:r>
                <w:rPr>
                  <w:color w:val="77230C"/>
                  <w:sz w:val="20"/>
                  <w:u w:val="single"/>
                </w:rPr>
                <w:t>Primary source</w:t>
              </w:r>
            </w:hyperlink>
            <w:r>
              <w:t xml:space="preserve"> | </w:t>
            </w:r>
            <w:hyperlink r:id="rId75">
              <w:r>
                <w:rPr>
                  <w:color w:val="77230C"/>
                  <w:sz w:val="20"/>
                  <w:u w:val="single"/>
                </w:rPr>
                <w:t>Full-text PDF</w:t>
              </w:r>
            </w:hyperlink>
          </w:p>
          <w:p>
            <w:pPr>
              <w:pStyle w:val="Normal"/>
              <w:widowControl/>
              <w:spacing w:before="60" w:after="20"/>
            </w:pPr>
            <w:r>
              <w:t xml:space="preserve">Locator: BJS Open 2020;4:467–477; full text methods, Tables 1–3 and survival figures.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LT, median DFS four months and median OS 18 months. Rapid recurrence and limited survival contrast with strictly selected SECA-II, despite use of donor grafts intended to broaden access.</w:t>
            </w:r>
          </w:p>
          <w:p>
            <w:pPr>
              <w:pStyle w:val="Normal"/>
              <w:widowControl/>
              <w:spacing w:before="60" w:after="20"/>
            </w:pPr>
            <w:r>
              <w:rPr>
                <w:b/>
              </w:rPr>
              <w:t xml:space="preserve">Do not infer: </w:t>
            </w:r>
            <w:r>
              <w:t xml:space="preserve">Very small and uncontrolled; simultaneous biologic, anatomic and donor expansions prevent estimating the independent effect of prior pulmonary disease, BRAF status, grade or donor quality. Negative experience argues against opening several expansions at once, not that every single deviation has proven futility.</w:t>
            </w:r>
          </w:p>
        </w:tc>
      </w:tr>
      <w:tr>
        <w:trPr/>
        <w:tc>
          <w:tcPr>
            <w:tcW w:w="3400" w:type="dxa"/>
            <w:tcMar>
              <w:top w:w="90" w:type="dxa"/>
              <w:left w:w="90" w:type="dxa"/>
              <w:bottom w:w="90" w:type="dxa"/>
              <w:right w:w="90" w:type="dxa"/>
            </w:tcMar>
          </w:tcPr>
          <w:p>
            <w:pPr>
              <w:pStyle w:val="Normal"/>
              <w:widowControl/>
              <w:spacing w:before="60" w:after="20"/>
            </w:pPr>
            <w:r>
              <w:rPr>
                <w:b/>
              </w:rPr>
              <w:t xml:space="preserve">Chandra 2026 · HAIP comparator</w:t>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Mi02XTwvRGlzcGxheVRleHQ+PHJlY29yZD48cmVjLW51bWJlcj42PC9yZWMtbnVtYmVyPjxmb3JlaWduLWtleXM+PGtleSBhcHA9IkVOIiBkYi1pZD0iNjFmM2ZlZjAtNzRmNS01MzAwLWIwZTAtY2RiMDA0ZTI0ZTAyIiB0aW1lc3RhbXA9IjE3OTI5MjEwODc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[V12-6]</w:t>
            </w:r>
            <w:r>
              <w:fldChar w:fldCharType="end"/>
            </w:r>
          </w:p>
          <w:p>
            <w:pPr>
              <w:pStyle w:val="Normal"/>
              <w:widowControl/>
              <w:spacing w:before="60" w:after="20"/>
            </w:pPr>
            <w:r>
              <w:t xml:space="preserve">Single-centre retrospective HAIP cohort: 1,110 patients treated in 2006–2016, 483 initially unresectable after exclusions; 83 met modified transplant criteria, but only 23 were pretreated, chemotherapy-controlled transplant-like candidates.</w:t>
            </w:r>
          </w:p>
          <w:p>
            <w:pPr>
              <w:pStyle w:val="Normal"/>
              <w:widowControl/>
              <w:spacing w:before="60" w:after="20"/>
            </w:pPr>
            <w:hyperlink r:id="rId76">
              <w:r>
                <w:rPr>
                  <w:color w:val="77230C"/>
                  <w:sz w:val="20"/>
                  <w:u w:val="single"/>
                </w:rPr>
                <w:t>Primary source</w:t>
              </w:r>
            </w:hyperlink>
            <w:r>
              <w:t xml:space="preserve"> | </w:t>
            </w:r>
            <w:hyperlink r:id="rId77">
              <w:r>
                <w:rPr>
                  <w:color w:val="77230C"/>
                  <w:sz w:val="20"/>
                  <w:u w:val="single"/>
                </w:rPr>
                <w:t>Full-text PDF</w:t>
              </w:r>
            </w:hyperlink>
          </w:p>
          <w:p>
            <w:pPr>
              <w:pStyle w:val="Normal"/>
              <w:widowControl/>
              <w:spacing w:before="60" w:after="20"/>
            </w:pPr>
            <w:r>
              <w:t xml:space="preserve">Locator: Complete accepted manuscript, PDF pp.6–11: cohort derivation, modified criteria, conversion, survival and adverse events; subsequent tables.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was HAIP placement, not a common LT-versus-HAIP eligibility date. In the 23 selected pretreated patients, 18/23 (78%) converted to resection; only 10/18 were R0, and 17/18 recurred, with salvage treatment in 15. Median follow-up was 97.7 months; median OS 61 months (95% CI 36–92), five-year OS 53% (36–79), PFS 13 months (9.6–22), hepatic PFS 16 months (11–61). Median treatment comprised five HAIP cycles and nine systemic cycles. Biliary sclerosis requiring stents occurred in 3/23 (13%); one pump-arterial dissection required revision.</w:t>
            </w:r>
          </w:p>
          <w:p>
            <w:pPr>
              <w:pStyle w:val="Normal"/>
              <w:widowControl/>
              <w:spacing w:before="60" w:after="20"/>
            </w:pPr>
            <w:r>
              <w:rPr>
                <w:b/>
              </w:rPr>
              <w:t xml:space="preserve">Do not infer: </w:t>
            </w:r>
            <w:r>
              <w:t xml:space="preserve">Selection from a large denominator, modified eligibility, expert-centre availability, retrospective ascertainment and a different time origin prohibit equivalence claims against TransMet. The high conversion rate is clinically important counterevidence to declaring unresectability before specialist conversion review. It does not make HAIP compulsory or establish that its toxicities are an indication to create for LT.</w:t>
            </w:r>
          </w:p>
        </w:tc>
      </w:tr>
      <w:tr>
        <w:trPr/>
        <w:tc>
          <w:tcPr>
            <w:tcW w:w="3400" w:type="dxa"/>
            <w:tcMar>
              <w:top w:w="90" w:type="dxa"/>
              <w:left w:w="90" w:type="dxa"/>
              <w:bottom w:w="90" w:type="dxa"/>
              <w:right w:w="90" w:type="dxa"/>
            </w:tcMar>
          </w:tcPr>
          <w:p>
            <w:pPr>
              <w:pStyle w:val="Normal"/>
              <w:widowControl/>
              <w:spacing w:before="60" w:after="20"/>
            </w:pPr>
            <w:r>
              <w:rPr>
                <w:b/>
              </w:rPr>
              <w:t xml:space="preserve">Wehrle 2024 · intensive LRT</w:t>
            </w:r>
            <w:r>
              <w:t xml:space="preserve"> </w:t>
            </w:r>
            <w:r>
              <w:t xml:space="preserve"> </w:t>
            </w:r>
            <w:r>
              <w:fldChar w:fldCharType="begin"/>
            </w:r>
            <w:r>
              <w:instrText xml:space="preserve"> ADDIN EN.CITE </w:instrText>
            </w:r>
            <w:r>
              <w:fldChar w:fldCharType="begin">
                <w:fldData>PEVuZE5vdGU+PENpdGU+PEF1dGhvcj5XZWhybGU8L0F1dGhvcj48WWVhcj4yMDI0PC9ZZWFyPjxSZWNOdW0+MTM8L1JlY051bT48RGlzcGxheVRleHQ+W1YxMi0xM108L0Rpc3BsYXlUZXh0PjxyZWNvcmQ+PHJlYy1udW1iZXI+MTM8L3JlYy1udW1iZXI+PGZvcmVpZ24ta2V5cz48a2V5IGFwcD0iRU4iIGRiLWlkPSI2MWYzZmVmMC03NGY1LTUzMDAtYjBlMC1jZGIwMDRlMjRlMDIiIHRpbWVzdGFtcD0iMTc5MjkyMTA4NyI+MTM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p>
          <w:p>
            <w:pPr>
              <w:pStyle w:val="Normal"/>
              <w:widowControl/>
              <w:spacing w:before="60" w:after="20"/>
            </w:pPr>
            <w:r>
              <w:t xml:space="preserve">Retrospective single-centre experience: 27 evaluated; 11 initially ineligible (two extrahepatic disease, four advanced burden, five comorbidity/performance); 16 entered intensive systemic/locoregional treatment; nine received LT, seven from living donors. Included one R1 primary, one MSI-high tumour and one pretreatment 12.3-cm lesion, which cannot validate those guidance departures.</w:t>
            </w:r>
          </w:p>
          <w:p>
            <w:pPr>
              <w:pStyle w:val="Normal"/>
              <w:widowControl/>
              <w:spacing w:before="60" w:after="20"/>
            </w:pPr>
            <w:hyperlink r:id="rId78">
              <w:r>
                <w:rPr>
                  <w:color w:val="77230C"/>
                  <w:sz w:val="20"/>
                  <w:u w:val="single"/>
                </w:rPr>
                <w:t>Primary source</w:t>
              </w:r>
            </w:hyperlink>
            <w:r>
              <w:t xml:space="preserve"> | </w:t>
            </w:r>
            <w:hyperlink r:id="rId79">
              <w:r>
                <w:rPr>
                  <w:color w:val="77230C"/>
                  <w:sz w:val="20"/>
                  <w:u w:val="single"/>
                </w:rPr>
                <w:t>Full-text PDF</w:t>
              </w:r>
            </w:hyperlink>
          </w:p>
          <w:p>
            <w:pPr>
              <w:pStyle w:val="Normal"/>
              <w:widowControl/>
              <w:spacing w:before="60" w:after="20"/>
            </w:pPr>
            <w:r>
              <w:t xml:space="preserve">Locator: PDF pp 4–5 / printed pp 1240–1241: cohort and conflicting chemotherapy cycles; PDF p 7 / printed p 1243: dropout/death and Table 2; PDF pp 8–11 / printed pp 1244–1247: Table 3, explant viability and NED definitions.</w:t>
            </w:r>
          </w:p>
          <w:p>
            <w:pPr>
              <w:pStyle w:val="Normal"/>
              <w:widowControl/>
              <w:spacing w:before="60" w:after="20"/>
            </w:pPr>
            <w:r>
              <w:t xml:space="preserve">Review depth: Complete 13-page PDF read: visual abstract and 12-page main paper, including patient-level tables,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Six of 16 entrants progressed and one died from treatment-associated liver failure before LT. Recipient follow-up median 700 days (285–2024), with survival measured from LT. Published one-/two-year percentages use mature denominators of eight/five, not all nine recipients. Among nine recipients, three recurred. One-/two-year RFS 6/8 (75%) and 3/5 (60%); OS 7/8 (87.5%) and 4/5 (80%). Five recipients were labelled no detectable disease using PET/CEA, not proven CT/MRI or microscopic eradication. Five explants were viable and four nonviable; all three recurrences occurred with viable explants. Eight of nine explants showed treatment injury: seven cirrhosis and one bridging fibrosis. Four recipients were transplanted for injury. One of 16 entrants died from severe liver failure within two weeks of bilobar Y90 while receiving systemic chemo-immunotherapy. Four recipients required biliary drainage or reoperation; one also had acute rejection. Highest reported postoperative complication grade was IIIb.</w:t>
            </w:r>
          </w:p>
          <w:p>
            <w:pPr>
              <w:pStyle w:val="Normal"/>
              <w:widowControl/>
              <w:spacing w:before="60" w:after="20"/>
            </w:pPr>
            <w:r>
              <w:rPr>
                <w:b/>
              </w:rPr>
              <w:t xml:space="preserve">Do not infer: </w:t>
            </w:r>
            <w:r>
              <w:t xml:space="preserve">Nine selected recipients, no credible matched non-LT comparator; comparison of 16 entrants with 11 ineligible patients from evaluation is strongly confounded. Patient-level Table 2 and abstract give median 16 chemotherapy cycles (10–40), while the body gives 47 (20–77). Do not extract an eligibility cycle minimum. Body NED definition uses MTV zero and CEA &lt;5, while Figure 4 uses CEA &gt;10 for activity; individual borderline values further prevent a clean validated cutoff. Overlapping patients with other US PET, ctDNA and explant cohorts are not independent replications. Treatment-induced hepatic failure is a harm, not a therapeutic objective or evidence that a graft will rescue toxicity. Supplement access: No separate supplement supplied; patient-level Tables 2–3 are in the main PDF.</w:t>
            </w:r>
          </w:p>
        </w:tc>
      </w:tr>
      <w:tr>
        <w:trPr/>
        <w:tc>
          <w:tcPr>
            <w:tcW w:w="34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2MWYzZmVmMC03NGY1LTUzMDAtYjBlMC1jZGIwMDRlMjRlMDIiIHRpbWVzdGFtcD0iMTc5MjkyMTA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spacing w:before="60" w:after="20"/>
            </w:pPr>
            <w:r>
              <w:t xml:space="preserve">Official Adult MELD Exceptions for Transplant Oncology guidance, December 2025 posting checked 24 October 2026. Allocation-review guidance, not national clinical policy or proof of efficacy.</w:t>
            </w:r>
          </w:p>
          <w:p>
            <w:pPr>
              <w:pStyle w:val="Normal"/>
              <w:widowControl/>
              <w:spacing w:before="60" w:after="20"/>
            </w:pPr>
            <w:hyperlink r:id="rId80">
              <w:r>
                <w:rPr>
                  <w:color w:val="77230C"/>
                  <w:sz w:val="20"/>
                  <w:u w:val="single"/>
                </w:rPr>
                <w:t>Primary source</w:t>
              </w:r>
            </w:hyperlink>
            <w:r>
              <w:t xml:space="preserve"> | </w:t>
            </w:r>
            <w:hyperlink r:id="rId81">
              <w:r>
                <w:rPr>
                  <w:color w:val="77230C"/>
                  <w:sz w:val="20"/>
                  <w:u w:val="single"/>
                </w:rPr>
                <w:t>Full-text PDF</w:t>
              </w:r>
            </w:hyperlink>
          </w:p>
          <w:p>
            <w:pPr>
              <w:pStyle w:val="Normal"/>
              <w:widowControl/>
              <w:spacing w:before="60" w:after="20"/>
            </w:pPr>
            <w:r>
              <w:t xml:space="preserve">Locator: Official PDF NET pp.8–9; CRLM pp.9–10; introduction on purpose/status.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efficacy denominator. NET guidance has no explicit numerical age or hepatic-volume cutoff. CRLM wording excludes &gt;10% diameter growth or new lesions and labels this RECIST 1.1, although conventional RECIST 1.1 progression generally uses at least 20% summed-diameter increase plus an absolute change; record both, do not silently equate them.</w:t>
            </w:r>
          </w:p>
          <w:p>
            <w:pPr>
              <w:pStyle w:val="Normal"/>
              <w:widowControl/>
              <w:spacing w:before="60" w:after="20"/>
            </w:pPr>
            <w:r>
              <w:rPr>
                <w:b/>
              </w:rPr>
              <w:t xml:space="preserve">Do not infer: </w:t>
            </w:r>
            <w:r>
              <w:t xml:space="preserve">Clinical judgment, exception endorsement and graft availability are distinct. A reasonable research hypothesis or living donor does not override allocation guidance or demonstrate acceptable benefit. At exactly CEA 80 the initial/extension wording differs; the draft's strict &lt;80 harmonization is a conservative local rule.</w:t>
            </w:r>
          </w:p>
        </w:tc>
      </w:tr>
      <w:tr>
        <w:trPr/>
        <w:tc>
          <w:tcPr>
            <w:tcW w:w="3400" w:type="dxa"/>
            <w:tcMar>
              <w:top w:w="90" w:type="dxa"/>
              <w:left w:w="90" w:type="dxa"/>
              <w:bottom w:w="90" w:type="dxa"/>
              <w:right w:w="90" w:type="dxa"/>
            </w:tcMar>
          </w:tcPr>
          <w:p>
            <w:pPr>
              <w:pStyle w:val="Normal"/>
              <w:widowControl/>
              <w:spacing w:before="60" w:after="20"/>
            </w:pPr>
            <w:r>
              <w:rPr>
                <w:b/>
              </w:rPr>
              <w:t xml:space="preserve">Adam 2024</w:t>
            </w:r>
            <w:r>
              <w:t xml:space="preserve"> </w:t>
            </w:r>
            <w:r>
              <w:t xml:space="preserve"> </w:t>
            </w:r>
            <w:r>
              <w:fldChar w:fldCharType="begin"/>
            </w:r>
            <w:r>
              <w:instrText xml:space="preserve"> ADDIN EN.CITE </w:instrText>
            </w:r>
            <w:r>
              <w:fldChar w:fldCharType="begin">
                <w:fldData>PEVuZE5vdGU+PENpdGU+PEF1dGhvcj5BZGFtPC9BdXRob3I+PFllYXI+MjAyNDwvWWVhcj48UmVjTnVtPjE4PC9SZWNOdW0+PERpc3BsYXlUZXh0PltWMTItMThdPC9EaXNwbGF5VGV4dD48cmVjb3JkPjxyZWMtbnVtYmVyPjE4PC9yZWMtbnVtYmVyPjxmb3JlaWduLWtleXM+PGtleSBhcHA9IkVOIiBkYi1pZD0iNjFmM2ZlZjAtNzRmNS01MzAwLWIwZTAtY2RiMDA0ZTI0ZTAyIiB0aW1lc3RhbXA9IjE3OTI5MjEwODciPjE4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[V12-18]</w:t>
            </w:r>
            <w:r>
              <w:fldChar w:fldCharType="end"/>
            </w:r>
          </w:p>
          <w:p>
            <w:pPr>
              <w:pStyle w:val="Normal"/>
              <w:widowControl/>
              <w:spacing w:before="60" w:after="20"/>
            </w:pPr>
            <w:r>
              <w:t xml:space="preserve">Unplanned interim safety/feasibility analysis of TransMet RCT; 157 evaluated, 94 randomized, 47 per arm, 38 protocol-LT recipients.</w:t>
            </w:r>
          </w:p>
          <w:p>
            <w:pPr>
              <w:pStyle w:val="Normal"/>
              <w:widowControl/>
              <w:spacing w:before="60" w:after="20"/>
            </w:pPr>
            <w:hyperlink r:id="rId82">
              <w:r>
                <w:rPr>
                  <w:color w:val="77230C"/>
                  <w:sz w:val="20"/>
                  <w:u w:val="single"/>
                </w:rPr>
                <w:t>Primary source</w:t>
              </w:r>
            </w:hyperlink>
            <w:r>
              <w:t xml:space="preserve"> | </w:t>
            </w:r>
            <w:hyperlink r:id="rId83">
              <w:r>
                <w:rPr>
                  <w:color w:val="77230C"/>
                  <w:sz w:val="20"/>
                  <w:u w:val="single"/>
                </w:rPr>
                <w:t>Full-text PDF</w:t>
              </w:r>
            </w:hyperlink>
          </w:p>
          <w:p>
            <w:pPr>
              <w:pStyle w:val="Normal"/>
              <w:widowControl/>
              <w:spacing w:before="60" w:after="20"/>
            </w:pPr>
            <w:r>
              <w:t xml:space="preserve">Locator: Methods pp 3–4; detailed eligibility/dropout pp 4–5; Table 1 pp 6–7; complications Table 2 p 8; discussion p 9.</w:t>
            </w:r>
          </w:p>
          <w:p>
            <w:pPr>
              <w:pStyle w:val="Normal"/>
              <w:widowControl/>
              <w:spacing w:before="60" w:after="20"/>
            </w:pPr>
            <w:r>
              <w:t xml:space="preserve">Review depth: Complete ten-page open-access primary article read; matched index PDF rejected and actual complete article located.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Methods p 3: stable or partial RECIST response on last regimen ≥3 months within ≤3 chemotherapy lines; not objective response only. BRAF mutation excluded; CEA &lt;80 ng/mL OR ≥50% reduction was the trial rule, not the same as current NLRB.; Independent committee rejected 63/157. Detailed reasons: intrahepatic progression 18, extrahepatic 16, both two, equivocal unresectability 13, &gt;3 lines/resistance five, miscellaneous nine.; 38/47 reached LT after median 51 days; nine did not, including three occult metastatic nodes at laparotomy and one new prostate cancer. Eighty-one percent feasibility applies to selected/randomized candidates, not all screened.; Three of 38 retransplanted; one of 38 postoperative deaths. Grade ≥IIIb complications in 14/41 explored patients (24 events), not 14/38.; 26/38 received postoperative chemotherapy at median 71 days; this descriptive exposure does not establish adjuvant efficacy.; Table 1 p 6: KRAS 11/47 in LT arm and NRAS six (one missing); do not call the combined 17 KRAS-mutant.</w:t>
            </w:r>
          </w:p>
          <w:p>
            <w:pPr>
              <w:pStyle w:val="Normal"/>
              <w:widowControl/>
              <w:spacing w:before="60" w:after="20"/>
            </w:pPr>
            <w:r>
              <w:rPr>
                <w:b/>
              </w:rPr>
              <w:t xml:space="preserve">Do not infer: </w:t>
            </w:r>
            <w:r>
              <w:t xml:space="preserve">Unplanned interim analysis, incomplete long-term endpoint reporting; overlap with final TransMet RCT, not independent replication.; Abstract/discussion groups 50 exclusions as progression but detailed Results include other reasons; use detailed counts.; No universal two-month deadline or priority entitlement follows from allocation priority used in participating countries.; Main paper's frozen-section workup does not establish mandatory systematic portal lymphadenectomy.</w:t>
            </w:r>
          </w:p>
        </w:tc>
      </w:tr>
    </w:tbl>
    <w:p>
      <w:pPr>
        <w:rPr>
          <w:color w:val="A8470A"/>
        </w:rPr>
        <w:pStyle w:val="Heading3"/>
        <w:keepNext/>
        <w:widowControl/>
      </w:pPr>
      <w:r>
        <w:rPr>
          <w:color w:val="A8470A"/>
        </w:rPr>
        <w:t xml:space="preserve">Synthesis and evidence that challenges the proposal</w:t>
      </w:r>
    </w:p>
    <w:p>
      <w:pPr>
        <w:pStyle w:val="Normal"/>
        <w:widowControl/>
        <w:spacing w:before="60" w:after="20"/>
      </w:pPr>
      <w:r>
        <w:t xml:space="preserve">The relevant endpoint is the entire strategy from a shared eligibility/randomization date: access to a first graft, wait-list progression, perioperative death, graft failure, recurrence, salvage treatment, long-term survival and QoL. Recurrence does not erase all benefit, but is a substantial burden; SECA-II shows both long post-recurrence survival and late metastatic death. TransMet's 56.6% ITT survival is the appropriate randomized headline, with 73.3% PP provided only secondarily. Add treatment-related deaths before grafting and long-term nononcologic graft risks: Wehrle had one treatment-associated pre-LT death among 16 entrants, and expanded SECA-II included fatal early hepatic-artery thrombosis. Durable postrecurrence survival is not a validated cure fraction; late cancer deaths continued beyond five years.</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NjFmM2ZlZjAtNzRmNS01MzAwLWIwZTAtY2RiMDA0ZTI0ZTAyIiB0aW1lc3RhbXA9IjE3OTI5MjEwODc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Mi04XTwvRGlzcGxheVRleHQ+PHJlY29yZD48cmVjLW51bWJlcj44PC9yZWMtbnVtYmVyPjxmb3JlaWduLWtleXM+PGtleSBhcHA9IkVOIiBkYi1pZD0iNjFmM2ZlZjAtNzRmNS01MzAwLWIwZTAtY2RiMDA0ZTI0ZTAyIiB0aW1lc3RhbXA9IjE3OTI5MjEwODc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ItMTRdPC9EaXNwbGF5VGV4dD48cmVjb3JkPjxyZWMtbnVtYmVyPjE0PC9yZWMtbnVtYmVyPjxmb3JlaWduLWtleXM+PGtleSBhcHA9IkVOIiBkYi1pZD0iNjFmM2ZlZjAtNzRmNS01MzAwLWIwZTAtY2RiMDA0ZTI0ZTAyIiB0aW1lc3RhbXA9IjE3OTI5MjEwODc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NvbXBsZXRlIGxvY2FsIHByaW1hcnkgUERGIGF2YWlsYWJsZTsgcmVsZXZhbnQgbWV0aG9kcywgc2VsZWN0aW9uLCByZXN1bHRzIGFuZCBsaW1pdGF0aW9ucyByZXZpZXdlZCBUZW4gYnJvYWRseSBleHBhbmRlZCByZWNpcGllbnRzOyBtZWRpYW4gREZTIGZvdXIgbW9udGhzLCBPUyAxOCBtb250aHMuIE11bHRpcGxlIGFkdmVyc2UgZmVhdHVyZXMgcHJldmVudCBpc29sYXRpbmcgYW55IG9uZSBkZXZpYXRpb24sIGluY2x1ZGluZyBwcmlvciBsdW5nIGRpc2Vhc2UuPC9ub3Rlcz48dXJscz48cmVsYXRlZC11cmxzPjx1cmw+aHR0cHM6Ly9kb2kub3JnLzEwLjEwMDIvYmpzNS41MDI3OD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Mi02XTwvRGlzcGxheVRleHQ+PHJlY29yZD48cmVjLW51bWJlcj42PC9yZWMtbnVtYmVyPjxmb3JlaWduLWtleXM+PGtleSBhcHA9IkVOIiBkYi1pZD0iNjFmM2ZlZjAtNzRmNS01MzAwLWIwZTAtY2RiMDA0ZTI0ZTAyIiB0aW1lc3RhbXA9IjE3OTI5MjEwODc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[V12-6]</w:t>
      </w:r>
      <w:r>
        <w:fldChar w:fldCharType="end"/>
      </w:r>
      <w:r>
        <w:t xml:space="preserve"> </w:t>
      </w:r>
      <w:r>
        <w:t xml:space="preserve"> </w:t>
      </w:r>
      <w:r>
        <w:fldChar w:fldCharType="begin"/>
      </w:r>
      <w:r>
        <w:instrText xml:space="preserve"> ADDIN EN.CITE </w:instrText>
      </w:r>
      <w:r>
        <w:fldChar w:fldCharType="begin">
          <w:fldData>PEVuZE5vdGU+PENpdGU+PEF1dGhvcj5XZWhybGU8L0F1dGhvcj48WWVhcj4yMDI0PC9ZZWFyPjxSZWNOdW0+MTM8L1JlY051bT48RGlzcGxheVRleHQ+W1YxMi0xM108L0Rpc3BsYXlUZXh0PjxyZWNvcmQ+PHJlYy1udW1iZXI+MTM8L3JlYy1udW1iZXI+PGZvcmVpZ24ta2V5cz48a2V5IGFwcD0iRU4iIGRiLWlkPSI2MWYzZmVmMC03NGY1LTUzMDAtYjBlMC1jZGIwMDRlMjRlMDIiIHRpbWVzdGFtcD0iMTc5MjkyMTA4NyI+MTM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2MWYzZmVmMC03NGY1LTUzMDAtYjBlMC1jZGIwMDRlMjRlMDIiIHRpbWVzdGFtcD0iMTc5MjkyMTA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BZGFtPC9BdXRob3I+PFllYXI+MjAyNDwvWWVhcj48UmVjTnVtPjE4PC9SZWNOdW0+PERpc3BsYXlUZXh0PltWMTItMThdPC9EaXNwbGF5VGV4dD48cmVjb3JkPjxyZWMtbnVtYmVyPjE4PC9yZWMtbnVtYmVyPjxmb3JlaWduLWtleXM+PGtleSBhcHA9IkVOIiBkYi1pZD0iNjFmM2ZlZjAtNzRmNS01MzAwLWIwZTAtY2RiMDA0ZTI0ZTAyIiB0aW1lc3RhbXA9IjE3OTI5MjEwODciPjE4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[V12-18]</w:t>
      </w:r>
      <w:r>
        <w:fldChar w:fldCharType="end"/>
      </w:r>
    </w:p>
    <w:p>
      <w:pPr>
        <w:pStyle w:val="Normal"/>
        <w:widowControl/>
        <w:numPr>
          <w:ilvl w:val="0"/>
          <w:numId w:val="3"/>
        </w:numPr>
        <w:spacing w:before="60" w:after="20"/>
      </w:pPr>
      <w:r>
        <w:t xml:space="preserve">TransMet's nine progression dropouts and three retransplants show why post-LT survival alone is inadequate. The 2026 SECA-II ten-year OS was 51.5%, not its five-year 77.8%; four metastatic deaths occurred after five years. Arm D's 18-month median OS cautions against assuming every expanded candidate obtains sufficient benefit. Selected HAIP/conversion patients can have durable survival without a graft, but cross-study comparisons cannot calculate an individual's LT gain.</w:t>
      </w:r>
    </w:p>
    <w:p>
      <w:pPr>
        <w:pStyle w:val="Normal"/>
        <w:widowControl/>
        <w:spacing w:before="60" w:after="20"/>
      </w:pPr>
      <w:r>
        <w:rPr>
          <w:b/>
        </w:rPr>
        <w:t xml:space="preserve">Certainty / applicability: </w:t>
      </w:r>
      <w:r>
        <w:t xml:space="preserve">Moderate-to-high for a survival advantage in selected TransMet patients; low for an individual numerical benefit model, long-wait extrapolation, high-risk graft strategies or predetermined retransplant policy. Long-term SECA-II is informative but small and uncontrolled.</w:t>
      </w:r>
    </w:p>
    <w:p>
      <w:pPr>
        <w:rPr>
          <w:color w:val="A8470A"/>
        </w:rPr>
        <w:pStyle w:val="Heading3"/>
        <w:keepNext/>
        <w:widowControl/>
      </w:pPr>
      <w:r>
        <w:rPr>
          <w:color w:val="A8470A"/>
        </w:rPr>
        <w:t xml:space="preserve">Where each proposed threshold comes from</w:t>
      </w:r>
    </w:p>
    <w:p>
      <w:pPr>
        <w:pStyle w:val="Normal"/>
        <w:widowControl/>
        <w:numPr>
          <w:ilvl w:val="0"/>
          <w:numId w:val="3"/>
        </w:numPr>
        <w:spacing w:before="60" w:after="20"/>
      </w:pPr>
      <w:r>
        <w:t xml:space="preserve">No validated minimum RFS, individual five-year benefit percentage or fixed number of salvage operations establishes acceptable LT value. The two-year/three-year thresholds sometimes used in economic models are not recipient-selection validation. One planned graft and safety-review triggers are institutional ethical/operational proposals.</w:t>
      </w:r>
    </w:p>
    <w:p>
      <w:pPr>
        <w:rPr>
          <w:color w:val="A8470A"/>
        </w:rPr>
        <w:pStyle w:val="Heading3"/>
        <w:keepNext/>
        <w:widowControl/>
      </w:pPr>
      <w:r>
        <w:rPr>
          <w:color w:val="A8470A"/>
        </w:rP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TransMet 2024</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NjFmM2ZlZjAtNzRmNS01MzAwLWIwZTAtY2RiMDA0ZTI0ZTAyIiB0aW1lc3RhbXA9IjE3OTI5MjEwODc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spacing w:before="60" w:after="20"/>
            </w:pPr>
            <w:r>
              <w:t xml:space="preserve">“three (8%) of 36 patients who received a transplant were retransplanted”</w:t>
            </w:r>
          </w:p>
          <w:p>
            <w:pPr>
              <w:pStyle w:val="Normal"/>
              <w:widowControl/>
              <w:spacing w:before="60" w:after="20"/>
            </w:pPr>
            <w:r>
              <w:t xml:space="preserve">Published PDF p9 / journal p1115, Results</w:t>
            </w:r>
          </w:p>
          <w:p>
            <w:pPr>
              <w:pStyle w:val="Normal"/>
              <w:widowControl/>
              <w:spacing w:before="60" w:after="20"/>
            </w:pPr>
            <w:hyperlink r:id="rId84">
              <w:r>
                <w:rPr>
                  <w:color w:val="77230C"/>
                  <w:sz w:val="20"/>
                  <w:u w:val="single"/>
                </w:rPr>
                <w:t>Source</w:t>
              </w:r>
            </w:hyperlink>
            <w:r>
              <w:t xml:space="preserve"> | </w:t>
            </w:r>
            <w:hyperlink r:id="rId85">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Additional graft use is real. The 36 per-protocol recipients differ from the 40-recipient safety population.</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Accept that recurrence may coexist with meaningful survival benefit, but plan one graft and account for recurrence treatment and all additional graft use.</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NjFmM2ZlZjAtNzRmNS01MzAwLWIwZTAtY2RiMDA0ZTI0ZTAyIiB0aW1lc3RhbXA9IjE3OTI5MjEwODc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Mi04XTwvRGlzcGxheVRleHQ+PHJlY29yZD48cmVjLW51bWJlcj44PC9yZWMtbnVtYmVyPjxmb3JlaWduLWtleXM+PGtleSBhcHA9IkVOIiBkYi1pZD0iNjFmM2ZlZjAtNzRmNS01MzAwLWIwZTAtY2RiMDA0ZTI0ZTAyIiB0aW1lc3RhbXA9IjE3OTI5MjEwODc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ItMTRdPC9EaXNwbGF5VGV4dD48cmVjb3JkPjxyZWMtbnVtYmVyPjE0PC9yZWMtbnVtYmVyPjxmb3JlaWduLWtleXM+PGtleSBhcHA9IkVOIiBkYi1pZD0iNjFmM2ZlZjAtNzRmNS01MzAwLWIwZTAtY2RiMDA0ZTI0ZTAyIiB0aW1lc3RhbXA9IjE3OTI5MjEwODc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NvbXBsZXRlIGxvY2FsIHByaW1hcnkgUERGIGF2YWlsYWJsZTsgcmVsZXZhbnQgbWV0aG9kcywgc2VsZWN0aW9uLCByZXN1bHRzIGFuZCBsaW1pdGF0aW9ucyByZXZpZXdlZCBUZW4gYnJvYWRseSBleHBhbmRlZCByZWNpcGllbnRzOyBtZWRpYW4gREZTIGZvdXIgbW9udGhzLCBPUyAxOCBtb250aHMuIE11bHRpcGxlIGFkdmVyc2UgZmVhdHVyZXMgcHJldmVudCBpc29sYXRpbmcgYW55IG9uZSBkZXZpYXRpb24sIGluY2x1ZGluZyBwcmlvciBsdW5nIGRpc2Vhc2UuPC9ub3Rlcz48dXJscz48cmVsYXRlZC11cmxzPjx1cmw+aHR0cHM6Ly9kb2kub3JnLzEwLjEwMDIvYmpzNS41MDI3OD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Mi02XTwvRGlzcGxheVRleHQ+PHJlY29yZD48cmVjLW51bWJlcj42PC9yZWMtbnVtYmVyPjxmb3JlaWduLWtleXM+PGtleSBhcHA9IkVOIiBkYi1pZD0iNjFmM2ZlZjAtNzRmNS01MzAwLWIwZTAtY2RiMDA0ZTI0ZTAyIiB0aW1lc3RhbXA9IjE3OTI5MjEwODc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[V12-6]</w:t>
      </w:r>
      <w:r>
        <w:fldChar w:fldCharType="end"/>
      </w:r>
      <w:r>
        <w:t xml:space="preserve"> </w:t>
      </w:r>
      <w:r>
        <w:t xml:space="preserve"> </w:t>
      </w:r>
      <w:r>
        <w:fldChar w:fldCharType="begin"/>
      </w:r>
      <w:r>
        <w:instrText xml:space="preserve"> ADDIN EN.CITE </w:instrText>
      </w:r>
      <w:r>
        <w:fldChar w:fldCharType="begin">
          <w:fldData>PEVuZE5vdGU+PENpdGU+PEF1dGhvcj5XZWhybGU8L0F1dGhvcj48WWVhcj4yMDI0PC9ZZWFyPjxSZWNOdW0+MTM8L1JlY051bT48RGlzcGxheVRleHQ+W1YxMi0xM108L0Rpc3BsYXlUZXh0PjxyZWNvcmQ+PHJlYy1udW1iZXI+MTM8L3JlYy1udW1iZXI+PGZvcmVpZ24ta2V5cz48a2V5IGFwcD0iRU4iIGRiLWlkPSI2MWYzZmVmMC03NGY1LTUzMDAtYjBlMC1jZGIwMDRlMjRlMDIiIHRpbWVzdGFtcD0iMTc5MjkyMTA4NyI+MTM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2MWYzZmVmMC03NGY1LTUzMDAtYjBlMC1jZGIwMDRlMjRlMDIiIHRpbWVzdGFtcD0iMTc5MjkyMTA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BZGFtPC9BdXRob3I+PFllYXI+MjAyNDwvWWVhcj48UmVjTnVtPjE4PC9SZWNOdW0+PERpc3BsYXlUZXh0PltWMTItMThdPC9EaXNwbGF5VGV4dD48cmVjb3JkPjxyZWMtbnVtYmVyPjE4PC9yZWMtbnVtYmVyPjxmb3JlaWduLWtleXM+PGtleSBhcHA9IkVOIiBkYi1pZD0iNjFmM2ZlZjAtNzRmNS01MzAwLWIwZTAtY2RiMDA0ZTI0ZTAyIiB0aW1lc3RhbXA9IjE3OTI5MjEwODciPjE4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[V12-18]</w:t>
      </w:r>
      <w:r>
        <w:fldChar w:fldCharType="end"/>
      </w:r>
    </w:p>
    <w:p>
      <w:pPr>
        <w:pStyle w:val="Normal"/>
        <w:widowControl/>
        <w:numPr>
          <w:ilvl w:val="0"/>
          <w:numId w:val="3"/>
        </w:numPr>
      </w:pPr>
      <w:r>
        <w:t xml:space="preserve">Proposed activation gate: a patient-specific benefit comparison against accessible non-LT care, feasible recurrence-treatment options, and a realistic local wait/treatment plan.</w:t>
      </w:r>
    </w:p>
    <w:p>
      <w:pPr>
        <w:pStyle w:val="Normal"/>
        <w:widowControl/>
        <w:numPr>
          <w:ilvl w:val="1"/>
          <w:numId w:val="3"/>
        </w:numPr>
        <w:spacing w:before="60" w:after="20"/>
      </w:pPr>
      <w:r>
        <w:t xml:space="preserve">Reassess about every eight weeks while waiting; no unsupported maximum-wait exclusion is imposed.</w:t>
      </w:r>
    </w:p>
    <w:p>
      <w:pPr>
        <w:pStyle w:val="Normal"/>
        <w:widowControl/>
        <w:numPr>
          <w:ilvl w:val="0"/>
          <w:numId w:val="3"/>
        </w:numPr>
      </w:pPr>
      <w:r>
        <w:t xml:space="preserve">Plan one graft per recipient; no planned retransplantation for oncologic recurrence.</w:t>
      </w:r>
    </w:p>
    <w:p>
      <w:pPr>
        <w:pStyle w:val="Normal"/>
        <w:widowControl/>
        <w:numPr>
          <w:ilvl w:val="1"/>
          <w:numId w:val="3"/>
        </w:numPr>
        <w:spacing w:before="60" w:after="20"/>
      </w:pPr>
      <w:r>
        <w:t xml:space="preserve">Rescue of early nononcologic graft failure remains a separate standard transplant/allocation decision and is never promised or withheld by this rule.</w:t>
      </w:r>
    </w:p>
    <w:p>
      <w:pPr>
        <w:pStyle w:val="Normal"/>
        <w:widowControl/>
        <w:numPr>
          <w:ilvl w:val="0"/>
          <w:numId w:val="3"/>
        </w:numPr>
      </w:pPr>
      <w:r>
        <w:t xml:space="preserve">No low recurrence-rate/RFS cutoff is substituted for survival or quality-of-life benefit.</w:t>
      </w:r>
    </w:p>
    <w:p>
      <w:pPr>
        <w:pStyle w:val="Normal"/>
        <w:widowControl/>
        <w:numPr>
          <w:ilvl w:val="1"/>
          <w:numId w:val="3"/>
        </w:numPr>
        <w:spacing w:before="60" w:after="20"/>
      </w:pPr>
      <w:r>
        <w:t xml:space="preserve">Record all-screened outcomes, recurrence treatment burden, time off therapy, graft loss/retransplantation and functional recovery.</w:t>
      </w:r>
    </w:p>
    <w:p>
      <w:pPr>
        <w:pStyle w:val="Normal"/>
        <w:widowControl/>
        <w:numPr>
          <w:ilvl w:val="1"/>
          <w:numId w:val="3"/>
        </w:numPr>
        <w:spacing w:before="60" w:after="20"/>
      </w:pPr>
      <w:r>
        <w:t xml:space="preserve">Apply the one-event early safety pause in ALLOC-B4 to newly activated experimental cohorts.</w:t>
      </w:r>
    </w:p>
    <w:p>
      <w:pPr>
        <w:pStyle w:val="Normal"/>
        <w:widowControl/>
        <w:numPr>
          <w:ilvl w:val="0"/>
          <w:numId w:val="3"/>
        </w:numPr>
      </w:pPr>
      <w:r>
        <w:t xml:space="preserve">Report treatment-related hepatic failure, wait-list death, early graft failure and retransplantation alongside recurrence/salvage and overall survival.</w:t>
      </w:r>
    </w:p>
    <w:p>
      <w:pPr>
        <w:pStyle w:val="Normal"/>
        <w:widowControl/>
        <w:numPr>
          <w:ilvl w:val="1"/>
          <w:numId w:val="3"/>
        </w:numPr>
        <w:spacing w:before="60" w:after="20"/>
      </w:pPr>
      <w:r>
        <w:t xml:space="preserve">Do not describe long NED follow-up as a validated cure proportion.</w:t>
      </w:r>
    </w:p>
    <w:p>
      <w:pPr>
        <w:pStyle w:val="Normal"/>
        <w:widowControl/>
        <w:spacing w:before="60" w:after="20"/>
      </w:pPr>
      <w:r>
        <w:rPr>
          <w:b/>
        </w:rPr>
        <w:t xml:space="preserve">Why retain or change it: </w:t>
      </w:r>
      <w:r>
        <w:t xml:space="preserve">Keep OPEN a one-planned-graft strategy, with no planned oncologic retransplantation. Emergency graft rescue must be an independent transplant/allocation decision rather than automatic denial or promise. Before activation document the feasible non-LT sequence, expected wait and bridging plan, anticipated recurrence salvage options, recipient/graft risk, and donor-specific burden where applicable. Track all screened/enrolled patients from common eligibility, not only recipients; report ITT-like survival, recurrence sites/treatment, grafts per patient, donor outcomes and QoL. A safety event triggers review under the separate allocation governance plan; it is not a literature-derived stopping boundary. Decision remains blank.</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Contemporary comparator; current fitness/control; recurrence options; local access estimate; patient priorities; graft-use and follow-up plan.</w:t>
      </w:r>
    </w:p>
    <w:p>
      <w:pPr>
        <w:pStyle w:val="Normal"/>
        <w:widowControl/>
        <w:spacing w:before="60" w:after="20"/>
      </w:pPr>
      <w:r>
        <w:rPr>
          <w:b/>
        </w:rPr>
        <w:t xml:space="preserve">Clinical versus allocation: </w:t>
      </w:r>
      <w:r>
        <w:t xml:space="preserve">Do not promise trial survival where waiting/access differ materially. Count all grafts and downstream allocation consequences, including LDLT recipients who later need DDLT.</w:t>
      </w:r>
    </w:p>
    <w:p>
      <w:pPr>
        <w:pStyle w:val="Normal"/>
        <w:widowControl/>
        <w:spacing w:before="60" w:after="20"/>
      </w:pPr>
      <w:r>
        <w:rPr>
          <w:b/>
        </w:rPr>
        <w:t xml:space="preserve">Roadmap / protocol reconciliation: </w:t>
      </w:r>
      <w:r>
        <w:t xml:space="preserve">Use the CRLM roadmap for recurrence and non-LT alternatives; compare real local options rather than historical chemotherapy alone.</w:t>
      </w:r>
    </w:p>
    <w:p>
      <w:pPr>
        <w:pStyle w:val="Normal"/>
        <w:widowControl/>
        <w:spacing w:before="60" w:after="20"/>
      </w:pPr>
      <w:hyperlink r:id="rId86">
        <w:r>
          <w:rPr>
            <w:color w:val="77230C"/>
            <w:sz w:val="20"/>
            <w:u w:val="single"/>
          </w:rPr>
          <w:t>Meeting record: CRLM-B4</w:t>
        </w:r>
      </w:hyperlink>
      <w:r>
        <w:t xml:space="preserve">  |  </w:t>
      </w:r>
      <w:hyperlink r:id="rId8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2"/>
        <w:keepNext/>
        <w:widowControl/>
      </w:pPr>
      <w:r>
        <w:rPr>
          <w:color w:val="A8470A"/>
        </w:rPr>
        <w:t xml:space="preserve">9 Data collection and outcomes</w:t>
      </w:r>
    </w:p>
    <w:p>
      <w:pPr>
        <w:pStyle w:val="Normal"/>
        <w:widowControl/>
        <w:numPr>
          <w:ilvl w:val="0"/>
          <w:numId w:val="3"/>
        </w:numPr>
      </w:pPr>
      <w:r>
        <w:t xml:space="preserve">Register every referred or screened candidate in the institutionally approved system, not only recipients. Record acceptance or rejection, treatment entry, response, listing, exception decision, conversion to resection or ablation, progression, toxicity, decompensation, death, patient withdrawal and access-related loss.</w:t>
      </w:r>
    </w:p>
    <w:p>
      <w:pPr>
        <w:pStyle w:val="Normal"/>
        <w:widowControl/>
        <w:numPr>
          <w:ilvl w:val="0"/>
          <w:numId w:val="3"/>
        </w:numPr>
      </w:pPr>
      <w:r>
        <w:t xml:space="preserve">Report overall survival from the prespecified entry point and separately from listing and transplantation. Keep recurrence-free survival, recurrence incidence, graft survival and survival after recurrence distinct, with definitions, confidence intervals, numbers at risk and follow-up completeness. Do not call recipient-only survival an intention-to-treat outcome.</w:t>
      </w:r>
    </w:p>
    <w:p>
      <w:pPr>
        <w:pStyle w:val="Normal"/>
        <w:widowControl/>
        <w:numPr>
          <w:ilvl w:val="0"/>
          <w:numId w:val="3"/>
        </w:numPr>
      </w:pPr>
      <w:r>
        <w:t xml:space="preserve">Capture 90-day recipient morbidity and mortality, biopsy-defined rejection, infection, arterial and biliary complications, graft loss, retransplantation and total grafts used. Record recurrence site, salvage treatment, time off systemic therapy, functional recovery and quality of life, not survival alone.</w:t>
      </w:r>
    </w:p>
    <w:p>
      <w:pPr>
        <w:pStyle w:val="Normal"/>
        <w:widowControl/>
        <w:numPr>
          <w:ilvl w:val="0"/>
          <w:numId w:val="3"/>
        </w:numPr>
      </w:pPr>
      <w:r>
        <w:t xml:space="preserve">Before a transplanting study opens, biostatistics and the independent safety board must approve indication-specific monitoring, evaluable denominators, pause authority and reopening criteria. ALLOC-B4 now proposes explicit initial-cohort review triggers for ratification; they are not validated efficacy/futility boundaries. No universal cross-cancer five-year survival cutoff is adopted.</w:t>
      </w:r>
    </w:p>
    <w:p>
      <w:pPr>
        <w:pStyle w:val="Normal"/>
        <w:widowControl/>
        <w:numPr>
          <w:ilvl w:val="0"/>
          <w:numId w:val="3"/>
        </w:numPr>
      </w:pPr>
      <w:r>
        <w:t xml:space="preserve">Use a contemporary comparator with the same eligibility and time zero. Account for the interval needed to survive to transplantation, crossover, competing risks and overlapping study cohorts. A nonsignificant difference is not proof of equivalence.</w:t>
      </w:r>
    </w:p>
    <w:p>
      <w:pPr>
        <w:rPr>
          <w:color w:val="A8470A"/>
        </w:rPr>
        <w:pStyle w:val="Heading3"/>
        <w:keepNext/>
        <w:widowControl/>
      </w:pPr>
      <w:bookmarkStart w:id="8" w:name="ALLOC_B4"/>
      <w:r>
        <w:rPr>
          <w:color w:val="A8470A"/>
        </w:rPr>
        <w:t xml:space="preserve">ALLOC-B4 — What data are required before expansion?</w:t>
      </w:r>
      <w:bookmarkEnd w:id="8"/>
    </w:p>
    <w:p>
      <w:pPr>
        <w:pStyle w:val="Normal"/>
        <w:keepNext/>
        <w:widowControl/>
      </w:pPr>
      <w:r>
        <w:t xml:space="preserve">Evidence and uncertainty before the shared rule</w:t>
      </w:r>
    </w:p>
    <w:p>
      <w:pPr>
        <w:pStyle w:val="Normal"/>
        <w:widowControl/>
        <w:spacing w:before="60" w:after="20"/>
      </w:pPr>
      <w:r>
        <w:t xml:space="preserve">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 Full-text clarification: CONSORT pilot principles are adapted here, not a direct validation of single-arm transplant trial design. Any proposed cohort-size or event-trigger rule requires prospective statistical justification and independent safety oversight before activation.</w:t>
      </w:r>
      <w:r>
        <w:t xml:space="preserve"> </w:t>
      </w:r>
      <w:r>
        <w:t xml:space="preserve"> </w:t>
      </w:r>
      <w:r>
        <w:fldChar w:fldCharType="begin"/>
      </w:r>
      <w:r>
        <w:instrText xml:space="preserve"> ADDIN EN.CITE </w:instrText>
      </w:r>
      <w:r>
        <w:fldChar w:fldCharType="begin">
          <w:fldData>PEVuZE5vdGU+PENpdGU+PEF1dGhvcj5MbG92ZXQ8L0F1dGhvcj48WWVhcj4yMDI2PC9ZZWFyPjxSZWNOdW0+MjM8L1JlY051bT48RGlzcGxheVRleHQ+W1YxMi0yM108L0Rpc3BsYXlUZXh0PjxyZWNvcmQ+PHJlYy1udW1iZXI+MjM8L3JlYy1udW1iZXI+PGZvcmVpZ24ta2V5cz48a2V5IGFwcD0iRU4iIGRiLWlkPSI2MWYzZmVmMC03NGY1LTUzMDAtYjBlMC1jZGIwMDRlMjRlMDIiIHRpbWVzdGFtcD0iMTc5MjkyMTA4NyI+MjM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[V12-23]</w:t>
      </w:r>
      <w:r>
        <w:fldChar w:fldCharType="end"/>
      </w:r>
      <w:r>
        <w:t xml:space="preserve"> </w:t>
      </w:r>
      <w:r>
        <w:t xml:space="preserve"> </w:t>
      </w:r>
      <w:r>
        <w:fldChar w:fldCharType="begin"/>
      </w:r>
      <w:r>
        <w:instrText xml:space="preserve"> ADDIN EN.CITE </w:instrText>
      </w:r>
      <w:r>
        <w:fldChar w:fldCharType="begin">
          <w:fldData>PEVuZE5vdGU+PENpdGU+PEF1dGhvcj5FbGRyaWRnZTwvQXV0aG9yPjxZZWFyPjIwMTY8L1llYXI+PFJlY051bT4yOTwvUmVjTnVtPjxEaXNwbGF5VGV4dD5bVjEyLTI5XTwvRGlzcGxheVRleHQ+PHJlY29yZD48cmVjLW51bWJlcj4yOTwvcmVjLW51bWJlcj48Zm9yZWlnbi1rZXlzPjxrZXkgYXBwPSJFTiIgZGItaWQ9IjYxZjNmZWYwLTc0ZjUtNTMwMC1iMGUwLWNkYjAwNGUyNGUwMiIgdGltZXN0YW1wPSIxNzkyOTIxMDg3Ij4yOT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[V12-29]</w:t>
      </w:r>
      <w:r>
        <w:fldChar w:fldCharType="end"/>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E8L1JlY051bT48RGlzcGxheVRleHQ+W1YxMi0yMV08L0Rpc3BsYXlUZXh0PjxyZWNvcmQ+PHJlYy1udW1iZXI+MjE8L3JlYy1udW1iZXI+PGZvcmVpZ24ta2V5cz48a2V5IGFwcD0iRU4iIGRiLWlkPSI2MWYzZmVmMC03NGY1LTUzMDAtYjBlMC1jZGIwMDRlMjRlMDIiIHRpbWVzdGFtcD0iMTc5MjkyMTA4NyI+MjE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</w:fldData>
        </w:fldChar>
      </w:r>
      <w:r>
        <w:instrText xml:space="preserve"> ADDIN EN.CITE.DATA </w:instrText>
      </w:r>
      <w:r>
        <w:fldChar w:fldCharType="end"/>
      </w:r>
      <w:r>
        <w:fldChar w:fldCharType="separate"/>
      </w:r>
      <w:r>
        <w:t xml:space="preserve">[V12-21]</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yMDwvUmVjTnVtPjxEaXNwbGF5VGV4dD5bVjEyLTIwXTwvRGlzcGxheVRleHQ+PHJlY29yZD48cmVjLW51bWJlcj4yMDwvcmVjLW51bWJlcj48Zm9yZWlnbi1rZXlzPjxrZXkgYXBwPSJFTiIgZGItaWQ9IjYxZjNmZWYwLTc0ZjUtNTMwMC1iMGUwLWNkYjAwNGUyNGUwMiIgdGltZXN0YW1wPSIxNzkyOTIxMDg3Ij4yMD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[V12-20]</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NDwvWWVhcj48UmVjTnVtPjMwPC9SZWNOdW0+PERpc3BsYXlUZXh0PltWMTItMzBdPC9EaXNwbGF5VGV4dD48cmVjb3JkPjxyZWMtbnVtYmVyPjMwPC9yZWMtbnVtYmVyPjxmb3JlaWduLWtleXM+PGtleSBhcHA9IkVOIiBkYi1pZD0iNjFmM2ZlZjAtNzRmNS01MzAwLWIwZTAtY2RiMDA0ZTI0ZTAyIiB0aW1lc3RhbXA9IjE3OTI5MjEwODciPjMw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XZpZXdlZC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[V12-30]</w:t>
      </w:r>
      <w:r>
        <w:fldChar w:fldCharType="end"/>
      </w:r>
      <w:r>
        <w:t xml:space="preserve"> </w:t>
      </w:r>
      <w:r>
        <w:t xml:space="preserve"> </w:t>
      </w:r>
      <w:r>
        <w:fldChar w:fldCharType="begin"/>
      </w:r>
      <w:r>
        <w:instrText xml:space="preserve"> ADDIN EN.CITE </w:instrText>
      </w:r>
      <w:r>
        <w:fldChar w:fldCharType="begin">
          <w:fldData>PEVuZE5vdGU+PENpdGU+PEF1dGhvcj5ZYXF1YjwvQXV0aG9yPjxZZWFyPjIwMjU8L1llYXI+PFJlY051bT4zMTwvUmVjTnVtPjxEaXNwbGF5VGV4dD5bVjEyLTMxXTwvRGlzcGxheVRleHQ+PHJlY29yZD48cmVjLW51bWJlcj4zMTwvcmVjLW51bWJlcj48Zm9yZWlnbi1rZXlzPjxrZXkgYXBwPSJFTiIgZGItaWQ9IjYxZjNmZWYwLTc0ZjUtNTMwMC1iMGUwLWNkYjAwNGUyNGUwMiIgdGltZXN0YW1wPSIxNzkyOTIxMDg3Ij4zMT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[V12-31]</w:t>
      </w:r>
      <w:r>
        <w:fldChar w:fldCharType="end"/>
      </w:r>
    </w:p>
    <w:p>
      <w:pPr>
        <w:pStyle w:val="Normal"/>
        <w:widowControl/>
        <w:spacing w:before="60" w:after="20"/>
      </w:pPr>
      <w:r>
        <w:t xml:space="preserve">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pStyle w:val="Normal"/>
        <w:widowControl/>
        <w:spacing w:before="60" w:after="20"/>
      </w:pPr>
      <w:r>
        <w:t xml:space="preserve">Evidence-to-threshold distinction: Ten per stratum and interim after five at 90 days: local feasibility cap and safety review cadence.; Twelve-month minimum: earliest expansion discussion, not proof of long-term cancer benefit.; ≥90%: proposed non-vital key-measure completeness threshold; not permission to ignore deaths/graft events or unknown status.; One early death/graft loss/re-LT: review/pause trigger, not automatic futility or withholding rescue.</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Use a small staged pilot with all-screened accounting and explicit safety pauses; no automatic expansion on favorable recipient survival.</w:t>
      </w:r>
      <w:r>
        <w:t xml:space="preserve"> </w:t>
      </w:r>
      <w:r>
        <w:t xml:space="preserve"> </w:t>
      </w:r>
      <w:r>
        <w:fldChar w:fldCharType="begin"/>
      </w:r>
      <w:r>
        <w:instrText xml:space="preserve"> ADDIN EN.CITE </w:instrText>
      </w:r>
      <w:r>
        <w:fldChar w:fldCharType="begin">
          <w:fldData>PEVuZE5vdGU+PENpdGU+PEF1dGhvcj5MbG92ZXQ8L0F1dGhvcj48WWVhcj4yMDI2PC9ZZWFyPjxSZWNOdW0+MjM8L1JlY051bT48RGlzcGxheVRleHQ+W1YxMi0yM108L0Rpc3BsYXlUZXh0PjxyZWNvcmQ+PHJlYy1udW1iZXI+MjM8L3JlYy1udW1iZXI+PGZvcmVpZ24ta2V5cz48a2V5IGFwcD0iRU4iIGRiLWlkPSI2MWYzZmVmMC03NGY1LTUzMDAtYjBlMC1jZGIwMDRlMjRlMDIiIHRpbWVzdGFtcD0iMTc5MjkyMTA4NyI+MjM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[V12-23]</w:t>
      </w:r>
      <w:r>
        <w:fldChar w:fldCharType="end"/>
      </w:r>
      <w:r>
        <w:t xml:space="preserve"> </w:t>
      </w:r>
      <w:r>
        <w:t xml:space="preserve"> </w:t>
      </w:r>
      <w:r>
        <w:fldChar w:fldCharType="begin"/>
      </w:r>
      <w:r>
        <w:instrText xml:space="preserve"> ADDIN EN.CITE </w:instrText>
      </w:r>
      <w:r>
        <w:fldChar w:fldCharType="begin">
          <w:fldData>PEVuZE5vdGU+PENpdGU+PEF1dGhvcj5FbGRyaWRnZTwvQXV0aG9yPjxZZWFyPjIwMTY8L1llYXI+PFJlY051bT4yOTwvUmVjTnVtPjxEaXNwbGF5VGV4dD5bVjEyLTI5XTwvRGlzcGxheVRleHQ+PHJlY29yZD48cmVjLW51bWJlcj4yOTwvcmVjLW51bWJlcj48Zm9yZWlnbi1rZXlzPjxrZXkgYXBwPSJFTiIgZGItaWQ9IjYxZjNmZWYwLTc0ZjUtNTMwMC1iMGUwLWNkYjAwNGUyNGUwMiIgdGltZXN0YW1wPSIxNzkyOTIxMDg3Ij4yOT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[V12-29]</w:t>
      </w:r>
      <w:r>
        <w:fldChar w:fldCharType="end"/>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E8L1JlY051bT48RGlzcGxheVRleHQ+W1YxMi0yMV08L0Rpc3BsYXlUZXh0PjxyZWNvcmQ+PHJlYy1udW1iZXI+MjE8L3JlYy1udW1iZXI+PGZvcmVpZ24ta2V5cz48a2V5IGFwcD0iRU4iIGRiLWlkPSI2MWYzZmVmMC03NGY1LTUzMDAtYjBlMC1jZGIwMDRlMjRlMDIiIHRpbWVzdGFtcD0iMTc5MjkyMTA4NyI+MjE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</w:fldData>
        </w:fldChar>
      </w:r>
      <w:r>
        <w:instrText xml:space="preserve"> ADDIN EN.CITE.DATA </w:instrText>
      </w:r>
      <w:r>
        <w:fldChar w:fldCharType="end"/>
      </w:r>
      <w:r>
        <w:fldChar w:fldCharType="separate"/>
      </w:r>
      <w:r>
        <w:t xml:space="preserve">[V12-21]</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yMDwvUmVjTnVtPjxEaXNwbGF5VGV4dD5bVjEyLTIwXTwvRGlzcGxheVRleHQ+PHJlY29yZD48cmVjLW51bWJlcj4yMDwvcmVjLW51bWJlcj48Zm9yZWlnbi1rZXlzPjxrZXkgYXBwPSJFTiIgZGItaWQ9IjYxZjNmZWYwLTc0ZjUtNTMwMC1iMGUwLWNkYjAwNGUyNGUwMiIgdGltZXN0YW1wPSIxNzkyOTIxMDg3Ij4yMD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[V12-20]</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NDwvWWVhcj48UmVjTnVtPjMwPC9SZWNOdW0+PERpc3BsYXlUZXh0PltWMTItMzBdPC9EaXNwbGF5VGV4dD48cmVjb3JkPjxyZWMtbnVtYmVyPjMwPC9yZWMtbnVtYmVyPjxmb3JlaWduLWtleXM+PGtleSBhcHA9IkVOIiBkYi1pZD0iNjFmM2ZlZjAtNzRmNS01MzAwLWIwZTAtY2RiMDA0ZTI0ZTAyIiB0aW1lc3RhbXA9IjE3OTI5MjEwODciPjMw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XZpZXdlZC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[V12-30]</w:t>
      </w:r>
      <w:r>
        <w:fldChar w:fldCharType="end"/>
      </w:r>
      <w:r>
        <w:t xml:space="preserve"> </w:t>
      </w:r>
      <w:r>
        <w:t xml:space="preserve"> </w:t>
      </w:r>
      <w:r>
        <w:fldChar w:fldCharType="begin"/>
      </w:r>
      <w:r>
        <w:instrText xml:space="preserve"> ADDIN EN.CITE </w:instrText>
      </w:r>
      <w:r>
        <w:fldChar w:fldCharType="begin">
          <w:fldData>PEVuZE5vdGU+PENpdGU+PEF1dGhvcj5ZYXF1YjwvQXV0aG9yPjxZZWFyPjIwMjU8L1llYXI+PFJlY051bT4zMTwvUmVjTnVtPjxEaXNwbGF5VGV4dD5bVjEyLTMxXTwvRGlzcGxheVRleHQ+PHJlY29yZD48cmVjLW51bWJlcj4zMTwvcmVjLW51bWJlcj48Zm9yZWlnbi1rZXlzPjxrZXkgYXBwPSJFTiIgZGItaWQ9IjYxZjNmZWYwLTc0ZjUtNTMwMC1iMGUwLWNkYjAwNGUyNGUwMiIgdGltZXN0YW1wPSIxNzkyOTIxMDg3Ij4zMT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[V12-31]</w:t>
      </w:r>
      <w:r>
        <w:fldChar w:fldCharType="end"/>
      </w:r>
    </w:p>
    <w:p>
      <w:pPr>
        <w:pStyle w:val="Normal"/>
        <w:widowControl/>
        <w:numPr>
          <w:ilvl w:val="0"/>
          <w:numId w:val="3"/>
        </w:numPr>
      </w:pPr>
      <w:r>
        <w:t xml:space="preserve">Proposed initial cap: ten transplants per separately approved biological stratum.</w:t>
      </w:r>
    </w:p>
    <w:p>
      <w:pPr>
        <w:pStyle w:val="Normal"/>
        <w:widowControl/>
        <w:numPr>
          <w:ilvl w:val="1"/>
          <w:numId w:val="3"/>
        </w:numPr>
        <w:spacing w:before="60" w:after="20"/>
      </w:pPr>
      <w:r>
        <w:t xml:space="preserve">Review after the first five have 90-day follow-up; no expansion decision until all first ten have at least 12-month follow-up.</w:t>
      </w:r>
    </w:p>
    <w:p>
      <w:pPr>
        <w:pStyle w:val="Normal"/>
        <w:widowControl/>
        <w:numPr>
          <w:ilvl w:val="1"/>
          <w:numId w:val="3"/>
        </w:numPr>
        <w:spacing w:before="60" w:after="20"/>
      </w:pPr>
      <w:r>
        <w:t xml:space="preserve">Reconcile vital status, graft events and known serious harms for every participant; require ≥90% completeness for other prespecified key outcomes.</w:t>
      </w:r>
    </w:p>
    <w:p>
      <w:pPr>
        <w:pStyle w:val="Normal"/>
        <w:widowControl/>
        <w:numPr>
          <w:ilvl w:val="0"/>
          <w:numId w:val="3"/>
        </w:numPr>
      </w:pPr>
      <w:r>
        <w:t xml:space="preserve">In an initial experimental cohort, one all-cause recipient death, graft loss or retransplantation within 90 days triggers a pause of further experimental enrollment/transplantation pending independent review.</w:t>
      </w:r>
    </w:p>
    <w:p>
      <w:pPr>
        <w:pStyle w:val="Normal"/>
        <w:widowControl/>
        <w:numPr>
          <w:ilvl w:val="1"/>
          <w:numId w:val="3"/>
        </w:numPr>
        <w:spacing w:before="60" w:after="20"/>
      </w:pPr>
      <w:r>
        <w:t xml:space="preserve">A later possibly treatment-related death/graft loss or a donor sentinel event also triggers review/pause.</w:t>
      </w:r>
    </w:p>
    <w:p>
      <w:pPr>
        <w:pStyle w:val="Normal"/>
        <w:widowControl/>
        <w:numPr>
          <w:ilvl w:val="1"/>
          <w:numId w:val="3"/>
        </w:numPr>
        <w:spacing w:before="60" w:after="20"/>
      </w:pPr>
      <w:r>
        <w:t xml:space="preserve">Rescue care is never withheld; reopening requires independent authorization.</w:t>
      </w:r>
    </w:p>
    <w:p>
      <w:pPr>
        <w:pStyle w:val="Normal"/>
        <w:widowControl/>
        <w:numPr>
          <w:ilvl w:val="0"/>
          <w:numId w:val="3"/>
        </w:numPr>
      </w:pPr>
      <w:r>
        <w:t xml:space="preserve">These are proposed conservative review triggers, not statistically validated efficacy/futility boundaries.</w:t>
      </w:r>
    </w:p>
    <w:p>
      <w:pPr>
        <w:pStyle w:val="Normal"/>
        <w:widowControl/>
        <w:numPr>
          <w:ilvl w:val="1"/>
          <w:numId w:val="3"/>
        </w:numPr>
        <w:spacing w:before="60" w:after="20"/>
      </w:pPr>
      <w:r>
        <w:t xml:space="preserve">Before opening, biostatistics and the independent board must ratify or replace them with indication-specific rules, denominators, pause authority and reopening criteria.</w:t>
      </w:r>
    </w:p>
    <w:p>
      <w:pPr>
        <w:pStyle w:val="Normal"/>
        <w:widowControl/>
        <w:numPr>
          <w:ilvl w:val="0"/>
          <w:numId w:val="3"/>
        </w:numPr>
      </w:pPr>
      <w:r>
        <w:t xml:space="preserve">Capture every screened candidate, including nonrecipients, conversion to resection, dropout, deaths and access barriers; report survival from entry and from LT, recurrence, graft use, donor recovery and quality of life.</w:t>
      </w:r>
    </w:p>
    <w:p>
      <w:pPr>
        <w:pStyle w:val="Normal"/>
        <w:widowControl/>
        <w:numPr>
          <w:ilvl w:val="1"/>
          <w:numId w:val="3"/>
        </w:numPr>
        <w:spacing w:before="60" w:after="20"/>
      </w:pPr>
      <w:r>
        <w:t xml:space="preserve">Ten survivors alone do not establish benefit or authorize expansion.</w:t>
      </w:r>
    </w:p>
    <w:p>
      <w:pPr>
        <w:pStyle w:val="Normal"/>
        <w:widowControl/>
        <w:spacing w:before="60" w:after="20"/>
      </w:pPr>
      <w:r>
        <w:rPr>
          <w:b/>
        </w:rPr>
        <w:t xml:space="preserve">Why retain or change it: </w:t>
      </w:r>
      <w:r>
        <w:t xml:space="preserve">Retain the small staged pilot as an OPEN governance proposal, not an efficacy claim. Clarify that known safety/vital-status data must be reconciled for every enrolled patient; ≥90% applies only to other prespecified key measures. Indication-specific statistical design may replace the proposed numbers before opening. CONSORT pilot principles are adapted here, not a direct validation of single-arm transplant trial design. Any proposed cohort-size or event-trigger rule requires prospective statistical justification and independent safety oversight before activation.</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Locked eligibility strata; prospective entry/time-zero dataset; modern comparator; adverse-event definitions; follow-up-completeness report; independently signed statistical and safety plan.</w:t>
      </w:r>
    </w:p>
    <w:p>
      <w:pPr>
        <w:pStyle w:val="Normal"/>
        <w:widowControl/>
        <w:spacing w:before="60" w:after="20"/>
      </w:pPr>
      <w:r>
        <w:rPr>
          <w:b/>
        </w:rPr>
        <w:t xml:space="preserve">Clinical versus allocation: </w:t>
      </w:r>
      <w:r>
        <w:t xml:space="preserve">Study monitoring never changes exception criteria or guarantees future access. Audit access by referral, geography, resources and donor availability without turning protected characteristics into exclusion rules.</w:t>
      </w:r>
    </w:p>
    <w:p>
      <w:pPr>
        <w:pStyle w:val="Normal"/>
        <w:widowControl/>
        <w:spacing w:before="60" w:after="20"/>
      </w:pPr>
      <w:r>
        <w:rPr>
          <w:b/>
        </w:rPr>
        <w:t xml:space="preserve">Roadmap / protocol reconciliation: </w:t>
      </w:r>
      <w:r>
        <w:t xml:space="preserve">Retain cancer-roadmap treatment alternatives and document why non-LT care was chosen when candidates do not proceed.</w:t>
      </w:r>
    </w:p>
    <w:p>
      <w:pPr>
        <w:pStyle w:val="Normal"/>
        <w:widowControl/>
        <w:spacing w:before="60" w:after="20"/>
      </w:pPr>
      <w:hyperlink r:id="rId88">
        <w:r>
          <w:rPr>
            <w:color w:val="77230C"/>
            <w:sz w:val="20"/>
            <w:u w:val="single"/>
          </w:rPr>
          <w:t>Meeting record: ALLOC-B4</w:t>
        </w:r>
      </w:hyperlink>
      <w:r>
        <w:t xml:space="preserve">  |  </w:t>
      </w:r>
      <w:hyperlink r:id="rId8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2"/>
        <w:keepNext/>
        <w:widowControl/>
      </w:pPr>
      <w:r>
        <w:rPr>
          <w:color w:val="A8470A"/>
        </w:rPr>
        <w:t xml:space="preserve">10 Correlative studies and unresolved decisions</w:t>
      </w:r>
    </w:p>
    <w:p>
      <w:pPr>
        <w:pStyle w:val="Normal"/>
        <w:widowControl/>
        <w:numPr>
          <w:ilvl w:val="0"/>
          <w:numId w:val="3"/>
        </w:numPr>
      </w:pPr>
      <w:r>
        <w:t xml:space="preserve">Keep ctDNA, PET metabolic volume, explant genomics and pharmacokinetics in prespecified research modules. Record assay/platform, timing and missingness; a cohort-derived cutoff is a hypothesis until externally validated.</w:t>
      </w:r>
      <w:r>
        <w:t xml:space="preserve"> </w:t>
      </w:r>
      <w:r>
        <w:t xml:space="preserve"> </w:t>
      </w:r>
      <w:r>
        <w:fldChar w:fldCharType="begin"/>
      </w:r>
      <w:r>
        <w:instrText xml:space="preserve"> ADDIN EN.CITE </w:instrText>
      </w:r>
      <w:r>
        <w:fldChar w:fldCharType="begin">
          <w:fldData>PEVuZE5vdGU+PENpdGU+PEF1dGhvcj5XZWhybGU8L0F1dGhvcj48WWVhcj4yMDIzPC9ZZWFyPjxSZWNOdW0+MTc8L1JlY051bT48RGlzcGxheVRleHQ+W1YxMi0xN108L0Rpc3BsYXlUZXh0PjxyZWNvcmQ+PHJlYy1udW1iZXI+MTc8L3JlYy1udW1iZXI+PGZvcmVpZ24ta2V5cz48a2V5IGFwcD0iRU4iIGRiLWlkPSI2MWYzZmVmMC03NGY1LTUzMDAtYjBlMC1jZGIwMDRlMjRlMDIiIHRpbWVzdGFtcD0iMTc5MjkyMTA4NyI+MTc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[V12-17]</w:t>
      </w:r>
      <w:r>
        <w:fldChar w:fldCharType="end"/>
      </w:r>
      <w:r>
        <w:t xml:space="preserve"> </w:t>
      </w:r>
      <w:r>
        <w:t xml:space="preserve"> </w:t>
      </w:r>
      <w:r>
        <w:fldChar w:fldCharType="begin"/>
      </w:r>
      <w:r>
        <w:instrText xml:space="preserve"> ADDIN EN.CITE </w:instrText>
      </w:r>
      <w:r>
        <w:fldChar w:fldCharType="begin">
          <w:fldData>PEVuZE5vdGU+PENpdGU+PEF1dGhvcj5XZWhybGU8L0F1dGhvcj48WWVhcj4yMDI1PC9ZZWFyPjxSZWNOdW0+MTY8L1JlY051bT48RGlzcGxheVRleHQ+W1YxMi0xNl08L0Rpc3BsYXlUZXh0PjxyZWNvcmQ+PHJlYy1udW1iZXI+MTY8L3JlYy1udW1iZXI+PGZvcmVpZ24ta2V5cz48a2V5IGFwcD0iRU4iIGRiLWlkPSI2MWYzZmVmMC03NGY1LTUzMDAtYjBlMC1jZGIwMDRlMjRlMDIiIHRpbWVzdGFtcD0iMTc5MjkyMTA4NyI+MTY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[V12-16]</w:t>
      </w:r>
      <w:r>
        <w:fldChar w:fldCharType="end"/>
      </w:r>
    </w:p>
    <w:p>
      <w:pPr>
        <w:pStyle w:val="Normal"/>
        <w:widowControl/>
      </w:pPr>
      <w:r>
        <w:t xml:space="preserve">Resolve CRLM-B1–B4 and ALLOC-B1–B4. The prior A-versus-B comparison table was removed because it contradicted the main text and treated unvalidated rules as accepted practice. Decisions require exact final wording, responsible owners, date and approval status.</w:t>
      </w:r>
    </w:p>
    <w:p>
      <w:pPr>
        <w:pStyle w:val="Normal"/>
        <w:widowControl/>
      </w:pPr>
      <w:r>
        <w:t xml:space="preserve">Evidence review record: </w:t>
      </w:r>
      <w:hyperlink r:id="rId90">
        <w:r>
          <w:rPr>
            <w:color w:val="77230C"/>
            <w:sz w:val="20"/>
            <w:u w:val="single"/>
          </w:rPr>
          <w:t>Five analyst comments and reconciliation</w:t>
        </w:r>
      </w:hyperlink>
      <w:r>
        <w:t xml:space="preserve">  |  </w:t>
      </w:r>
      <w:hyperlink r:id="rId91">
        <w:r>
          <w:rPr>
            <w:color w:val="77230C"/>
            <w:sz w:val="20"/>
            <w:u w:val="single"/>
          </w:rPr>
          <w:t>Prospective outcomes dataset</w:t>
        </w:r>
      </w:hyperlink>
    </w:p>
    <w:p>
      <w:pPr>
        <w:rPr>
          <w:color w:val="A8470A"/>
        </w:rPr>
        <w:pStyle w:val="Heading1"/>
        <w:keepNext/>
        <w:widowControl/>
        <w:keepLines/>
      </w:pPr>
      <w:r>
        <w:rPr>
          <w:color w:val="A8470A"/>
        </w:rP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Treatment-intensive conversion and radiographic disappearance could imply safe eligibility or eradication. </w:t>
      </w:r>
      <w:r>
        <w:rPr>
          <w:b/>
        </w:rPr>
        <w:t xml:space="preserve">Correction and reason: </w:t>
      </w:r>
      <w:r>
        <w:t xml:space="preserve">Added failure-to-reach-LT denominators, the pre-LT death after bilobar Y90 and the distinction between microscopic viability, persistent unresectability and proven transplant benefit.</w:t>
      </w:r>
    </w:p>
    <w:p>
      <w:pPr>
        <w:pStyle w:val="Normal"/>
        <w:keepNext/>
        <w:widowControl/>
        <w:keepLines/>
      </w:pPr>
      <w:r>
        <w:rPr>
          <w:b/>
        </w:rPr>
        <w:t xml:space="preserve">Problem: </w:t>
      </w:r>
      <w:r>
        <w:t xml:space="preserve">The earlier B proposals had an uneven evidence base and emphasized a stance before its supporting and contrary data. </w:t>
      </w:r>
      <w:r>
        <w:rPr>
          <w:b/>
        </w:rPr>
        <w:t xml:space="preserve">Correction and reason: </w:t>
      </w:r>
      <w:r>
        <w:t xml:space="preserve">Added question-level primary-study tables with selection, denominators, outcome clocks, harms, limitations, exact source excerpts and threshold provenance before each OPEN proposal. Sources/PDF links are adjacent; missing full texts remain flagged.</w:t>
      </w:r>
    </w:p>
    <w:p>
      <w:pPr>
        <w:pStyle w:val="Normal"/>
        <w:keepNext/>
        <w:widowControl/>
        <w:keepLines/>
      </w:pPr>
      <w:r>
        <w:rPr>
          <w:b/>
        </w:rPr>
        <w:t xml:space="preserve">Problem: </w:t>
      </w:r>
      <w:r>
        <w:t xml:space="preserve">Local operational numbers could be mistaken for validated eligibility or allocation thresholds. </w:t>
      </w:r>
      <w:r>
        <w:rPr>
          <w:b/>
        </w:rPr>
        <w:t xml:space="preserve">Correction and reason: </w:t>
      </w:r>
      <w:r>
        <w:t xml:space="preserve">Separated outcome-derived estimates, guideline/policy wording and local safeguards; revised proposals when the deeper review changed their evidentiary basis. Institutional decisions remain blank.</w:t>
      </w:r>
    </w:p>
    <w:p>
      <w:pPr>
        <w:pStyle w:val="Normal"/>
        <w:widowControl/>
        <w:keepLines/>
      </w:pPr>
      <w:r>
        <w:t xml:space="preserve">Approval record  Clinical lead __________  Allocation review __________  Research authorization if required __________  Donor review if applicable __________  Date __________</w:t>
      </w:r>
    </w:p>
    <w:p>
      <w:pPr>
        <w:rPr>
          <w:color w:val="A8470A"/>
        </w:rPr>
        <w:pStyle w:val="Heading1"/>
        <w:widowControl/>
        <w:keepNext/>
      </w:pPr>
      <w:r>
        <w:rPr>
          <w:color w:val="A8470A"/>
        </w:rP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[V12-1] Organ Procurement and Transplantation Network. OPTN Policies: liver allocation and living donation. HRSA/OPTN. 2026. </w:t>
      </w:r>
      <w:hyperlink r:id="rId159">
        <w:r>
          <w:rPr>
            <w:color w:val="0563C1"/>
            <w:u w:val="single"/>
          </w:rPr>
          <w:t>Source</w:t>
        </w:r>
      </w:hyperlink>
      <w:r>
        <w:t xml:space="preserve"> | </w:t>
      </w:r>
      <w:hyperlink r:id="rId160">
        <w:r>
          <w:rPr>
            <w:color w:val="0563C1"/>
            <w:u w:val="single"/>
          </w:rPr>
          <w:t>Full-text access</w:t>
        </w:r>
      </w:hyperlink>
    </w:p>
    <w:p>
      <w:pPr>
        <w:pStyle w:val="Normal"/>
        <w:widowControl/>
        <w:spacing w:after="120"/>
      </w:pPr>
      <w:r>
        <w:t xml:space="preserve"/>
      </w:r>
      <w:r>
        <w:t xml:space="preserve">[V12-2] Organ Procurement and Transplantation Network. Adult MELD Exceptions for Transplant Oncology. HRSA/OPTN. 2025. </w:t>
      </w:r>
      <w:hyperlink r:id="rId161">
        <w:r>
          <w:rPr>
            <w:color w:val="0563C1"/>
            <w:u w:val="single"/>
          </w:rPr>
          <w:t>Source</w:t>
        </w:r>
      </w:hyperlink>
      <w:r>
        <w:t xml:space="preserve"> | </w:t>
      </w:r>
      <w:hyperlink r:id="rId162">
        <w:r>
          <w:rPr>
            <w:color w:val="0563C1"/>
            <w:u w:val="single"/>
          </w:rPr>
          <w:t>Full-text access</w:t>
        </w:r>
      </w:hyperlink>
    </w:p>
    <w:p>
      <w:pPr>
        <w:pStyle w:val="Normal"/>
        <w:widowControl/>
        <w:spacing w:after="120"/>
      </w:pPr>
      <w:r>
        <w:t xml:space="preserve"/>
      </w:r>
      <w:r>
        <w:t xml:space="preserve">[V12-3]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 404(10458):1107-1118. </w:t>
      </w:r>
      <w:hyperlink r:id="rId163">
        <w:r>
          <w:rPr>
            <w:color w:val="0563C1"/>
            <w:u w:val="single"/>
          </w:rPr>
          <w:t>Source</w:t>
        </w:r>
      </w:hyperlink>
      <w:r>
        <w:t xml:space="preserve"> | </w:t>
      </w:r>
      <w:hyperlink r:id="rId164">
        <w:r>
          <w:rPr>
            <w:color w:val="0563C1"/>
            <w:u w:val="single"/>
          </w:rPr>
          <w:t>Full-text access</w:t>
        </w:r>
      </w:hyperlink>
    </w:p>
    <w:p>
      <w:pPr>
        <w:pStyle w:val="Normal"/>
        <w:widowControl/>
        <w:spacing w:after="120"/>
      </w:pPr>
      <w:r>
        <w:t xml:space="preserve"/>
      </w:r>
      <w:r>
        <w:t xml:space="preserve">[V12-4] Bonney, Glenn K; Chew, Claire Alexandra; Lodge, Peter; et al. Liver transplantation for non-resectable colorectal liver metastases: the International Hepato-Pancreato-Biliary Association consensus guidelines. The lancet. Gastroenterology &amp; hepatology. 2021; 6(11):933-946. </w:t>
      </w:r>
      <w:hyperlink r:id="rId165">
        <w:r>
          <w:rPr>
            <w:color w:val="0563C1"/>
            <w:u w:val="single"/>
          </w:rPr>
          <w:t>Source</w:t>
        </w:r>
      </w:hyperlink>
      <w:r>
        <w:t xml:space="preserve"> | </w:t>
      </w:r>
      <w:hyperlink r:id="rId166">
        <w:r>
          <w:rPr>
            <w:color w:val="0563C1"/>
            <w:u w:val="single"/>
          </w:rPr>
          <w:t>Full-text access</w:t>
        </w:r>
      </w:hyperlink>
    </w:p>
    <w:p>
      <w:pPr>
        <w:pStyle w:val="Normal"/>
        <w:widowControl/>
        <w:spacing w:after="120"/>
      </w:pPr>
      <w:r>
        <w:t xml:space="preserve"/>
      </w:r>
      <w:r>
        <w:t xml:space="preserve">[V12-5] Dove, Lorna; Chadha, Ryan M.; Lai, Jennifer C.; et al. AASLD AST Practice Guideline on adult liver transplantation: Candidate evaluation. Hepatology. 2026; 83(6):1609-1645. </w:t>
      </w:r>
      <w:hyperlink r:id="rId167">
        <w:r>
          <w:rPr>
            <w:color w:val="0563C1"/>
            <w:u w:val="single"/>
          </w:rPr>
          <w:t>Source</w:t>
        </w:r>
      </w:hyperlink>
      <w:r>
        <w:t xml:space="preserve"> | </w:t>
      </w:r>
      <w:hyperlink r:id="rId168">
        <w:r>
          <w:rPr>
            <w:color w:val="0563C1"/>
            <w:u w:val="single"/>
          </w:rPr>
          <w:t>Full-text access</w:t>
        </w:r>
      </w:hyperlink>
    </w:p>
    <w:p>
      <w:pPr>
        <w:pStyle w:val="Normal"/>
        <w:widowControl/>
        <w:spacing w:after="120"/>
      </w:pPr>
      <w:r>
        <w:t xml:space="preserve"/>
      </w:r>
      <w:r>
        <w:t xml:space="preserve">[V12-6] Chandra, Pratik; Preston, William; Herbert, Rebecca; et al. Transplant-Eligible Colorectal Liver Metastasis Patients Treated with Hepatic Artery Infusion Pump – A Retrospective Cohort Study. Annals of Surgery. 2026. </w:t>
      </w:r>
      <w:hyperlink r:id="rId169">
        <w:r>
          <w:rPr>
            <w:color w:val="0563C1"/>
            <w:u w:val="single"/>
          </w:rPr>
          <w:t>Source</w:t>
        </w:r>
      </w:hyperlink>
      <w:r>
        <w:t xml:space="preserve"> | </w:t>
      </w:r>
      <w:hyperlink r:id="rId170">
        <w:r>
          <w:rPr>
            <w:color w:val="0563C1"/>
            <w:u w:val="single"/>
          </w:rPr>
          <w:t>Full-text access</w:t>
        </w:r>
      </w:hyperlink>
    </w:p>
    <w:p>
      <w:pPr>
        <w:pStyle w:val="Normal"/>
        <w:widowControl/>
        <w:spacing w:after="120"/>
      </w:pPr>
      <w:r>
        <w:t xml:space="preserve"/>
      </w:r>
      <w:r>
        <w:t xml:space="preserve">[V12-7] Dueland, Svein. Survival Following Liver Transplantation for Patients With Nonresectable Liver-only Colorectal Metastases. Annals of Surgery. 2020; 271(2):212–218. </w:t>
      </w:r>
      <w:hyperlink r:id="rId171">
        <w:r>
          <w:rPr>
            <w:color w:val="0563C1"/>
            <w:u w:val="single"/>
          </w:rPr>
          <w:t>Source</w:t>
        </w:r>
      </w:hyperlink>
      <w:r>
        <w:t xml:space="preserve"> | </w:t>
      </w:r>
      <w:hyperlink r:id="rId172">
        <w:r>
          <w:rPr>
            <w:color w:val="0563C1"/>
            <w:u w:val="single"/>
          </w:rPr>
          <w:t>Full-text access</w:t>
        </w:r>
      </w:hyperlink>
    </w:p>
    <w:p>
      <w:pPr>
        <w:pStyle w:val="Normal"/>
        <w:widowControl/>
        <w:spacing w:after="120"/>
      </w:pPr>
      <w:r>
        <w:t xml:space="preserve"/>
      </w:r>
      <w:r>
        <w:t xml:space="preserve">[V12-8] Dueland, Svein; Smedman, Tor M.; Syversveen, Trygve; et al. Liver Transplantation for Nonresectable Colorectal Liver Metastases: Ten-year Follow-up and Assessment of Curative Rate in the SECA-II Study. Annals of Surgery. 2026. </w:t>
      </w:r>
      <w:hyperlink r:id="rId173">
        <w:r>
          <w:rPr>
            <w:color w:val="0563C1"/>
            <w:u w:val="single"/>
          </w:rPr>
          <w:t>Source</w:t>
        </w:r>
      </w:hyperlink>
      <w:r>
        <w:t xml:space="preserve"> | </w:t>
      </w:r>
      <w:hyperlink r:id="rId174">
        <w:r>
          <w:rPr>
            <w:color w:val="0563C1"/>
            <w:u w:val="single"/>
          </w:rPr>
          <w:t>Full-text access</w:t>
        </w:r>
      </w:hyperlink>
    </w:p>
    <w:p>
      <w:pPr>
        <w:pStyle w:val="Normal"/>
        <w:widowControl/>
        <w:spacing w:after="120"/>
      </w:pPr>
      <w:r>
        <w:t xml:space="preserve"/>
      </w:r>
      <w:r>
        <w:t xml:space="preserve">[V12-9] Bilhim, Tiago; Böning, Georg; Guiu, Boris; et al. CIRSE Standards of Practice on Portal Vein Embolization and Double Vein Embolization/Liver Venous Deprivation. CardioVascular and Interventional Radiology. 2024; 47(8):1025-1036. </w:t>
      </w:r>
      <w:hyperlink r:id="rId175">
        <w:r>
          <w:rPr>
            <w:color w:val="0563C1"/>
            <w:u w:val="single"/>
          </w:rPr>
          <w:t>Source</w:t>
        </w:r>
      </w:hyperlink>
      <w:r>
        <w:t xml:space="preserve"> | </w:t>
      </w:r>
      <w:hyperlink r:id="rId176">
        <w:r>
          <w:rPr>
            <w:color w:val="0563C1"/>
            <w:u w:val="single"/>
          </w:rPr>
          <w:t>Full-text access</w:t>
        </w:r>
      </w:hyperlink>
    </w:p>
    <w:p>
      <w:pPr>
        <w:pStyle w:val="Normal"/>
        <w:widowControl/>
        <w:spacing w:after="120"/>
      </w:pPr>
      <w:r>
        <w:t xml:space="preserve"/>
      </w:r>
      <w:r>
        <w:t xml:space="preserve">[V12-10] Chávez-Villa, Mariana; Ruffolo, Luis I.; Al-Judaibi, Bandar M.; et al. The High Incidence of Occult Carcinoma in Total Hepatectomy Specimens of Patients Treated for Unresectable Colorectal Liver Metastases With Liver Transplant. Annals of Surgery. 2023; 278(5):e1026-e1034. </w:t>
      </w:r>
      <w:hyperlink r:id="rId177">
        <w:r>
          <w:rPr>
            <w:color w:val="0563C1"/>
            <w:u w:val="single"/>
          </w:rPr>
          <w:t>Source</w:t>
        </w:r>
      </w:hyperlink>
      <w:r>
        <w:t xml:space="preserve"> | </w:t>
      </w:r>
      <w:hyperlink r:id="rId178">
        <w:r>
          <w:rPr>
            <w:color w:val="0563C1"/>
            <w:u w:val="single"/>
          </w:rPr>
          <w:t>Full-text access</w:t>
        </w:r>
      </w:hyperlink>
    </w:p>
    <w:p>
      <w:pPr>
        <w:pStyle w:val="Normal"/>
        <w:widowControl/>
        <w:spacing w:after="120"/>
      </w:pPr>
      <w:r>
        <w:t xml:space="preserve"/>
      </w:r>
      <w:r>
        <w:t xml:space="preserve">[V12-11] Kataoka, Kozo; Mauer, Murielle; Shiozawa, Manabu; et al. Diagnostic Accuracy of Imaging in Assessing Nonviability of Disappearing Colorectal Liver Metastasis. JAMA Surgery. 2025. </w:t>
      </w:r>
      <w:hyperlink r:id="rId179">
        <w:r>
          <w:rPr>
            <w:color w:val="0563C1"/>
            <w:u w:val="single"/>
          </w:rPr>
          <w:t>Source</w:t>
        </w:r>
      </w:hyperlink>
      <w:r>
        <w:t xml:space="preserve"> | </w:t>
      </w:r>
      <w:hyperlink r:id="rId180">
        <w:r>
          <w:rPr>
            <w:color w:val="0563C1"/>
            <w:u w:val="single"/>
          </w:rPr>
          <w:t>Full-text access</w:t>
        </w:r>
      </w:hyperlink>
    </w:p>
    <w:p>
      <w:pPr>
        <w:pStyle w:val="Normal"/>
        <w:widowControl/>
        <w:spacing w:after="120"/>
      </w:pPr>
      <w:r>
        <w:t xml:space="preserve"/>
      </w:r>
      <w:r>
        <w:t xml:space="preserve">[V12-12] Oba, Atsushi; Mise, Yoshihiro; Ito, Hiromichi; et al. Clinical implications of disappearing colorectal liver metastases have changed in the era of hepatocyte-specific MRI and contrast-enhanced intraoperative ultrasonography. HPB. 2018; 20(8):708-714. </w:t>
      </w:r>
      <w:hyperlink r:id="rId181">
        <w:r>
          <w:rPr>
            <w:color w:val="0563C1"/>
            <w:u w:val="single"/>
          </w:rPr>
          <w:t>Source</w:t>
        </w:r>
      </w:hyperlink>
      <w:r>
        <w:t xml:space="preserve"> | </w:t>
      </w:r>
      <w:hyperlink r:id="rId182">
        <w:r>
          <w:rPr>
            <w:color w:val="0563C1"/>
            <w:u w:val="single"/>
          </w:rPr>
          <w:t>Full-text access</w:t>
        </w:r>
      </w:hyperlink>
    </w:p>
    <w:p>
      <w:pPr>
        <w:pStyle w:val="Normal"/>
        <w:widowControl/>
        <w:spacing w:after="120"/>
      </w:pPr>
      <w:r>
        <w:t xml:space="preserve"/>
      </w:r>
      <w:r>
        <w:t xml:space="preserve">[V12-13] Wehrle, Chase J; Fujiki, Masato; Schlegel, Andrea; et al. Intensive locoregional therapy before liver transplantation for colorectal cancer liver metastasis: A novel pretransplant protocol. Liver transplantation : official publication of the American Association for the Study of Liver Diseases and the International Liver Transplantation Society. 2024; 30(12):1238-1249. </w:t>
      </w:r>
      <w:hyperlink r:id="rId183">
        <w:r>
          <w:rPr>
            <w:color w:val="0563C1"/>
            <w:u w:val="single"/>
          </w:rPr>
          <w:t>Source</w:t>
        </w:r>
      </w:hyperlink>
      <w:r>
        <w:t xml:space="preserve"> | </w:t>
      </w:r>
      <w:hyperlink r:id="rId184">
        <w:r>
          <w:rPr>
            <w:color w:val="0563C1"/>
            <w:u w:val="single"/>
          </w:rPr>
          <w:t>Full-text access</w:t>
        </w:r>
      </w:hyperlink>
    </w:p>
    <w:p>
      <w:pPr>
        <w:pStyle w:val="Normal"/>
        <w:widowControl/>
        <w:spacing w:after="120"/>
      </w:pPr>
      <w:r>
        <w:t xml:space="preserve"/>
      </w:r>
      <w:r>
        <w:t xml:space="preserve">[V12-14] Smedman, T M; Line, P-D; Hagness, M; et al. Liver transplantation for unresectable colorectal liver metastases in patients and donors with extended criteria (SECA-II arm D study). BJS open. 2020; 4(3):467-477. </w:t>
      </w:r>
      <w:hyperlink r:id="rId185">
        <w:r>
          <w:rPr>
            <w:color w:val="0563C1"/>
            <w:u w:val="single"/>
          </w:rPr>
          <w:t>Source</w:t>
        </w:r>
      </w:hyperlink>
      <w:r>
        <w:t xml:space="preserve"> | </w:t>
      </w:r>
      <w:hyperlink r:id="rId186">
        <w:r>
          <w:rPr>
            <w:color w:val="0563C1"/>
            <w:u w:val="single"/>
          </w:rPr>
          <w:t>Full-text access</w:t>
        </w:r>
      </w:hyperlink>
    </w:p>
    <w:p>
      <w:pPr>
        <w:pStyle w:val="Normal"/>
        <w:widowControl/>
        <w:spacing w:after="120"/>
      </w:pPr>
      <w:r>
        <w:t xml:space="preserve"/>
      </w:r>
      <w:r>
        <w:t xml:space="preserve">[V12-15] Grut, Harald; Line, Pål-Dag; Syversveen, Trygve; et al. Metabolic tumor volume predicts long-term survival after transplantation for unresectable colorectal liver metastases: 15 years of experience from the SECA study. Annals of nuclear medicine. 2022; 36(12):1073-1081. </w:t>
      </w:r>
      <w:hyperlink r:id="rId187">
        <w:r>
          <w:rPr>
            <w:color w:val="0563C1"/>
            <w:u w:val="single"/>
          </w:rPr>
          <w:t>Source</w:t>
        </w:r>
      </w:hyperlink>
      <w:r>
        <w:t xml:space="preserve"> | </w:t>
      </w:r>
      <w:hyperlink r:id="rId188">
        <w:r>
          <w:rPr>
            <w:color w:val="0563C1"/>
            <w:u w:val="single"/>
          </w:rPr>
          <w:t>Full-text access</w:t>
        </w:r>
      </w:hyperlink>
    </w:p>
    <w:p>
      <w:pPr>
        <w:pStyle w:val="Normal"/>
        <w:widowControl/>
        <w:spacing w:after="120"/>
      </w:pPr>
      <w:r>
        <w:t xml:space="preserve"/>
      </w:r>
      <w:r>
        <w:t xml:space="preserve">[V12-16] Wehrle, Chase J; Chávez-Villa, Mariana; Byrne, Matthew; et al. Pretransplant metabolic tumor volume predicts recurrence following liver transplantation for colorectal metastasis: A multicenter study. Liver transplantation : official publication of the American Association for the Study of Liver Diseases and the International Liver Transplantation Society. 2025; 31(3):298-310. </w:t>
      </w:r>
      <w:hyperlink r:id="rId189">
        <w:r>
          <w:rPr>
            <w:color w:val="0563C1"/>
            <w:u w:val="single"/>
          </w:rPr>
          <w:t>Source</w:t>
        </w:r>
      </w:hyperlink>
      <w:r>
        <w:t xml:space="preserve"> | </w:t>
      </w:r>
      <w:hyperlink r:id="rId190">
        <w:r>
          <w:rPr>
            <w:color w:val="0563C1"/>
            <w:u w:val="single"/>
          </w:rPr>
          <w:t>Full-text access</w:t>
        </w:r>
      </w:hyperlink>
    </w:p>
    <w:p>
      <w:pPr>
        <w:pStyle w:val="Normal"/>
        <w:widowControl/>
        <w:spacing w:after="120"/>
      </w:pPr>
      <w:r>
        <w:t xml:space="preserve"/>
      </w:r>
      <w:r>
        <w:t xml:space="preserve">[V12-17] Wehrle, Chase J; Raj, Roma; Aykun, Nihal; et al. Circulating Tumor DNA in Colorectal Cancer Liver Metastasis: Analysis of Patients Receiving Liver Resection and Transplant. JCO clinical cancer informatics. 2023; 7:e2300111. </w:t>
      </w:r>
      <w:hyperlink r:id="rId191">
        <w:r>
          <w:rPr>
            <w:color w:val="0563C1"/>
            <w:u w:val="single"/>
          </w:rPr>
          <w:t>Source</w:t>
        </w:r>
      </w:hyperlink>
      <w:r>
        <w:t xml:space="preserve"> | </w:t>
      </w:r>
      <w:hyperlink r:id="rId192">
        <w:r>
          <w:rPr>
            <w:color w:val="0563C1"/>
            <w:u w:val="single"/>
          </w:rPr>
          <w:t>Full-text access</w:t>
        </w:r>
      </w:hyperlink>
    </w:p>
    <w:p>
      <w:pPr>
        <w:pStyle w:val="Normal"/>
        <w:widowControl/>
        <w:spacing w:after="120"/>
      </w:pPr>
      <w:r>
        <w:t xml:space="preserve"/>
      </w:r>
      <w:r>
        <w:t xml:space="preserve">[V12-18] Adam, René; Badrudin, David; Chiche, Laurence; et al. Safety and feasibility of chemotherapy followed by liver transplantation for patients with definitely unresectable colorectal liver metastases: insights from the TransMet randomised clinical trial. eClinicalMedicine. 2024; 72:102608. </w:t>
      </w:r>
      <w:hyperlink r:id="rId193">
        <w:r>
          <w:rPr>
            <w:color w:val="0563C1"/>
            <w:u w:val="single"/>
          </w:rPr>
          <w:t>Source</w:t>
        </w:r>
      </w:hyperlink>
      <w:r>
        <w:t xml:space="preserve"> | </w:t>
      </w:r>
      <w:hyperlink r:id="rId194">
        <w:r>
          <w:rPr>
            <w:color w:val="0563C1"/>
            <w:u w:val="single"/>
          </w:rPr>
          <w:t>Full-text access</w:t>
        </w:r>
      </w:hyperlink>
    </w:p>
    <w:p>
      <w:pPr>
        <w:pStyle w:val="Normal"/>
        <w:widowControl/>
        <w:spacing w:after="120"/>
      </w:pPr>
      <w:r>
        <w:t xml:space="preserve"/>
      </w:r>
      <w:r>
        <w:t xml:space="preserve">[V12-19] Rezaee-Zavareh, Mohammad Saeid; Yeo, Yee Hui; Wang, Tielong; et al. Impact of pre-transplant immune checkpoint inhibitor use on post-transplant outcomes in HCC: A systematic review and individual patient data meta-analysis. Journal of Hepatology. 2025; 82(1):107-119. </w:t>
      </w:r>
      <w:hyperlink r:id="rId195">
        <w:r>
          <w:rPr>
            <w:color w:val="0563C1"/>
            <w:u w:val="single"/>
          </w:rPr>
          <w:t>Source</w:t>
        </w:r>
      </w:hyperlink>
      <w:r>
        <w:t xml:space="preserve"> | </w:t>
      </w:r>
      <w:hyperlink r:id="rId196">
        <w:r>
          <w:rPr>
            <w:color w:val="0563C1"/>
            <w:u w:val="single"/>
          </w:rPr>
          <w:t>Full-text access</w:t>
        </w:r>
      </w:hyperlink>
    </w:p>
    <w:p>
      <w:pPr>
        <w:pStyle w:val="Normal"/>
        <w:widowControl/>
        <w:spacing w:after="120"/>
      </w:pPr>
      <w:r>
        <w:t xml:space="preserve"/>
      </w:r>
      <w:r>
        <w:t xml:space="preserve">[V12-20] Kelly, Morgan E.; Truby, Tianna M.; Lai, Jennifer C.; et al. Three Decades of Living Liver Donor Outcomes: A National Cohort Analysis of Patterns in Mortality and Recovery. Journal of Transplantation. 2026; 2026(1):2545887. </w:t>
      </w:r>
      <w:hyperlink r:id="rId197">
        <w:r>
          <w:rPr>
            <w:color w:val="0563C1"/>
            <w:u w:val="single"/>
          </w:rPr>
          <w:t>Source</w:t>
        </w:r>
      </w:hyperlink>
      <w:r>
        <w:t xml:space="preserve"> | </w:t>
      </w:r>
      <w:hyperlink r:id="rId198">
        <w:r>
          <w:rPr>
            <w:color w:val="0563C1"/>
            <w:u w:val="single"/>
          </w:rPr>
          <w:t>Full-text access</w:t>
        </w:r>
      </w:hyperlink>
    </w:p>
    <w:p>
      <w:pPr>
        <w:pStyle w:val="Normal"/>
        <w:widowControl/>
        <w:spacing w:after="120"/>
      </w:pPr>
      <w:r>
        <w:t xml:space="preserve"/>
      </w:r>
      <w:r>
        <w:t xml:space="preserve">[V12-21] US Department of Health and Human Services. 45 CFR 46.111: Criteria for IRB approval of research. . 2018. </w:t>
      </w:r>
      <w:hyperlink r:id="rId199">
        <w:r>
          <w:rPr>
            <w:color w:val="0563C1"/>
            <w:u w:val="single"/>
          </w:rPr>
          <w:t>Source</w:t>
        </w:r>
      </w:hyperlink>
      <w:r>
        <w:t xml:space="preserve"> | Local PDF not available in this update</w:t>
      </w:r>
    </w:p>
    <w:p>
      <w:pPr>
        <w:pStyle w:val="Normal"/>
        <w:widowControl/>
        <w:spacing w:after="120"/>
      </w:pPr>
      <w:r>
        <w:t xml:space="preserve"/>
      </w:r>
      <w:r>
        <w:t xml:space="preserve">[V12-22] OPTN Ethics Committee. Ethical Principles in the Allocation of Human Organs. . 2015. </w:t>
      </w:r>
      <w:hyperlink r:id="rId200">
        <w:r>
          <w:rPr>
            <w:color w:val="0563C1"/>
            <w:u w:val="single"/>
          </w:rPr>
          <w:t>Source</w:t>
        </w:r>
      </w:hyperlink>
      <w:r>
        <w:t xml:space="preserve"> | Local PDF not available in this update</w:t>
      </w:r>
    </w:p>
    <w:p>
      <w:pPr>
        <w:pStyle w:val="Normal"/>
        <w:widowControl/>
        <w:spacing w:after="120"/>
      </w:pPr>
      <w:r>
        <w:t xml:space="preserve"/>
      </w:r>
      <w:r>
        <w:t xml:space="preserve">[V12-23] Llovet, Josep M; Mauro, Ezequiel; Rimassa, Lorenza; et al. Trial design and end points in hepatocellular carcinoma: an EASL-AASLD-ILCA consensus statement. Nature reviews. Clinical oncology. 2026; 23(8):619-647. </w:t>
      </w:r>
      <w:hyperlink r:id="rId201">
        <w:r>
          <w:rPr>
            <w:color w:val="0563C1"/>
            <w:u w:val="single"/>
          </w:rPr>
          <w:t>Source</w:t>
        </w:r>
      </w:hyperlink>
      <w:r>
        <w:t xml:space="preserve"> | </w:t>
      </w:r>
      <w:hyperlink r:id="rId202">
        <w:r>
          <w:rPr>
            <w:color w:val="0563C1"/>
            <w:u w:val="single"/>
          </w:rPr>
          <w:t>Full-text access</w:t>
        </w:r>
      </w:hyperlink>
    </w:p>
    <w:p>
      <w:pPr>
        <w:pStyle w:val="Normal"/>
        <w:widowControl/>
        <w:spacing w:after="120"/>
      </w:pPr>
      <w:r>
        <w:t xml:space="preserve"/>
      </w:r>
      <w:r>
        <w:t xml:space="preserve">[V12-24] Mazzaferro, Vincenzo; Citterio, Davide; Bhoori, Sherrie; et al. Liver transplantation in hepatocellular carcinoma after tumour downstaging (XXL): a randomised, controlled, phase 2b/3 trial. The Lancet Oncology. 2020; 21(7):947-956. </w:t>
      </w:r>
      <w:hyperlink r:id="rId203">
        <w:r>
          <w:rPr>
            <w:color w:val="0563C1"/>
            <w:u w:val="single"/>
          </w:rPr>
          <w:t>Source</w:t>
        </w:r>
      </w:hyperlink>
      <w:r>
        <w:t xml:space="preserve"> | </w:t>
      </w:r>
      <w:hyperlink r:id="rId204">
        <w:r>
          <w:rPr>
            <w:color w:val="0563C1"/>
            <w:u w:val="single"/>
          </w:rPr>
          <w:t>Full-text access</w:t>
        </w:r>
      </w:hyperlink>
    </w:p>
    <w:p>
      <w:pPr>
        <w:pStyle w:val="Normal"/>
        <w:widowControl/>
        <w:spacing w:after="120"/>
      </w:pPr>
      <w:r>
        <w:t xml:space="preserve"/>
      </w:r>
      <w:r>
        <w:t xml:space="preserve">[V12-25] Allen, Elisa; Taylor, Rhiannon; Gimson, Alexander; et al. Transplant benefit-based offering of deceased donor livers in the United Kingdom. Journal of Hepatology. 2024; 81(3):471-478. </w:t>
      </w:r>
      <w:hyperlink r:id="rId205">
        <w:r>
          <w:rPr>
            <w:color w:val="0563C1"/>
            <w:u w:val="single"/>
          </w:rPr>
          <w:t>Source</w:t>
        </w:r>
      </w:hyperlink>
      <w:r>
        <w:t xml:space="preserve"> | </w:t>
      </w:r>
      <w:hyperlink r:id="rId206">
        <w:r>
          <w:rPr>
            <w:color w:val="0563C1"/>
            <w:u w:val="single"/>
          </w:rPr>
          <w:t>Full-text access</w:t>
        </w:r>
      </w:hyperlink>
    </w:p>
    <w:p>
      <w:pPr>
        <w:pStyle w:val="Normal"/>
        <w:widowControl/>
        <w:spacing w:after="120"/>
      </w:pPr>
      <w:r>
        <w:t xml:space="preserve"/>
      </w:r>
      <w:r>
        <w:t xml:space="preserve">[V12-26] Abecassis, M.M.; Fisher, R.A.; Olthoff, K.M.; et al. Complications of Living Donor Hepatic Lobectomy—A Comprehensive Report. American Journal of Transplantation. 2012; 12(5):1208-1217. </w:t>
      </w:r>
      <w:hyperlink r:id="rId207">
        <w:r>
          <w:rPr>
            <w:color w:val="0563C1"/>
            <w:u w:val="single"/>
          </w:rPr>
          <w:t>Source</w:t>
        </w:r>
      </w:hyperlink>
      <w:r>
        <w:t xml:space="preserve"> | </w:t>
      </w:r>
      <w:hyperlink r:id="rId208">
        <w:r>
          <w:rPr>
            <w:color w:val="0563C1"/>
            <w:u w:val="single"/>
          </w:rPr>
          <w:t>Full-text access</w:t>
        </w:r>
      </w:hyperlink>
    </w:p>
    <w:p>
      <w:pPr>
        <w:pStyle w:val="Normal"/>
        <w:widowControl/>
        <w:spacing w:after="120"/>
      </w:pPr>
      <w:r>
        <w:t xml:space="preserve"/>
      </w:r>
      <w:r>
        <w:t xml:space="preserve">[V12-27] DiMartini, A.; Dew, M.A.; Liu, Q.; et al. Social and Financial Outcomes of Living Liver Donation: A Prospective Investigation Within the Adult-to-Adult Living Donor Liver Transplantation Cohort Study 2 (A2ALL-2). American Journal of Transplantation. 2017; 17(4):1081-1096. </w:t>
      </w:r>
      <w:hyperlink r:id="rId209">
        <w:r>
          <w:rPr>
            <w:color w:val="0563C1"/>
            <w:u w:val="single"/>
          </w:rPr>
          <w:t>Source</w:t>
        </w:r>
      </w:hyperlink>
      <w:r>
        <w:t xml:space="preserve"> | </w:t>
      </w:r>
      <w:hyperlink r:id="rId210">
        <w:r>
          <w:rPr>
            <w:color w:val="0563C1"/>
            <w:u w:val="single"/>
          </w:rPr>
          <w:t>Full-text access</w:t>
        </w:r>
      </w:hyperlink>
    </w:p>
    <w:p>
      <w:pPr>
        <w:pStyle w:val="Normal"/>
        <w:widowControl/>
        <w:spacing w:after="120"/>
      </w:pPr>
      <w:r>
        <w:t xml:space="preserve"/>
      </w:r>
      <w:r>
        <w:t xml:space="preserve">[V12-28] Xiao, Jieling; Zeng, Rebecca Wenling; Lim, Wen Hui; et al. The incidence of adverse outcome in donors after living donor liver transplantation: A meta-analysis of 60,829 donors. Liver Transplantation. 2024; 30(5):493-504. </w:t>
      </w:r>
      <w:hyperlink r:id="rId211">
        <w:r>
          <w:rPr>
            <w:color w:val="0563C1"/>
            <w:u w:val="single"/>
          </w:rPr>
          <w:t>Source</w:t>
        </w:r>
      </w:hyperlink>
      <w:r>
        <w:t xml:space="preserve"> | </w:t>
      </w:r>
      <w:hyperlink r:id="rId212">
        <w:r>
          <w:rPr>
            <w:color w:val="0563C1"/>
            <w:u w:val="single"/>
          </w:rPr>
          <w:t>Full-text access</w:t>
        </w:r>
      </w:hyperlink>
    </w:p>
    <w:p>
      <w:pPr>
        <w:pStyle w:val="Normal"/>
        <w:widowControl/>
        <w:spacing w:after="120"/>
      </w:pPr>
      <w:r>
        <w:t xml:space="preserve"/>
      </w:r>
      <w:r>
        <w:t xml:space="preserve">[V12-29] Eldridge, Sandra M; Chan, Claire L; Campbell, Michael J; et al. CONSORT 2010 statement: extension to randomised pilot and feasibility trials. BMJ. 2016; :i5239. </w:t>
      </w:r>
      <w:hyperlink r:id="rId213">
        <w:r>
          <w:rPr>
            <w:color w:val="0563C1"/>
            <w:u w:val="single"/>
          </w:rPr>
          <w:t>Source</w:t>
        </w:r>
      </w:hyperlink>
      <w:r>
        <w:t xml:space="preserve"> | </w:t>
      </w:r>
      <w:hyperlink r:id="rId214">
        <w:r>
          <w:rPr>
            <w:color w:val="0563C1"/>
            <w:u w:val="single"/>
          </w:rPr>
          <w:t>Full-text access</w:t>
        </w:r>
      </w:hyperlink>
    </w:p>
    <w:p>
      <w:pPr>
        <w:pStyle w:val="Normal"/>
        <w:widowControl/>
        <w:spacing w:after="120"/>
      </w:pPr>
      <w:r>
        <w:t xml:space="preserve"/>
      </w:r>
      <w:r>
        <w:t xml:space="preserve">[V12-30] Maspero, Marianna; Sposito, Carlo; Bongini, Marco A; et al. Liver Transplantation for Intrahepatic Cholangiocarcinoma After Chemotherapy and Radioembolization: An Intention-To-Treat Study. Transplant international : official journal of the European Society for Organ Transplantation. 2024; 37:13641. </w:t>
      </w:r>
      <w:hyperlink r:id="rId215">
        <w:r>
          <w:rPr>
            <w:color w:val="0563C1"/>
            <w:u w:val="single"/>
          </w:rPr>
          <w:t>Source</w:t>
        </w:r>
      </w:hyperlink>
      <w:r>
        <w:t xml:space="preserve"> | </w:t>
      </w:r>
      <w:hyperlink r:id="rId216">
        <w:r>
          <w:rPr>
            <w:color w:val="0563C1"/>
            <w:u w:val="single"/>
          </w:rPr>
          <w:t>Full-text access</w:t>
        </w:r>
      </w:hyperlink>
    </w:p>
    <w:p>
      <w:pPr>
        <w:pStyle w:val="Normal"/>
        <w:widowControl/>
        <w:spacing w:after="120"/>
      </w:pPr>
      <w:r>
        <w:t xml:space="preserve"/>
      </w:r>
      <w:r>
        <w:t xml:space="preserve">[V12-31] Yaqub, Sheraz; Busund, Sondre; Smedman, Tor Magnus; et al. Liver transplantation for locally advanced non-resectable intrahepatic cholangiocarcinoma treated with neoadjuvant therapy: early results from the TESLA trial. British Journal of Surgery. 2025. </w:t>
      </w:r>
      <w:hyperlink r:id="rId217">
        <w:r>
          <w:rPr>
            <w:color w:val="0563C1"/>
            <w:u w:val="single"/>
          </w:rPr>
          <w:t>Source</w:t>
        </w:r>
      </w:hyperlink>
      <w:r>
        <w:t xml:space="preserve"> | </w:t>
      </w:r>
      <w:hyperlink r:id="rId218">
        <w:r>
          <w:rPr>
            <w:color w:val="0563C1"/>
            <w:u w:val="single"/>
          </w:rPr>
          <w:t>Full-text access</w:t>
        </w:r>
      </w:hyperlink>
    </w:p>
    <w:p>
      <w:pPr>
        <w:pStyle w:val="Normal"/>
        <w:widowControl/>
        <w:spacing w:after="120"/>
      </w:pPr>
      <w:r>
        <w:t xml:space="preserve"/>
      </w:r>
      <w:r>
        <w:t xml:space="preserve">[V12-32] Strickler JH; Cercek A; Siena S; et al. Tucatinib plus trastuzumab for chemotherapy-refractory, HER2 + , RAS wild-type metastatic colorectal cancer (MOUNTAINEER): final analysis.. Nature communications. 2026; 17(1):1068. </w:t>
      </w:r>
      <w:hyperlink r:id="rId219">
        <w:r>
          <w:rPr>
            <w:color w:val="0563C1"/>
            <w:u w:val="single"/>
          </w:rPr>
          <w:t>Source</w:t>
        </w:r>
      </w:hyperlink>
      <w:r>
        <w:t xml:space="preserve"> | </w:t>
      </w:r>
      <w:hyperlink r:id="rId220">
        <w:r>
          <w:rPr>
            <w:color w:val="0563C1"/>
            <w:u w:val="single"/>
          </w:rPr>
          <w:t>Full-text access</w:t>
        </w:r>
      </w:hyperlink>
    </w:p>
    <w:p>
      <w:pPr>
        <w:pStyle w:val="Normal"/>
        <w:widowControl/>
        <w:spacing w:after="120"/>
      </w:pPr>
      <w:r>
        <w:t xml:space="preserve"/>
      </w:r>
      <w:r>
        <w:t xml:space="preserve">[V12-33] Prager GW; Taieb J; Fakih M; et al. Trifluridine-Tipiracil and Bevacizumab in Refractory Metastatic Colorectal Cancer.. The New England journal of medicine. 2023; 388(18):1657-1667. </w:t>
      </w:r>
      <w:hyperlink r:id="rId221">
        <w:r>
          <w:rPr>
            <w:color w:val="0563C1"/>
            <w:u w:val="single"/>
          </w:rPr>
          <w:t>Source</w:t>
        </w:r>
      </w:hyperlink>
      <w:r>
        <w:t xml:space="preserve"> | </w:t>
      </w:r>
      <w:hyperlink r:id="rId222">
        <w:r>
          <w:rPr>
            <w:color w:val="0563C1"/>
            <w:u w:val="single"/>
          </w:rPr>
          <w:t>Full-text access</w:t>
        </w:r>
      </w:hyperlink>
    </w:p>
    <w:p>
      <w:pPr>
        <w:pStyle w:val="Normal"/>
        <w:widowControl/>
        <w:spacing w:after="120"/>
      </w:pPr>
      <w:r>
        <w:t xml:space="preserve"/>
      </w:r>
      <w:r>
        <w:t xml:space="preserve">[V12-34] Dasari A; Lonardi S; Garcia-Carbonero R; et al. Fruquintinib versus placebo in patients with refractory metastatic colorectal cancer (FRESCO-2): an international, multicentre, randomised, double-blind, phase 3 study.. Lancet (London, England). 2023; 402(10395):41-53. </w:t>
      </w:r>
      <w:hyperlink r:id="rId223">
        <w:r>
          <w:rPr>
            <w:color w:val="0563C1"/>
            <w:u w:val="single"/>
          </w:rPr>
          <w:t>Source</w:t>
        </w:r>
      </w:hyperlink>
      <w:r>
        <w:t xml:space="preserve"> | </w:t>
      </w:r>
      <w:hyperlink r:id="rId224">
        <w:r>
          <w:rPr>
            <w:color w:val="0563C1"/>
            <w:u w:val="single"/>
          </w:rPr>
          <w:t>Full-text access</w:t>
        </w:r>
      </w:hyperlink>
      <w:r>
        <w:fldChar w:fldCharType="end"/>
      </w:r>
    </w:p>
    <w:p>
      <w:pPr>
        <w:rPr>
          <w:color w:val="A8470A"/>
        </w:rPr>
        <w:pStyle w:val="Heading1"/>
        <w:widowControl/>
        <w:keepNext/>
      </w:pPr>
      <w:r>
        <w:rPr>
          <w:color w:val="A8470A"/>
        </w:rPr>
        <w:t xml:space="preserve">Revision history</w:t>
      </w:r>
    </w:p>
    <w:p>
      <w:pPr>
        <w:pStyle w:val="Normal"/>
        <w:widowControl/>
        <w:spacing w:after="120"/>
      </w:pPr>
      <w:r>
        <w:t xml:space="preserve">2026-10-25 04:38 CDT. Problem and correction: Integrate CRLM full-text findings at the treatment/selection interface. Separate systemic cancer control from transplant eligibility and allocation. Do not infer new transplant eligibility from these regimen studies.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sectPr w:rsidR="00584615">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731EE2"/>
    <w:multiLevelType w:val="hybridMultilevel"/>
    <w:tmpl w:val="F5404430"/>
    <w:lvl w:ilvl="0" w:tplc="4E52252A">
      <w:start w:val="1"/>
      <w:numFmt w:val="decimal"/>
      <w:lvlText w:val="%1."/>
      <w:lvlJc w:val="left"/>
      <w:pPr>
        <w:spacing w:before="0" w:after="0"/>
        <w:ind w:left="720" w:hanging="360"/>
      </w:pPr>
    </w:lvl>
    <w:lvl w:ilvl="1" w:tplc="4782C134">
      <w:numFmt w:val="decimal"/>
      <w:lvlText w:val=""/>
      <w:lvlJc w:val="left"/>
    </w:lvl>
    <w:lvl w:ilvl="2" w:tplc="8C7E5D8A">
      <w:numFmt w:val="decimal"/>
      <w:lvlText w:val=""/>
      <w:lvlJc w:val="left"/>
    </w:lvl>
    <w:lvl w:ilvl="3" w:tplc="D436A04C">
      <w:numFmt w:val="decimal"/>
      <w:lvlText w:val=""/>
      <w:lvlJc w:val="left"/>
    </w:lvl>
    <w:lvl w:ilvl="4" w:tplc="21A04742">
      <w:numFmt w:val="decimal"/>
      <w:lvlText w:val=""/>
      <w:lvlJc w:val="left"/>
    </w:lvl>
    <w:lvl w:ilvl="5" w:tplc="237CD40A">
      <w:numFmt w:val="decimal"/>
      <w:lvlText w:val=""/>
      <w:lvlJc w:val="left"/>
    </w:lvl>
    <w:lvl w:ilvl="6" w:tplc="2E585434">
      <w:numFmt w:val="decimal"/>
      <w:lvlText w:val=""/>
      <w:lvlJc w:val="left"/>
    </w:lvl>
    <w:lvl w:ilvl="7" w:tplc="C99275CC">
      <w:numFmt w:val="decimal"/>
      <w:lvlText w:val=""/>
      <w:lvlJc w:val="left"/>
    </w:lvl>
    <w:lvl w:ilvl="8" w:tplc="ADA29F54">
      <w:numFmt w:val="decimal"/>
      <w:lvlText w:val=""/>
      <w:lvlJc w:val="left"/>
    </w:lvl>
  </w:abstractNum>
  <w:abstractNum w:abstractNumId="1" w15:restartNumberingAfterBreak="0">
    <w:nsid w:val="2F825611"/>
    <w:multiLevelType w:val="hybridMultilevel"/>
    <w:tmpl w:val="2CD08502"/>
    <w:lvl w:ilvl="0" w:tplc="1C741052">
      <w:start w:val="1"/>
      <w:numFmt w:val="bullet"/>
      <w:lvlText w:val="●"/>
      <w:lvlJc w:val="left"/>
      <w:pPr>
        <w:ind w:left="720" w:hanging="360"/>
      </w:pPr>
    </w:lvl>
    <w:lvl w:ilvl="1" w:tplc="66D21AB8">
      <w:start w:val="1"/>
      <w:numFmt w:val="bullet"/>
      <w:lvlText w:val="○"/>
      <w:lvlJc w:val="left"/>
      <w:pPr>
        <w:ind w:left="1440" w:hanging="360"/>
      </w:pPr>
    </w:lvl>
    <w:lvl w:ilvl="2" w:tplc="703A0068">
      <w:start w:val="1"/>
      <w:numFmt w:val="bullet"/>
      <w:lvlText w:val="■"/>
      <w:lvlJc w:val="left"/>
      <w:pPr>
        <w:ind w:left="2160" w:hanging="360"/>
      </w:pPr>
    </w:lvl>
    <w:lvl w:ilvl="3" w:tplc="02281D6E">
      <w:start w:val="1"/>
      <w:numFmt w:val="bullet"/>
      <w:lvlText w:val="●"/>
      <w:lvlJc w:val="left"/>
      <w:pPr>
        <w:ind w:left="2880" w:hanging="360"/>
      </w:pPr>
    </w:lvl>
    <w:lvl w:ilvl="4" w:tplc="66D6AA06">
      <w:start w:val="1"/>
      <w:numFmt w:val="bullet"/>
      <w:lvlText w:val="○"/>
      <w:lvlJc w:val="left"/>
      <w:pPr>
        <w:ind w:left="3600" w:hanging="360"/>
      </w:pPr>
    </w:lvl>
    <w:lvl w:ilvl="5" w:tplc="15C4676A">
      <w:start w:val="1"/>
      <w:numFmt w:val="bullet"/>
      <w:lvlText w:val="■"/>
      <w:lvlJc w:val="left"/>
      <w:pPr>
        <w:ind w:left="4320" w:hanging="360"/>
      </w:pPr>
    </w:lvl>
    <w:lvl w:ilvl="6" w:tplc="A9268944">
      <w:start w:val="1"/>
      <w:numFmt w:val="bullet"/>
      <w:lvlText w:val="●"/>
      <w:lvlJc w:val="left"/>
      <w:pPr>
        <w:ind w:left="5040" w:hanging="360"/>
      </w:pPr>
    </w:lvl>
    <w:lvl w:ilvl="7" w:tplc="59A46504">
      <w:start w:val="1"/>
      <w:numFmt w:val="bullet"/>
      <w:lvlText w:val="●"/>
      <w:lvlJc w:val="left"/>
      <w:pPr>
        <w:ind w:left="5760" w:hanging="360"/>
      </w:pPr>
    </w:lvl>
    <w:lvl w:ilvl="8" w:tplc="D62ABFF0">
      <w:start w:val="1"/>
      <w:numFmt w:val="bullet"/>
      <w:lvlText w:val="●"/>
      <w:lvlJc w:val="left"/>
      <w:pPr>
        <w:ind w:left="6480" w:hanging="360"/>
      </w:pPr>
    </w:lvl>
  </w:abstractNum>
  <w:num w:numId="1" w16cid:durableId="469636105">
    <w:abstractNumId w:val="1"/>
    <w:lvlOverride w:ilvl="0">
      <w:startOverride w:val="1"/>
    </w:lvlOverride>
  </w:num>
  <w:num w:numId="2" w16cid:durableId="1594389239">
    <w:abstractNumId w:val="0"/>
    <w:lvlOverride w:ilvl="0">
      <w:startOverride w:val="1"/>
    </w:lvlOverride>
  </w:num>
  <w:abstractNum w:abstractNumId="2">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2"/>
  </w:num>
  <w:abstractNum w:abstractNumId="3">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uthor-Dat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584615"/>
    <w:rsid w:val="00584615"/>
    <w:rsid w:val="007357E4"/>
    <w:rsid w:val="00F26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D8F3A3"/>
  <w15:docId w15:val="{161943B8-DA62-2840-B9E3-92DB815AC9E2}"/>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FB"/>
    <w:rPr>
      <w:sz w:val="20"/>
      <w:szCs w:val="20"/>
    </w:rPr>
  </w:style>
  <w:style w:type="paragraph" w:styleId="Heading1">
    <w:name w:val="heading 1"/>
    <w:basedOn w:val="Normal"/>
    <w:next w:val="Normal"/>
    <w:link w:val="Heading1Char"/>
    <w:uiPriority w:val="9"/>
    <w:qFormat/>
    <w:rsid w:val="008C56FB"/>
    <w:pPr>
      <w:pBdr>
        <w:top w:val="single" w:sz="24" w:space="0" w:color="E84C22" w:themeColor="accent1"/>
        <w:left w:val="single" w:sz="24" w:space="0" w:color="E84C22" w:themeColor="accent1"/>
        <w:bottom w:val="single" w:sz="24" w:space="0" w:color="E84C22" w:themeColor="accent1"/>
        <w:right w:val="single" w:sz="24" w:space="0" w:color="E84C22" w:themeColor="accent1"/>
      </w:pBdr>
      <w:shd w:val="clear" w:fill="FFFFFF"/>
      <w:spacing w:after="0"/>
      <w:outlineLvl w:val="0"/>
    </w:pPr>
    <w:rPr>
      <w:b/>
      <w:bCs/>
      <w:caps/>
      <w:color w:val="A8470A"/>
      <w:spacing w:val="15"/>
      <w:sz w:val="22"/>
      <w:szCs w:val="22"/>
    </w:rPr>
  </w:style>
  <w:style w:type="paragraph" w:styleId="Heading2">
    <w:name w:val="heading 2"/>
    <w:basedOn w:val="Normal"/>
    <w:next w:val="Normal"/>
    <w:link w:val="Heading2Char"/>
    <w:uiPriority w:val="9"/>
    <w:unhideWhenUsed/>
    <w:qFormat/>
    <w:rsid w:val="008C56FB"/>
    <w:pPr>
      <w:pBdr>
        <w:top w:val="single" w:sz="24" w:space="0" w:color="FADAD2" w:themeColor="accent1" w:themeTint="33"/>
        <w:left w:val="single" w:sz="24" w:space="0" w:color="FADAD2" w:themeColor="accent1" w:themeTint="33"/>
        <w:bottom w:val="single" w:sz="24" w:space="0" w:color="FADAD2" w:themeColor="accent1" w:themeTint="33"/>
        <w:right w:val="single" w:sz="24" w:space="0" w:color="FADAD2" w:themeColor="accent1" w:themeTint="33"/>
      </w:pBdr>
      <w:shd w:val="clear" w:fill="FFFFFF"/>
      <w:spacing w:after="0"/>
      <w:outlineLvl w:val="1"/>
    </w:pPr>
    <w:rPr>
      <w:caps/>
      <w:spacing w:val="15"/>
      <w:sz w:val="22"/>
      <w:szCs w:val="22"/>
      <w:color w:val="A8470A"/>
    </w:rPr>
  </w:style>
  <w:style w:type="paragraph" w:styleId="Heading3">
    <w:name w:val="heading 3"/>
    <w:basedOn w:val="Normal"/>
    <w:next w:val="Normal"/>
    <w:link w:val="Heading3Char"/>
    <w:uiPriority w:val="9"/>
    <w:unhideWhenUsed/>
    <w:qFormat/>
    <w:rsid w:val="008C56FB"/>
    <w:pPr>
      <w:pBdr>
        <w:top w:val="single" w:sz="6" w:space="2" w:color="E84C22" w:themeColor="accent1"/>
        <w:left w:val="single" w:sz="6" w:space="2" w:color="E84C22" w:themeColor="accent1"/>
      </w:pBdr>
      <w:spacing w:before="300" w:after="0"/>
      <w:outlineLvl w:val="2"/>
    </w:pPr>
    <w:rPr>
      <w:caps/>
      <w:color w:val="A8470A"/>
      <w:spacing w:val="15"/>
      <w:sz w:val="22"/>
      <w:szCs w:val="22"/>
    </w:rPr>
  </w:style>
  <w:style w:type="paragraph" w:styleId="Heading4">
    <w:name w:val="heading 4"/>
    <w:basedOn w:val="Normal"/>
    <w:next w:val="Normal"/>
    <w:link w:val="Heading4Char"/>
    <w:uiPriority w:val="9"/>
    <w:semiHidden/>
    <w:unhideWhenUsed/>
    <w:qFormat/>
    <w:rsid w:val="008C56FB"/>
    <w:pPr>
      <w:pBdr>
        <w:top w:val="dotted" w:sz="6" w:space="2" w:color="E84C22" w:themeColor="accent1"/>
        <w:left w:val="dotted" w:sz="6" w:space="2" w:color="E84C22" w:themeColor="accent1"/>
      </w:pBdr>
      <w:spacing w:before="300" w:after="0"/>
      <w:outlineLvl w:val="3"/>
    </w:pPr>
    <w:rPr>
      <w:caps/>
      <w:color w:val="A8470A"/>
      <w:spacing w:val="10"/>
      <w:sz w:val="22"/>
      <w:szCs w:val="22"/>
    </w:rPr>
  </w:style>
  <w:style w:type="paragraph" w:styleId="Heading5">
    <w:name w:val="heading 5"/>
    <w:basedOn w:val="Normal"/>
    <w:next w:val="Normal"/>
    <w:link w:val="Heading5Char"/>
    <w:uiPriority w:val="9"/>
    <w:semiHidden/>
    <w:unhideWhenUsed/>
    <w:qFormat/>
    <w:rsid w:val="008C56FB"/>
    <w:pPr>
      <w:pBdr>
        <w:bottom w:val="single" w:sz="6" w:space="1" w:color="E84C22" w:themeColor="accent1"/>
      </w:pBdr>
      <w:spacing w:before="300" w:after="0"/>
      <w:outlineLvl w:val="4"/>
    </w:pPr>
    <w:rPr>
      <w:caps/>
      <w:color w:val="A8470A"/>
      <w:spacing w:val="10"/>
      <w:sz w:val="22"/>
      <w:szCs w:val="22"/>
    </w:rPr>
  </w:style>
  <w:style w:type="paragraph" w:styleId="Heading6">
    <w:name w:val="heading 6"/>
    <w:basedOn w:val="Normal"/>
    <w:next w:val="Normal"/>
    <w:link w:val="Heading6Char"/>
    <w:uiPriority w:val="9"/>
    <w:semiHidden/>
    <w:unhideWhenUsed/>
    <w:qFormat/>
    <w:rsid w:val="008C56FB"/>
    <w:pPr>
      <w:pBdr>
        <w:bottom w:val="dotted" w:sz="6" w:space="1" w:color="E84C22" w:themeColor="accent1"/>
      </w:pBdr>
      <w:spacing w:before="300" w:after="0"/>
      <w:outlineLvl w:val="5"/>
    </w:pPr>
    <w:rPr>
      <w:caps/>
      <w:color w:val="A8470A"/>
      <w:spacing w:val="10"/>
      <w:sz w:val="22"/>
      <w:szCs w:val="22"/>
    </w:rPr>
  </w:style>
  <w:style w:type="paragraph" w:styleId="Heading7">
    <w:name w:val="heading 7"/>
    <w:basedOn w:val="Normal"/>
    <w:next w:val="Normal"/>
    <w:link w:val="Heading7Char"/>
    <w:uiPriority w:val="9"/>
    <w:semiHidden/>
    <w:unhideWhenUsed/>
    <w:qFormat/>
    <w:rsid w:val="008C56FB"/>
    <w:pPr>
      <w:spacing w:before="300" w:after="0"/>
      <w:outlineLvl w:val="6"/>
    </w:pPr>
    <w:rPr>
      <w:caps/>
      <w:color w:val="A8470A"/>
      <w:spacing w:val="10"/>
      <w:sz w:val="22"/>
      <w:szCs w:val="22"/>
    </w:rPr>
  </w:style>
  <w:style w:type="paragraph" w:styleId="Heading8">
    <w:name w:val="heading 8"/>
    <w:basedOn w:val="Normal"/>
    <w:next w:val="Normal"/>
    <w:link w:val="Heading8Char"/>
    <w:uiPriority w:val="9"/>
    <w:semiHidden/>
    <w:unhideWhenUsed/>
    <w:qFormat/>
    <w:rsid w:val="008C56FB"/>
    <w:pPr>
      <w:spacing w:before="300" w:after="0"/>
      <w:outlineLvl w:val="7"/>
    </w:pPr>
    <w:rPr>
      <w:caps/>
      <w:spacing w:val="10"/>
      <w:sz w:val="18"/>
      <w:szCs w:val="18"/>
      <w:color w:val="A8470A"/>
    </w:rPr>
  </w:style>
  <w:style w:type="paragraph" w:styleId="Heading9">
    <w:name w:val="heading 9"/>
    <w:basedOn w:val="Normal"/>
    <w:next w:val="Normal"/>
    <w:link w:val="Heading9Char"/>
    <w:uiPriority w:val="9"/>
    <w:semiHidden/>
    <w:unhideWhenUsed/>
    <w:qFormat/>
    <w:rsid w:val="008C56FB"/>
    <w:pPr>
      <w:spacing w:before="300" w:after="0"/>
      <w:outlineLvl w:val="8"/>
    </w:pPr>
    <w:rPr>
      <w:i/>
      <w:caps/>
      <w:spacing w:val="10"/>
      <w:sz w:val="18"/>
      <w:szCs w:val="18"/>
      <w:color w:val="A847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56FB"/>
    <w:pPr>
      <w:spacing w:before="720"/>
    </w:pPr>
    <w:rPr>
      <w:caps/>
      <w:color w:val="A8470A"/>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8C56FB"/>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pPr/>
    <w:name w:val="Heading 1 Char"/>
    <w:basedOn w:val="DefaultParagraphFont"/>
    <w:link w:val="Heading1"/>
    <w:uiPriority w:val="9"/>
    <w:rsid w:val="008C56FB"/>
    <w:rPr>
      <w:b/>
      <w:bCs/>
      <w:caps/>
      <w:color w:val="A8470A"/>
      <w:spacing w:val="15"/>
      <w:shd w:val="clear" w:color="auto" w:fill="E84C22" w:themeFill="accent1"/>
    </w:rPr>
  </w:style>
  <w:style w:type="character" w:customStyle="1" w:styleId="Heading2Char">
    <w:pPr/>
    <w:name w:val="Heading 2 Char"/>
    <w:basedOn w:val="DefaultParagraphFont"/>
    <w:link w:val="Heading2"/>
    <w:uiPriority w:val="9"/>
    <w:rsid w:val="008C56FB"/>
    <w:rPr>
      <w:caps/>
      <w:spacing w:val="15"/>
      <w:shd w:val="clear" w:color="auto" w:fill="FADAD2" w:themeFill="accent1" w:themeFillTint="33"/>
      <w:color w:val="A8470A"/>
    </w:rPr>
  </w:style>
  <w:style w:type="character" w:customStyle="1" w:styleId="Heading3Char">
    <w:pPr/>
    <w:name w:val="Heading 3 Char"/>
    <w:basedOn w:val="DefaultParagraphFont"/>
    <w:link w:val="Heading3"/>
    <w:uiPriority w:val="9"/>
    <w:rsid w:val="008C56FB"/>
    <w:rPr>
      <w:caps/>
      <w:color w:val="A8470A"/>
      <w:spacing w:val="15"/>
    </w:rPr>
  </w:style>
  <w:style w:type="character" w:customStyle="1" w:styleId="Heading4Char">
    <w:pPr/>
    <w:name w:val="Heading 4 Char"/>
    <w:basedOn w:val="DefaultParagraphFont"/>
    <w:link w:val="Heading4"/>
    <w:uiPriority w:val="9"/>
    <w:semiHidden/>
    <w:rsid w:val="008C56FB"/>
    <w:rPr>
      <w:caps/>
      <w:color w:val="A8470A"/>
      <w:spacing w:val="10"/>
    </w:rPr>
  </w:style>
  <w:style w:type="character" w:customStyle="1" w:styleId="Heading5Char">
    <w:pPr/>
    <w:name w:val="Heading 5 Char"/>
    <w:basedOn w:val="DefaultParagraphFont"/>
    <w:link w:val="Heading5"/>
    <w:uiPriority w:val="9"/>
    <w:semiHidden/>
    <w:rsid w:val="008C56FB"/>
    <w:rPr>
      <w:caps/>
      <w:color w:val="A8470A"/>
      <w:spacing w:val="10"/>
    </w:rPr>
  </w:style>
  <w:style w:type="character" w:customStyle="1" w:styleId="Heading6Char">
    <w:pPr/>
    <w:name w:val="Heading 6 Char"/>
    <w:basedOn w:val="DefaultParagraphFont"/>
    <w:link w:val="Heading6"/>
    <w:uiPriority w:val="9"/>
    <w:semiHidden/>
    <w:rsid w:val="008C56FB"/>
    <w:rPr>
      <w:caps/>
      <w:color w:val="A8470A"/>
      <w:spacing w:val="10"/>
    </w:rPr>
  </w:style>
  <w:style w:type="character" w:customStyle="1" w:styleId="Heading7Char">
    <w:pPr/>
    <w:name w:val="Heading 7 Char"/>
    <w:basedOn w:val="DefaultParagraphFont"/>
    <w:link w:val="Heading7"/>
    <w:uiPriority w:val="9"/>
    <w:semiHidden/>
    <w:rsid w:val="008C56FB"/>
    <w:rPr>
      <w:caps/>
      <w:color w:val="A8470A"/>
      <w:spacing w:val="10"/>
    </w:rPr>
  </w:style>
  <w:style w:type="character" w:customStyle="1" w:styleId="Heading8Char">
    <w:pPr/>
    <w:name w:val="Heading 8 Char"/>
    <w:basedOn w:val="DefaultParagraphFont"/>
    <w:link w:val="Heading8"/>
    <w:uiPriority w:val="9"/>
    <w:semiHidden/>
    <w:rsid w:val="008C56FB"/>
    <w:rPr>
      <w:caps/>
      <w:spacing w:val="10"/>
      <w:sz w:val="18"/>
      <w:szCs w:val="18"/>
      <w:color w:val="A8470A"/>
    </w:rPr>
  </w:style>
  <w:style w:type="character" w:customStyle="1" w:styleId="Heading9Char">
    <w:pPr/>
    <w:name w:val="Heading 9 Char"/>
    <w:basedOn w:val="DefaultParagraphFont"/>
    <w:link w:val="Heading9"/>
    <w:uiPriority w:val="9"/>
    <w:semiHidden/>
    <w:rsid w:val="008C56FB"/>
    <w:rPr>
      <w:i/>
      <w:caps/>
      <w:spacing w:val="10"/>
      <w:sz w:val="18"/>
      <w:szCs w:val="18"/>
      <w:color w:val="A8470A"/>
    </w:rPr>
  </w:style>
  <w:style w:type="paragraph" w:styleId="Caption">
    <w:name w:val="caption"/>
    <w:basedOn w:val="Normal"/>
    <w:next w:val="Normal"/>
    <w:uiPriority w:val="35"/>
    <w:semiHidden/>
    <w:unhideWhenUsed/>
    <w:qFormat/>
    <w:rsid w:val="008C56FB"/>
    <w:rPr>
      <w:b/>
      <w:bCs/>
      <w:color w:val="B43412" w:themeColor="accent1" w:themeShade="BF"/>
      <w:sz w:val="16"/>
      <w:szCs w:val="16"/>
    </w:rPr>
  </w:style>
  <w:style w:type="character" w:customStyle="1" w:styleId="TitleChar">
    <w:pPr/>
    <w:name w:val="Title Char"/>
    <w:basedOn w:val="DefaultParagraphFont"/>
    <w:link w:val="Title"/>
    <w:uiPriority w:val="10"/>
    <w:rsid w:val="008C56FB"/>
    <w:rPr>
      <w:caps/>
      <w:color w:val="A8470A"/>
      <w:spacing w:val="10"/>
      <w:kern w:val="28"/>
      <w:sz w:val="52"/>
      <w:szCs w:val="52"/>
    </w:rPr>
  </w:style>
  <w:style w:type="paragraph" w:styleId="Subtitle">
    <w:name w:val="Subtitle"/>
    <w:basedOn w:val="Normal"/>
    <w:next w:val="Normal"/>
    <w:link w:val="SubtitleChar"/>
    <w:uiPriority w:val="11"/>
    <w:qFormat/>
    <w:rsid w:val="008C56FB"/>
    <w:pPr>
      <w:spacing w:after="1000" w:line="240" w:lineRule="auto"/>
    </w:pPr>
    <w:rPr>
      <w:caps/>
      <w:color w:val="A8470A"/>
      <w:spacing w:val="10"/>
      <w:sz w:val="24"/>
      <w:szCs w:val="24"/>
    </w:rPr>
  </w:style>
  <w:style w:type="character" w:customStyle="1" w:styleId="SubtitleChar">
    <w:pPr/>
    <w:name w:val="Subtitle Char"/>
    <w:basedOn w:val="DefaultParagraphFont"/>
    <w:link w:val="Subtitle"/>
    <w:uiPriority w:val="11"/>
    <w:rsid w:val="008C56FB"/>
    <w:rPr>
      <w:caps/>
      <w:color w:val="A8470A"/>
      <w:spacing w:val="10"/>
      <w:sz w:val="24"/>
      <w:szCs w:val="24"/>
    </w:rPr>
  </w:style>
  <w:style w:type="character" w:styleId="Strong">
    <w:name w:val="Strong"/>
    <w:uiPriority w:val="22"/>
    <w:qFormat/>
    <w:rsid w:val="008C56FB"/>
    <w:rPr>
      <w:b/>
      <w:bCs/>
    </w:rPr>
  </w:style>
  <w:style w:type="character" w:styleId="Emphasis">
    <w:name w:val="Emphasis"/>
    <w:uiPriority w:val="20"/>
    <w:qFormat/>
    <w:rsid w:val="008C56FB"/>
    <w:rPr>
      <w:caps/>
      <w:color w:val="77230C" w:themeColor="accent1" w:themeShade="7F"/>
      <w:spacing w:val="5"/>
    </w:rPr>
  </w:style>
  <w:style w:type="paragraph" w:styleId="NoSpacing">
    <w:name w:val="No Spacing"/>
    <w:basedOn w:val="Normal"/>
    <w:link w:val="NoSpacingChar"/>
    <w:uiPriority w:val="1"/>
    <w:qFormat/>
    <w:rsid w:val="008C56FB"/>
    <w:pPr>
      <w:spacing w:before="0" w:after="0" w:line="240" w:lineRule="auto"/>
    </w:pPr>
  </w:style>
  <w:style w:type="character" w:customStyle="1" w:styleId="NoSpacingChar">
    <w:name w:val="No Spacing Char"/>
    <w:basedOn w:val="DefaultParagraphFont"/>
    <w:link w:val="NoSpacing"/>
    <w:uiPriority w:val="1"/>
    <w:rsid w:val="008C56FB"/>
    <w:rPr>
      <w:sz w:val="20"/>
      <w:szCs w:val="20"/>
    </w:rPr>
  </w:style>
  <w:style w:type="paragraph" w:styleId="Quote">
    <w:name w:val="Quote"/>
    <w:basedOn w:val="Normal"/>
    <w:next w:val="Normal"/>
    <w:link w:val="QuoteChar"/>
    <w:uiPriority w:val="29"/>
    <w:qFormat/>
    <w:rsid w:val="008C56FB"/>
    <w:rPr>
      <w:i/>
      <w:iCs/>
    </w:rPr>
  </w:style>
  <w:style w:type="character" w:customStyle="1" w:styleId="QuoteChar">
    <w:name w:val="Quote Char"/>
    <w:basedOn w:val="DefaultParagraphFont"/>
    <w:link w:val="Quote"/>
    <w:uiPriority w:val="29"/>
    <w:rsid w:val="008C56FB"/>
    <w:rPr>
      <w:i/>
      <w:iCs/>
      <w:sz w:val="20"/>
      <w:szCs w:val="20"/>
    </w:rPr>
  </w:style>
  <w:style w:type="paragraph" w:styleId="IntenseQuote">
    <w:name w:val="Intense Quote"/>
    <w:basedOn w:val="Normal"/>
    <w:next w:val="Normal"/>
    <w:link w:val="IntenseQuoteChar"/>
    <w:uiPriority w:val="30"/>
    <w:qFormat/>
    <w:rsid w:val="008C56FB"/>
    <w:pPr>
      <w:pBdr>
        <w:top w:val="single" w:sz="4" w:space="10" w:color="E84C22" w:themeColor="accent1"/>
        <w:left w:val="single" w:sz="4" w:space="10" w:color="E84C22" w:themeColor="accent1"/>
      </w:pBdr>
      <w:spacing w:after="0"/>
      <w:ind w:left="1296" w:right="1152"/>
      <w:jc w:val="both"/>
    </w:pPr>
    <w:rPr>
      <w:i/>
      <w:iCs/>
      <w:color w:val="E84C22" w:themeColor="accent1"/>
    </w:rPr>
  </w:style>
  <w:style w:type="character" w:customStyle="1" w:styleId="IntenseQuoteChar">
    <w:name w:val="Intense Quote Char"/>
    <w:basedOn w:val="DefaultParagraphFont"/>
    <w:link w:val="IntenseQuote"/>
    <w:uiPriority w:val="30"/>
    <w:rsid w:val="008C56FB"/>
    <w:rPr>
      <w:i/>
      <w:iCs/>
      <w:color w:val="E84C22" w:themeColor="accent1"/>
      <w:sz w:val="20"/>
      <w:szCs w:val="20"/>
    </w:rPr>
  </w:style>
  <w:style w:type="character" w:styleId="SubtleEmphasis">
    <w:name w:val="Subtle Emphasis"/>
    <w:uiPriority w:val="19"/>
    <w:qFormat/>
    <w:rsid w:val="008C56FB"/>
    <w:rPr>
      <w:i/>
      <w:iCs/>
      <w:color w:val="77230C" w:themeColor="accent1" w:themeShade="7F"/>
    </w:rPr>
  </w:style>
  <w:style w:type="character" w:styleId="IntenseEmphasis">
    <w:name w:val="Intense Emphasis"/>
    <w:uiPriority w:val="21"/>
    <w:qFormat/>
    <w:rsid w:val="008C56FB"/>
    <w:rPr>
      <w:b/>
      <w:bCs/>
      <w:caps/>
      <w:color w:val="77230C" w:themeColor="accent1" w:themeShade="7F"/>
      <w:spacing w:val="10"/>
    </w:rPr>
  </w:style>
  <w:style w:type="character" w:styleId="SubtleReference">
    <w:name w:val="Subtle Reference"/>
    <w:uiPriority w:val="31"/>
    <w:qFormat/>
    <w:rsid w:val="008C56FB"/>
    <w:rPr>
      <w:b/>
      <w:bCs/>
      <w:color w:val="E84C22" w:themeColor="accent1"/>
    </w:rPr>
  </w:style>
  <w:style w:type="character" w:styleId="IntenseReference">
    <w:name w:val="Intense Reference"/>
    <w:uiPriority w:val="32"/>
    <w:qFormat/>
    <w:rsid w:val="008C56FB"/>
    <w:rPr>
      <w:b/>
      <w:bCs/>
      <w:i/>
      <w:iCs/>
      <w:caps/>
      <w:color w:val="E84C22" w:themeColor="accent1"/>
    </w:rPr>
  </w:style>
  <w:style w:type="character" w:styleId="BookTitle">
    <w:name w:val="Book Title"/>
    <w:uiPriority w:val="33"/>
    <w:qFormat/>
    <w:rsid w:val="008C56FB"/>
    <w:rPr>
      <w:b/>
      <w:bCs/>
      <w:i/>
      <w:iCs/>
      <w:spacing w:val="9"/>
    </w:rPr>
  </w:style>
  <w:style w:type="paragraph" w:styleId="TOCHeading">
    <w:name w:val="TOC Heading"/>
    <w:basedOn w:val="Heading1"/>
    <w:next w:val="Normal"/>
    <w:uiPriority w:val="39"/>
    <w:semiHidden/>
    <w:unhideWhenUsed/>
    <w:qFormat/>
    <w:rsid w:val="008C56FB"/>
    <w:pPr>
      <w:outlineLvl w:val="9"/>
    </w:pPr>
  </w:style>
  <w:style w:type="paragraph" w:styleId="Header">
    <w:rPr>
      <w:color w:val="A8470A"/>
    </w:rPr>
    <w:name w:val="header"/>
    <w:basedOn w:val="Normal"/>
    <w:link w:val="HeaderChar"/>
    <w:uiPriority w:val="99"/>
    <w:unhideWhenUsed/>
    <w:rsid w:val="008C56FB"/>
    <w:pPr>
      <w:tabs>
        <w:tab w:val="center" w:pos="4680"/>
        <w:tab w:val="right" w:pos="9360"/>
      </w:tabs>
      <w:spacing w:before="0" w:after="0" w:line="240" w:lineRule="auto"/>
    </w:pPr>
  </w:style>
  <w:style w:type="character" w:customStyle="1" w:styleId="HeaderChar">
    <w:pPr/>
    <w:name w:val="Header Char"/>
    <w:basedOn w:val="DefaultParagraphFont"/>
    <w:link w:val="Header"/>
    <w:uiPriority w:val="99"/>
    <w:rsid w:val="008C56FB"/>
    <w:rPr>
      <w:sz w:val="20"/>
      <w:szCs w:val="20"/>
      <w:color w:val="A8470A"/>
    </w:rPr>
  </w:style>
  <w:style w:type="paragraph" w:styleId="Footer">
    <w:name w:val="footer"/>
    <w:basedOn w:val="Normal"/>
    <w:link w:val="FooterChar"/>
    <w:uiPriority w:val="99"/>
    <w:unhideWhenUsed/>
    <w:rsid w:val="008C56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C56F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etings.asco.org/abstracts-presentations/262594" TargetMode="External"/><Relationship Id="rId4" Type="http://schemas.openxmlformats.org/officeDocument/2006/relationships/webSettings" Target="webSettings.xml"/><Relationship Id="rId8" Type="http://schemas.openxmlformats.org/officeDocument/2006/relationships/hyperlink" Target="https://doi.org/10.1016/S0140-6736(24)01595-2" TargetMode="External"/><Relationship Id="rId9" Type="http://schemas.openxmlformats.org/officeDocument/2006/relationships/hyperlink" Target="https://libkey.io/libraries/480/10.1016/S0140-6736(24)01595-2" TargetMode="External"/><Relationship Id="rId10" Type="http://schemas.openxmlformats.org/officeDocument/2006/relationships/hyperlink" Target="https://doi.org/10.1097/SLA.0000000000007021" TargetMode="External"/><Relationship Id="rId11" Type="http://schemas.openxmlformats.org/officeDocument/2006/relationships/hyperlink" Target="https://libkey.io/libraries/480/10.1097/SLA.0000000000007021" TargetMode="External"/><Relationship Id="rId12" Type="http://schemas.openxmlformats.org/officeDocument/2006/relationships/hyperlink" Target="https://doi.org/10.1097/SLA.0000000000003404" TargetMode="External"/><Relationship Id="rId13" Type="http://schemas.openxmlformats.org/officeDocument/2006/relationships/hyperlink" Target="https://libkey.io/libraries/480/10.1097/SLA.0000000000003404" TargetMode="External"/><Relationship Id="rId14" Type="http://schemas.openxmlformats.org/officeDocument/2006/relationships/hyperlink" Target="https://doi.org/10.1097/SLA.0000000000007200" TargetMode="External"/><Relationship Id="rId15" Type="http://schemas.openxmlformats.org/officeDocument/2006/relationships/hyperlink" Target="https://libkey.io/libraries/480/10.1097/sla.0000000000007200" TargetMode="External"/><Relationship Id="rId16" Type="http://schemas.openxmlformats.org/officeDocument/2006/relationships/hyperlink" Target="https://doi.org/10.1016/S2468-1253(21)00219-3" TargetMode="External"/><Relationship Id="rId17" Type="http://schemas.openxmlformats.org/officeDocument/2006/relationships/hyperlink" Target="https://libkey.io/libraries/480/10.1016/S2468-1253(21)00219-3" TargetMode="External"/><Relationship Id="rId18" Type="http://schemas.openxmlformats.org/officeDocument/2006/relationships/hyperlink" Target="https://doi.org/10.1007/s00270-024-03743-8" TargetMode="External"/><Relationship Id="rId19" Type="http://schemas.openxmlformats.org/officeDocument/2006/relationships/hyperlink" Target="https://libkey.io/libraries/480/10.1007/s00270-024-03743-8" TargetMode="External"/><Relationship Id="rId20" Type="http://schemas.openxmlformats.org/officeDocument/2006/relationships/hyperlink" Target="https://doi.org/10.1016/S0140-6736(24)01595-2" TargetMode="External"/><Relationship Id="rId21" Type="http://schemas.openxmlformats.org/officeDocument/2006/relationships/hyperlink" Target="https://libkey.io/libraries/480/10.1016/S0140-6736(24)01595-2" TargetMode="External"/><Relationship Id="rId22" Type="http://schemas.openxmlformats.org/officeDocument/2006/relationships/hyperlink" Target="https://doi.org/10.1007/s00270-024-03743-8" TargetMode="External"/><Relationship Id="rId23" Type="http://schemas.openxmlformats.org/officeDocument/2006/relationships/hyperlink" Target="https://libkey.io/libraries/480/10.1007/s00270-024-03743-8" TargetMode="External"/><Relationship Id="rId24" Type="http://schemas.openxmlformats.org/officeDocument/2006/relationships/hyperlink" Target="https://drliuhao.github.io/mh-liver-pathways/evidence/2026-10-25/" TargetMode="External"/><Relationship Id="rId25" Type="http://schemas.openxmlformats.org/officeDocument/2006/relationships/hyperlink" Target="https://drliuhao.github.io/mh-liver-pathways/evidence/2026-10-25/" TargetMode="External"/><Relationship Id="rId26" Type="http://schemas.openxmlformats.org/officeDocument/2006/relationships/hyperlink" Target="https://doi.org/10.1097/SLA.0000000000005803" TargetMode="External"/><Relationship Id="rId27" Type="http://schemas.openxmlformats.org/officeDocument/2006/relationships/hyperlink" Target="https://libkey.io/libraries/480/10.1097/SLA.0000000000005803" TargetMode="External"/><Relationship Id="rId28" Type="http://schemas.openxmlformats.org/officeDocument/2006/relationships/hyperlink" Target="https://doi.org/10.1001/jamasurg.2025.3600" TargetMode="External"/><Relationship Id="rId29" Type="http://schemas.openxmlformats.org/officeDocument/2006/relationships/hyperlink" Target="https://libkey.io/libraries/480/10.1001/jamasurg.2025.3600" TargetMode="External"/><Relationship Id="rId30" Type="http://schemas.openxmlformats.org/officeDocument/2006/relationships/hyperlink" Target="https://doi.org/10.1016/j.hpb.2018.02.377" TargetMode="External"/><Relationship Id="rId31" Type="http://schemas.openxmlformats.org/officeDocument/2006/relationships/hyperlink" Target="https://libkey.io/libraries/480/10.1016/j.hpb.2018.02.377" TargetMode="External"/><Relationship Id="rId32" Type="http://schemas.openxmlformats.org/officeDocument/2006/relationships/hyperlink" Target="https://doi.org/10.1097/LVT.0000000000000417" TargetMode="External"/><Relationship Id="rId33" Type="http://schemas.openxmlformats.org/officeDocument/2006/relationships/hyperlink" Target="https://libkey.io/libraries/480/10.1097/LVT.0000000000000417" TargetMode="External"/><Relationship Id="rId34" Type="http://schemas.openxmlformats.org/officeDocument/2006/relationships/hyperlink" Target="https://doi.org/10.1016/S0140-6736(24)01595-2" TargetMode="External"/><Relationship Id="rId35" Type="http://schemas.openxmlformats.org/officeDocument/2006/relationships/hyperlink" Target="https://libkey.io/libraries/480/10.1016/S0140-6736(24)01595-2" TargetMode="External"/><Relationship Id="rId36" Type="http://schemas.openxmlformats.org/officeDocument/2006/relationships/hyperlink" Target="https://doi.org/10.1097/SLA.0000000000005803" TargetMode="External"/><Relationship Id="rId37" Type="http://schemas.openxmlformats.org/officeDocument/2006/relationships/hyperlink" Target="https://libkey.io/libraries/480/10.1097/SLA.0000000000005803" TargetMode="External"/><Relationship Id="rId38" Type="http://schemas.openxmlformats.org/officeDocument/2006/relationships/hyperlink" Target="https://drliuhao.github.io/mh-liver-pathways/evidence/2026-10-25/" TargetMode="External"/><Relationship Id="rId39" Type="http://schemas.openxmlformats.org/officeDocument/2006/relationships/hyperlink" Target="https://drliuhao.github.io/mh-liver-pathways/evidence/2026-10-25/" TargetMode="External"/><Relationship Id="rId40" Type="http://schemas.openxmlformats.org/officeDocument/2006/relationships/hyperlink" Target="https://doi.org/10.1016/S0140-6736(24)01595-2" TargetMode="External"/><Relationship Id="rId41" Type="http://schemas.openxmlformats.org/officeDocument/2006/relationships/hyperlink" Target="https://libkey.io/libraries/480/10.1016/S0140-6736(24)01595-2" TargetMode="External"/><Relationship Id="rId42" Type="http://schemas.openxmlformats.org/officeDocument/2006/relationships/hyperlink" Target="https://doi.org/10.1097/SLA.0000000000007200" TargetMode="External"/><Relationship Id="rId43" Type="http://schemas.openxmlformats.org/officeDocument/2006/relationships/hyperlink" Target="https://libkey.io/libraries/480/10.1097/sla.0000000000007200" TargetMode="External"/><Relationship Id="rId44" Type="http://schemas.openxmlformats.org/officeDocument/2006/relationships/hyperlink" Target="https://doi.org/10.1002/bjs5.50278" TargetMode="External"/><Relationship Id="rId45" Type="http://schemas.openxmlformats.org/officeDocument/2006/relationships/hyperlink" Target="https://libkey.io/libraries/480/10.1002/bjs5.50278" TargetMode="External"/><Relationship Id="rId46" Type="http://schemas.openxmlformats.org/officeDocument/2006/relationships/hyperlink" Target="https://doi.org/10.1007/s12149-022-01796-8" TargetMode="External"/><Relationship Id="rId47" Type="http://schemas.openxmlformats.org/officeDocument/2006/relationships/hyperlink" Target="https://libkey.io/libraries/480/10.1007/s12149-022-01796-8" TargetMode="External"/><Relationship Id="rId48" Type="http://schemas.openxmlformats.org/officeDocument/2006/relationships/hyperlink" Target="https://doi.org/10.1097/LVT.0000000000000535" TargetMode="External"/><Relationship Id="rId49" Type="http://schemas.openxmlformats.org/officeDocument/2006/relationships/hyperlink" Target="https://libkey.io/libraries/480/10.1097/LVT.0000000000000535" TargetMode="External"/><Relationship Id="rId50" Type="http://schemas.openxmlformats.org/officeDocument/2006/relationships/hyperlink" Target="https://doi.org/10.1200/CCI.23.00111" TargetMode="External"/><Relationship Id="rId51" Type="http://schemas.openxmlformats.org/officeDocument/2006/relationships/hyperlink" Target="https://libkey.io/libraries/480/10.1200/CCI.23.00111" TargetMode="External"/><Relationship Id="rId52" Type="http://schemas.openxmlformats.org/officeDocument/2006/relationships/hyperlink" Target="https://doi.org/10.1016/S2468-1253(21)00219-3" TargetMode="External"/><Relationship Id="rId53" Type="http://schemas.openxmlformats.org/officeDocument/2006/relationships/hyperlink" Target="https://libkey.io/libraries/480/10.1016/S2468-1253(21)00219-3" TargetMode="External"/><Relationship Id="rId54" Type="http://schemas.openxmlformats.org/officeDocument/2006/relationships/hyperlink" Target="https://www.hrsa.gov/sites/default/files/hrsa/optn/adult-meld-exception-transplant-oncology-review-guidance.pdf" TargetMode="External"/><Relationship Id="rId55" Type="http://schemas.openxmlformats.org/officeDocument/2006/relationships/hyperlink" Target="https://drliuhao.github.io/mh-liver-pathways/evidence/2026-10-25/" TargetMode="External"/><Relationship Id="rId56" Type="http://schemas.openxmlformats.org/officeDocument/2006/relationships/hyperlink" Target="https://pubmed.ncbi.nlm.nih.gov/38721015" TargetMode="External"/><Relationship Id="rId57" Type="http://schemas.openxmlformats.org/officeDocument/2006/relationships/hyperlink" Target="https://libkey.io/libraries/480/10.1016/j.eclinm.2024.102608" TargetMode="External"/><Relationship Id="rId58" Type="http://schemas.openxmlformats.org/officeDocument/2006/relationships/hyperlink" Target="https://www.hrsa.gov/sites/default/files/hrsa/optn/adult-meld-exception-transplant-oncology-review-guidance.pdf" TargetMode="External"/><Relationship Id="rId59" Type="http://schemas.openxmlformats.org/officeDocument/2006/relationships/hyperlink" Target="https://drliuhao.github.io/mh-liver-pathways/evidence/2026-10-25/" TargetMode="External"/><Relationship Id="rId60" Type="http://schemas.openxmlformats.org/officeDocument/2006/relationships/hyperlink" Target="https://doi.org/10.1002/bjs5.50278" TargetMode="External"/><Relationship Id="rId61" Type="http://schemas.openxmlformats.org/officeDocument/2006/relationships/hyperlink" Target="https://libkey.io/libraries/480/10.1002/bjs5.50278" TargetMode="External"/><Relationship Id="rId62" Type="http://schemas.openxmlformats.org/officeDocument/2006/relationships/hyperlink" Target="https://drliuhao.github.io/mh-liver-pathways/evidence/2026-10-25/" TargetMode="External"/><Relationship Id="rId63" Type="http://schemas.openxmlformats.org/officeDocument/2006/relationships/hyperlink" Target="https://drliuhao.github.io/mh-liver-pathways/evidence/2026-10-25/" TargetMode="External"/><Relationship Id="rId64" Type="http://schemas.openxmlformats.org/officeDocument/2006/relationships/hyperlink" Target="https://drliuhao.github.io/mh-liver-pathways/evidence/2026-10-25/" TargetMode="External"/><Relationship Id="rId65" Type="http://schemas.openxmlformats.org/officeDocument/2006/relationships/hyperlink" Target="https://drliuhao.github.io/mh-liver-pathways/evidence/2026-10-25/" TargetMode="External"/><Relationship Id="rId66" Type="http://schemas.openxmlformats.org/officeDocument/2006/relationships/hyperlink" Target="https://drliuhao.github.io/mh-liver-pathways/evidence/2026-10-25/" TargetMode="External"/><Relationship Id="rId67" Type="http://schemas.openxmlformats.org/officeDocument/2006/relationships/hyperlink" Target="https://drliuhao.github.io/mh-liver-pathways/evidence/2026-10-25/" TargetMode="External"/><Relationship Id="rId68" Type="http://schemas.openxmlformats.org/officeDocument/2006/relationships/hyperlink" Target="https://drliuhao.github.io/mh-liver-pathways/evidence/2026-10-25/" TargetMode="External"/><Relationship Id="rId69" Type="http://schemas.openxmlformats.org/officeDocument/2006/relationships/hyperlink" Target="https://drliuhao.github.io/mh-liver-pathways/evidence/2026-10-25/" TargetMode="External"/><Relationship Id="rId70" Type="http://schemas.openxmlformats.org/officeDocument/2006/relationships/hyperlink" Target="https://doi.org/10.1016/S0140-6736(24)01595-2" TargetMode="External"/><Relationship Id="rId71" Type="http://schemas.openxmlformats.org/officeDocument/2006/relationships/hyperlink" Target="https://libkey.io/libraries/480/10.1016/S0140-6736(24)01595-2" TargetMode="External"/><Relationship Id="rId72" Type="http://schemas.openxmlformats.org/officeDocument/2006/relationships/hyperlink" Target="https://doi.org/10.1097/SLA.0000000000007200" TargetMode="External"/><Relationship Id="rId73" Type="http://schemas.openxmlformats.org/officeDocument/2006/relationships/hyperlink" Target="https://libkey.io/libraries/480/10.1097/sla.0000000000007200" TargetMode="External"/><Relationship Id="rId74" Type="http://schemas.openxmlformats.org/officeDocument/2006/relationships/hyperlink" Target="https://doi.org/10.1002/bjs5.50278" TargetMode="External"/><Relationship Id="rId75" Type="http://schemas.openxmlformats.org/officeDocument/2006/relationships/hyperlink" Target="https://libkey.io/libraries/480/10.1002/bjs5.50278" TargetMode="External"/><Relationship Id="rId76" Type="http://schemas.openxmlformats.org/officeDocument/2006/relationships/hyperlink" Target="https://doi.org/10.1097/SLA.0000000000007021" TargetMode="External"/><Relationship Id="rId77" Type="http://schemas.openxmlformats.org/officeDocument/2006/relationships/hyperlink" Target="https://libkey.io/libraries/480/10.1097/SLA.0000000000007021" TargetMode="External"/><Relationship Id="rId78" Type="http://schemas.openxmlformats.org/officeDocument/2006/relationships/hyperlink" Target="https://doi.org/10.1097/LVT.0000000000000417" TargetMode="External"/><Relationship Id="rId79" Type="http://schemas.openxmlformats.org/officeDocument/2006/relationships/hyperlink" Target="https://libkey.io/libraries/480/10.1097/LVT.0000000000000417" TargetMode="External"/><Relationship Id="rId80" Type="http://schemas.openxmlformats.org/officeDocument/2006/relationships/hyperlink" Target="https://www.hrsa.gov/sites/default/files/hrsa/optn/adult-meld-exception-transplant-oncology-review-guidance.pdf" TargetMode="External"/><Relationship Id="rId81" Type="http://schemas.openxmlformats.org/officeDocument/2006/relationships/hyperlink" Target="https://drliuhao.github.io/mh-liver-pathways/evidence/2026-10-25/" TargetMode="External"/><Relationship Id="rId82" Type="http://schemas.openxmlformats.org/officeDocument/2006/relationships/hyperlink" Target="https://pubmed.ncbi.nlm.nih.gov/38721015" TargetMode="External"/><Relationship Id="rId83" Type="http://schemas.openxmlformats.org/officeDocument/2006/relationships/hyperlink" Target="https://libkey.io/libraries/480/10.1016/j.eclinm.2024.102608" TargetMode="External"/><Relationship Id="rId84" Type="http://schemas.openxmlformats.org/officeDocument/2006/relationships/hyperlink" Target="https://doi.org/10.1016/S0140-6736(24)01595-2" TargetMode="External"/><Relationship Id="rId85" Type="http://schemas.openxmlformats.org/officeDocument/2006/relationships/hyperlink" Target="https://libkey.io/libraries/480/10.1016/S0140-6736(24)01595-2" TargetMode="External"/><Relationship Id="rId86" Type="http://schemas.openxmlformats.org/officeDocument/2006/relationships/hyperlink" Target="https://drliuhao.github.io/mh-liver-pathways/evidence/2026-10-25/" TargetMode="External"/><Relationship Id="rId87" Type="http://schemas.openxmlformats.org/officeDocument/2006/relationships/hyperlink" Target="https://drliuhao.github.io/mh-liver-pathways/evidence/2026-10-25/" TargetMode="External"/><Relationship Id="rId88" Type="http://schemas.openxmlformats.org/officeDocument/2006/relationships/hyperlink" Target="https://drliuhao.github.io/mh-liver-pathways/evidence/2026-10-25/" TargetMode="External"/><Relationship Id="rId89" Type="http://schemas.openxmlformats.org/officeDocument/2006/relationships/hyperlink" Target="https://drliuhao.github.io/mh-liver-pathways/evidence/2026-10-25/" TargetMode="External"/><Relationship Id="rId90" Type="http://schemas.openxmlformats.org/officeDocument/2006/relationships/hyperlink" Target="https://drliuhao.github.io/mh-liver-pathways/evidence/2026-10-25/" TargetMode="External"/><Relationship Id="rId91" Type="http://schemas.openxmlformats.org/officeDocument/2006/relationships/hyperlink" Target="https://drliuhao.github.io/mh-liver-pathways/evidence/2026-10-25/" TargetMode="External"/><Relationship Id="rId92" Type="http://schemas.openxmlformats.org/officeDocument/2006/relationships/hyperlink" Target="https://www.hrsa.gov/sites/default/files/hrsa/optn/optn_policies.pdf" TargetMode="External"/><Relationship Id="rId93" Type="http://schemas.openxmlformats.org/officeDocument/2006/relationships/hyperlink" Target="https://drliuhao.github.io/mh-liver-pathways/evidence/2026-10-25/" TargetMode="External"/><Relationship Id="rId94" Type="http://schemas.openxmlformats.org/officeDocument/2006/relationships/hyperlink" Target="https://www.hrsa.gov/sites/default/files/hrsa/optn/adult-meld-exception-transplant-oncology-review-guidance.pdf" TargetMode="External"/><Relationship Id="rId95" Type="http://schemas.openxmlformats.org/officeDocument/2006/relationships/hyperlink" Target="https://drliuhao.github.io/mh-liver-pathways/evidence/2026-10-25/" TargetMode="External"/><Relationship Id="rId96" Type="http://schemas.openxmlformats.org/officeDocument/2006/relationships/hyperlink" Target="https://doi.org/10.1016/S0140-6736(24)01595-2" TargetMode="External"/><Relationship Id="rId97" Type="http://schemas.openxmlformats.org/officeDocument/2006/relationships/hyperlink" Target="https://libkey.io/libraries/480/10.1016/S0140-6736(24)01595-2" TargetMode="External"/><Relationship Id="rId98" Type="http://schemas.openxmlformats.org/officeDocument/2006/relationships/hyperlink" Target="https://doi.org/10.1016/S2468-1253(21)00219-3" TargetMode="External"/><Relationship Id="rId99" Type="http://schemas.openxmlformats.org/officeDocument/2006/relationships/hyperlink" Target="https://libkey.io/libraries/480/10.1016/S2468-1253(21)00219-3" TargetMode="External"/><Relationship Id="rId100" Type="http://schemas.openxmlformats.org/officeDocument/2006/relationships/hyperlink" Target="https://doi.org/10.1097/HEP.0000000000001644" TargetMode="External"/><Relationship Id="rId101" Type="http://schemas.openxmlformats.org/officeDocument/2006/relationships/hyperlink" Target="https://libkey.io/libraries/480/10.1097/HEP.0000000000001644" TargetMode="External"/><Relationship Id="rId102" Type="http://schemas.openxmlformats.org/officeDocument/2006/relationships/hyperlink" Target="https://doi.org/10.1097/SLA.0000000000007021" TargetMode="External"/><Relationship Id="rId103" Type="http://schemas.openxmlformats.org/officeDocument/2006/relationships/hyperlink" Target="https://libkey.io/libraries/480/10.1097/SLA.0000000000007021" TargetMode="External"/><Relationship Id="rId104" Type="http://schemas.openxmlformats.org/officeDocument/2006/relationships/hyperlink" Target="https://doi.org/10.1097/SLA.0000000000003404" TargetMode="External"/><Relationship Id="rId105" Type="http://schemas.openxmlformats.org/officeDocument/2006/relationships/hyperlink" Target="https://libkey.io/libraries/480/10.1097/SLA.0000000000003404" TargetMode="External"/><Relationship Id="rId106" Type="http://schemas.openxmlformats.org/officeDocument/2006/relationships/hyperlink" Target="https://doi.org/10.1097/SLA.0000000000007200" TargetMode="External"/><Relationship Id="rId107" Type="http://schemas.openxmlformats.org/officeDocument/2006/relationships/hyperlink" Target="https://libkey.io/libraries/480/10.1097/sla.0000000000007200" TargetMode="External"/><Relationship Id="rId108" Type="http://schemas.openxmlformats.org/officeDocument/2006/relationships/hyperlink" Target="https://doi.org/10.1007/s00270-024-03743-8" TargetMode="External"/><Relationship Id="rId109" Type="http://schemas.openxmlformats.org/officeDocument/2006/relationships/hyperlink" Target="https://libkey.io/libraries/480/10.1007/s00270-024-03743-8" TargetMode="External"/><Relationship Id="rId110" Type="http://schemas.openxmlformats.org/officeDocument/2006/relationships/hyperlink" Target="https://doi.org/10.1097/SLA.0000000000005803" TargetMode="External"/><Relationship Id="rId111" Type="http://schemas.openxmlformats.org/officeDocument/2006/relationships/hyperlink" Target="https://libkey.io/libraries/480/10.1097/SLA.0000000000005803" TargetMode="External"/><Relationship Id="rId112" Type="http://schemas.openxmlformats.org/officeDocument/2006/relationships/hyperlink" Target="https://doi.org/10.1001/jamasurg.2025.3600" TargetMode="External"/><Relationship Id="rId113" Type="http://schemas.openxmlformats.org/officeDocument/2006/relationships/hyperlink" Target="https://libkey.io/libraries/480/10.1001/jamasurg.2025.3600" TargetMode="External"/><Relationship Id="rId114" Type="http://schemas.openxmlformats.org/officeDocument/2006/relationships/hyperlink" Target="https://doi.org/10.1016/j.hpb.2018.02.377" TargetMode="External"/><Relationship Id="rId115" Type="http://schemas.openxmlformats.org/officeDocument/2006/relationships/hyperlink" Target="https://libkey.io/libraries/480/10.1016/j.hpb.2018.02.377" TargetMode="External"/><Relationship Id="rId116" Type="http://schemas.openxmlformats.org/officeDocument/2006/relationships/hyperlink" Target="https://doi.org/10.1097/LVT.0000000000000417" TargetMode="External"/><Relationship Id="rId117" Type="http://schemas.openxmlformats.org/officeDocument/2006/relationships/hyperlink" Target="https://libkey.io/libraries/480/10.1097/LVT.0000000000000417" TargetMode="External"/><Relationship Id="rId118" Type="http://schemas.openxmlformats.org/officeDocument/2006/relationships/hyperlink" Target="https://doi.org/10.1002/bjs5.50278" TargetMode="External"/><Relationship Id="rId119" Type="http://schemas.openxmlformats.org/officeDocument/2006/relationships/hyperlink" Target="https://libkey.io/libraries/480/10.1002/bjs5.50278" TargetMode="External"/><Relationship Id="rId120" Type="http://schemas.openxmlformats.org/officeDocument/2006/relationships/hyperlink" Target="https://doi.org/10.1007/s12149-022-01796-8" TargetMode="External"/><Relationship Id="rId121" Type="http://schemas.openxmlformats.org/officeDocument/2006/relationships/hyperlink" Target="https://libkey.io/libraries/480/10.1007/s12149-022-01796-8" TargetMode="External"/><Relationship Id="rId122" Type="http://schemas.openxmlformats.org/officeDocument/2006/relationships/hyperlink" Target="https://doi.org/10.1097/LVT.0000000000000535" TargetMode="External"/><Relationship Id="rId123" Type="http://schemas.openxmlformats.org/officeDocument/2006/relationships/hyperlink" Target="https://libkey.io/libraries/480/10.1097/LVT.0000000000000535" TargetMode="External"/><Relationship Id="rId124" Type="http://schemas.openxmlformats.org/officeDocument/2006/relationships/hyperlink" Target="https://doi.org/10.1200/CCI.23.00111" TargetMode="External"/><Relationship Id="rId125" Type="http://schemas.openxmlformats.org/officeDocument/2006/relationships/hyperlink" Target="https://libkey.io/libraries/480/10.1200/CCI.23.00111" TargetMode="External"/><Relationship Id="rId126" Type="http://schemas.openxmlformats.org/officeDocument/2006/relationships/hyperlink" Target="https://pubmed.ncbi.nlm.nih.gov/38721015" TargetMode="External"/><Relationship Id="rId127" Type="http://schemas.openxmlformats.org/officeDocument/2006/relationships/hyperlink" Target="https://libkey.io/libraries/480/10.1016/j.eclinm.2024.102608" TargetMode="External"/><Relationship Id="rId128" Type="http://schemas.openxmlformats.org/officeDocument/2006/relationships/hyperlink" Target="https://doi.org/10.1016/j.jhep.2024.06.042" TargetMode="External"/><Relationship Id="rId129" Type="http://schemas.openxmlformats.org/officeDocument/2006/relationships/hyperlink" Target="https://libkey.io/libraries/480/10.1016/j.jhep.2024.06.042" TargetMode="External"/><Relationship Id="rId130" Type="http://schemas.openxmlformats.org/officeDocument/2006/relationships/hyperlink" Target="https://doi.org/10.1155/joot/2545887" TargetMode="External"/><Relationship Id="rId131" Type="http://schemas.openxmlformats.org/officeDocument/2006/relationships/hyperlink" Target="https://libkey.io/libraries/480/10.1155/joot/2545887" TargetMode="External"/><Relationship Id="rId132" Type="http://schemas.openxmlformats.org/officeDocument/2006/relationships/hyperlink" Target="https://www.ecfr.gov/current/title-45/subtitle-A/subchapter-A/part-46/subpart-A/section-46.111" TargetMode="External"/><Relationship Id="rId133" Type="http://schemas.openxmlformats.org/officeDocument/2006/relationships/hyperlink" Target="https://www.hrsa.gov/optn/professionals/resources/ethical-considerations/ethical-principles-in-the-allocation-of-human-organs" TargetMode="External"/><Relationship Id="rId134" Type="http://schemas.openxmlformats.org/officeDocument/2006/relationships/hyperlink" Target="https://doi.org/10.1038/s41571-026-01160-z" TargetMode="External"/><Relationship Id="rId135" Type="http://schemas.openxmlformats.org/officeDocument/2006/relationships/hyperlink" Target="https://libkey.io/libraries/480/10.1038/s41571-026-01160-z" TargetMode="External"/><Relationship Id="rId136" Type="http://schemas.openxmlformats.org/officeDocument/2006/relationships/hyperlink" Target="https://doi.org/10.1016/S1470-2045(20)30224-2" TargetMode="External"/><Relationship Id="rId137" Type="http://schemas.openxmlformats.org/officeDocument/2006/relationships/hyperlink" Target="https://libkey.io/libraries/480/10.1016/S1470-2045(20)30224-2" TargetMode="External"/><Relationship Id="rId138" Type="http://schemas.openxmlformats.org/officeDocument/2006/relationships/hyperlink" Target="https://doi.org/10.1016/j.jhep.2024.03.020" TargetMode="External"/><Relationship Id="rId139" Type="http://schemas.openxmlformats.org/officeDocument/2006/relationships/hyperlink" Target="https://libkey.io/libraries/480/10.1016/j.jhep.2024.03.020" TargetMode="External"/><Relationship Id="rId140" Type="http://schemas.openxmlformats.org/officeDocument/2006/relationships/hyperlink" Target="https://doi.org/10.1111/j.1600-6143.2011.03972.x" TargetMode="External"/><Relationship Id="rId141" Type="http://schemas.openxmlformats.org/officeDocument/2006/relationships/hyperlink" Target="https://libkey.io/libraries/480/10.1111/j.1600-6143.2011.03972.x" TargetMode="External"/><Relationship Id="rId142" Type="http://schemas.openxmlformats.org/officeDocument/2006/relationships/hyperlink" Target="https://doi.org/10.1111/ajt.14055" TargetMode="External"/><Relationship Id="rId143" Type="http://schemas.openxmlformats.org/officeDocument/2006/relationships/hyperlink" Target="https://libkey.io/libraries/480/10.1111/ajt.14055" TargetMode="External"/><Relationship Id="rId144" Type="http://schemas.openxmlformats.org/officeDocument/2006/relationships/hyperlink" Target="https://doi.org/10.1097/LVT.0000000000000303" TargetMode="External"/><Relationship Id="rId145" Type="http://schemas.openxmlformats.org/officeDocument/2006/relationships/hyperlink" Target="https://libkey.io/libraries/480/10.1097/LVT.0000000000000303" TargetMode="External"/><Relationship Id="rId146" Type="http://schemas.openxmlformats.org/officeDocument/2006/relationships/hyperlink" Target="https://doi.org/10.1136/bmj.i5239" TargetMode="External"/><Relationship Id="rId147" Type="http://schemas.openxmlformats.org/officeDocument/2006/relationships/hyperlink" Target="https://libkey.io/libraries/480/10.1136/bmj.i5239" TargetMode="External"/><Relationship Id="rId148" Type="http://schemas.openxmlformats.org/officeDocument/2006/relationships/hyperlink" Target="https://doi.org/10.3389/ti.2024.13641" TargetMode="External"/><Relationship Id="rId149" Type="http://schemas.openxmlformats.org/officeDocument/2006/relationships/hyperlink" Target="https://libkey.io/libraries/480/10.3389/ti.2024.13641" TargetMode="External"/><Relationship Id="rId150" Type="http://schemas.openxmlformats.org/officeDocument/2006/relationships/hyperlink" Target="https://academic.oup.com/bjs/article/112/3/znaf054/8083032" TargetMode="External"/><Relationship Id="rId151" Type="http://schemas.openxmlformats.org/officeDocument/2006/relationships/hyperlink" Target="https://libkey.io/libraries/480/10.1093/bjs/znaf054" TargetMode="External"/><Relationship Id="rId152" Type="http://schemas.openxmlformats.org/officeDocument/2006/relationships/hyperlink" Target="https://drliuhao.github.io/mh-liver-pathways/evidence/2026-10-25/docs/HPB_Cross_Tumor_Systemic_Treatment_Matrix_2026-10-25.docx" TargetMode="External"/><Relationship Id="rId153" Type="http://schemas.openxmlformats.org/officeDocument/2006/relationships/hyperlink" Target="https://doi.org/10.1038/s41467-025-67824-z" TargetMode="External"/><Relationship Id="rId154" Type="http://schemas.openxmlformats.org/officeDocument/2006/relationships/hyperlink" Target="https://libkey.io/libraries/480/10.1038/s41467-025-67824-z" TargetMode="External"/><Relationship Id="rId155" Type="http://schemas.openxmlformats.org/officeDocument/2006/relationships/hyperlink" Target="https://doi.org/10.1056/NEJMoa2214963" TargetMode="External"/><Relationship Id="rId156" Type="http://schemas.openxmlformats.org/officeDocument/2006/relationships/hyperlink" Target="https://libkey.io/libraries/480/10.1056/NEJMoa2214963" TargetMode="External"/><Relationship Id="rId157" Type="http://schemas.openxmlformats.org/officeDocument/2006/relationships/hyperlink" Target="https://doi.org/10.1016/S0140-6736(23)00772-9" TargetMode="External"/><Relationship Id="rId158" Type="http://schemas.openxmlformats.org/officeDocument/2006/relationships/hyperlink" Target="https://libkey.io/libraries/480/10.1016/S0140-6736(23)00772-9" TargetMode="External"/><Relationship Id="rId159" Type="http://schemas.openxmlformats.org/officeDocument/2006/relationships/hyperlink" Target="https://www.hrsa.gov/sites/default/files/hrsa/optn/optn_policies.pdf" TargetMode="External"/><Relationship Id="rId160" Type="http://schemas.openxmlformats.org/officeDocument/2006/relationships/hyperlink" Target="https://drliuhao.github.io/mh-liver-pathways/evidence/2026-10-25/" TargetMode="External"/><Relationship Id="rId161" Type="http://schemas.openxmlformats.org/officeDocument/2006/relationships/hyperlink" Target="https://www.hrsa.gov/sites/default/files/hrsa/optn/adult-meld-exception-transplant-oncology-review-guidance.pdf" TargetMode="External"/><Relationship Id="rId162" Type="http://schemas.openxmlformats.org/officeDocument/2006/relationships/hyperlink" Target="https://drliuhao.github.io/mh-liver-pathways/evidence/2026-10-25/" TargetMode="External"/><Relationship Id="rId163" Type="http://schemas.openxmlformats.org/officeDocument/2006/relationships/hyperlink" Target="https://doi.org/10.1016/S0140-6736(24)01595-2" TargetMode="External"/><Relationship Id="rId164" Type="http://schemas.openxmlformats.org/officeDocument/2006/relationships/hyperlink" Target="https://libkey.io/libraries/480/10.1016/S0140-6736(24)01595-2" TargetMode="External"/><Relationship Id="rId165" Type="http://schemas.openxmlformats.org/officeDocument/2006/relationships/hyperlink" Target="https://doi.org/10.1016/S2468-1253(21)00219-3" TargetMode="External"/><Relationship Id="rId166" Type="http://schemas.openxmlformats.org/officeDocument/2006/relationships/hyperlink" Target="https://libkey.io/libraries/480/10.1016/S2468-1253(21)00219-3" TargetMode="External"/><Relationship Id="rId167" Type="http://schemas.openxmlformats.org/officeDocument/2006/relationships/hyperlink" Target="https://doi.org/10.1097/HEP.0000000000001644" TargetMode="External"/><Relationship Id="rId168" Type="http://schemas.openxmlformats.org/officeDocument/2006/relationships/hyperlink" Target="https://libkey.io/libraries/480/10.1097/HEP.0000000000001644" TargetMode="External"/><Relationship Id="rId169" Type="http://schemas.openxmlformats.org/officeDocument/2006/relationships/hyperlink" Target="https://doi.org/10.1097/SLA.0000000000007021" TargetMode="External"/><Relationship Id="rId170" Type="http://schemas.openxmlformats.org/officeDocument/2006/relationships/hyperlink" Target="https://libkey.io/libraries/480/10.1097/SLA.0000000000007021" TargetMode="External"/><Relationship Id="rId171" Type="http://schemas.openxmlformats.org/officeDocument/2006/relationships/hyperlink" Target="https://doi.org/10.1097/SLA.0000000000003404" TargetMode="External"/><Relationship Id="rId172" Type="http://schemas.openxmlformats.org/officeDocument/2006/relationships/hyperlink" Target="https://libkey.io/libraries/480/10.1097/SLA.0000000000003404" TargetMode="External"/><Relationship Id="rId173" Type="http://schemas.openxmlformats.org/officeDocument/2006/relationships/hyperlink" Target="https://doi.org/10.1097/SLA.0000000000007200" TargetMode="External"/><Relationship Id="rId174" Type="http://schemas.openxmlformats.org/officeDocument/2006/relationships/hyperlink" Target="https://libkey.io/libraries/480/10.1097/sla.0000000000007200" TargetMode="External"/><Relationship Id="rId175" Type="http://schemas.openxmlformats.org/officeDocument/2006/relationships/hyperlink" Target="https://doi.org/10.1007/s00270-024-03743-8" TargetMode="External"/><Relationship Id="rId176" Type="http://schemas.openxmlformats.org/officeDocument/2006/relationships/hyperlink" Target="https://libkey.io/libraries/480/10.1007/s00270-024-03743-8" TargetMode="External"/><Relationship Id="rId177" Type="http://schemas.openxmlformats.org/officeDocument/2006/relationships/hyperlink" Target="https://doi.org/10.1097/SLA.0000000000005803" TargetMode="External"/><Relationship Id="rId178" Type="http://schemas.openxmlformats.org/officeDocument/2006/relationships/hyperlink" Target="https://libkey.io/libraries/480/10.1097/SLA.0000000000005803" TargetMode="External"/><Relationship Id="rId179" Type="http://schemas.openxmlformats.org/officeDocument/2006/relationships/hyperlink" Target="https://doi.org/10.1001/jamasurg.2025.3600" TargetMode="External"/><Relationship Id="rId180" Type="http://schemas.openxmlformats.org/officeDocument/2006/relationships/hyperlink" Target="https://libkey.io/libraries/480/10.1001/jamasurg.2025.3600" TargetMode="External"/><Relationship Id="rId181" Type="http://schemas.openxmlformats.org/officeDocument/2006/relationships/hyperlink" Target="https://doi.org/10.1016/j.hpb.2018.02.377" TargetMode="External"/><Relationship Id="rId182" Type="http://schemas.openxmlformats.org/officeDocument/2006/relationships/hyperlink" Target="https://libkey.io/libraries/480/10.1016/j.hpb.2018.02.377" TargetMode="External"/><Relationship Id="rId183" Type="http://schemas.openxmlformats.org/officeDocument/2006/relationships/hyperlink" Target="https://doi.org/10.1097/LVT.0000000000000417" TargetMode="External"/><Relationship Id="rId184" Type="http://schemas.openxmlformats.org/officeDocument/2006/relationships/hyperlink" Target="https://libkey.io/libraries/480/10.1097/LVT.0000000000000417" TargetMode="External"/><Relationship Id="rId185" Type="http://schemas.openxmlformats.org/officeDocument/2006/relationships/hyperlink" Target="https://doi.org/10.1002/bjs5.50278" TargetMode="External"/><Relationship Id="rId186" Type="http://schemas.openxmlformats.org/officeDocument/2006/relationships/hyperlink" Target="https://libkey.io/libraries/480/10.1002/bjs5.50278" TargetMode="External"/><Relationship Id="rId187" Type="http://schemas.openxmlformats.org/officeDocument/2006/relationships/hyperlink" Target="https://doi.org/10.1007/s12149-022-01796-8" TargetMode="External"/><Relationship Id="rId188" Type="http://schemas.openxmlformats.org/officeDocument/2006/relationships/hyperlink" Target="https://libkey.io/libraries/480/10.1007/s12149-022-01796-8" TargetMode="External"/><Relationship Id="rId189" Type="http://schemas.openxmlformats.org/officeDocument/2006/relationships/hyperlink" Target="https://doi.org/10.1097/LVT.0000000000000535" TargetMode="External"/><Relationship Id="rId190" Type="http://schemas.openxmlformats.org/officeDocument/2006/relationships/hyperlink" Target="https://libkey.io/libraries/480/10.1097/LVT.0000000000000535" TargetMode="External"/><Relationship Id="rId191" Type="http://schemas.openxmlformats.org/officeDocument/2006/relationships/hyperlink" Target="https://doi.org/10.1200/CCI.23.00111" TargetMode="External"/><Relationship Id="rId192" Type="http://schemas.openxmlformats.org/officeDocument/2006/relationships/hyperlink" Target="https://libkey.io/libraries/480/10.1200/CCI.23.00111" TargetMode="External"/><Relationship Id="rId193" Type="http://schemas.openxmlformats.org/officeDocument/2006/relationships/hyperlink" Target="https://pubmed.ncbi.nlm.nih.gov/38721015" TargetMode="External"/><Relationship Id="rId194" Type="http://schemas.openxmlformats.org/officeDocument/2006/relationships/hyperlink" Target="https://libkey.io/libraries/480/10.1016/j.eclinm.2024.102608" TargetMode="External"/><Relationship Id="rId195" Type="http://schemas.openxmlformats.org/officeDocument/2006/relationships/hyperlink" Target="https://doi.org/10.1016/j.jhep.2024.06.042" TargetMode="External"/><Relationship Id="rId196" Type="http://schemas.openxmlformats.org/officeDocument/2006/relationships/hyperlink" Target="https://libkey.io/libraries/480/10.1016/j.jhep.2024.06.042" TargetMode="External"/><Relationship Id="rId197" Type="http://schemas.openxmlformats.org/officeDocument/2006/relationships/hyperlink" Target="https://doi.org/10.1155/joot/2545887" TargetMode="External"/><Relationship Id="rId198" Type="http://schemas.openxmlformats.org/officeDocument/2006/relationships/hyperlink" Target="https://libkey.io/libraries/480/10.1155/joot/2545887" TargetMode="External"/><Relationship Id="rId199" Type="http://schemas.openxmlformats.org/officeDocument/2006/relationships/hyperlink" Target="https://www.ecfr.gov/current/title-45/subtitle-A/subchapter-A/part-46/subpart-A/section-46.111" TargetMode="External"/><Relationship Id="rId200" Type="http://schemas.openxmlformats.org/officeDocument/2006/relationships/hyperlink" Target="https://www.hrsa.gov/optn/professionals/resources/ethical-considerations/ethical-principles-in-the-allocation-of-human-organs" TargetMode="External"/><Relationship Id="rId201" Type="http://schemas.openxmlformats.org/officeDocument/2006/relationships/hyperlink" Target="https://doi.org/10.1038/s41571-026-01160-z" TargetMode="External"/><Relationship Id="rId202" Type="http://schemas.openxmlformats.org/officeDocument/2006/relationships/hyperlink" Target="https://libkey.io/libraries/480/10.1038/s41571-026-01160-z" TargetMode="External"/><Relationship Id="rId203" Type="http://schemas.openxmlformats.org/officeDocument/2006/relationships/hyperlink" Target="https://doi.org/10.1016/S1470-2045(20)30224-2" TargetMode="External"/><Relationship Id="rId204" Type="http://schemas.openxmlformats.org/officeDocument/2006/relationships/hyperlink" Target="https://libkey.io/libraries/480/10.1016/S1470-2045(20)30224-2" TargetMode="External"/><Relationship Id="rId205" Type="http://schemas.openxmlformats.org/officeDocument/2006/relationships/hyperlink" Target="https://doi.org/10.1016/j.jhep.2024.03.020" TargetMode="External"/><Relationship Id="rId206" Type="http://schemas.openxmlformats.org/officeDocument/2006/relationships/hyperlink" Target="https://libkey.io/libraries/480/10.1016/j.jhep.2024.03.020" TargetMode="External"/><Relationship Id="rId207" Type="http://schemas.openxmlformats.org/officeDocument/2006/relationships/hyperlink" Target="https://doi.org/10.1111/j.1600-6143.2011.03972.x" TargetMode="External"/><Relationship Id="rId208" Type="http://schemas.openxmlformats.org/officeDocument/2006/relationships/hyperlink" Target="https://libkey.io/libraries/480/10.1111/j.1600-6143.2011.03972.x" TargetMode="External"/><Relationship Id="rId209" Type="http://schemas.openxmlformats.org/officeDocument/2006/relationships/hyperlink" Target="https://doi.org/10.1111/ajt.14055" TargetMode="External"/><Relationship Id="rId210" Type="http://schemas.openxmlformats.org/officeDocument/2006/relationships/hyperlink" Target="https://libkey.io/libraries/480/10.1111/ajt.14055" TargetMode="External"/><Relationship Id="rId211" Type="http://schemas.openxmlformats.org/officeDocument/2006/relationships/hyperlink" Target="https://doi.org/10.1097/LVT.0000000000000303" TargetMode="External"/><Relationship Id="rId212" Type="http://schemas.openxmlformats.org/officeDocument/2006/relationships/hyperlink" Target="https://libkey.io/libraries/480/10.1097/LVT.0000000000000303" TargetMode="External"/><Relationship Id="rId213" Type="http://schemas.openxmlformats.org/officeDocument/2006/relationships/hyperlink" Target="https://doi.org/10.1136/bmj.i5239" TargetMode="External"/><Relationship Id="rId214" Type="http://schemas.openxmlformats.org/officeDocument/2006/relationships/hyperlink" Target="https://libkey.io/libraries/480/10.1136/bmj.i5239" TargetMode="External"/><Relationship Id="rId215" Type="http://schemas.openxmlformats.org/officeDocument/2006/relationships/hyperlink" Target="https://doi.org/10.3389/ti.2024.13641" TargetMode="External"/><Relationship Id="rId216" Type="http://schemas.openxmlformats.org/officeDocument/2006/relationships/hyperlink" Target="https://libkey.io/libraries/480/10.3389/ti.2024.13641" TargetMode="External"/><Relationship Id="rId217" Type="http://schemas.openxmlformats.org/officeDocument/2006/relationships/hyperlink" Target="https://academic.oup.com/bjs/article/112/3/znaf054/8083032" TargetMode="External"/><Relationship Id="rId218" Type="http://schemas.openxmlformats.org/officeDocument/2006/relationships/hyperlink" Target="https://libkey.io/libraries/480/10.1093/bjs/znaf054" TargetMode="External"/><Relationship Id="rId219" Type="http://schemas.openxmlformats.org/officeDocument/2006/relationships/hyperlink" Target="https://doi.org/10.1038/s41467-025-67824-z" TargetMode="External"/><Relationship Id="rId220" Type="http://schemas.openxmlformats.org/officeDocument/2006/relationships/hyperlink" Target="https://libkey.io/libraries/480/10.1038/s41467-025-67824-z" TargetMode="External"/><Relationship Id="rId221" Type="http://schemas.openxmlformats.org/officeDocument/2006/relationships/hyperlink" Target="https://doi.org/10.1056/NEJMoa2214963" TargetMode="External"/><Relationship Id="rId222" Type="http://schemas.openxmlformats.org/officeDocument/2006/relationships/hyperlink" Target="https://libkey.io/libraries/480/10.1056/NEJMoa2214963" TargetMode="External"/><Relationship Id="rId223" Type="http://schemas.openxmlformats.org/officeDocument/2006/relationships/hyperlink" Target="https://doi.org/10.1016/S0140-6736(23)00772-9" TargetMode="External"/><Relationship Id="rId224" Type="http://schemas.openxmlformats.org/officeDocument/2006/relationships/hyperlink" Target="https://libkey.io/libraries/480/10.1016/S0140-6736(23)00772-9" TargetMode="Externa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6050</Words>
  <Characters>34487</Characters>
  <Application>Microsoft Office Word</Application>
  <DocSecurity>0</DocSecurity>
  <Lines>287</Lines>
  <Paragraphs>80</Paragraphs>
  <ScaleCrop>false</ScaleCrop>
  <Company/>
  <LinksUpToDate>false</LinksUpToDate>
  <CharactersWithSpaces>40457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Liu, Hao</cp:lastModifiedBy>
  <cp:revision>2</cp:revision>
  <dcterms:created xsi:type="dcterms:W3CDTF">2026-07-15T22:53:00Z</dcterms:created>
  <dcterms:modified xsi:type="dcterms:W3CDTF">2026-10-25T09:38:07Z</dcterms:modified>
  <dc:title>UTHealth Houston and Memorial Hermann High Risk Liver Transplant Protocol for Colorectal Liver Metastases V8</dc:title>
  <dc:subject>Investigational CRLM pathway outside NLRB guidance criteria</dc:subject>
  <dc:description>V2 generated 2026-07-23 17:53:12 CDT; evidence corrections documented in 04_review_summary/OpenEvidence_Protocol_Audit_2026-07-23.md.</dc:description>
</cp:coreProperties>
</file>