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Colorectal liver metastases</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Colorectal liver metastases · system roadmap</w:t>
      </w:r>
    </w:p>
    <w:p>
      <w:pPr>
        <w:spacing w:after="320" w:line="276"/>
      </w:pPr>
      <w:r>
        <w:rPr>
          <w:color w:val="5A6069"/>
          <w:sz w:val="20"/>
          <w:szCs w:val="20"/>
        </w:rPr>
        <w:t xml:space="preserve">Original pathway: 5 gates · 51 cited sources · 27 stated uncertainties · 18 open decisions. Retained pathway content.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Whether every site of hepatic disease can be eradicated — now, after a defined course of conversion therapy, or only by replacing the liver — and what to do when the answer is no.</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1 · Staged and genotyped</w:t>
      </w:r>
    </w:p>
    <w:p>
      <w:pPr>
        <w:spacing w:after="140"/>
      </w:pPr>
      <w:r>
        <w:rPr>
          <w:b/>
          <w:bCs/>
          <w:color w:val="176A87"/>
          <w:sz w:val="19"/>
          <w:szCs w:val="19"/>
        </w:rPr>
        <w:t xml:space="preserve">The question. </w:t>
      </w:r>
      <w:r>
        <w:rPr>
          <w:sz w:val="19"/>
          <w:szCs w:val="19"/>
        </w:rPr>
        <w:t xml:space="preserve">Do I know the whole disease, the liver and the biology well enough to say which phase this patient is in?</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Contrast CT of chest, abdomen and pelvis, plus liver MRI with hepatocyte-specific or diffusion-weighted sequences whenever local therapy is contemplated</w:t>
      </w:r>
    </w:p>
    <w:p>
      <w:pPr>
        <w:pStyle w:val="ListParagraph"/>
        <w:numPr>
          <w:ilvl w:val="0"/>
          <w:numId w:val="2"/>
        </w:numPr>
        <w:spacing w:after="60" w:line="268"/>
      </w:pPr>
      <w:r>
        <w:rPr>
          <w:color w:val="15181F"/>
          <w:sz w:val="18"/>
          <w:szCs w:val="18"/>
        </w:rPr>
        <w:t xml:space="preserve">PET/CT and colonoscopy added whenever transplantation is a possibility</w:t>
      </w:r>
    </w:p>
    <w:p>
      <w:pPr>
        <w:pStyle w:val="ListParagraph"/>
        <w:numPr>
          <w:ilvl w:val="0"/>
          <w:numId w:val="2"/>
        </w:numPr>
        <w:spacing w:after="60" w:line="268"/>
      </w:pPr>
      <w:r>
        <w:rPr>
          <w:color w:val="15181F"/>
          <w:sz w:val="18"/>
          <w:szCs w:val="18"/>
        </w:rPr>
        <w:t xml:space="preserve">RAS, BRAF, MMR/MSI and HER2 resulted before the first-line systemic decision</w:t>
      </w:r>
    </w:p>
    <w:p>
      <w:pPr>
        <w:pStyle w:val="ListParagraph"/>
        <w:numPr>
          <w:ilvl w:val="0"/>
          <w:numId w:val="2"/>
        </w:numPr>
        <w:spacing w:after="60" w:line="268"/>
      </w:pPr>
      <w:r>
        <w:rPr>
          <w:color w:val="15181F"/>
          <w:sz w:val="18"/>
          <w:szCs w:val="18"/>
        </w:rPr>
        <w:t xml:space="preserve">Primary tumour status recorded, with pelvic MRI and baseline bowel, urinary and sexual function for a rectal primary</w:t>
      </w:r>
    </w:p>
    <w:p>
      <w:pPr>
        <w:pStyle w:val="ListParagraph"/>
        <w:numPr>
          <w:ilvl w:val="0"/>
          <w:numId w:val="2"/>
        </w:numPr>
        <w:spacing w:after="60" w:line="268"/>
      </w:pPr>
      <w:r>
        <w:rPr>
          <w:color w:val="15181F"/>
          <w:sz w:val="18"/>
          <w:szCs w:val="18"/>
        </w:rPr>
        <w:t xml:space="preserve">Future liver remnant, prior treatment map including previous ablation zones, and the clinical risk score recorded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Stage with contrast CT of chest, abdomen and pelvis and add a liver MRI with hepatocyte-specific or diffusion-weighted sequences before any hepatectomy or ablation.</w:t>
      </w:r>
    </w:p>
    <w:p>
      <w:pPr>
        <w:spacing w:after="50" w:line="276"/>
        <w:ind w:left="240"/>
      </w:pPr>
      <w:r>
        <w:rPr>
          <w:color w:val="15181F"/>
          <w:sz w:val="18"/>
          <w:szCs w:val="18"/>
        </w:rPr>
        <w:t xml:space="preserve">Every patient in whom local therapy is contemplated: MRI detects lesions CT misses and changes the operative plan, and ESMO asks for liver contrast MRI with hepatobiliary agents in every candidate for locoregional therapy [II, A].</w:t>
      </w:r>
    </w:p>
    <w:p>
      <w:pPr>
        <w:spacing w:after="50"/>
        <w:ind w:left="240"/>
      </w:pPr>
      <w:r>
        <w:rPr>
          <w:b/>
          <w:bCs/>
          <w:color w:val="8C2F26"/>
          <w:sz w:val="18"/>
          <w:szCs w:val="18"/>
        </w:rPr>
        <w:t xml:space="preserve">Caveat. </w:t>
      </w:r>
      <w:r>
        <w:rPr>
          <w:color w:val="15181F"/>
          <w:sz w:val="18"/>
          <w:szCs w:val="18"/>
        </w:rPr>
        <w:t xml:space="preserve">Do not plan a hepatectomy or an ablation from CT alone; an incomplete map produces an incomplete operation. Image before the first dose of chemotherapy where possible, because lesions are easier to see untreated.</w:t>
      </w:r>
    </w:p>
    <w:p>
      <w:pPr>
        <w:spacing w:after="50" w:line="276"/>
        <w:ind w:left="240"/>
      </w:pPr>
      <w:r>
        <w:rPr>
          <w:i/>
          <w:iCs/>
          <w:color w:val="5A6069"/>
          <w:sz w:val="17"/>
          <w:szCs w:val="17"/>
        </w:rPr>
        <w:t xml:space="preserve">NCCN prefers hepatic MRI with extracellular or hepatobiliary contrast over CT to assess the exact number and distribution of foci for local treatment planning. The Chinese 2024 consensus makes liver-specific contrast MRI the preferred baseline study (Grade I) and does not use PET/CT first line.</w:t>
      </w:r>
    </w:p>
    <w:p>
      <w:pPr>
        <w:spacing w:after="60" w:line="276"/>
        <w:ind w:left="240"/>
      </w:pPr>
      <w:r>
        <w:rPr>
          <w:color w:val="5A6069"/>
          <w:sz w:val="16"/>
          <w:szCs w:val="16"/>
        </w:rPr>
        <w:t xml:space="preserve">Sources: ESMO 2026; Chinese 2024 consensus</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If transplantation is a possibility, stage to the transplant standard: PET/CT and colonoscopy in addition, inside the OPTN time windows.</w:t>
      </w:r>
    </w:p>
    <w:p>
      <w:pPr>
        <w:spacing w:after="50" w:line="276"/>
        <w:ind w:left="240"/>
      </w:pPr>
      <w:r>
        <w:rPr>
          <w:color w:val="15181F"/>
          <w:sz w:val="18"/>
          <w:szCs w:val="18"/>
        </w:rPr>
        <w:t xml:space="preserve">Any patient who might reach Phase 3. The threshold for excluding extrahepatic disease is higher for transplantation than for resection, because graft scarcity and lifelong immunosuppression change the consequence of being wrong. IHPBA 2021 recommends FDG PET/CT to rule out extrahepatic disease and high-resolution chest CT to exclude pulmonary metastases.</w:t>
      </w:r>
    </w:p>
    <w:p>
      <w:pPr>
        <w:spacing w:after="50"/>
        <w:ind w:left="240"/>
      </w:pPr>
      <w:r>
        <w:rPr>
          <w:b/>
          <w:bCs/>
          <w:color w:val="8C2F26"/>
          <w:sz w:val="18"/>
          <w:szCs w:val="18"/>
        </w:rPr>
        <w:t xml:space="preserve">Caveat. </w:t>
      </w:r>
      <w:r>
        <w:rPr>
          <w:color w:val="15181F"/>
          <w:sz w:val="18"/>
          <w:szCs w:val="18"/>
        </w:rPr>
        <w:t xml:space="preserve">Do not treat resection-grade staging as evidence of transplant eligibility. Imaging adequate to plan a hepatectomy is not adequate to establish exception eligibility.</w:t>
      </w:r>
    </w:p>
    <w:p>
      <w:pPr>
        <w:spacing w:after="50" w:line="276"/>
        <w:ind w:left="240"/>
      </w:pPr>
      <w:r>
        <w:rPr>
          <w:i/>
          <w:iCs/>
          <w:color w:val="5A6069"/>
          <w:sz w:val="17"/>
          <w:szCs w:val="17"/>
        </w:rPr>
        <w:t xml:space="preserve">The OPTN guidance route requires CT/MRI of chest, abdomen and pelvis plus PET within one month before the initial request, with the PET performed at least four weeks after chemotherapy is stopped, and colonoscopy within 12 months before the request. IHPBA 2021 instead asks for colonoscopy within 3 months of transplant. Graded D rather than B: these are review-board guidance and consensus windows with no comparative evidence that any of them changes outcome, and the two documents already disagree on the colonoscopy interval.</w:t>
      </w:r>
    </w:p>
    <w:p>
      <w:pPr>
        <w:spacing w:after="60" w:line="276"/>
        <w:ind w:left="240"/>
      </w:pPr>
      <w:r>
        <w:rPr>
          <w:color w:val="5A6069"/>
          <w:sz w:val="16"/>
          <w:szCs w:val="16"/>
        </w:rPr>
        <w:t xml:space="preserve">Sources: IHPBA 2021</w:t>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Resulted RAS, BRAF, mismatch-repair or microsatellite status and HER2 at diagnosis of metastatic disease, with broader profiling where a rare actionable alteration would change treatment.</w:t>
      </w:r>
    </w:p>
    <w:p>
      <w:pPr>
        <w:spacing w:after="50" w:line="276"/>
        <w:ind w:left="240"/>
      </w:pPr>
      <w:r>
        <w:rPr>
          <w:color w:val="15181F"/>
          <w:sz w:val="18"/>
          <w:szCs w:val="18"/>
        </w:rPr>
        <w:t xml:space="preserve">Before the first-line decision, every patient. ESMO asks for molecular work-up at diagnosis in all patients reported within 14 days [I, A]; the Chinese 2024 consensus tests RAS and BRAF in all patients before treatment (Grade I, Class 1A).</w:t>
      </w:r>
    </w:p>
    <w:p>
      <w:pPr>
        <w:spacing w:after="50"/>
        <w:ind w:left="240"/>
      </w:pPr>
      <w:r>
        <w:rPr>
          <w:b/>
          <w:bCs/>
          <w:color w:val="8C2F26"/>
          <w:sz w:val="18"/>
          <w:szCs w:val="18"/>
        </w:rPr>
        <w:t xml:space="preserve">Caveat. </w:t>
      </w:r>
      <w:r>
        <w:rPr>
          <w:color w:val="15181F"/>
          <w:sz w:val="18"/>
          <w:szCs w:val="18"/>
        </w:rPr>
        <w:t xml:space="preserve">Do not let a single mutation set margin width, the extent of parenchymal resection, or exclusion from otherwise feasible clearance. BRAF mutation carries an adverse prognosis after resection; it is not an operative contraindication.</w:t>
      </w:r>
    </w:p>
    <w:p>
      <w:pPr>
        <w:spacing w:after="50" w:line="276"/>
        <w:ind w:left="240"/>
      </w:pPr>
      <w:r>
        <w:rPr>
          <w:i/>
          <w:iCs/>
          <w:color w:val="5A6069"/>
          <w:sz w:val="17"/>
          <w:szCs w:val="17"/>
        </w:rPr>
        <w:t xml:space="preserve">A POLE or POLD1 variant needs variant-level and phenotype interpretation before it is used to justify checkpoint therapy. Mismatch-repair deficiency or a suggestive family history prompts hereditary cancer assessment. Genotype is prognostic; the direction and duration of response during effective therapy carry more decision weight.</w:t>
      </w:r>
    </w:p>
    <w:p>
      <w:pPr>
        <w:spacing w:after="60" w:line="276"/>
        <w:ind w:left="240"/>
      </w:pPr>
      <w:r>
        <w:rPr>
          <w:color w:val="5A6069"/>
          <w:sz w:val="16"/>
          <w:szCs w:val="16"/>
        </w:rPr>
        <w:t xml:space="preserve">Sources: ESMO 2026; Chinese 2024 consensus</w:t>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Molecular class decides first and sidedness second. This order reflects the guidelines' branching logic, not a survival ranking between classes — each option was tested only in its own molecular group.</w:t>
      </w:r>
    </w:p>
    <w:p>
      <w:pPr>
        <w:spacing w:after="50" w:before="120"/>
        <w:ind w:left="240"/>
      </w:pPr>
      <w:r>
        <w:rPr>
          <w:b/>
          <w:bCs/>
          <w:color w:val="15181F"/>
          <w:sz w:val="19"/>
          <w:szCs w:val="19"/>
        </w:rPr>
        <w:t xml:space="preserve">Doublet plus anti-EGFR</w:t>
      </w:r>
      <w:r>
        <w:rPr>
          <w:color w:val="5A6069"/>
          <w:sz w:val="15"/>
          <w:szCs w:val="15"/>
        </w:rPr>
        <w:t xml:space="preserve">   grade B</w:t>
      </w:r>
    </w:p>
    <w:p>
      <w:pPr>
        <w:spacing w:after="50" w:line="276"/>
        <w:ind w:left="240"/>
      </w:pPr>
      <w:r>
        <w:rPr>
          <w:color w:val="15181F"/>
          <w:sz w:val="18"/>
          <w:szCs w:val="18"/>
        </w:rPr>
        <w:t xml:space="preserve">ASCO 2023 recommends anti-EGFR plus doublet chemotherapy first line for left-sided RAS wild-type disease (strong recommendation) and not for right-sided tumours: versus bevacizumab, overall survival HR 0.71 (0.58–0.85) on the left and 1.35 (1.0–1.8) on the right.</w:t>
      </w:r>
    </w:p>
    <w:p>
      <w:pPr>
        <w:spacing w:after="50" w:line="276"/>
        <w:ind w:left="240"/>
      </w:pPr>
      <w:r>
        <w:rPr>
          <w:color w:val="15181F"/>
          <w:sz w:val="18"/>
          <w:szCs w:val="18"/>
        </w:rPr>
        <w:t xml:space="preserve">Left-sided, RAS and BRAF wild-type, mismatch-repair proficient disease when maximal shrinkage is the goal. In the final RAS wild-type FIRE-3 population centrally reviewed response was 72.0% versus 56.1% and early shrinkage of 20% or more 68.2% versus 49.1% with cetuximab — both post hoc, in a trial whose investigator-assessed response and progression-free survival did not differ and which did not analyse sidedness.</w:t>
      </w:r>
    </w:p>
    <w:p>
      <w:pPr>
        <w:spacing w:after="50"/>
        <w:ind w:left="240"/>
      </w:pPr>
      <w:r>
        <w:rPr>
          <w:b/>
          <w:bCs/>
          <w:color w:val="8C2F26"/>
          <w:sz w:val="18"/>
          <w:szCs w:val="18"/>
        </w:rPr>
        <w:t xml:space="preserve">Caveat. </w:t>
      </w:r>
      <w:r>
        <w:rPr>
          <w:color w:val="15181F"/>
          <w:sz w:val="18"/>
          <w:szCs w:val="18"/>
        </w:rPr>
        <w:t xml:space="preserve">Right-sided primary, or RAS or BRAF V600E mutation. Do not read a shrinkage advantage as a survival advantage: CALGB/SWOG 80405 found median overall survival 30.0 months with cetuximab versus 29.0 with bevacizumab, HR 0.88 (0.77–1.01), p=0.08, so the two biologics give similar survival in KRAS wild-type disease. Do not read it as a conversion advantage either: in the left-sided RAS and BRAF wild-type comparison of CAIRO5, panitumumab raised objective response from 53% to 80% (p&lt;0.0001) and median depth of response from 33% to 49% (p&lt;0.0001), yet complete local treatment was 58% in both arms (p=1.00) and those two groups were closed early for futility (progression-free survival HR 1.11, 0.84–1.48, p=0.46).</w:t>
      </w:r>
    </w:p>
    <w:p>
      <w:pPr>
        <w:spacing w:after="60" w:line="276"/>
        <w:ind w:left="240"/>
      </w:pPr>
      <w:r>
        <w:rPr>
          <w:color w:val="5A6069"/>
          <w:sz w:val="16"/>
          <w:szCs w:val="16"/>
        </w:rPr>
        <w:t xml:space="preserve">Sources: ASCO 2023; FIRE-3; CALGB/SWOG 80405; CAIRO5</w:t>
      </w:r>
    </w:p>
    <w:p>
      <w:pPr>
        <w:spacing w:after="50" w:before="120"/>
        <w:ind w:left="240"/>
      </w:pPr>
      <w:r>
        <w:rPr>
          <w:b/>
          <w:bCs/>
          <w:color w:val="15181F"/>
          <w:sz w:val="19"/>
          <w:szCs w:val="19"/>
        </w:rPr>
        <w:t xml:space="preserve">FOLFOXIRI plus bevacizumab</w:t>
      </w:r>
      <w:r>
        <w:rPr>
          <w:color w:val="5A6069"/>
          <w:sz w:val="15"/>
          <w:szCs w:val="15"/>
        </w:rPr>
        <w:t xml:space="preserve">   grade B</w:t>
      </w:r>
    </w:p>
    <w:p>
      <w:pPr>
        <w:spacing w:after="50" w:line="276"/>
        <w:ind w:left="240"/>
      </w:pPr>
      <w:r>
        <w:rPr>
          <w:color w:val="15181F"/>
          <w:sz w:val="18"/>
          <w:szCs w:val="18"/>
        </w:rPr>
        <w:t xml:space="preserve">CAIRO5 supported regimen choice by sidedness and molecular status. In right-sided or RAS/BRAF V600E-mutant initially unresectable liver-only disease, FOLFOXIRI–bevacizumab improved progression-free survival (median 10.6 versus 9.0 months, HR 0.76, 95% CI 0.60–0.98, p=0.032) and complete local treatment (51% versus 37%, p=0.013).</w:t>
      </w:r>
    </w:p>
    <w:p>
      <w:pPr>
        <w:spacing w:after="50" w:line="276"/>
        <w:ind w:left="240"/>
      </w:pPr>
      <w:r>
        <w:rPr>
          <w:color w:val="15181F"/>
          <w:sz w:val="18"/>
          <w:szCs w:val="18"/>
        </w:rPr>
        <w:t xml:space="preserve">A fit patient with right-sided or RAS/BRAF V600E-mutant disease in whom conversion response is the limiting factor. Preferred for that defined phenotype, not a general default.</w:t>
      </w:r>
    </w:p>
    <w:p>
      <w:pPr>
        <w:spacing w:after="50"/>
        <w:ind w:left="240"/>
      </w:pPr>
      <w:r>
        <w:rPr>
          <w:b/>
          <w:bCs/>
          <w:color w:val="8C2F26"/>
          <w:sz w:val="18"/>
          <w:szCs w:val="18"/>
        </w:rPr>
        <w:t xml:space="preserve">Caveat. </w:t>
      </w:r>
      <w:r>
        <w:rPr>
          <w:color w:val="15181F"/>
          <w:sz w:val="18"/>
          <w:szCs w:val="18"/>
        </w:rPr>
        <w:t xml:space="preserve">Unfit patients, and left-sided RAS/BRAF wild-type disease, where FOLFOXIRI was never tested in CAIRO5. Grade 3 or worse events were 76% versus 59% with dose reductions in 55% and seven treatment-related deaths in the triplet arm; overall survival is not yet reported.</w:t>
      </w:r>
    </w:p>
    <w:p>
      <w:pPr>
        <w:spacing w:after="60" w:line="276"/>
        <w:ind w:left="240"/>
      </w:pPr>
      <w:r>
        <w:rPr>
          <w:color w:val="5A6069"/>
          <w:sz w:val="16"/>
          <w:szCs w:val="16"/>
        </w:rPr>
        <w:t xml:space="preserve">Sources: CAIRO5</w:t>
      </w:r>
    </w:p>
    <w:p>
      <w:pPr>
        <w:spacing w:after="50" w:before="120"/>
        <w:ind w:left="240"/>
      </w:pPr>
      <w:r>
        <w:rPr>
          <w:b/>
          <w:bCs/>
          <w:color w:val="15181F"/>
          <w:sz w:val="19"/>
          <w:szCs w:val="19"/>
        </w:rPr>
        <w:t xml:space="preserve">Encorafenib, cetuximab and mFOLFOX6</w:t>
      </w:r>
      <w:r>
        <w:rPr>
          <w:color w:val="5A6069"/>
          <w:sz w:val="15"/>
          <w:szCs w:val="15"/>
        </w:rPr>
        <w:t xml:space="preserve">   grade A</w:t>
      </w:r>
    </w:p>
    <w:p>
      <w:pPr>
        <w:spacing w:after="50" w:line="276"/>
        <w:ind w:left="240"/>
      </w:pPr>
      <w:r>
        <w:rPr>
          <w:color w:val="15181F"/>
          <w:sz w:val="18"/>
          <w:szCs w:val="18"/>
        </w:rPr>
        <w:t xml:space="preserve">BREAKWATER met its primary endpoint in first-line BRAF V600E-mutant disease: median progression-free survival 12.8 versus 7.1 months, HR 0.53 (95% CI 0.41–0.68), with interim overall survival 30.3 versus 15.1 months, HR 0.49 (0.38–0.63).</w:t>
      </w:r>
    </w:p>
    <w:p>
      <w:pPr>
        <w:spacing w:after="50" w:line="276"/>
        <w:ind w:left="240"/>
      </w:pPr>
      <w:r>
        <w:rPr>
          <w:color w:val="15181F"/>
          <w:sz w:val="18"/>
          <w:szCs w:val="18"/>
        </w:rPr>
        <w:t xml:space="preserve">BRAF V600E mutation, first line. NCCN asks that these patients receive an encorafenib-containing regimen during one line of therapy, with a chemotherapy-containing option preferred first line.</w:t>
      </w:r>
    </w:p>
    <w:p>
      <w:pPr>
        <w:spacing w:after="50"/>
        <w:ind w:left="240"/>
      </w:pPr>
      <w:r>
        <w:rPr>
          <w:b/>
          <w:bCs/>
          <w:color w:val="8C2F26"/>
          <w:sz w:val="18"/>
          <w:szCs w:val="18"/>
        </w:rPr>
        <w:t xml:space="preserve">Caveat. </w:t>
      </w:r>
      <w:r>
        <w:rPr>
          <w:color w:val="15181F"/>
          <w:sz w:val="18"/>
          <w:szCs w:val="18"/>
        </w:rPr>
        <w:t xml:space="preserve">Do not read it as a conversion result: no resection, conversion or local-treatment endpoint was reported, and grade 3 or 4 toxicity in 81.5% with permanent discontinuation in 26.7% is demanding for a patient being worked up for liver surgery.</w:t>
      </w:r>
    </w:p>
    <w:p>
      <w:pPr>
        <w:spacing w:after="60" w:line="276"/>
        <w:ind w:left="240"/>
      </w:pPr>
      <w:r>
        <w:rPr>
          <w:color w:val="5A6069"/>
          <w:sz w:val="16"/>
          <w:szCs w:val="16"/>
        </w:rPr>
        <w:t xml:space="preserve">Sources: BREAKWATER</w:t>
      </w:r>
    </w:p>
    <w:p>
      <w:pPr>
        <w:spacing w:after="50" w:before="120"/>
        <w:ind w:left="240"/>
      </w:pPr>
      <w:r>
        <w:rPr>
          <w:b/>
          <w:bCs/>
          <w:color w:val="15181F"/>
          <w:sz w:val="19"/>
          <w:szCs w:val="19"/>
        </w:rPr>
        <w:t xml:space="preserve">Nivolumab plus ipilimumab</w:t>
      </w:r>
      <w:r>
        <w:rPr>
          <w:color w:val="5A6069"/>
          <w:sz w:val="15"/>
          <w:szCs w:val="15"/>
        </w:rPr>
        <w:t xml:space="preserve">   grade A</w:t>
      </w:r>
    </w:p>
    <w:p>
      <w:pPr>
        <w:spacing w:after="50" w:line="276"/>
        <w:ind w:left="240"/>
      </w:pPr>
      <w:r>
        <w:rPr>
          <w:color w:val="15181F"/>
          <w:sz w:val="18"/>
          <w:szCs w:val="18"/>
        </w:rPr>
        <w:t xml:space="preserve">CheckMate 8HW: progression-free survival favoured nivolumab plus ipilimumab over nivolumab alone in centrally confirmed MSI-high or dMMR disease, HR 0.62 (95% CI 0.48–0.81), and against chemotherapy first line median 54.1 versus 5.9 months, HR 0.21 (0.14–0.31).</w:t>
      </w:r>
    </w:p>
    <w:p>
      <w:pPr>
        <w:spacing w:after="50" w:line="276"/>
        <w:ind w:left="240"/>
      </w:pPr>
      <w:r>
        <w:rPr>
          <w:color w:val="15181F"/>
          <w:sz w:val="18"/>
          <w:szCs w:val="18"/>
        </w:rPr>
        <w:t xml:space="preserve">MSI-high or mismatch-repair deficient disease. Sustained molecular control may postpone, replace or change the role of liver-directed treatment, judged on serial cross-sectional imaging against a defined framework rather than on symptoms or a single scan.</w:t>
      </w:r>
    </w:p>
    <w:p>
      <w:pPr>
        <w:spacing w:after="50"/>
        <w:ind w:left="240"/>
      </w:pPr>
      <w:r>
        <w:rPr>
          <w:b/>
          <w:bCs/>
          <w:color w:val="8C2F26"/>
          <w:sz w:val="18"/>
          <w:szCs w:val="18"/>
        </w:rPr>
        <w:t xml:space="preserve">Caveat. </w:t>
      </w:r>
      <w:r>
        <w:rPr>
          <w:color w:val="15181F"/>
          <w:sz w:val="18"/>
          <w:szCs w:val="18"/>
        </w:rPr>
        <w:t xml:space="preserve">Do not list such a patient on the described OPTN exception route, which requires microsatellite stability; IHPBA 2021 excludes MSI-high and dMMR patients from transplantation altogether. Pre-transplant checkpoint exposure and post-transplant rejection risk must be addressed before the first dose.</w:t>
      </w:r>
    </w:p>
    <w:p>
      <w:pPr>
        <w:spacing w:after="60" w:line="276"/>
        <w:ind w:left="240"/>
      </w:pPr>
      <w:r>
        <w:rPr>
          <w:color w:val="5A6069"/>
          <w:sz w:val="16"/>
          <w:szCs w:val="16"/>
        </w:rPr>
        <w:t xml:space="preserve">Sources: CheckMate 8HW; KEYNOTE-177; IHPBA 2021</w:t>
      </w:r>
    </w:p>
    <w:p>
      <w:pPr>
        <w:spacing w:after="50" w:before="120"/>
        <w:ind w:left="240"/>
      </w:pPr>
      <w:r>
        <w:rPr>
          <w:b/>
          <w:bCs/>
          <w:color w:val="15181F"/>
          <w:sz w:val="19"/>
          <w:szCs w:val="19"/>
        </w:rPr>
        <w:t xml:space="preserve">Sotorasib plus panitumumab</w:t>
      </w:r>
      <w:r>
        <w:rPr>
          <w:color w:val="5A6069"/>
          <w:sz w:val="15"/>
          <w:szCs w:val="15"/>
        </w:rPr>
        <w:t xml:space="preserve">   grade B</w:t>
      </w:r>
    </w:p>
    <w:p>
      <w:pPr>
        <w:spacing w:after="50" w:line="276"/>
        <w:ind w:left="240"/>
      </w:pPr>
      <w:r>
        <w:rPr>
          <w:color w:val="15181F"/>
          <w:sz w:val="18"/>
          <w:szCs w:val="18"/>
        </w:rPr>
        <w:t xml:space="preserve">CodeBreaK 300, after chemorefractory progression in KRAS G12C disease: median progression-free survival 5.6 versus 2.0 months with sotorasib 960 mg plus panitumumab, HR 0.48 (95% CI 0.30–0.78), objective response 26.4% versus 0%.</w:t>
      </w:r>
    </w:p>
    <w:p>
      <w:pPr>
        <w:spacing w:after="50" w:line="276"/>
        <w:ind w:left="240"/>
      </w:pPr>
      <w:r>
        <w:rPr>
          <w:color w:val="15181F"/>
          <w:sz w:val="18"/>
          <w:szCs w:val="18"/>
        </w:rPr>
        <w:t xml:space="preserve">KRAS G12C mutation after chemorefractory progression — a reasonable consideration, not a conversion strategy.</w:t>
      </w:r>
    </w:p>
    <w:p>
      <w:pPr>
        <w:spacing w:after="50"/>
        <w:ind w:left="240"/>
      </w:pPr>
      <w:r>
        <w:rPr>
          <w:b/>
          <w:bCs/>
          <w:color w:val="8C2F26"/>
          <w:sz w:val="18"/>
          <w:szCs w:val="18"/>
        </w:rPr>
        <w:t xml:space="preserve">Caveat. </w:t>
      </w:r>
      <w:r>
        <w:rPr>
          <w:color w:val="15181F"/>
          <w:sz w:val="18"/>
          <w:szCs w:val="18"/>
        </w:rPr>
        <w:t xml:space="preserve">Do not promise survival: the trial was not powered for it and overall survival was immature with HR 0.77 (0.40–1.45) crossing 1. No resection or ablation outcomes were reported, and the standard-care comparator was overtaken by SUNLIGHT and FRESCO-2 during the trial.</w:t>
      </w:r>
    </w:p>
    <w:p>
      <w:pPr>
        <w:spacing w:after="60" w:line="276"/>
        <w:ind w:left="240"/>
      </w:pPr>
      <w:r>
        <w:rPr>
          <w:color w:val="5A6069"/>
          <w:sz w:val="16"/>
          <w:szCs w:val="16"/>
        </w:rPr>
        <w:t xml:space="preserve">Sources: CodeBreaK 300</w:t>
      </w:r>
    </w:p>
    <w:p>
      <w:pPr>
        <w:spacing w:after="60" w:line="276"/>
        <w:ind w:left="240"/>
      </w:pPr>
      <w:r>
        <w:rPr>
          <w:i/>
          <w:iCs/>
          <w:color w:val="5A6069"/>
          <w:sz w:val="16"/>
          <w:szCs w:val="16"/>
        </w:rPr>
        <w:t xml:space="preserve">Two alignment items are open. The roadmap grades first-line BRAF V600E therapy A on a single trial, which does not match its own §0 definition; and the worksheet asks whether the left-sided RAS wild-type default should be restated as anti-EGFR plus doublet on overall-survival grounds (ASCO 2023, strong), with bevacizumab an acceptable alternative.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Record integrated clinical-molecular risk alongside the Fong score where the assay is available.</w:t>
      </w:r>
    </w:p>
    <w:p>
      <w:pPr>
        <w:spacing w:after="50" w:line="276"/>
        <w:ind w:left="240"/>
      </w:pPr>
      <w:r>
        <w:rPr>
          <w:color w:val="15181F"/>
          <w:sz w:val="18"/>
          <w:szCs w:val="18"/>
        </w:rPr>
        <w:t xml:space="preserve">A resected metastasis with tissue available for mRNA and miRNA profiling, used for prognosis and surveillance intensity. In the New EPOC validation cohort 5-year progression-free survival was 43% for the immune, 26% for the stromal and 14% for the canonical subtype (log-rank p=0.004), and integrated risk groups gave 5-year overall survival 78%, 56% and 43%.</w:t>
      </w:r>
    </w:p>
    <w:p>
      <w:pPr>
        <w:spacing w:after="50"/>
        <w:ind w:left="240"/>
      </w:pPr>
      <w:r>
        <w:rPr>
          <w:b/>
          <w:bCs/>
          <w:color w:val="8C2F26"/>
          <w:sz w:val="18"/>
          <w:szCs w:val="18"/>
        </w:rPr>
        <w:t xml:space="preserve">Caveat. </w:t>
      </w:r>
      <w:r>
        <w:rPr>
          <w:color w:val="15181F"/>
          <w:sz w:val="18"/>
          <w:szCs w:val="18"/>
        </w:rPr>
        <w:t xml:space="preserve">Do not use it to decide operability or to choose systemic therapy. It is prognostic only, the three-way overall survival comparison was not significant (p=0.08), the assay needs resected metastatic tissue so it cannot inform the preoperative decision, and the low-risk 78% rests on wide confidence intervals (44–93%).</w:t>
      </w:r>
    </w:p>
    <w:p>
      <w:pPr>
        <w:spacing w:after="50" w:line="276"/>
        <w:ind w:left="240"/>
      </w:pPr>
      <w:r>
        <w:rPr>
          <w:i/>
          <w:iCs/>
          <w:color w:val="5A6069"/>
          <w:sz w:val="17"/>
          <w:szCs w:val="17"/>
        </w:rPr>
        <w:t xml:space="preserve">Validated in a biomarker subset of a trial whose experimental arm harmed patients; subtypes predicted from the matched primary tumour were not prognostic. Adding subtype to the Fong score raised the Gonen and Heller concordance statistic only from 0.55 to 0.62 for progression-free survival and from 0.59 to 0.63 for overall survival, and the best-prognosis group rests on 28 immune metastases.</w:t>
      </w:r>
    </w:p>
    <w:p>
      <w:pPr>
        <w:spacing w:after="60" w:line="276"/>
        <w:ind w:left="240"/>
      </w:pPr>
      <w:r>
        <w:rPr>
          <w:color w:val="5A6069"/>
          <w:sz w:val="16"/>
          <w:szCs w:val="16"/>
        </w:rPr>
        <w:t xml:space="preserve">Sources: New EPOC biomarker</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Assess clinical-trial eligibility at every decision point, and record it.</w:t>
      </w:r>
    </w:p>
    <w:p>
      <w:pPr>
        <w:spacing w:after="50" w:line="276"/>
        <w:ind w:left="240"/>
      </w:pPr>
      <w:r>
        <w:rPr>
          <w:color w:val="15181F"/>
          <w:sz w:val="18"/>
          <w:szCs w:val="18"/>
        </w:rPr>
        <w:t xml:space="preserve">Every discussion, in both directions: a trial may be the best available option, and enrolment constraints may set the timing of local treatment.</w:t>
      </w:r>
    </w:p>
    <w:p>
      <w:pPr>
        <w:spacing w:after="50"/>
        <w:ind w:left="240"/>
      </w:pPr>
      <w:r>
        <w:rPr>
          <w:b/>
          <w:bCs/>
          <w:color w:val="8C2F26"/>
          <w:sz w:val="18"/>
          <w:szCs w:val="18"/>
        </w:rPr>
        <w:t xml:space="preserve">Caveat. </w:t>
      </w:r>
      <w:r>
        <w:rPr>
          <w:color w:val="15181F"/>
          <w:sz w:val="18"/>
          <w:szCs w:val="18"/>
        </w:rPr>
        <w:t xml:space="preserve">Do not let a trial screening window displace a feasible clearance operation that is ready to go.</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Indiscriminate triplet intensification, and triplet chemotherapy combined with an anti-EGFR antibody.</w:t>
      </w:r>
    </w:p>
    <w:p>
      <w:pPr>
        <w:spacing w:after="50" w:line="276"/>
        <w:ind w:left="240"/>
      </w:pPr>
      <w:r>
        <w:rPr>
          <w:color w:val="15181F"/>
          <w:sz w:val="18"/>
          <w:szCs w:val="18"/>
        </w:rPr>
        <w:t xml:space="preserve">Intensify only where conversion response is the limiting factor, in a fit patient, with a defined clearance endpoint and toxicity review recorded.</w:t>
      </w:r>
    </w:p>
    <w:p>
      <w:pPr>
        <w:spacing w:after="50"/>
        <w:ind w:left="240"/>
      </w:pPr>
      <w:r>
        <w:rPr>
          <w:b/>
          <w:bCs/>
          <w:color w:val="8C2F26"/>
          <w:sz w:val="18"/>
          <w:szCs w:val="18"/>
        </w:rPr>
        <w:t xml:space="preserve">Caveat. </w:t>
      </w:r>
      <w:r>
        <w:rPr>
          <w:color w:val="15181F"/>
          <w:sz w:val="18"/>
          <w:szCs w:val="18"/>
        </w:rPr>
        <w:t xml:space="preserve">Adding irinotecan to cetuximab–FOLFOX did not raise response in TRICE (84.7% versus 79.7%, odds ratio 0.70, p=0.42) and did not raise complete local treatment (54.2% versus 52.7%), while increasing grade 3 or worse neutropenia; progression-free survival numerically favoured the doublet, so harm from intensification is not excluded.</w:t>
      </w:r>
    </w:p>
    <w:p>
      <w:pPr>
        <w:spacing w:after="50" w:line="276"/>
        <w:ind w:left="240"/>
      </w:pPr>
      <w:r>
        <w:rPr>
          <w:i/>
          <w:iCs/>
          <w:color w:val="5A6069"/>
          <w:sz w:val="17"/>
          <w:szCs w:val="17"/>
        </w:rPr>
        <w:t xml:space="preserve">The roadmap's position is individualised consideration for fit patients rather than a blanket Avoid; the worksheet asks whether Avoid should be narrowed to triplet plus anti-EGFR only, with triplet plus bevacizumab relabelled a reasonable consideration. TRICE was powered on response at a two-sided alpha of 0.10 in 146 patients, judged resectability locally with no central review, and was an all-Asian cohort given irinotecan at 150 mg/m² with no UGT1A1 variants, so Western toxicity will be higher than the 5.9% grade 3 diarrhoea reported.</w:t>
      </w:r>
    </w:p>
    <w:p>
      <w:pPr>
        <w:spacing w:after="60" w:line="276"/>
        <w:ind w:left="240"/>
      </w:pPr>
      <w:r>
        <w:rPr>
          <w:color w:val="5A6069"/>
          <w:sz w:val="16"/>
          <w:szCs w:val="16"/>
        </w:rPr>
        <w:t xml:space="preserve">Sources: TRICE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Using genotype alone to exclude a patient from a feasible clearance operation, or to set margin width.</w:t>
      </w:r>
    </w:p>
    <w:p>
      <w:pPr>
        <w:spacing w:after="50" w:line="276"/>
        <w:ind w:left="240"/>
      </w:pPr>
      <w:r>
        <w:rPr>
          <w:color w:val="15181F"/>
          <w:sz w:val="18"/>
          <w:szCs w:val="18"/>
        </w:rPr>
        <w:t xml:space="preserve">Let observed response on effective therapy carry the decision weight; a single mutation stratifies prognosis rather than determining operability.</w:t>
      </w:r>
    </w:p>
    <w:p>
      <w:pPr>
        <w:spacing w:after="50"/>
        <w:ind w:left="240"/>
      </w:pPr>
      <w:r>
        <w:rPr>
          <w:b/>
          <w:bCs/>
          <w:color w:val="8C2F26"/>
          <w:sz w:val="18"/>
          <w:szCs w:val="18"/>
        </w:rPr>
        <w:t xml:space="preserve">Caveat. </w:t>
      </w:r>
      <w:r>
        <w:rPr>
          <w:color w:val="15181F"/>
          <w:sz w:val="18"/>
          <w:szCs w:val="18"/>
        </w:rPr>
        <w:t xml:space="preserve">A larger resection, a wider margin or a refusal to operate justified by a BRAF or RAS result alone.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Clearable now</w:t>
      </w:r>
    </w:p>
    <w:p>
      <w:pPr>
        <w:spacing w:after="140"/>
      </w:pPr>
      <w:r>
        <w:rPr>
          <w:b/>
          <w:bCs/>
          <w:color w:val="176A87"/>
          <w:sz w:val="19"/>
          <w:szCs w:val="19"/>
        </w:rPr>
        <w:t xml:space="preserve">The question. </w:t>
      </w:r>
      <w:r>
        <w:rPr>
          <w:sz w:val="19"/>
          <w:szCs w:val="19"/>
        </w:rPr>
        <w:t xml:space="preserve">Can I eradicate every deposit in this liver now, and prove the margin afterwards?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Every original site of hepatic disease treatable by resection, margin-verified thermal ablation, or the two combined</w:t>
      </w:r>
    </w:p>
    <w:p>
      <w:pPr>
        <w:pStyle w:val="ListParagraph"/>
        <w:numPr>
          <w:ilvl w:val="0"/>
          <w:numId w:val="2"/>
        </w:numPr>
        <w:spacing w:after="60" w:line="268"/>
      </w:pPr>
      <w:r>
        <w:rPr>
          <w:color w:val="15181F"/>
          <w:sz w:val="18"/>
          <w:szCs w:val="18"/>
        </w:rPr>
        <w:t xml:space="preserve">Adequate future liver remnant with preserved inflow, outflow and biliary drainage</w:t>
      </w:r>
    </w:p>
    <w:p>
      <w:pPr>
        <w:pStyle w:val="ListParagraph"/>
        <w:numPr>
          <w:ilvl w:val="0"/>
          <w:numId w:val="2"/>
        </w:numPr>
        <w:spacing w:after="60" w:line="268"/>
      </w:pPr>
      <w:r>
        <w:rPr>
          <w:color w:val="15181F"/>
          <w:sz w:val="18"/>
          <w:szCs w:val="18"/>
        </w:rPr>
        <w:t xml:space="preserve">No progression on an appropriate systemic regimen</w:t>
      </w:r>
    </w:p>
    <w:p>
      <w:pPr>
        <w:pStyle w:val="ListParagraph"/>
        <w:numPr>
          <w:ilvl w:val="0"/>
          <w:numId w:val="2"/>
        </w:numPr>
        <w:spacing w:after="60" w:line="268"/>
      </w:pPr>
      <w:r>
        <w:rPr>
          <w:color w:val="15181F"/>
          <w:sz w:val="18"/>
          <w:szCs w:val="18"/>
        </w:rPr>
        <w:t xml:space="preserve">No extrahepatic disease, or disease that is limited, controllable and itself completely treatable</w:t>
      </w:r>
    </w:p>
    <w:p>
      <w:pPr>
        <w:pStyle w:val="ListParagraph"/>
        <w:numPr>
          <w:ilvl w:val="0"/>
          <w:numId w:val="2"/>
        </w:numPr>
        <w:spacing w:after="60" w:line="268"/>
      </w:pPr>
      <w:r>
        <w:rPr>
          <w:color w:val="15181F"/>
          <w:sz w:val="18"/>
          <w:szCs w:val="18"/>
        </w:rPr>
        <w:t xml:space="preserve">Patient fit for the operation that clearance actually requires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Parenchymal-sparing resection is the reference clearance strategy, because it is the only route that permits pathologic margin assessment.</w:t>
      </w:r>
    </w:p>
    <w:p>
      <w:pPr>
        <w:spacing w:after="50" w:line="276"/>
        <w:ind w:left="240"/>
      </w:pPr>
      <w:r>
        <w:rPr>
          <w:color w:val="15181F"/>
          <w:sz w:val="18"/>
          <w:szCs w:val="18"/>
        </w:rPr>
        <w:t xml:space="preserve">Disease clearable with an adequate remnant and preserved inflow, outflow and biliary drainage. Use a minimally invasive or robotic approach where it does not compromise completeness. Preserve parenchyma deliberately: recurrence is common and repeat liver-directed treatment produces meaningful survival in selected patients.</w:t>
      </w:r>
    </w:p>
    <w:p>
      <w:pPr>
        <w:spacing w:after="50"/>
        <w:ind w:left="240"/>
      </w:pPr>
      <w:r>
        <w:rPr>
          <w:b/>
          <w:bCs/>
          <w:color w:val="8C2F26"/>
          <w:sz w:val="18"/>
          <w:szCs w:val="18"/>
        </w:rPr>
        <w:t xml:space="preserve">Caveat. </w:t>
      </w:r>
      <w:r>
        <w:rPr>
          <w:color w:val="15181F"/>
          <w:sz w:val="18"/>
          <w:szCs w:val="18"/>
        </w:rPr>
        <w:t xml:space="preserve">Inadequate remnant, prohibitive vascular or biliary anatomy, or progression on appropriate therapy. A positive margin and extrahepatic disease were the two most influential adverse factors in the 1001-patient Fong series (5-year survival 20% and 18%) and the authors treat both as contraindications to resection.</w:t>
      </w:r>
    </w:p>
    <w:p>
      <w:pPr>
        <w:spacing w:after="50" w:line="276"/>
        <w:ind w:left="240"/>
      </w:pPr>
      <w:r>
        <w:rPr>
          <w:i/>
          <w:iCs/>
          <w:color w:val="5A6069"/>
          <w:sz w:val="17"/>
          <w:szCs w:val="17"/>
        </w:rPr>
        <w:t xml:space="preserve">Needs demonstrated team experience with the specific operation. Graded B rather than A: no randomised trial compares hepatectomy with non-operative management, and the cited series is a single tertiary centre, retrospective, pre-oxaliplatin and pre-PET, describing outcome after resection rather than comparing resection with anything. What holds the recommendation up is that resection is the only route that yields a pathologic margin, not the strength of the comparative evidence.</w:t>
      </w:r>
    </w:p>
    <w:p>
      <w:pPr>
        <w:spacing w:after="60" w:line="276"/>
        <w:ind w:left="240"/>
      </w:pPr>
      <w:r>
        <w:rPr>
          <w:color w:val="5A6069"/>
          <w:sz w:val="16"/>
          <w:szCs w:val="16"/>
        </w:rPr>
        <w:t xml:space="preserve">Sources: Fong CRS</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Thermal ablation alone or with resection is a curative-intent clearance option for small lesions, provided every original site is treated and a circumferential margin is confirmed.</w:t>
      </w:r>
    </w:p>
    <w:p>
      <w:pPr>
        <w:spacing w:after="50" w:line="276"/>
        <w:ind w:left="240"/>
      </w:pPr>
      <w:r>
        <w:rPr>
          <w:color w:val="15181F"/>
          <w:sz w:val="18"/>
          <w:szCs w:val="18"/>
        </w:rPr>
        <w:t xml:space="preserve">Lesions of 3 cm or less, up to ten, where all sites are treatable and a margin beyond 5 mm is achievable — an initial option in that phenotype, not a consolation after surgical failure. NCCN prioritises feasible thermal ablation in selected lesions of 3 cm or less and ESMO goes further, recommending thermal ablation over resection for metastases under 3 cm [II, B]. COLLISION randomised 300 patients, analysed 148 against 146, and stopped early when the conditional likelihood of proving non-inferiority reached 90.5%: adverse events of any grade 19% versus 46%, serious events 7% versus 20%, median stay 1 versus 4 days, no treatment-related deaths versus three, and 5-year overall survival 51.2% versus 58.0%.</w:t>
      </w:r>
    </w:p>
    <w:p>
      <w:pPr>
        <w:spacing w:after="50"/>
        <w:ind w:left="240"/>
      </w:pPr>
      <w:r>
        <w:rPr>
          <w:b/>
          <w:bCs/>
          <w:color w:val="8C2F26"/>
          <w:sz w:val="18"/>
          <w:szCs w:val="18"/>
        </w:rPr>
        <w:t xml:space="preserve">Caveat. </w:t>
      </w:r>
      <w:r>
        <w:rPr>
          <w:color w:val="15181F"/>
          <w:sz w:val="18"/>
          <w:szCs w:val="18"/>
        </w:rPr>
        <w:t xml:space="preserve">Within 1 cm of a major bile duct, where a heat sink is expected, where the target is not reliably visible, or where only a margin under 5 mm is achievable. In the 233-tumour Memorial Sloan Kettering series local recurrence was 90% at a 0 mm margin, 60% at 1–5 mm, 15% beyond 5–10 mm and 5% beyond 10 mm, and a margin of 5 mm or less carried HR 9.9 (4.9–20) for shorter local progression-free survival.</w:t>
      </w:r>
    </w:p>
    <w:p>
      <w:pPr>
        <w:spacing w:after="50" w:line="276"/>
        <w:ind w:left="240"/>
      </w:pPr>
      <w:r>
        <w:rPr>
          <w:i/>
          <w:iCs/>
          <w:color w:val="5A6069"/>
          <w:sz w:val="17"/>
          <w:szCs w:val="17"/>
        </w:rPr>
        <w:t xml:space="preserve">Graded B rather than A. COLLISION stopped at interim on conditional power rather than a confidence interval excluding its margin: the overall survival HR was 1.05 with a 95% CI of 0.69–1.58, whose upper bound crosses the prespecified non-inferiority limit of 1.30, and the authors say definitive non-inferiority conclusions are difficult, especially in the under-represented intermediate (n=91) and high (n=21) burden subgroups. The arms were not clean — 18% of the ablation arm also had a lesion resected and 35% of the resection arm had a non-target lesion ablated, only 57% of ablations were percutaneous — a mid-trial amendment removed solitary deep lesions needing major hepatectomy, the cases where resection carries most risk, and the trial was funded by an ablation device manufacturer. This is clearance, not debulking: treat every original site.</w:t>
      </w:r>
    </w:p>
    <w:p>
      <w:pPr>
        <w:spacing w:after="60" w:line="276"/>
        <w:ind w:left="240"/>
      </w:pPr>
      <w:r>
        <w:rPr>
          <w:color w:val="5A6069"/>
          <w:sz w:val="16"/>
          <w:szCs w:val="16"/>
        </w:rPr>
        <w:t xml:space="preserve">Sources: COLLISION; Shady ablation margins</w:t>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The order is by dominant oncologic threat, not by survival: no randomised comparison of these sequences exists, the Adam 2015 recommendations are Delphi expert opinion in the panel's own acknowledged absence of randomised trials, and the LiverMetSurvey comparisons behind them are non-randomised and selection-confounded, with 5-year survival no better for chemotherapy first than for primary surgery first (42% versus 47% in resectable and 31% versus 33% in unresectable disease). Graded C for that reason.</w:t>
      </w:r>
    </w:p>
    <w:p>
      <w:pPr>
        <w:spacing w:after="50" w:before="120"/>
        <w:ind w:left="240"/>
      </w:pPr>
      <w:r>
        <w:rPr>
          <w:b/>
          <w:bCs/>
          <w:color w:val="15181F"/>
          <w:sz w:val="19"/>
          <w:szCs w:val="19"/>
        </w:rPr>
        <w:t xml:space="preserve">Simultaneous resection of liver and primary</w:t>
      </w:r>
      <w:r>
        <w:rPr>
          <w:color w:val="5A6069"/>
          <w:sz w:val="15"/>
          <w:szCs w:val="15"/>
        </w:rPr>
        <w:t xml:space="preserve">   grade C</w:t>
      </w:r>
    </w:p>
    <w:p>
      <w:pPr>
        <w:spacing w:after="50" w:line="276"/>
        <w:ind w:left="240"/>
      </w:pPr>
      <w:r>
        <w:rPr>
          <w:color w:val="15181F"/>
          <w:sz w:val="18"/>
          <w:szCs w:val="18"/>
        </w:rPr>
        <w:t xml:space="preserve">NCCN states that patients with resectable metastatic disease and a primary tumour in place should have both sites resected with curative intent, and that staged procedures can be liver-first or primary-first.</w:t>
      </w:r>
    </w:p>
    <w:p>
      <w:pPr>
        <w:spacing w:after="50" w:line="276"/>
        <w:ind w:left="240"/>
      </w:pPr>
      <w:r>
        <w:rPr>
          <w:color w:val="15181F"/>
          <w:sz w:val="18"/>
          <w:szCs w:val="18"/>
        </w:rPr>
        <w:t xml:space="preserve">Both operations limited: a minor hepatectomy with an uncomplicated colonic primary.</w:t>
      </w:r>
    </w:p>
    <w:p>
      <w:pPr>
        <w:spacing w:after="50"/>
        <w:ind w:left="240"/>
      </w:pPr>
      <w:r>
        <w:rPr>
          <w:b/>
          <w:bCs/>
          <w:color w:val="8C2F26"/>
          <w:sz w:val="18"/>
          <w:szCs w:val="18"/>
        </w:rPr>
        <w:t xml:space="preserve">Caveat. </w:t>
      </w:r>
      <w:r>
        <w:rPr>
          <w:color w:val="15181F"/>
          <w:sz w:val="18"/>
          <w:szCs w:val="18"/>
        </w:rPr>
        <w:t xml:space="preserve">Adam 2015 does not advocate one-stage surgery for a major hepatectomy of three or more segments, a complex colonic tumour or a low rectal primary; one-stage resection is more risky than two separate resections.</w:t>
      </w:r>
    </w:p>
    <w:p>
      <w:pPr>
        <w:spacing w:after="60" w:line="276"/>
        <w:ind w:left="240"/>
      </w:pPr>
      <w:r>
        <w:rPr>
          <w:color w:val="5A6069"/>
          <w:sz w:val="16"/>
          <w:szCs w:val="16"/>
        </w:rPr>
        <w:t xml:space="preserve">Sources: Adam 2015 consensus</w:t>
      </w:r>
    </w:p>
    <w:p>
      <w:pPr>
        <w:spacing w:after="50" w:before="120"/>
        <w:ind w:left="240"/>
      </w:pPr>
      <w:r>
        <w:rPr>
          <w:b/>
          <w:bCs/>
          <w:color w:val="15181F"/>
          <w:sz w:val="19"/>
          <w:szCs w:val="19"/>
        </w:rPr>
        <w:t xml:space="preserve">Liver-first</w:t>
      </w:r>
      <w:r>
        <w:rPr>
          <w:color w:val="5A6069"/>
          <w:sz w:val="15"/>
          <w:szCs w:val="15"/>
        </w:rPr>
        <w:t xml:space="preserve">   grade C</w:t>
      </w:r>
    </w:p>
    <w:p>
      <w:pPr>
        <w:spacing w:after="50" w:line="276"/>
        <w:ind w:left="240"/>
      </w:pPr>
      <w:r>
        <w:rPr>
          <w:color w:val="15181F"/>
          <w:sz w:val="18"/>
          <w:szCs w:val="18"/>
        </w:rPr>
        <w:t xml:space="preserve">Useful when rectal therapy would otherwise delay control of substantial hepatic disease. Sequence by the dominant oncologic threat rather than by chronology.</w:t>
      </w:r>
    </w:p>
    <w:p>
      <w:pPr>
        <w:spacing w:after="50" w:line="276"/>
        <w:ind w:left="240"/>
      </w:pPr>
      <w:r>
        <w:rPr>
          <w:color w:val="15181F"/>
          <w:sz w:val="18"/>
          <w:szCs w:val="18"/>
        </w:rPr>
        <w:t xml:space="preserve">Hepatic burden drives the risk, particularly with a rectal primary whose pelvic treatment will take months.</w:t>
      </w:r>
    </w:p>
    <w:p>
      <w:pPr>
        <w:spacing w:after="50"/>
        <w:ind w:left="240"/>
      </w:pPr>
      <w:r>
        <w:rPr>
          <w:b/>
          <w:bCs/>
          <w:color w:val="8C2F26"/>
          <w:sz w:val="18"/>
          <w:szCs w:val="18"/>
        </w:rPr>
        <w:t xml:space="preserve">Caveat. </w:t>
      </w:r>
      <w:r>
        <w:rPr>
          <w:color w:val="15181F"/>
          <w:sz w:val="18"/>
          <w:szCs w:val="18"/>
        </w:rPr>
        <w:t xml:space="preserve">A primary that threatens obstruction, substantial bleeding or perforation — that threat is treated first.</w:t>
      </w:r>
    </w:p>
    <w:p>
      <w:pPr>
        <w:spacing w:after="60" w:line="276"/>
        <w:ind w:left="240"/>
      </w:pPr>
      <w:r>
        <w:rPr>
          <w:color w:val="5A6069"/>
          <w:sz w:val="16"/>
          <w:szCs w:val="16"/>
        </w:rPr>
        <w:t xml:space="preserve">Sources: Adam 2015 consensus</w:t>
      </w:r>
    </w:p>
    <w:p>
      <w:pPr>
        <w:spacing w:after="50" w:before="120"/>
        <w:ind w:left="240"/>
      </w:pPr>
      <w:r>
        <w:rPr>
          <w:b/>
          <w:bCs/>
          <w:color w:val="15181F"/>
          <w:sz w:val="19"/>
          <w:szCs w:val="19"/>
        </w:rPr>
        <w:t xml:space="preserve">Primary-first</w:t>
      </w:r>
      <w:r>
        <w:rPr>
          <w:color w:val="5A6069"/>
          <w:sz w:val="15"/>
          <w:szCs w:val="15"/>
        </w:rPr>
        <w:t xml:space="preserve">   grade C</w:t>
      </w:r>
    </w:p>
    <w:p>
      <w:pPr>
        <w:spacing w:after="50" w:line="276"/>
        <w:ind w:left="240"/>
      </w:pPr>
      <w:r>
        <w:rPr>
          <w:color w:val="15181F"/>
          <w:sz w:val="18"/>
          <w:szCs w:val="18"/>
        </w:rPr>
        <w:t xml:space="preserve">Appropriate where the primary is the dominant threat, or where it must be cleared before transplant consideration.</w:t>
      </w:r>
    </w:p>
    <w:p>
      <w:pPr>
        <w:spacing w:after="50" w:line="276"/>
        <w:ind w:left="240"/>
      </w:pPr>
      <w:r>
        <w:rPr>
          <w:color w:val="15181F"/>
          <w:sz w:val="18"/>
          <w:szCs w:val="18"/>
        </w:rPr>
        <w:t xml:space="preserve">Symptomatic or obstructing primary; and in a possible transplant candidate, where the primary is resected after a favourable response to systemic therapy.</w:t>
      </w:r>
    </w:p>
    <w:p>
      <w:pPr>
        <w:spacing w:after="50"/>
        <w:ind w:left="240"/>
      </w:pPr>
      <w:r>
        <w:rPr>
          <w:b/>
          <w:bCs/>
          <w:color w:val="8C2F26"/>
          <w:sz w:val="18"/>
          <w:szCs w:val="18"/>
        </w:rPr>
        <w:t xml:space="preserve">Caveat. </w:t>
      </w:r>
      <w:r>
        <w:rPr>
          <w:color w:val="15181F"/>
          <w:sz w:val="18"/>
          <w:szCs w:val="18"/>
        </w:rPr>
        <w:t xml:space="preserve">An asymptomatic primary with broadly unresectable liver disease: resecting it first delays the systemic therapy that is also the biological test.</w:t>
      </w:r>
    </w:p>
    <w:p>
      <w:pPr>
        <w:spacing w:after="60" w:line="276"/>
        <w:ind w:left="240"/>
      </w:pPr>
      <w:r>
        <w:rPr>
          <w:color w:val="5A6069"/>
          <w:sz w:val="16"/>
          <w:szCs w:val="16"/>
        </w:rPr>
        <w:t xml:space="preserve">Sources: Adam 2015 consensus; ESMO 2026</w:t>
      </w:r>
    </w:p>
    <w:p>
      <w:pPr>
        <w:spacing w:after="60" w:line="276"/>
        <w:ind w:left="240"/>
      </w:pPr>
      <w:r>
        <w:rPr>
          <w:i/>
          <w:iCs/>
          <w:color w:val="5A6069"/>
          <w:sz w:val="16"/>
          <w:szCs w:val="16"/>
        </w:rPr>
        <w:t xml:space="preserve">Colorectal surgery must ratify the criteria for simultaneous versus liver-first, and the pelvic radiotherapy schedule for a rectal primary with synchronous liver metastases is set by pelvic local-risk features by colorectal surgery and radiation oncology together — not chosen to suit the liver plan. Short-course radiotherapy is not interchangeable for every high-risk presentation.</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Perioperative chemotherapy for clearly resectable disease is optional, not mandatory; where it is used, state the six-month total framework.</w:t>
      </w:r>
    </w:p>
    <w:p>
      <w:pPr>
        <w:spacing w:after="50" w:line="276"/>
        <w:ind w:left="240"/>
      </w:pPr>
      <w:r>
        <w:rPr>
          <w:color w:val="15181F"/>
          <w:sz w:val="18"/>
          <w:szCs w:val="18"/>
        </w:rPr>
        <w:t xml:space="preserve">More or larger metastases, a clinical risk score above 2, or a need to observe biology before operating. ASCO recommends a total perioperative duration of six months on the basis of EORTC 40983.</w:t>
      </w:r>
    </w:p>
    <w:p>
      <w:pPr>
        <w:spacing w:after="50"/>
        <w:ind w:left="240"/>
      </w:pPr>
      <w:r>
        <w:rPr>
          <w:b/>
          <w:bCs/>
          <w:color w:val="8C2F26"/>
          <w:sz w:val="18"/>
          <w:szCs w:val="18"/>
        </w:rPr>
        <w:t xml:space="preserve">Caveat. </w:t>
      </w:r>
      <w:r>
        <w:rPr>
          <w:color w:val="15181F"/>
          <w:sz w:val="18"/>
          <w:szCs w:val="18"/>
        </w:rPr>
        <w:t xml:space="preserve">Do not treat it as automatic for every patient. EORTC 40983 missed its primary endpoint as randomised: 3-year progression-free survival 35.4% versus 28.1%, HR 0.79 (0.62–1.02), p=0.058, significant only in eligible (HR 0.77, p=0.041) and resected (HR 0.73, p=0.025) patients, and at 8.5 years there was no overall survival difference (median 61.3 versus 54.3 months, HR 0.88, p=0.34). It did not raise the resection rate (83% versus 84%), and reversible postoperative complications were more frequent after chemotherapy, 25% versus 16%, p=0.04.</w:t>
      </w:r>
    </w:p>
    <w:p>
      <w:pPr>
        <w:spacing w:after="50" w:line="276"/>
        <w:ind w:left="240"/>
      </w:pPr>
      <w:r>
        <w:rPr>
          <w:i/>
          <w:iCs/>
          <w:color w:val="5A6069"/>
          <w:sz w:val="17"/>
          <w:szCs w:val="17"/>
        </w:rPr>
        <w:t xml:space="preserve">Graded C rather than B. Only 63% of patients started the postoperative half and 44% completed it, so what the trial really tested was six cycles of FOLFOX4 before surgery. It enrolled one to four metastases with 52% solitary — the best-prognosis population — which is not the population this page directs the regimen at; the extrapolation to more or larger metastases and a risk score above 2 is judgement, not trial evidence. ASCO's six-month duration is taken from this same trial, and the one other randomised adjuvant trial it cites, JCOG0603, improved disease-free survival (HR 0.67, 0.50–0.92) without improving overall survival (HR 1.25, 0.78–2.0). Do not assume adjuvant biologics are interchangeable.</w:t>
      </w:r>
    </w:p>
    <w:p>
      <w:pPr>
        <w:spacing w:after="60" w:line="276"/>
        <w:ind w:left="240"/>
      </w:pPr>
      <w:r>
        <w:rPr>
          <w:color w:val="5A6069"/>
          <w:sz w:val="16"/>
          <w:szCs w:val="16"/>
        </w:rPr>
        <w:t xml:space="preserve">Sources: EORTC 40983; EORTC 40983 long-term; ASCO 2023</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After clearance, run the longitudinal loop: imaging and CEA at 3–6 months then by risk, ablation margins re-read at 4–8 weeks, colonoscopic follow-up, over a two-year and five-year framework.</w:t>
      </w:r>
    </w:p>
    <w:p>
      <w:pPr>
        <w:spacing w:after="50" w:line="276"/>
        <w:ind w:left="240"/>
      </w:pPr>
      <w:r>
        <w:rPr>
          <w:color w:val="15181F"/>
          <w:sz w:val="18"/>
          <w:szCs w:val="18"/>
        </w:rPr>
        <w:t xml:space="preserve">Every cleared patient. After resection the return question is the recurrence pattern and whether repeat clearance is feasible — recurrence is part of the treatment course, not automatic failure of the first operation. After ablation treat the site as incompletely treated unless a circumferential margin is confirmed; local progression risk is high when the margin is under 5 mm.</w:t>
      </w:r>
    </w:p>
    <w:p>
      <w:pPr>
        <w:spacing w:after="50"/>
        <w:ind w:left="240"/>
      </w:pPr>
      <w:r>
        <w:rPr>
          <w:b/>
          <w:bCs/>
          <w:color w:val="8C2F26"/>
          <w:sz w:val="18"/>
          <w:szCs w:val="18"/>
        </w:rPr>
        <w:t xml:space="preserve">Caveat. </w:t>
      </w:r>
      <w:r>
        <w:rPr>
          <w:color w:val="15181F"/>
          <w:sz w:val="18"/>
          <w:szCs w:val="18"/>
        </w:rPr>
        <w:t xml:space="preserve">Do not equate persistent enhancement after SBRT or transarterial therapy with failure: expect delayed and partial radiographic change at 8–12 weeks.</w:t>
      </w:r>
    </w:p>
    <w:p>
      <w:pPr>
        <w:spacing w:after="50" w:line="276"/>
        <w:ind w:left="240"/>
      </w:pPr>
      <w:r>
        <w:rPr>
          <w:i/>
          <w:iCs/>
          <w:color w:val="5A6069"/>
          <w:sz w:val="17"/>
          <w:szCs w:val="17"/>
        </w:rPr>
        <w:t xml:space="preserve">Graded C: the intervals are guideline and consensus positions with no comparative evidence that any schedule changes outcome in CRLM. The Chinese 2024 consensus would fix the post-clearance schedule at 3-monthly CEA and cross-sectional imaging including liver MRI for the first two years (Grade I); the worksheet asks whether to adopt that in place of '3–6 months, then per risk'. The 4–8-week ablation re-read is the one element with a derivation behind it, from the margin series. Where a rectum is retained after organ preservation, add frequent local examination, endoscopy and pelvic imaging.</w:t>
      </w:r>
    </w:p>
    <w:p>
      <w:pPr>
        <w:spacing w:after="60" w:line="276"/>
        <w:ind w:left="240"/>
      </w:pPr>
      <w:r>
        <w:rPr>
          <w:color w:val="5A6069"/>
          <w:sz w:val="16"/>
          <w:szCs w:val="16"/>
        </w:rPr>
        <w:t xml:space="preserve">Sources: Chinese 2024 consensus</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Clear the liver with ablation plus resection when resection alone cannot reach every site.</w:t>
      </w:r>
    </w:p>
    <w:p>
      <w:pPr>
        <w:spacing w:after="50" w:line="276"/>
        <w:ind w:left="240"/>
      </w:pPr>
      <w:r>
        <w:rPr>
          <w:color w:val="15181F"/>
          <w:sz w:val="18"/>
          <w:szCs w:val="18"/>
        </w:rPr>
        <w:t xml:space="preserve">Liver-only disease judged unresectable by distribution rather than by biology, where ablation plus resection can treat every deposit alongside systemic therapy. In EORTC 40004 (CLOCC) overall survival favoured combined local treatment plus systemic therapy over systemic therapy alone, HR 0.58 (0.38–0.88), with 5- and 8-year survival 43.1% and 35.9% versus 30.3% and 8.9%, and progression-free survival 16.8 versus 9.9 months, HR 0.57.</w:t>
      </w:r>
    </w:p>
    <w:p>
      <w:pPr>
        <w:spacing w:after="50"/>
        <w:ind w:left="240"/>
      </w:pPr>
      <w:r>
        <w:rPr>
          <w:b/>
          <w:bCs/>
          <w:color w:val="8C2F26"/>
          <w:sz w:val="18"/>
          <w:szCs w:val="18"/>
        </w:rPr>
        <w:t xml:space="preserve">Caveat. </w:t>
      </w:r>
      <w:r>
        <w:rPr>
          <w:color w:val="15181F"/>
          <w:sz w:val="18"/>
          <w:szCs w:val="18"/>
        </w:rPr>
        <w:t xml:space="preserve">Do not read it as evidence for ablation on its own: nearly half the combined arm (26 of 57) also needed resection, so the gain belongs to complete liver clearance. The trial was downsized to randomised phase 2, closed early for poor accrual at 119 patients with overall survival a secondary endpoint, and its control arm had no anti-EGFR therapy and no RAS or BRAF selection.</w:t>
      </w:r>
    </w:p>
    <w:p>
      <w:pPr>
        <w:spacing w:after="50" w:line="276"/>
        <w:ind w:left="240"/>
      </w:pPr>
      <w:r>
        <w:rPr>
          <w:i/>
          <w:iCs/>
          <w:color w:val="5A6069"/>
          <w:sz w:val="17"/>
          <w:szCs w:val="17"/>
        </w:rPr>
        <w:t xml:space="preserve">The survival curves separate only after 3 years; unresectability was decided locally with no central review.</w:t>
      </w:r>
    </w:p>
    <w:p>
      <w:pPr>
        <w:spacing w:after="60" w:line="276"/>
        <w:ind w:left="240"/>
      </w:pPr>
      <w:r>
        <w:rPr>
          <w:color w:val="5A6069"/>
          <w:sz w:val="16"/>
          <w:szCs w:val="16"/>
        </w:rPr>
        <w:t xml:space="preserve">Sources: EORTC 40004 (CLOCC)</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SBRT with definitive local intent when resection and margin-verified ablation are both unsuitable.</w:t>
      </w:r>
    </w:p>
    <w:p>
      <w:pPr>
        <w:spacing w:after="50" w:line="276"/>
        <w:ind w:left="240"/>
      </w:pPr>
      <w:r>
        <w:rPr>
          <w:color w:val="15181F"/>
          <w:sz w:val="18"/>
          <w:szCs w:val="18"/>
        </w:rPr>
        <w:t xml:space="preserve">Selected oligometastatic disease where all disease can be addressed and safe ablative dosing is feasible, or where the patient prefers a non-invasive approach. NCCN favours BED10 above 100 Gy for oligometastases when organ-at-risk limits allow; ASCO supports selected use after systemic therapy in unresectable liver oligometastases. In the multi-institution phase I/II trial in-field local control was 95% at 1 year and 92% at 2 years, and 100% at 2 years for lesions of 3 cm or less versus 77% above 3 cm.</w:t>
      </w:r>
    </w:p>
    <w:p>
      <w:pPr>
        <w:spacing w:after="50"/>
        <w:ind w:left="240"/>
      </w:pPr>
      <w:r>
        <w:rPr>
          <w:b/>
          <w:bCs/>
          <w:color w:val="8C2F26"/>
          <w:sz w:val="18"/>
          <w:szCs w:val="18"/>
        </w:rPr>
        <w:t xml:space="preserve">Caveat. </w:t>
      </w:r>
      <w:r>
        <w:rPr>
          <w:color w:val="15181F"/>
          <w:sz w:val="18"/>
          <w:szCs w:val="18"/>
        </w:rPr>
        <w:t xml:space="preserve">Do not claim equivalence to margin-verified clearance, and do not use it without full staging, with insufficient uninvolved liver or with an unsafe normal-organ dose. Imaging response is not margin-verified clearance.</w:t>
      </w:r>
    </w:p>
    <w:p>
      <w:pPr>
        <w:spacing w:after="50" w:line="276"/>
        <w:ind w:left="240"/>
      </w:pPr>
      <w:r>
        <w:rPr>
          <w:i/>
          <w:iCs/>
          <w:color w:val="5A6069"/>
          <w:sz w:val="17"/>
          <w:szCs w:val="17"/>
        </w:rPr>
        <w:t xml:space="preserve">Graded C: the cure evidence is much weaker than the local-control evidence. Only 15 of 47 patients in the phase I/II trial had colorectal metastases, colorectal-specific outcomes were not reported, 13 patients were treated below 60 Gy, control was scored in only 49 of 63 lesions and the authors note the competing risk of death may exaggerate it. ASCO's recommendation rests on 18 non-randomised studies (1-year overall survival 67%, 2-year local control 59%) and is graded low quality, weak. SABR-COMET is a 99-patient phase 2 screening design run at a two-sided alpha of 0.20 — its primary report gave median overall survival 41 versus 28 months, HR 0.57 (0.30–1.10), p=0.090 — and in the long-term analysis 5-year overall survival was 42.3% versus 17.7%, falling to p=0.085 once prostate-cancer patients are excluded; only 18 of 99 patients had a colorectal primary and one of 12 five-year survivors, liver lesional control was the worst of any site at 50%, and treatment-related mortality was 4.5%.</w:t>
      </w:r>
    </w:p>
    <w:p>
      <w:pPr>
        <w:spacing w:after="60" w:line="276"/>
        <w:ind w:left="240"/>
      </w:pPr>
      <w:r>
        <w:rPr>
          <w:color w:val="5A6069"/>
          <w:sz w:val="16"/>
          <w:szCs w:val="16"/>
        </w:rPr>
        <w:t xml:space="preserve">Sources: Rusthoven SBRT; SABR-COMET primary; SABR-COMET long-term; ASCO 2023</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Cytoreductive surgery with systemic chemotherapy for peritoneal metastases, in a specialised centre and only where complete cytoreduction is feasible.</w:t>
      </w:r>
    </w:p>
    <w:p>
      <w:pPr>
        <w:spacing w:after="50" w:line="276"/>
        <w:ind w:left="240"/>
      </w:pPr>
      <w:r>
        <w:rPr>
          <w:color w:val="15181F"/>
          <w:sz w:val="18"/>
          <w:szCs w:val="18"/>
        </w:rPr>
        <w:t xml:space="preserve">Peritoneal disease assessed by a peritoneal surface malignancy team rather than routed through this liver pathway. ESMO recommends cytoreductive surgery for peritoneal-only disease [II, A].</w:t>
      </w:r>
    </w:p>
    <w:p>
      <w:pPr>
        <w:spacing w:after="50"/>
        <w:ind w:left="240"/>
      </w:pPr>
      <w:r>
        <w:rPr>
          <w:b/>
          <w:bCs/>
          <w:color w:val="8C2F26"/>
          <w:sz w:val="18"/>
          <w:szCs w:val="18"/>
        </w:rPr>
        <w:t xml:space="preserve">Caveat. </w:t>
      </w:r>
      <w:r>
        <w:rPr>
          <w:color w:val="15181F"/>
          <w:sz w:val="18"/>
          <w:szCs w:val="18"/>
        </w:rPr>
        <w:t xml:space="preserve">Incomplete cytoreduction, or managing peritoneal disease as an extension of the hepatic clearance plan. Any peritoneal disease ends transplant intent.</w:t>
      </w:r>
    </w:p>
    <w:p>
      <w:pPr>
        <w:spacing w:after="50" w:line="276"/>
        <w:ind w:left="240"/>
      </w:pPr>
      <w:r>
        <w:rPr>
          <w:i/>
          <w:iCs/>
          <w:color w:val="5A6069"/>
          <w:sz w:val="17"/>
          <w:szCs w:val="17"/>
        </w:rPr>
        <w:t xml:space="preserve">Needs demonstrated team experience. ASCO's cytoreduction recommendation requires no extraperitoneal metastases, so combined liver and peritoneal disease sits outside it and is a systemic-therapy-first, case-by-case decision.</w:t>
      </w:r>
    </w:p>
    <w:p>
      <w:pPr>
        <w:spacing w:after="60" w:line="276"/>
        <w:ind w:left="240"/>
      </w:pPr>
      <w:r>
        <w:rPr>
          <w:color w:val="5A6069"/>
          <w:sz w:val="16"/>
          <w:szCs w:val="16"/>
        </w:rPr>
        <w:t xml:space="preserve">Sources: ESMO 2026; ASCO 2023</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Adding cetuximab to perioperative chemotherapy in resectable KRAS wild-type liver metastases.</w:t>
      </w:r>
    </w:p>
    <w:p>
      <w:pPr>
        <w:spacing w:after="50" w:line="276"/>
        <w:ind w:left="240"/>
      </w:pPr>
      <w:r>
        <w:rPr>
          <w:color w:val="15181F"/>
          <w:sz w:val="18"/>
          <w:szCs w:val="18"/>
        </w:rPr>
        <w:t xml:space="preserve">Nothing. There is no perioperative phenotype in which the roadmap accepts it, and no evidence supports other anti-EGFR agents perioperatively.</w:t>
      </w:r>
    </w:p>
    <w:p>
      <w:pPr>
        <w:spacing w:after="50"/>
        <w:ind w:left="240"/>
      </w:pPr>
      <w:r>
        <w:rPr>
          <w:b/>
          <w:bCs/>
          <w:color w:val="8C2F26"/>
          <w:sz w:val="18"/>
          <w:szCs w:val="18"/>
        </w:rPr>
        <w:t xml:space="preserve">Caveat. </w:t>
      </w:r>
      <w:r>
        <w:rPr>
          <w:color w:val="15181F"/>
          <w:sz w:val="18"/>
          <w:szCs w:val="18"/>
        </w:rPr>
        <w:t xml:space="preserve">New EPOC found median overall survival 81.0 months with chemotherapy alone versus 55.4 months with added cetuximab, HR 1.45 (1.02–2.05), p=0.036, with worse post-progression survival (HR 1.55) and the harm falling on good-prognosis patients (no adverse feature HR 2.35, 1.37–4.03). Preoperative response and resection rates did not differ, so there was no offsetting surgical gain.</w:t>
      </w:r>
    </w:p>
    <w:p>
      <w:pPr>
        <w:spacing w:after="50" w:line="276"/>
        <w:ind w:left="240"/>
      </w:pPr>
      <w:r>
        <w:rPr>
          <w:i/>
          <w:iCs/>
          <w:color w:val="5A6069"/>
          <w:sz w:val="17"/>
          <w:szCs w:val="17"/>
        </w:rPr>
        <w:t xml:space="preserve">Both halves: the interim progression-free survival detriment (HR 1.48, p=0.030) was no longer significant on long-term follow-up (HR 1.17, p=0.304), overall survival was a secondary endpoint without multiplicity adjustment or correction for the earlier interim look, and the trial closed early for futility at 58% of planned events — which is why this is graded B and not A, even though the practice message is not in doubt. Entry tested KRAS exon 2 only, with no NRAS, BRAF, mismatch-repair or sidedness data, so the harm has never been studied in a modern biomarker-selected population and no mechanism has been identified. This is also why the roadmap separates the resectable and unresectable settings: an agent that helps in unresectable disease shortened survival given perioperatively.</w:t>
      </w:r>
    </w:p>
    <w:p>
      <w:pPr>
        <w:spacing w:after="60" w:line="276"/>
        <w:ind w:left="240"/>
      </w:pPr>
      <w:r>
        <w:rPr>
          <w:color w:val="5A6069"/>
          <w:sz w:val="16"/>
          <w:szCs w:val="16"/>
        </w:rPr>
        <w:t xml:space="preserve">Sources: New EPOC; New EPOC long-term</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Oxaliplatin-based HIPEC added to cytoreduction.</w:t>
      </w:r>
    </w:p>
    <w:p>
      <w:pPr>
        <w:spacing w:after="50" w:line="276"/>
        <w:ind w:left="240"/>
      </w:pPr>
      <w:r>
        <w:rPr>
          <w:color w:val="15181F"/>
          <w:sz w:val="18"/>
          <w:szCs w:val="18"/>
        </w:rPr>
        <w:t xml:space="preserve">Nothing outside a trial. ESMO does not recommend HIPEC outside trials [II, D].</w:t>
      </w:r>
    </w:p>
    <w:p>
      <w:pPr>
        <w:spacing w:after="50"/>
        <w:ind w:left="240"/>
      </w:pPr>
      <w:r>
        <w:rPr>
          <w:b/>
          <w:bCs/>
          <w:color w:val="8C2F26"/>
          <w:sz w:val="18"/>
          <w:szCs w:val="18"/>
        </w:rPr>
        <w:t xml:space="preserve">Caveat. </w:t>
      </w:r>
      <w:r>
        <w:rPr>
          <w:color w:val="15181F"/>
          <w:sz w:val="18"/>
          <w:szCs w:val="18"/>
        </w:rPr>
        <w:t xml:space="preserve">Adding it to complete cytoreduction as routine practice.</w:t>
      </w:r>
    </w:p>
    <w:p>
      <w:pPr>
        <w:spacing w:after="60" w:line="276"/>
        <w:ind w:left="240"/>
      </w:pPr>
      <w:r>
        <w:rPr>
          <w:color w:val="5A6069"/>
          <w:sz w:val="16"/>
          <w:szCs w:val="16"/>
        </w:rPr>
        <w:t xml:space="preserve">Sources: ESMO 2026</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Partial debulking, and accumulating regional-control procedures as a route to cure.</w:t>
      </w:r>
    </w:p>
    <w:p>
      <w:pPr>
        <w:spacing w:after="50" w:line="276"/>
        <w:ind w:left="240"/>
      </w:pPr>
      <w:r>
        <w:rPr>
          <w:color w:val="15181F"/>
          <w:sz w:val="18"/>
          <w:szCs w:val="18"/>
        </w:rPr>
        <w:t xml:space="preserve">Nothing. NCCN states that partial debulking of less than an R0 resection is not recommended.</w:t>
      </w:r>
    </w:p>
    <w:p>
      <w:pPr>
        <w:spacing w:after="50"/>
        <w:ind w:left="240"/>
      </w:pPr>
      <w:r>
        <w:rPr>
          <w:b/>
          <w:bCs/>
          <w:color w:val="8C2F26"/>
          <w:sz w:val="18"/>
          <w:szCs w:val="18"/>
        </w:rPr>
        <w:t xml:space="preserve">Caveat. </w:t>
      </w:r>
      <w:r>
        <w:rPr>
          <w:color w:val="15181F"/>
          <w:sz w:val="18"/>
          <w:szCs w:val="18"/>
        </w:rPr>
        <w:t xml:space="preserve">A treatment that achieves regional control is not a substitute for clearance when clearance is achievable, and a succession of control procedures is not a route to cure. The roadmap calls this the single most common source of error in multidisciplinary discussion of this disease.</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De-escalating or shortening treatment and surveillance on the strength of a negative circulating tumour DNA result.</w:t>
      </w:r>
    </w:p>
    <w:p>
      <w:pPr>
        <w:spacing w:after="50" w:line="276"/>
        <w:ind w:left="240"/>
      </w:pPr>
      <w:r>
        <w:rPr>
          <w:color w:val="15181F"/>
          <w:sz w:val="18"/>
          <w:szCs w:val="18"/>
        </w:rPr>
        <w:t xml:space="preserve">Keep ctDNA inside a defined research or prospective registry role; IHPBA 2021 places circulating biomarker profiling within research.</w:t>
      </w:r>
    </w:p>
    <w:p>
      <w:pPr>
        <w:spacing w:after="50"/>
        <w:ind w:left="240"/>
      </w:pPr>
      <w:r>
        <w:rPr>
          <w:b/>
          <w:bCs/>
          <w:color w:val="8C2F26"/>
          <w:sz w:val="18"/>
          <w:szCs w:val="18"/>
        </w:rPr>
        <w:t xml:space="preserve">Caveat. </w:t>
      </w:r>
      <w:r>
        <w:rPr>
          <w:color w:val="15181F"/>
          <w:sz w:val="18"/>
          <w:szCs w:val="18"/>
        </w:rPr>
        <w:t xml:space="preserve">NCCN states there is currently insufficient evidence to recommend routine ctDNA use outside a clinical trial and that de-escalation decisions should not be based on ctDNA results. It is prognostic; it cannot replace imaging or justify clearance on its own.</w:t>
      </w:r>
    </w:p>
    <w:p>
      <w:pPr>
        <w:spacing w:after="60" w:line="276"/>
        <w:ind w:left="240"/>
      </w:pPr>
      <w:r>
        <w:rPr>
          <w:color w:val="5A6069"/>
          <w:sz w:val="16"/>
          <w:szCs w:val="16"/>
        </w:rPr>
        <w:t xml:space="preserve">Sources: IHPBA 2021</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Clearable after conversion</w:t>
      </w:r>
    </w:p>
    <w:p>
      <w:pPr>
        <w:spacing w:after="140"/>
      </w:pPr>
      <w:r>
        <w:rPr>
          <w:b/>
          <w:bCs/>
          <w:color w:val="176A87"/>
          <w:sz w:val="19"/>
          <w:szCs w:val="19"/>
        </w:rPr>
        <w:t xml:space="preserve">The question. </w:t>
      </w:r>
      <w:r>
        <w:rPr>
          <w:sz w:val="19"/>
          <w:szCs w:val="19"/>
        </w:rPr>
        <w:t xml:space="preserve">If I cannot clear this liver today, what specific step would make clearance possible, who owns it, and by when?</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Anatomic unresectability only — remnant too small or vascular and biliary relations prohibitive — with biology controlled</w:t>
      </w:r>
    </w:p>
    <w:p>
      <w:pPr>
        <w:pStyle w:val="ListParagraph"/>
        <w:numPr>
          <w:ilvl w:val="0"/>
          <w:numId w:val="2"/>
        </w:numPr>
        <w:spacing w:after="60" w:line="268"/>
      </w:pPr>
      <w:r>
        <w:rPr>
          <w:color w:val="15181F"/>
          <w:sz w:val="18"/>
          <w:szCs w:val="18"/>
        </w:rPr>
        <w:t xml:space="preserve">Liver-dominant or liver-only disease where a high hepatic response could convert to clearance</w:t>
      </w:r>
    </w:p>
    <w:p>
      <w:pPr>
        <w:pStyle w:val="ListParagraph"/>
        <w:numPr>
          <w:ilvl w:val="0"/>
          <w:numId w:val="2"/>
        </w:numPr>
        <w:spacing w:after="60" w:line="268"/>
      </w:pPr>
      <w:r>
        <w:rPr>
          <w:color w:val="15181F"/>
          <w:sz w:val="18"/>
          <w:szCs w:val="18"/>
        </w:rPr>
        <w:t xml:space="preserve">Functional limitation from parenchymal quality or reserve that may recover with a chemotherapy holiday and nutritional recovery</w:t>
      </w:r>
    </w:p>
    <w:p>
      <w:pPr>
        <w:pStyle w:val="ListParagraph"/>
        <w:numPr>
          <w:ilvl w:val="0"/>
          <w:numId w:val="2"/>
        </w:numPr>
        <w:spacing w:after="60" w:line="268"/>
      </w:pPr>
      <w:r>
        <w:rPr>
          <w:color w:val="15181F"/>
          <w:sz w:val="18"/>
          <w:szCs w:val="18"/>
        </w:rPr>
        <w:t xml:space="preserve">Hepatic burden drives the risk and liver-first sequencing would bring clearance forward</w:t>
      </w:r>
    </w:p>
    <w:p>
      <w:pPr>
        <w:pStyle w:val="ListParagraph"/>
        <w:numPr>
          <w:ilvl w:val="0"/>
          <w:numId w:val="2"/>
        </w:numPr>
        <w:spacing w:after="60" w:line="268"/>
      </w:pPr>
      <w:r>
        <w:rPr>
          <w:color w:val="15181F"/>
          <w:sz w:val="18"/>
          <w:szCs w:val="18"/>
        </w:rPr>
        <w:t xml:space="preserve">Disease in the planned future remnant that a defined course of therapy could clear</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Give conversion therapy against a defined surgical endpoint, and reassess resectability with a surgeon in the room every 8 weeks.</w:t>
      </w:r>
    </w:p>
    <w:p>
      <w:pPr>
        <w:spacing w:after="50" w:line="276"/>
        <w:ind w:left="240"/>
      </w:pPr>
      <w:r>
        <w:rPr>
          <w:color w:val="15181F"/>
          <w:sz w:val="18"/>
          <w:szCs w:val="18"/>
        </w:rPr>
        <w:t xml:space="preserve">Every patient treated with conversion intent. Choose the regimen by sidedness and molecular status as in Phase 1; in CAIRO5 complete local treatment of all metastases was reached in 51% versus 37% of right-sided or RAS/BRAF-mutant patients with the triplet. ESMO asks for resectability to be redefined at baseline on imaging under four weeks old, every 2–3 months on first-line treatment and again in later lines in very good responders [IV, A].</w:t>
      </w:r>
    </w:p>
    <w:p>
      <w:pPr>
        <w:spacing w:after="50"/>
        <w:ind w:left="240"/>
      </w:pPr>
      <w:r>
        <w:rPr>
          <w:b/>
          <w:bCs/>
          <w:color w:val="8C2F26"/>
          <w:sz w:val="18"/>
          <w:szCs w:val="18"/>
        </w:rPr>
        <w:t xml:space="preserve">Caveat. </w:t>
      </w:r>
      <w:r>
        <w:rPr>
          <w:color w:val="15181F"/>
          <w:sz w:val="18"/>
          <w:szCs w:val="18"/>
        </w:rPr>
        <w:t xml:space="preserve">Do not let conversion therapy become chemotherapy continued until progression or cumulative liver injury. When response has made safe complete clearance possible, operate now rather than continue.</w:t>
      </w:r>
    </w:p>
    <w:p>
      <w:pPr>
        <w:spacing w:after="50" w:line="276"/>
        <w:ind w:left="240"/>
      </w:pPr>
      <w:r>
        <w:rPr>
          <w:i/>
          <w:iCs/>
          <w:color w:val="5A6069"/>
          <w:sz w:val="17"/>
          <w:szCs w:val="17"/>
        </w:rPr>
        <w:t xml:space="preserve">The 8-week interval is an operating judgement with no comparative evidence; the Chinese 2024 consensus asks for surgical reassessment every 1.5–2.0 months and operation as soon as the disease is resectable, 6–8 weeks after the last bevacizumab dose.</w:t>
      </w:r>
    </w:p>
    <w:p>
      <w:pPr>
        <w:spacing w:after="60" w:line="276"/>
        <w:ind w:left="240"/>
      </w:pPr>
      <w:r>
        <w:rPr>
          <w:color w:val="5A6069"/>
          <w:sz w:val="16"/>
          <w:szCs w:val="16"/>
        </w:rPr>
        <w:t xml:space="preserve">Sources: CAIRO5; ESMO 2026; Chinese 2024 consensus</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Least invasive first: embolisation, then a staged resection, with ALPPS in reserve. The order reflects morbidity and the LIGRO rescue finding, not a survival advantage — no augmentation strategy has been compared for long-term oncologic outcome.</w:t>
      </w:r>
    </w:p>
    <w:p>
      <w:pPr>
        <w:spacing w:after="50" w:before="120"/>
        <w:ind w:left="240"/>
      </w:pPr>
      <w:r>
        <w:rPr>
          <w:b/>
          <w:bCs/>
          <w:color w:val="15181F"/>
          <w:sz w:val="19"/>
          <w:szCs w:val="19"/>
        </w:rPr>
        <w:t xml:space="preserve">Portal vein embolisation or liver venous deprivation</w:t>
      </w:r>
      <w:r>
        <w:rPr>
          <w:color w:val="5A6069"/>
          <w:sz w:val="15"/>
          <w:szCs w:val="15"/>
        </w:rPr>
        <w:t xml:space="preserve">   grade B</w:t>
      </w:r>
      <w:r>
        <w:rPr>
          <w:b/>
          <w:bCs/>
          <w:color w:val="8E5008"/>
          <w:spacing w:val="12"/>
          <w:sz w:val="14"/>
          <w:szCs w:val="14"/>
        </w:rPr>
        <w:t xml:space="preserve">   EXPERTISE</w:t>
      </w:r>
    </w:p>
    <w:p>
      <w:pPr>
        <w:spacing w:after="50" w:line="276"/>
        <w:ind w:left="240"/>
      </w:pPr>
      <w:r>
        <w:rPr>
          <w:color w:val="15181F"/>
          <w:sz w:val="18"/>
          <w:szCs w:val="18"/>
        </w:rPr>
        <w:t xml:space="preserve">Remnant augmentation enables clearance; it does not itself clear disease in the remnant.</w:t>
      </w:r>
    </w:p>
    <w:p>
      <w:pPr>
        <w:spacing w:after="50" w:line="276"/>
        <w:ind w:left="240"/>
      </w:pPr>
      <w:r>
        <w:rPr>
          <w:color w:val="15181F"/>
          <w:sz w:val="18"/>
          <w:szCs w:val="18"/>
        </w:rPr>
        <w:t xml:space="preserve">Anticipated remnant too small but disease otherwise clearable and biology controlled. Rescue ALPPS after failed portal vein occlusion closed most of the resection-rate gap in LIGRO (82% versus 92%, not significant), so an embolisation-first strategy with ALPPS held in reserve is not excluded by that trial.</w:t>
      </w:r>
    </w:p>
    <w:p>
      <w:pPr>
        <w:spacing w:after="50"/>
        <w:ind w:left="240"/>
      </w:pPr>
      <w:r>
        <w:rPr>
          <w:b/>
          <w:bCs/>
          <w:color w:val="8C2F26"/>
          <w:sz w:val="18"/>
          <w:szCs w:val="18"/>
        </w:rPr>
        <w:t xml:space="preserve">Caveat. </w:t>
      </w:r>
      <w:r>
        <w:rPr>
          <w:color w:val="15181F"/>
          <w:sz w:val="18"/>
          <w:szCs w:val="18"/>
        </w:rPr>
        <w:t xml:space="preserve">Disease in the future remnant left unaddressed, progressing biology, or a dropout and morbidity risk exceeding the realistic chance of clearance.</w:t>
      </w:r>
    </w:p>
    <w:p>
      <w:pPr>
        <w:spacing w:after="60" w:line="276"/>
        <w:ind w:left="240"/>
      </w:pPr>
      <w:r>
        <w:rPr>
          <w:color w:val="5A6069"/>
          <w:sz w:val="16"/>
          <w:szCs w:val="16"/>
        </w:rPr>
        <w:t xml:space="preserve">Sources: LIGRO</w:t>
      </w:r>
    </w:p>
    <w:p>
      <w:pPr>
        <w:spacing w:after="50" w:before="120"/>
        <w:ind w:left="240"/>
      </w:pPr>
      <w:r>
        <w:rPr>
          <w:b/>
          <w:bCs/>
          <w:color w:val="15181F"/>
          <w:sz w:val="19"/>
          <w:szCs w:val="19"/>
        </w:rPr>
        <w:t xml:space="preserve">Two-stage hepatectomy</w:t>
      </w:r>
      <w:r>
        <w:rPr>
          <w:color w:val="5A6069"/>
          <w:sz w:val="15"/>
          <w:szCs w:val="15"/>
        </w:rPr>
        <w:t xml:space="preserve">   grade B</w:t>
      </w:r>
      <w:r>
        <w:rPr>
          <w:b/>
          <w:bCs/>
          <w:color w:val="8E5008"/>
          <w:spacing w:val="12"/>
          <w:sz w:val="14"/>
          <w:szCs w:val="14"/>
        </w:rPr>
        <w:t xml:space="preserve">   EXPERTISE</w:t>
      </w:r>
    </w:p>
    <w:p>
      <w:pPr>
        <w:spacing w:after="50" w:line="276"/>
        <w:ind w:left="240"/>
      </w:pPr>
      <w:r>
        <w:rPr>
          <w:color w:val="15181F"/>
          <w:sz w:val="18"/>
          <w:szCs w:val="18"/>
        </w:rPr>
        <w:t xml:space="preserve">The conventional staged route to an adequate remnant.</w:t>
      </w:r>
    </w:p>
    <w:p>
      <w:pPr>
        <w:spacing w:after="50" w:line="276"/>
        <w:ind w:left="240"/>
      </w:pPr>
      <w:r>
        <w:rPr>
          <w:color w:val="15181F"/>
          <w:sz w:val="18"/>
          <w:szCs w:val="18"/>
        </w:rPr>
        <w:t xml:space="preserve">Bilobar disease where the remnant can be cleared first and hypertrophy awaited; tolerable where the interval can be covered by systemic therapy.</w:t>
      </w:r>
    </w:p>
    <w:p>
      <w:pPr>
        <w:spacing w:after="50"/>
        <w:ind w:left="240"/>
      </w:pPr>
      <w:r>
        <w:rPr>
          <w:b/>
          <w:bCs/>
          <w:color w:val="8C2F26"/>
          <w:sz w:val="18"/>
          <w:szCs w:val="18"/>
        </w:rPr>
        <w:t xml:space="preserve">Caveat. </w:t>
      </w:r>
      <w:r>
        <w:rPr>
          <w:color w:val="15181F"/>
          <w:sz w:val="18"/>
          <w:szCs w:val="18"/>
        </w:rPr>
        <w:t xml:space="preserve">High dropout risk between stages. In LIGRO the two-stage arm completed resection in only 57% (28 of 49) against a strict 30% remnant threshold, below published rates of 60–75%.</w:t>
      </w:r>
    </w:p>
    <w:p>
      <w:pPr>
        <w:spacing w:after="60" w:line="276"/>
        <w:ind w:left="240"/>
      </w:pPr>
      <w:r>
        <w:rPr>
          <w:color w:val="5A6069"/>
          <w:sz w:val="16"/>
          <w:szCs w:val="16"/>
        </w:rPr>
        <w:t xml:space="preserve">Sources: LIGRO</w:t>
      </w:r>
    </w:p>
    <w:p>
      <w:pPr>
        <w:spacing w:after="50" w:before="120"/>
        <w:ind w:left="240"/>
      </w:pPr>
      <w:r>
        <w:rPr>
          <w:b/>
          <w:bCs/>
          <w:color w:val="15181F"/>
          <w:sz w:val="19"/>
          <w:szCs w:val="19"/>
        </w:rPr>
        <w:t xml:space="preserve">ALPPS</w:t>
      </w:r>
      <w:r>
        <w:rPr>
          <w:color w:val="5A6069"/>
          <w:sz w:val="15"/>
          <w:szCs w:val="15"/>
        </w:rPr>
        <w:t xml:space="preserve">   grade B</w:t>
      </w:r>
      <w:r>
        <w:rPr>
          <w:b/>
          <w:bCs/>
          <w:color w:val="8E5008"/>
          <w:spacing w:val="12"/>
          <w:sz w:val="14"/>
          <w:szCs w:val="14"/>
        </w:rPr>
        <w:t xml:space="preserve">   EXPERTISE</w:t>
      </w:r>
    </w:p>
    <w:p>
      <w:pPr>
        <w:spacing w:after="50" w:line="276"/>
        <w:ind w:left="240"/>
      </w:pPr>
      <w:r>
        <w:rPr>
          <w:color w:val="15181F"/>
          <w:sz w:val="18"/>
          <w:szCs w:val="18"/>
        </w:rPr>
        <w:t xml:space="preserve">LIGRO randomised 100 patients with a standardised future remnant under 30% and analysed 97: resection rate 92% (44 of 48) versus 57% (28 of 49) with two-stage hepatectomy, rate ratio 8.25 (2.6–26.6), p&lt;0.0001, with faster hypertrophy (day-7 remnant 37.1% versus 26.1%) and an 11-day rather than 43-day interval.</w:t>
      </w:r>
    </w:p>
    <w:p>
      <w:pPr>
        <w:spacing w:after="50" w:line="276"/>
        <w:ind w:left="240"/>
      </w:pPr>
      <w:r>
        <w:rPr>
          <w:color w:val="15181F"/>
          <w:sz w:val="18"/>
          <w:szCs w:val="18"/>
        </w:rPr>
        <w:t xml:space="preserve">A remnant that will not reach threshold in time by embolisation alone, in a fit patient, at a centre that does this operation regularly.</w:t>
      </w:r>
    </w:p>
    <w:p>
      <w:pPr>
        <w:spacing w:after="50"/>
        <w:ind w:left="240"/>
      </w:pPr>
      <w:r>
        <w:rPr>
          <w:b/>
          <w:bCs/>
          <w:color w:val="8C2F26"/>
          <w:sz w:val="18"/>
          <w:szCs w:val="18"/>
        </w:rPr>
        <w:t xml:space="preserve">Caveat. </w:t>
      </w:r>
      <w:r>
        <w:rPr>
          <w:color w:val="15181F"/>
          <w:sz w:val="18"/>
          <w:szCs w:val="18"/>
        </w:rPr>
        <w:t xml:space="preserve">Marginal fitness or progressing biology. The endpoint was resectability, not survival — the authors state the oncologic role is therefore uncertain and report long-term outcome in a separate paper. Grade 3a or worse complications were 43% in both arms and 90-day mortality 8.3% versus 6.1%, with postoperative liver failure in all seven deaths. Resectability assessment, volumetry and the embolisation technique were all left to local practice and not standardised.</w:t>
      </w:r>
    </w:p>
    <w:p>
      <w:pPr>
        <w:spacing w:after="60" w:line="276"/>
        <w:ind w:left="240"/>
      </w:pPr>
      <w:r>
        <w:rPr>
          <w:color w:val="5A6069"/>
          <w:sz w:val="16"/>
          <w:szCs w:val="16"/>
        </w:rPr>
        <w:t xml:space="preserve">Sources: LIGRO</w:t>
      </w:r>
    </w:p>
    <w:p>
      <w:pPr>
        <w:spacing w:after="60" w:line="276"/>
        <w:ind w:left="240"/>
      </w:pPr>
      <w:r>
        <w:rPr>
          <w:i/>
          <w:iCs/>
          <w:color w:val="5A6069"/>
          <w:sz w:val="16"/>
          <w:szCs w:val="16"/>
        </w:rPr>
        <w:t xml:space="preserve">Remnant-volume thresholds, the augmentation hierarchy and who decides between its steps are modality-specific local policy (grade D) and require hepatobiliary and interventional radiology approval, together with the embolisation-to-surgery interval.</w:t>
      </w:r>
    </w:p>
    <w:p>
      <w:pPr>
        <w:spacing w:after="60" w:before="180"/>
      </w:pPr>
      <w:r>
        <w:rPr>
          <w:b/>
          <w:bCs/>
          <w:color w:val="17365D"/>
          <w:spacing w:val="16"/>
          <w:sz w:val="16"/>
          <w:szCs w:val="16"/>
        </w:rPr>
        <w:t xml:space="preserve">STANDARD</w:t>
      </w:r>
      <w:r>
        <w:rPr>
          <w:color w:val="5A6069"/>
          <w:sz w:val="16"/>
          <w:szCs w:val="16"/>
        </w:rPr>
        <w:t xml:space="preserve">   grade C</w:t>
      </w:r>
      <w:r>
        <w:rPr>
          <w:b/>
          <w:bCs/>
          <w:color w:val="8E5008"/>
          <w:spacing w:val="12"/>
          <w:sz w:val="14"/>
          <w:szCs w:val="14"/>
        </w:rPr>
        <w:t xml:space="preserve">   EXPERTISE</w:t>
      </w:r>
    </w:p>
    <w:p>
      <w:pPr>
        <w:spacing w:after="60" w:line="276"/>
      </w:pPr>
      <w:r>
        <w:rPr>
          <w:color w:val="15181F"/>
          <w:sz w:val="19"/>
          <w:szCs w:val="19"/>
        </w:rPr>
        <w:t xml:space="preserve">Hepatic arterial infusion plus systemic therapy to convert liver-dominant or liver-only disease to clearance, planned early rather than kept as terminal salvage.</w:t>
      </w:r>
    </w:p>
    <w:p>
      <w:pPr>
        <w:spacing w:after="50" w:line="276"/>
        <w:ind w:left="240"/>
      </w:pPr>
      <w:r>
        <w:rPr>
          <w:color w:val="15181F"/>
          <w:sz w:val="18"/>
          <w:szCs w:val="18"/>
        </w:rPr>
        <w:t xml:space="preserve">Liver-dominant or liver-only disease where a high hepatic response could convert to clearance, with parallel transplant review when relevant, at a centre with an established pump programme. The Memorial Sloan Kettering phase I experience converted 47% (23 of 49) of technically unresectable patients to resection with 92% radiologic response; a two-centre Dutch phase II study met its feasibility endpoint with 90% receiving at least two combined cycles, partial response in 34% and hepatic disease control in 93% at first evaluation.</w:t>
      </w:r>
    </w:p>
    <w:p>
      <w:pPr>
        <w:spacing w:after="50"/>
        <w:ind w:left="240"/>
      </w:pPr>
      <w:r>
        <w:rPr>
          <w:b/>
          <w:bCs/>
          <w:color w:val="8C2F26"/>
          <w:sz w:val="18"/>
          <w:szCs w:val="18"/>
        </w:rPr>
        <w:t xml:space="preserve">Caveat. </w:t>
      </w:r>
      <w:r>
        <w:rPr>
          <w:color w:val="15181F"/>
          <w:sz w:val="18"/>
          <w:szCs w:val="18"/>
        </w:rPr>
        <w:t xml:space="preserve">No dedicated pump programme; unsuitable arterial anatomy; extrahepatic disease; portal hypertension; prior liver radiation; direct bilirubin above 1.5 mg/dL or alkaline phosphatase at or above twice the upper limit of normal. NCCN also requires at least one prior systemic line and operative fitness, and HAI cannot be delivered with concurrent bevacizumab or other VEGF inhibitors.</w:t>
      </w:r>
    </w:p>
    <w:p>
      <w:pPr>
        <w:spacing w:after="50" w:line="276"/>
        <w:ind w:left="240"/>
      </w:pPr>
      <w:r>
        <w:rPr>
          <w:i/>
          <w:iCs/>
          <w:color w:val="5A6069"/>
          <w:sz w:val="17"/>
          <w:szCs w:val="17"/>
        </w:rPr>
        <w:t xml:space="preserve">Conversion is a surrogate and the evidence is single-arm and centre-concentrated: median disease-free survival after R0 resection was only 7.6 months, 12 of 23 resected patients needed portal vein embolisation and 10 needed intraoperative ablation, and response in that series was scored by WHO-type criteria rather than RECIST, which inflates the 92% figure against modern trials. The only baseline factor that predicted conversion was female sex (81% versus 30%), from an uncorrected univariate scan in 49 patients, so nothing here lets a surgeon predict who converts. Toxicity rises with exposure — grade 3 or worse chemotherapy toxicity in 38% during the first two cycles and 66% by six months in the Dutch study, with late biliary sclerosis unresolved at six months and expected later. Biliary toxicity and pump complications are not occasional-case risks, and delivery depends on payer authorisation in a clinically useful interval.</w:t>
      </w:r>
    </w:p>
    <w:p>
      <w:pPr>
        <w:spacing w:after="60" w:line="276"/>
        <w:ind w:left="240"/>
      </w:pPr>
      <w:r>
        <w:rPr>
          <w:color w:val="5A6069"/>
          <w:sz w:val="16"/>
          <w:szCs w:val="16"/>
        </w:rPr>
        <w:t xml:space="preserve">Sources: Kemeny HAI conversion; Dutch HAI phase II</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Leave an asymptomatic primary in situ during systemic therapy when liver disease is broadly unresectable; resect it for a defined local threat, and before transplantation after a favourable response.</w:t>
      </w:r>
    </w:p>
    <w:p>
      <w:pPr>
        <w:spacing w:after="50" w:line="276"/>
        <w:ind w:left="240"/>
      </w:pPr>
      <w:r>
        <w:rPr>
          <w:color w:val="15181F"/>
          <w:sz w:val="18"/>
          <w:szCs w:val="18"/>
        </w:rPr>
        <w:t xml:space="preserve">An asymptomatic primary with unresectable metastases — the whole Adam 2015 panel agreed on optimal chemotherapy first to achieve resectability, and ESMO states that primary resection cannot be recommended for an asymptomatic primary with unresectable synchronous metastases [I, D]. Where transplantation is contemplated, the primary is resected after a favourable response, with clear margins and a circumferential margin of at least 1 mm for a rectal cancer.</w:t>
      </w:r>
    </w:p>
    <w:p>
      <w:pPr>
        <w:spacing w:after="50"/>
        <w:ind w:left="240"/>
      </w:pPr>
      <w:r>
        <w:rPr>
          <w:b/>
          <w:bCs/>
          <w:color w:val="8C2F26"/>
          <w:sz w:val="18"/>
          <w:szCs w:val="18"/>
        </w:rPr>
        <w:t xml:space="preserve">Caveat. </w:t>
      </w:r>
      <w:r>
        <w:rPr>
          <w:color w:val="15181F"/>
          <w:sz w:val="18"/>
          <w:szCs w:val="18"/>
        </w:rPr>
        <w:t xml:space="preserve">Imminent obstruction, substantial bleeding, perforation or another local threat: resect first. NCCN advises colon resection only in that situation.</w:t>
      </w:r>
    </w:p>
    <w:p>
      <w:pPr>
        <w:spacing w:after="50" w:line="276"/>
        <w:ind w:left="240"/>
      </w:pPr>
      <w:r>
        <w:rPr>
          <w:i/>
          <w:iCs/>
          <w:color w:val="5A6069"/>
          <w:sz w:val="17"/>
          <w:szCs w:val="17"/>
        </w:rPr>
        <w:t xml:space="preserve">A rectal primary managed by watch-and-wait after a clinical complete response does not meet the transplant requirement for a resected primary — a clinical complete response is not proof that every tumour cell is gone — and must be resolved before listing.</w:t>
      </w:r>
    </w:p>
    <w:p>
      <w:pPr>
        <w:spacing w:after="60" w:line="276"/>
        <w:ind w:left="240"/>
      </w:pPr>
      <w:r>
        <w:rPr>
          <w:color w:val="5A6069"/>
          <w:sz w:val="16"/>
          <w:szCs w:val="16"/>
        </w:rPr>
        <w:t xml:space="preserve">Sources: Adam 2015 consensus; ESMO 2026</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Selected Y90 radiation lobectomy to grow the future remnant, with the operation supplying the curative step.</w:t>
      </w:r>
    </w:p>
    <w:p>
      <w:pPr>
        <w:spacing w:after="50" w:line="276"/>
        <w:ind w:left="240"/>
      </w:pPr>
      <w:r>
        <w:rPr>
          <w:color w:val="15181F"/>
          <w:sz w:val="18"/>
          <w:szCs w:val="18"/>
        </w:rPr>
        <w:t xml:space="preserve">A patient whose remnant will not come up by embolisation and in whom lobar radioembolisation is technically attractive, planned as a route to an operation.</w:t>
      </w:r>
    </w:p>
    <w:p>
      <w:pPr>
        <w:spacing w:after="50"/>
        <w:ind w:left="240"/>
      </w:pPr>
      <w:r>
        <w:rPr>
          <w:b/>
          <w:bCs/>
          <w:color w:val="8C2F26"/>
          <w:sz w:val="18"/>
          <w:szCs w:val="18"/>
        </w:rPr>
        <w:t xml:space="preserve">Caveat. Do not present it as the curative treatment, and do not extrapolate HCC segmentectomy cure claims to CRLM. Assess any future HAI pathway before liver irradiation, because the existing NCCN eligibility restriction requires review before treatment sequencing.</w:t>
      </w:r>
      <w:r>
        <w:rPr>
          <w:color w:val="15181F"/>
          <w:sz w:val="18"/>
          <w:szCs w:val="18"/>
        </w:rPr>
        <w:t xml:space="preserve"/>
      </w:r>
    </w:p>
    <w:p>
      <w:pPr>
        <w:spacing w:after="50" w:line="276"/>
        <w:ind w:left="240"/>
      </w:pPr>
      <w:r>
        <w:rPr>
          <w:i/>
          <w:iCs/>
          <w:color w:val="5A6069"/>
          <w:sz w:val="17"/>
          <w:szCs w:val="17"/>
        </w:rPr>
        <w:t xml:space="preserve">Depends on personalised dosimetry planning and radiation-safety review; the CRLM hypertrophy evidence is a small part of mixed series.</w:t>
      </w:r>
    </w:p>
    <w:p>
      <w:pPr>
        <w:spacing w:after="60" w:before="180"/>
      </w:pPr>
      <w:r>
        <w:rPr>
          <w:b/>
          <w:bCs/>
          <w:color w:val="176A87"/>
          <w:spacing w:val="16"/>
          <w:sz w:val="16"/>
          <w:szCs w:val="16"/>
        </w:rPr>
        <w:t xml:space="preserve">REASONABLE</w:t>
      </w:r>
      <w:r>
        <w:rPr>
          <w:color w:val="5A6069"/>
          <w:sz w:val="16"/>
          <w:szCs w:val="16"/>
        </w:rPr>
        <w:t xml:space="preserve">   grade C</w:t>
      </w:r>
      <w:r>
        <w:rPr>
          <w:b/>
          <w:bCs/>
          <w:color w:val="8E5008"/>
          <w:spacing w:val="12"/>
          <w:sz w:val="14"/>
          <w:szCs w:val="14"/>
        </w:rPr>
        <w:t xml:space="preserve">   EXPERTISE</w:t>
      </w:r>
    </w:p>
    <w:p>
      <w:pPr>
        <w:spacing w:after="60" w:line="276"/>
      </w:pPr>
      <w:r>
        <w:rPr>
          <w:color w:val="15181F"/>
          <w:sz w:val="19"/>
          <w:szCs w:val="19"/>
        </w:rPr>
        <w:t xml:space="preserve">Adjuvant hepatic arterial infusion after resection, as a separate expert-centre indication.</w:t>
      </w:r>
    </w:p>
    <w:p>
      <w:pPr>
        <w:spacing w:after="50" w:line="276"/>
        <w:ind w:left="240"/>
      </w:pPr>
      <w:r>
        <w:rPr>
          <w:color w:val="15181F"/>
          <w:sz w:val="18"/>
          <w:szCs w:val="18"/>
        </w:rPr>
        <w:t xml:space="preserve">A completely resected patient at a credentialed pump centre. The randomised Memorial Sloan Kettering trial gave 2-year survival free of hepatic progression of 90% versus 60% (p&lt;0.001) and 2-year overall survival 86% versus 72% (p=0.03).</w:t>
      </w:r>
    </w:p>
    <w:p>
      <w:pPr>
        <w:spacing w:after="50"/>
        <w:ind w:left="240"/>
      </w:pPr>
      <w:r>
        <w:rPr>
          <w:b/>
          <w:bCs/>
          <w:color w:val="8C2F26"/>
          <w:sz w:val="18"/>
          <w:szCs w:val="18"/>
        </w:rPr>
        <w:t xml:space="preserve">Caveat. </w:t>
      </w:r>
      <w:r>
        <w:rPr>
          <w:color w:val="15181F"/>
          <w:sz w:val="18"/>
          <w:szCs w:val="18"/>
        </w:rPr>
        <w:t xml:space="preserve">Extrahepatic disease or a positive margin, where the propensity-matched series found no benefit (37 versus 33 months and 37 versus 28 months). Do not offer it outside a programme with credentialed surgeons, oncologists and pump management.</w:t>
      </w:r>
    </w:p>
    <w:p>
      <w:pPr>
        <w:spacing w:after="50" w:line="276"/>
        <w:ind w:left="240"/>
      </w:pPr>
      <w:r>
        <w:rPr>
          <w:i/>
          <w:iCs/>
          <w:color w:val="5A6069"/>
          <w:sz w:val="17"/>
          <w:szCs w:val="17"/>
        </w:rPr>
        <w:t xml:space="preserve">Both halves: in that trial the whole overall survival curves were not significantly different (p=0.21 by log-rank) and the positive result is the prespecified two-year landmark, against an obsolete bolus fluorouracil comparator, with only 26% of patients receiving more than half the planned floxuridine because of biliary toxicity. The 2368-patient propensity analysis (median overall survival 67 versus 44 months, adjusted HR 0.67, 0.59–0.76) is retrospective across 21 years in patients six years younger and more recently treated, a published letter argued the propensity model and covariate balance were reported in too little detail to assess, and its largest effects fell in node-negative and low-risk patients — the opposite of where a regional therapy should help most. Dutch PUMP (ASCO 2026 LBA3506; DOI 10.1200/JCO.2026.44.17_suppl.LBA3506) has reported randomized conference results: in low-risk resected CRLM (CRS 0–2), adjuvant HAIP alone did not significantly improve PFS versus resection alone (HR 0.88, 95% CI 0.62–1.25; P=.48). Neither arm received adjuvant systemic chemotherapy. Overall survival is immature. This does not test HAI plus modern systemic therapy or the unresectable conversion setting.</w:t>
      </w:r>
    </w:p>
    <w:p>
      <w:pPr>
        <w:spacing w:after="60" w:line="276"/>
        <w:ind w:left="240"/>
      </w:pPr>
      <w:r>
        <w:rPr>
          <w:color w:val="5A6069"/>
          <w:sz w:val="16"/>
          <w:szCs w:val="16"/>
        </w:rPr>
        <w:t xml:space="preserve">Sources: Kemeny adjuvant HAI; MSKCC HAI propensity; PUMP protocol and ASCO 2026 LBA3506 results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A larger operation as the answer to disease progressing on an appropriate systemic regimen.</w:t>
      </w:r>
    </w:p>
    <w:p>
      <w:pPr>
        <w:spacing w:after="50" w:line="276"/>
        <w:ind w:left="240"/>
      </w:pPr>
      <w:r>
        <w:rPr>
          <w:color w:val="15181F"/>
          <w:sz w:val="18"/>
          <w:szCs w:val="18"/>
        </w:rPr>
        <w:t xml:space="preserve">Redirect. Biologic unresectability is not reversible by surgery; restage and reconsider complete treatment rather than escalating the operation.</w:t>
      </w:r>
    </w:p>
    <w:p>
      <w:pPr>
        <w:spacing w:after="50"/>
        <w:ind w:left="240"/>
      </w:pPr>
      <w:r>
        <w:rPr>
          <w:b/>
          <w:bCs/>
          <w:color w:val="8C2F26"/>
          <w:sz w:val="18"/>
          <w:szCs w:val="18"/>
        </w:rPr>
        <w:t xml:space="preserve">Caveat. </w:t>
      </w:r>
      <w:r>
        <w:rPr>
          <w:color w:val="15181F"/>
          <w:sz w:val="18"/>
          <w:szCs w:val="18"/>
        </w:rPr>
        <w:t xml:space="preserve">Escalating from resection to augmentation, staged surgery or ALPPS in a patient whose disease is growing through therapy. Progression or new extrahepatic disease at any phase ends transplant intent and redirects care.</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Adding Y90 radioembolisation to first-line chemotherapy expecting a survival benefit.</w:t>
      </w:r>
    </w:p>
    <w:p>
      <w:pPr>
        <w:spacing w:after="50" w:line="276"/>
        <w:ind w:left="240"/>
      </w:pPr>
      <w:r>
        <w:rPr>
          <w:color w:val="15181F"/>
          <w:sz w:val="18"/>
          <w:szCs w:val="18"/>
        </w:rPr>
        <w:t xml:space="preserve">Nothing in the first line. If hepatic control is the goal, say so and label it control, not conversion.</w:t>
      </w:r>
    </w:p>
    <w:p>
      <w:pPr>
        <w:spacing w:after="50"/>
        <w:ind w:left="240"/>
      </w:pPr>
      <w:r>
        <w:rPr>
          <w:b/>
          <w:bCs/>
          <w:color w:val="8C2F26"/>
          <w:sz w:val="18"/>
          <w:szCs w:val="18"/>
        </w:rPr>
        <w:t xml:space="preserve">Caveat. </w:t>
      </w:r>
      <w:r>
        <w:rPr>
          <w:color w:val="15181F"/>
          <w:sz w:val="18"/>
          <w:szCs w:val="18"/>
        </w:rPr>
        <w:t xml:space="preserve">The prospectively planned combined analysis of FOXFIRE, SIRFLOX and FOXFIRE-Global in 1103 patients found median overall survival 22.6 versus 23.3 months, pooled HR 1.04 (0.90–1.19), p=0.61, with no benefit in the liver-only subgroup (HR 1.00) and identical hepatic resection rates (17% versus 16%), at the cost of grade 3 or worse events in 74% versus 67%.</w:t>
      </w:r>
    </w:p>
    <w:p>
      <w:pPr>
        <w:spacing w:after="50" w:line="276"/>
        <w:ind w:left="240"/>
      </w:pPr>
      <w:r>
        <w:rPr>
          <w:i/>
          <w:iCs/>
          <w:color w:val="5A6069"/>
          <w:sz w:val="17"/>
          <w:szCs w:val="17"/>
        </w:rPr>
        <w:t xml:space="preserve">Both halves: liver control did improve — first progression in the liver 31% versus 49%, subdistribution HR 0.51 — but non-liver progression rose (HR 1.76), and in SIRFLOX the primary endpoint of progression-free survival at any site was negative (10.7 versus 10.2 months, HR 0.93) while liver progression-free survival improved from 12.6 to 20.5 months. Resection rates did not move in either trial.</w:t>
      </w:r>
    </w:p>
    <w:p>
      <w:pPr>
        <w:spacing w:after="60" w:line="276"/>
        <w:ind w:left="240"/>
      </w:pPr>
      <w:r>
        <w:rPr>
          <w:color w:val="5A6069"/>
          <w:sz w:val="16"/>
          <w:szCs w:val="16"/>
        </w:rPr>
        <w:t xml:space="preserve">Sources: FOXFIRE / SIRFLOX / FOXFIRE-Global; SIRFLOX</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Transplant candidate</w:t>
      </w:r>
    </w:p>
    <w:p>
      <w:pPr>
        <w:spacing w:after="140"/>
      </w:pPr>
      <w:r>
        <w:rPr>
          <w:b/>
          <w:bCs/>
          <w:color w:val="176A87"/>
          <w:sz w:val="19"/>
          <w:szCs w:val="19"/>
        </w:rPr>
        <w:t xml:space="preserve">The question. </w:t>
      </w:r>
      <w:r>
        <w:rPr>
          <w:sz w:val="19"/>
          <w:szCs w:val="19"/>
        </w:rPr>
        <w:t xml:space="preserve">Is this permanently unresectable, liver-only, biologically controlled disease that this programme can actually list — and under whose criteria?</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Permanent unresectability formally determined, with a written record of why resection, margin-verified ablation, portal vein embolisation or liver venous deprivation, staged hepatectomy, ALPPS and hepatic arterial infusion each cannot clear the liver at acceptable functional risk</w:t>
      </w:r>
    </w:p>
    <w:p>
      <w:pPr>
        <w:pStyle w:val="ListParagraph"/>
        <w:numPr>
          <w:ilvl w:val="0"/>
          <w:numId w:val="2"/>
        </w:numPr>
        <w:spacing w:after="60" w:line="268"/>
      </w:pPr>
      <w:r>
        <w:rPr>
          <w:color w:val="15181F"/>
          <w:sz w:val="18"/>
          <w:szCs w:val="18"/>
        </w:rPr>
        <w:t xml:space="preserve">Unequivocally liver-only on CT/MRI and PET/CT, with no extrahepatic, nodal or peritoneal disease at any time</w:t>
      </w:r>
    </w:p>
    <w:p>
      <w:pPr>
        <w:pStyle w:val="ListParagraph"/>
        <w:numPr>
          <w:ilvl w:val="0"/>
          <w:numId w:val="2"/>
        </w:numPr>
        <w:spacing w:after="60" w:line="268"/>
      </w:pPr>
      <w:r>
        <w:rPr>
          <w:color w:val="15181F"/>
          <w:sz w:val="18"/>
          <w:szCs w:val="18"/>
        </w:rPr>
        <w:t xml:space="preserve">Histologically confirmed colorectal adenocarcinoma, BRAF wild type and microsatellite stable, with R0 primary resection and colonoscopy within 12 months excluding local recurrence</w:t>
      </w:r>
    </w:p>
    <w:p>
      <w:pPr>
        <w:pStyle w:val="ListParagraph"/>
        <w:numPr>
          <w:ilvl w:val="0"/>
          <w:numId w:val="2"/>
        </w:numPr>
        <w:spacing w:after="60" w:line="268"/>
      </w:pPr>
      <w:r>
        <w:rPr>
          <w:color w:val="15181F"/>
          <w:sz w:val="18"/>
          <w:szCs w:val="18"/>
        </w:rPr>
        <w:t xml:space="preserve">At least 12 months from CRLM diagnosis and at least six months of stability or regression on systemic or locoregional therapy; CEA not above 80 µg/L; no hepatic lesion above 10 cm before treatment</w:t>
      </w:r>
    </w:p>
    <w:p>
      <w:pPr>
        <w:pStyle w:val="ListParagraph"/>
        <w:numPr>
          <w:ilvl w:val="0"/>
          <w:numId w:val="2"/>
        </w:numPr>
        <w:spacing w:after="60" w:line="268"/>
      </w:pPr>
      <w:r>
        <w:rPr>
          <w:color w:val="15181F"/>
          <w:sz w:val="18"/>
          <w:szCs w:val="18"/>
        </w:rPr>
        <w:t xml:space="preserve">ECOG 0–1 with adequate organ function and low frailty, under a written protocol with a transplant-oncology MDT, a defined graft strategy, a prospective registry and an agreed recurrence plan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100" w:line="276"/>
      </w:pPr>
      <w:r>
        <w:rPr>
          <w:i/>
          <w:iCs/>
          <w:color w:val="5A6069"/>
          <w:sz w:val="17"/>
          <w:szCs w:val="17"/>
        </w:rPr>
        <w:t xml:space="preserve">Deceased-donor listing under the review-board route first, because that is where the randomised evidence and the allocation pathway sit; living donation is a graft-supply answer to waiting time, not a separate indication, and carries only single-arm short-term data.</w:t>
      </w:r>
    </w:p>
    <w:p>
      <w:pPr>
        <w:spacing w:after="50" w:before="120"/>
        <w:ind w:left="240"/>
      </w:pPr>
      <w:r>
        <w:rPr>
          <w:b/>
          <w:bCs/>
          <w:color w:val="15181F"/>
          <w:sz w:val="19"/>
          <w:szCs w:val="19"/>
        </w:rPr>
        <w:t xml:space="preserve">Deceased-donor transplantation under the nonstandard review route</w:t>
      </w:r>
      <w:r>
        <w:rPr>
          <w:color w:val="5A6069"/>
          <w:sz w:val="15"/>
          <w:szCs w:val="15"/>
        </w:rPr>
        <w:t xml:space="preserve">   grade B</w:t>
      </w:r>
      <w:r>
        <w:rPr>
          <w:b/>
          <w:bCs/>
          <w:color w:val="8E5008"/>
          <w:spacing w:val="12"/>
          <w:sz w:val="14"/>
          <w:szCs w:val="14"/>
        </w:rPr>
        <w:t xml:space="preserve">   PROTOCOL</w:t>
      </w:r>
      <w:r>
        <w:rPr>
          <w:b/>
          <w:bCs/>
          <w:color w:val="8E5008"/>
          <w:spacing w:val="12"/>
          <w:sz w:val="14"/>
          <w:szCs w:val="14"/>
        </w:rPr>
        <w:t xml:space="preserve">   REGISTRY</w:t>
      </w:r>
    </w:p>
    <w:p>
      <w:pPr>
        <w:spacing w:after="50" w:line="276"/>
        <w:ind w:left="240"/>
      </w:pPr>
      <w:r>
        <w:rPr>
          <w:color w:val="15181F"/>
          <w:sz w:val="18"/>
          <w:szCs w:val="18"/>
        </w:rPr>
        <w:t xml:space="preserve">TransMet randomised 94 patients with permanently unresectable liver-only disease controlled on chemotherapy: intention-to-treat 5-year overall survival 56.6% versus 12.6% with chemotherapy alone, HR 0.37 (95% CI 0.21–0.65), p=0.0003; per protocol 73.3% versus 9.3%, HR 0.16. CRLM is not a standardised OPTN exception, so listing goes through nonstandard Adult Transplant Oncology Review Board review with the CRLM diagnosis form and a written narrative requesting consideration at MMaT-20, with Policy 9.4.E setting a floor of 15.</w:t>
      </w:r>
    </w:p>
    <w:p>
      <w:pPr>
        <w:spacing w:after="50" w:line="276"/>
        <w:ind w:left="240"/>
      </w:pPr>
      <w:r>
        <w:rPr>
          <w:color w:val="15181F"/>
          <w:sz w:val="18"/>
          <w:szCs w:val="18"/>
        </w:rPr>
        <w:t xml:space="preserve">A patient inside both the OPTN guidance gates and the local protocol: BRAF wild type, microsatellite stable, 12 months from CRLM diagnosis, six months of stability or regression, CEA at or below 80 µg/L, no pretreatment lesion above 10 cm, primary resected R0 with a clear colonoscopy, ECOG 0–1, age considered with physiologic reserve rather than alone.</w:t>
      </w:r>
    </w:p>
    <w:p>
      <w:pPr>
        <w:spacing w:after="50"/>
        <w:ind w:left="240"/>
      </w:pPr>
      <w:r>
        <w:rPr>
          <w:b/>
          <w:bCs/>
          <w:color w:val="8C2F26"/>
          <w:sz w:val="18"/>
          <w:szCs w:val="18"/>
        </w:rPr>
        <w:t xml:space="preserve">Caveat. Any uncontrolled or non-curable extrahepatic disease, progression on an appropriate regimen, new lesions, declining reserve, prohibitive comorbidity, active infection or psychosocial risk. Prioritize feasible complete resection/ablation, including augmentation or staged surgery. HAI may enable clearance, but its availability alone does not preclude parallel transplant evaluation for persistently unresectable disease.</w:t>
      </w:r>
      <w:r>
        <w:rPr>
          <w:color w:val="15181F"/>
          <w:sz w:val="18"/>
          <w:szCs w:val="18"/>
        </w:rPr>
        <w:t xml:space="preserve"/>
      </w:r>
    </w:p>
    <w:p>
      <w:pPr>
        <w:spacing w:after="60" w:line="276"/>
        <w:ind w:left="240"/>
      </w:pPr>
      <w:r>
        <w:rPr>
          <w:color w:val="5A6069"/>
          <w:sz w:val="16"/>
          <w:szCs w:val="16"/>
        </w:rPr>
        <w:t xml:space="preserve">Sources: TransMet</w:t>
      </w:r>
    </w:p>
    <w:p>
      <w:pPr>
        <w:spacing w:after="50" w:before="120"/>
        <w:ind w:left="240"/>
      </w:pPr>
      <w:r>
        <w:rPr>
          <w:b/>
          <w:bCs/>
          <w:color w:val="15181F"/>
          <w:sz w:val="19"/>
          <w:szCs w:val="19"/>
        </w:rPr>
        <w:t xml:space="preserve">Living-donor or RAPID graft strategy</w:t>
      </w:r>
      <w:r>
        <w:rPr>
          <w:color w:val="5A6069"/>
          <w:sz w:val="15"/>
          <w:szCs w:val="15"/>
        </w:rPr>
        <w:t xml:space="preserve">   grade C</w:t>
      </w:r>
      <w:r>
        <w:rPr>
          <w:b/>
          <w:bCs/>
          <w:color w:val="8E5008"/>
          <w:spacing w:val="12"/>
          <w:sz w:val="14"/>
          <w:szCs w:val="14"/>
        </w:rPr>
        <w:t xml:space="preserve">   PROTOCOL</w:t>
      </w:r>
      <w:r>
        <w:rPr>
          <w:b/>
          <w:bCs/>
          <w:color w:val="8E5008"/>
          <w:spacing w:val="12"/>
          <w:sz w:val="14"/>
          <w:szCs w:val="14"/>
        </w:rPr>
        <w:t xml:space="preserve">   REGISTRY</w:t>
      </w:r>
      <w:r>
        <w:rPr>
          <w:b/>
          <w:bCs/>
          <w:color w:val="8E5008"/>
          <w:spacing w:val="12"/>
          <w:sz w:val="14"/>
          <w:szCs w:val="14"/>
        </w:rPr>
        <w:t xml:space="preserve">   EXPERTISE</w:t>
      </w:r>
    </w:p>
    <w:p>
      <w:pPr>
        <w:spacing w:after="50" w:line="276"/>
        <w:ind w:left="240"/>
      </w:pPr>
      <w:r>
        <w:rPr>
          <w:color w:val="15181F"/>
          <w:sz w:val="18"/>
          <w:szCs w:val="18"/>
        </w:rPr>
        <w:t xml:space="preserve">IHPBA 2021 permits extended-criteria grafts, machine perfusion and deceased- or living-donor RAPID, with living donation only in centres meeting international benchmarks and preferably within a trial, and no re-transplantation for recurrent metastases.</w:t>
      </w:r>
    </w:p>
    <w:p>
      <w:pPr>
        <w:spacing w:after="50" w:line="276"/>
        <w:ind w:left="240"/>
      </w:pPr>
      <w:r>
        <w:rPr>
          <w:color w:val="15181F"/>
          <w:sz w:val="18"/>
          <w:szCs w:val="18"/>
        </w:rPr>
        <w:t xml:space="preserve">A protocol-eligible candidate at a benchmark-meeting living-donor programme, entered prospectively, where waiting for a deceased-donor graft would cost the window. The three-centre North American series transplanted 10 of 91 evaluated patients, with 1.5-year overall survival 100% and recurrence-free survival 62% and full donor recovery.</w:t>
      </w:r>
    </w:p>
    <w:p>
      <w:pPr>
        <w:spacing w:after="50"/>
        <w:ind w:left="240"/>
      </w:pPr>
      <w:r>
        <w:rPr>
          <w:b/>
          <w:bCs/>
          <w:color w:val="8C2F26"/>
          <w:sz w:val="18"/>
          <w:szCs w:val="18"/>
        </w:rPr>
        <w:t xml:space="preserve">Caveat. </w:t>
      </w:r>
      <w:r>
        <w:rPr>
          <w:color w:val="15181F"/>
          <w:sz w:val="18"/>
          <w:szCs w:val="18"/>
        </w:rPr>
        <w:t xml:space="preserve">Do not use a living donor to get around the exception criteria. Any research or living-donor pathway outside the guidance needs its own approved protocol and must not be represented as qualifying for this exception route.</w:t>
      </w:r>
    </w:p>
    <w:p>
      <w:pPr>
        <w:spacing w:after="60" w:line="276"/>
        <w:ind w:left="240"/>
      </w:pPr>
      <w:r>
        <w:rPr>
          <w:color w:val="5A6069"/>
          <w:sz w:val="16"/>
          <w:szCs w:val="16"/>
        </w:rPr>
        <w:t xml:space="preserve">Sources: North American LDLT</w:t>
      </w:r>
    </w:p>
    <w:p>
      <w:pPr>
        <w:spacing w:after="60" w:line="276"/>
        <w:ind w:left="240"/>
      </w:pPr>
      <w:r>
        <w:rPr>
          <w:i/>
          <w:iCs/>
          <w:color w:val="5A6069"/>
          <w:sz w:val="16"/>
          <w:szCs w:val="16"/>
        </w:rPr>
        <w:t xml:space="preserve">The two documents the board will be handed do not agree, and the difference decides real patients. IHPBA 2021 requires at least six months of response and at least one year from diagnosis of non-resectable disease, excludes BRAF V600E, excludes MSI-high and dMMR patients outright, and excludes a metabolic tumour volume above 70 cm³ with total lesion glycolysis above 260 g. ESMO 2026 recommends transplantation [II, A] on stabilisation of three months or more no later than third line, with BRAF wild type, CEA under 80 ng/mL, never any extrahepatic disease, a resected primary, performance status under 2 and age 18–65 — and sets no MSI or PET-volume exclusion at all. A dMMR patient with four months of stability and a metabolic tumour volume of 90 cm³ is transplantable under ESMO and barred under IHPBA. The roadmap's position is that where the randomised evidence, the consensus and the institution's own protocol conflict, the stricter governs; the local decisions still open are whether MSI-high and dMMR disease is excluded outright rather than left to 'separate consideration', and whether the BRAF exclusion is limited to V600E (IHPBA) or extends to any BRAF mutation (the OPTN 'BRAF wild type' wording, which would also exclude the non-V600 BRAF-mutant patients in whom IHPBA reports long survival).</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Declare permanent unresectability formally, in writing, after dedicated hepatobiliary and transplant review of every alternative.</w:t>
      </w:r>
    </w:p>
    <w:p>
      <w:pPr>
        <w:spacing w:after="50" w:line="276"/>
        <w:ind w:left="240"/>
      </w:pPr>
      <w:r>
        <w:rPr>
          <w:color w:val="15181F"/>
          <w:sz w:val="18"/>
          <w:szCs w:val="18"/>
        </w:rPr>
        <w:t xml:space="preserve">Before any transplant referral. Permanent unresectability is a formal determination, not an impression: record why resection, margin-verified ablation, portal vein embolisation or liver venous deprivation, staged hepatectomy, ALPPS and hepatic arterial infusion each cannot achieve clearance at acceptable functional risk.</w:t>
      </w:r>
    </w:p>
    <w:p>
      <w:pPr>
        <w:spacing w:after="50"/>
        <w:ind w:left="240"/>
      </w:pPr>
      <w:r>
        <w:rPr>
          <w:b/>
          <w:bCs/>
          <w:color w:val="8C2F26"/>
          <w:sz w:val="18"/>
          <w:szCs w:val="18"/>
        </w:rPr>
        <w:t xml:space="preserve">Caveat. </w:t>
      </w:r>
      <w:r>
        <w:rPr>
          <w:color w:val="15181F"/>
          <w:sz w:val="18"/>
          <w:szCs w:val="18"/>
        </w:rPr>
        <w:t xml:space="preserve">Referring on an impression, or treating a local complete response as an automatic transplant exception. Functional unresectability that may recover with a chemotherapy holiday and nutritional recovery is not yet permanent.</w:t>
      </w:r>
    </w:p>
    <w:p>
      <w:pPr>
        <w:spacing w:after="50" w:line="276"/>
        <w:ind w:left="240"/>
      </w:pPr>
      <w:r>
        <w:rPr>
          <w:i/>
          <w:iCs/>
          <w:color w:val="5A6069"/>
          <w:sz w:val="17"/>
          <w:szCs w:val="17"/>
        </w:rPr>
        <w:t xml:space="preserve">This is the roadmap's central claim and the quality dashboard measures it: at least 95% of non-clearance treatment decisions should record why each clearance route was unsuitable.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Keep the candidate inside protocol while waiting: review every 2–3 months and renew the exception every three months with CT/MRI of chest, abdomen and pelvis and CEA.</w:t>
      </w:r>
    </w:p>
    <w:p>
      <w:pPr>
        <w:spacing w:after="50" w:line="276"/>
        <w:ind w:left="240"/>
      </w:pPr>
      <w:r>
        <w:rPr>
          <w:color w:val="15181F"/>
          <w:sz w:val="18"/>
          <w:szCs w:val="18"/>
        </w:rPr>
        <w:t xml:space="preserve">Every listed or referred patient. Renewal requires no hepatic progression, no extrahepatic disease and CEA below 80 µg/L; exceptions generally need 90-day extensions, and the coordinator records source version, eligibility dates, request and extension dates, imaging, laboratory values and a named renewal owner, with transplant leadership signing the allocation assessment. Agree the surveillance and recurrence plan during selection, not after — recurrence after transplantation is common and predominantly pulmonary, often indolent and amenable to further local treatment.</w:t>
      </w:r>
    </w:p>
    <w:p>
      <w:pPr>
        <w:spacing w:after="50"/>
        <w:ind w:left="240"/>
      </w:pPr>
      <w:r>
        <w:rPr>
          <w:b/>
          <w:bCs/>
          <w:color w:val="8C2F26"/>
          <w:sz w:val="18"/>
          <w:szCs w:val="18"/>
        </w:rPr>
        <w:t xml:space="preserve">Caveat. </w:t>
      </w:r>
      <w:r>
        <w:rPr>
          <w:color w:val="15181F"/>
          <w:sz w:val="18"/>
          <w:szCs w:val="18"/>
        </w:rPr>
        <w:t xml:space="preserve">Do not let indefinite chemotherapy run while a candidate waits: it erodes nutrition, marrow, neurologic function and liver quality. Sustained control should prompt coordinated timing of definitive clearance rather than drift.</w:t>
      </w:r>
    </w:p>
    <w:p>
      <w:pPr>
        <w:spacing w:after="50" w:line="276"/>
        <w:ind w:left="240"/>
      </w:pPr>
      <w:r>
        <w:rPr>
          <w:i/>
          <w:iCs/>
          <w:color w:val="5A6069"/>
          <w:sz w:val="17"/>
          <w:szCs w:val="17"/>
        </w:rPr>
        <w:t xml:space="preserve">Two boundaries in the guidance need clarifying before filing: the initial exclusion is CEA above 80 while the renewal wording is below 80, so an exact value of 80 requires explicit review rather than an assumed pass; and footnotes 20–21 describe progression as a 10% increase in diameter or new lesions while labelling this RECIST 1.1, which differs from the usual target-lesion threshold. Preserve the source wording and flag it — do not silently substitute 20%.</w:t>
      </w:r>
    </w:p>
    <w:p>
      <w:pPr>
        <w:spacing w:after="60" w:line="276"/>
        <w:ind w:left="240"/>
      </w:pPr>
      <w:r>
        <w:rPr>
          <w:color w:val="5A6069"/>
          <w:sz w:val="16"/>
          <w:szCs w:val="16"/>
        </w:rPr>
        <w:t xml:space="preserve">Sources: TransMet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Use the Oslo score, the largest lesion diameter and PET metabolic tumour volume as prognostic refinements inside the eligibility gates, not as substitutes for them.</w:t>
      </w:r>
    </w:p>
    <w:p>
      <w:pPr>
        <w:spacing w:after="50" w:line="276"/>
        <w:ind w:left="240"/>
      </w:pPr>
      <w:r>
        <w:rPr>
          <w:color w:val="15181F"/>
          <w:sz w:val="18"/>
          <w:szCs w:val="18"/>
        </w:rPr>
        <w:t xml:space="preserve">Counselling and protocol stratification. In the 61-patient Oslo cohort median overall survival was 60.3 months, with an Oslo score of 0 giving 5- and 10-year survival of 88.9% while a score of 3–4 gave 8.3% and 0%; a largest lesion of 5.5 cm or more gave 25.3 versus 92.0 months and CEA above 80 µg/L 26.6 versus 90.5 months. Metabolic tumour volume below 70 cm³ on PET gave 5- and 10-year survival of 76% and 50% versus 21% and 7%, and the signal held only when the scan was within 90 days of transplant. The SECA-II 10-year report gives median overall survival 128.2 months with 5-year 77.8% and 10-year 51.5% in 25 patients.</w:t>
      </w:r>
    </w:p>
    <w:p>
      <w:pPr>
        <w:spacing w:after="50"/>
        <w:ind w:left="240"/>
      </w:pPr>
      <w:r>
        <w:rPr>
          <w:b/>
          <w:bCs/>
          <w:color w:val="8C2F26"/>
          <w:sz w:val="18"/>
          <w:szCs w:val="18"/>
        </w:rPr>
        <w:t xml:space="preserve">Caveat. </w:t>
      </w:r>
      <w:r>
        <w:rPr>
          <w:color w:val="15181F"/>
          <w:sz w:val="18"/>
          <w:szCs w:val="18"/>
        </w:rPr>
        <w:t xml:space="preserve">Do not relax the allocation gates because the prognostic scores look good, and do not use a favourable score to justify listing outside the protocol. These are separate prognostic considerations and do not replace the pretreatment 10-cm limit or the CEA exclusion.</w:t>
      </w:r>
    </w:p>
    <w:p>
      <w:pPr>
        <w:spacing w:after="50" w:line="276"/>
        <w:ind w:left="240"/>
      </w:pPr>
      <w:r>
        <w:rPr>
          <w:i/>
          <w:iCs/>
          <w:color w:val="5A6069"/>
          <w:sz w:val="17"/>
          <w:szCs w:val="17"/>
        </w:rPr>
        <w:t xml:space="preserve">Graded D: these are one centre's thresholds tested in the patients they were derived from. The Oslo score was derived from the first 21 SECA-I patients, the 70 cm³ cut-off was defined by ROC analysis in the same 40-patient cohort in which it is then tested, the CEA 80 µg/L bar comes from SECA-I, and prognostic factors were tested one at a time by log-rank in 60 patients with no multivariable model and no correction for multiple testing. In the 19-patient score comparison every patient with a Fong score of 0–2 also had a metabolic tumour volume below 70 cm³ and an Oslo score of 0–2, so the three scores cannot be separated, and the PET signal held only when the scan was within 90 days of transplant. The SECA-II survival figures come from 25 highly selected patients at one centre — the authors' own simulation found only 2 to 3 eligible patients per year in a population of 5.5 million — with relapse in 48% at a median relapse-free survival of 24.3 months and one death from hepatic artery thrombosis (4% operative mortality). Survival calculated from transplant excludes the 11 of 72 listed patients never grafted; from listing, median overall survival for all 72 was 50.8 months with 5-year survival 42.6%.</w:t>
      </w:r>
    </w:p>
    <w:p>
      <w:pPr>
        <w:spacing w:after="60" w:line="276"/>
        <w:ind w:left="240"/>
      </w:pPr>
      <w:r>
        <w:rPr>
          <w:color w:val="5A6069"/>
          <w:sz w:val="16"/>
          <w:szCs w:val="16"/>
        </w:rPr>
        <w:t xml:space="preserve">Sources: Oslo cohort; Grut metabolic tumour volume; SECA-II 10-year; SECA-II; Oslo selection criteria</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Listing an MSI-high or mismatch-repair deficient patient on this exception route, even after a checkpoint response.</w:t>
      </w:r>
    </w:p>
    <w:p>
      <w:pPr>
        <w:spacing w:after="50" w:line="276"/>
        <w:ind w:left="240"/>
      </w:pPr>
      <w:r>
        <w:rPr>
          <w:color w:val="15181F"/>
          <w:sz w:val="18"/>
          <w:szCs w:val="18"/>
        </w:rPr>
        <w:t xml:space="preserve">If such a patient is to be considered at all, it requires a separate approved protocol with a written pre-transplant checkpoint-inhibitor policy, including washout and the approval route, agreed before any such patient is listed.</w:t>
      </w:r>
    </w:p>
    <w:p>
      <w:pPr>
        <w:spacing w:after="50"/>
        <w:ind w:left="240"/>
      </w:pPr>
      <w:r>
        <w:rPr>
          <w:b/>
          <w:bCs/>
          <w:color w:val="8C2F26"/>
          <w:sz w:val="18"/>
          <w:szCs w:val="18"/>
        </w:rPr>
        <w:t xml:space="preserve">Caveat. </w:t>
      </w:r>
      <w:r>
        <w:rPr>
          <w:color w:val="15181F"/>
          <w:sz w:val="18"/>
          <w:szCs w:val="18"/>
        </w:rPr>
        <w:t xml:space="preserve">The supplied exception route requires microsatellite stability, and IHPBA 2021 states that MSI-high and dMMR patients should not currently be considered for transplantation. Sustained checkpoint response does not create eligibility.</w:t>
      </w:r>
    </w:p>
    <w:p>
      <w:pPr>
        <w:spacing w:after="50" w:line="276"/>
        <w:ind w:left="240"/>
      </w:pPr>
      <w:r>
        <w:rPr>
          <w:i/>
          <w:iCs/>
          <w:color w:val="5A6069"/>
          <w:sz w:val="17"/>
          <w:szCs w:val="17"/>
        </w:rPr>
        <w:t xml:space="preserve">Graded D: the IHPBA exclusion rests on the risk of graft rejection if immunotherapy were needed after transplant rather than on transplant outcome data in these patients, its own reviewers call it the statement most likely to be overtaken, and ESMO 2026 sets no MSI exclusion at all. The checkpoint evidence does not settle it either: overall survival in CheckMate 8HW is still masked, treatment lines are masked, and no trial reports what happens to liver-limited dMMR disease taken to clearance.</w:t>
      </w:r>
    </w:p>
    <w:p>
      <w:pPr>
        <w:spacing w:after="60" w:line="276"/>
        <w:ind w:left="240"/>
      </w:pPr>
      <w:r>
        <w:rPr>
          <w:color w:val="5A6069"/>
          <w:sz w:val="16"/>
          <w:szCs w:val="16"/>
        </w:rPr>
        <w:t xml:space="preserve">Sources: IHPBA 2021; CheckMate 8HW</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Transplanting with any extrahepatic, nodal or peritoneal disease, or with an uncontrolled primary.</w:t>
      </w:r>
    </w:p>
    <w:p>
      <w:pPr>
        <w:spacing w:after="50" w:line="276"/>
        <w:ind w:left="240"/>
      </w:pPr>
      <w:r>
        <w:rPr>
          <w:color w:val="15181F"/>
          <w:sz w:val="18"/>
          <w:szCs w:val="18"/>
        </w:rPr>
        <w:t xml:space="preserve">Nothing. Treatable lung disease may still permit resection; it does not permit transplantation under current pathways.</w:t>
      </w:r>
    </w:p>
    <w:p>
      <w:pPr>
        <w:spacing w:after="50"/>
        <w:ind w:left="240"/>
      </w:pPr>
      <w:r>
        <w:rPr>
          <w:b/>
          <w:bCs/>
          <w:color w:val="8C2F26"/>
          <w:sz w:val="18"/>
          <w:szCs w:val="18"/>
        </w:rPr>
        <w:t xml:space="preserve">Caveat. </w:t>
      </w:r>
      <w:r>
        <w:rPr>
          <w:color w:val="15181F"/>
          <w:sz w:val="18"/>
          <w:szCs w:val="18"/>
        </w:rPr>
        <w:t xml:space="preserve">IHPBA 2021 finds no evidence to support transplantation in patients who present with extrahepatic disease, and the OPTN exclusions cover extrahepatic disease after primary resection, nodes outside the original primary nodal resection, local primary relapse and CEA above 80 µg/L. Undifferentiated or signet-ring histology excludes and N2 nodal disease is a relative exclusion. Any peritoneal disease ends transplant intent.</w:t>
      </w:r>
    </w:p>
    <w:p>
      <w:pPr>
        <w:spacing w:after="50" w:line="276"/>
        <w:ind w:left="240"/>
      </w:pPr>
      <w:r>
        <w:rPr>
          <w:i/>
          <w:iCs/>
          <w:color w:val="5A6069"/>
          <w:sz w:val="17"/>
          <w:szCs w:val="17"/>
        </w:rPr>
        <w:t xml:space="preserve">Graded D: this is a policy and consensus boundary, not a measured outcome difference. IHPBA 2021 records that it found no evidence to support transplantation in patients presenting with extrahepatic disease — an absence of evidence rather than evidence of harm — and every randomised and cohort series that reports survival excluded these patients by design, so no comparison exists.</w:t>
      </w:r>
    </w:p>
    <w:p>
      <w:pPr>
        <w:spacing w:after="60" w:line="276"/>
        <w:ind w:left="240"/>
      </w:pPr>
      <w:r>
        <w:rPr>
          <w:color w:val="5A6069"/>
          <w:sz w:val="16"/>
          <w:szCs w:val="16"/>
        </w:rPr>
        <w:t xml:space="preserve">Sources: IHPBA 2021</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Ad hoc listing without auditable criteria, a defined graft strategy or a recurrence plan.</w:t>
      </w:r>
    </w:p>
    <w:p>
      <w:pPr>
        <w:spacing w:after="50" w:line="276"/>
        <w:ind w:left="240"/>
      </w:pPr>
      <w:r>
        <w:rPr>
          <w:color w:val="15181F"/>
          <w:sz w:val="18"/>
          <w:szCs w:val="18"/>
        </w:rPr>
        <w:t xml:space="preserve">A written protocol, a transplant-oncology MDT, a prospective registry and an agreed recurrence plan — the programme domain of the selection table.</w:t>
      </w:r>
    </w:p>
    <w:p>
      <w:pPr>
        <w:spacing w:after="50"/>
        <w:ind w:left="240"/>
      </w:pPr>
      <w:r>
        <w:rPr>
          <w:b/>
          <w:bCs/>
          <w:color w:val="8C2F26"/>
          <w:sz w:val="18"/>
          <w:szCs w:val="18"/>
        </w:rPr>
        <w:t xml:space="preserve">Caveat. </w:t>
      </w:r>
      <w:r>
        <w:rPr>
          <w:color w:val="15181F"/>
          <w:sz w:val="18"/>
          <w:szCs w:val="18"/>
        </w:rPr>
        <w:t xml:space="preserve">The roadmap names this the failure mode to avoid. A research or living-donor pathway outside the guidance criteria needs its own approved protocol and must not imply eligibility for this exception route.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Control, not clearance</w:t>
      </w:r>
    </w:p>
    <w:p>
      <w:pPr>
        <w:spacing w:after="140"/>
      </w:pPr>
      <w:r>
        <w:rPr>
          <w:b/>
          <w:bCs/>
          <w:color w:val="176A87"/>
          <w:sz w:val="19"/>
          <w:szCs w:val="19"/>
        </w:rPr>
        <w:t xml:space="preserve">The question. </w:t>
      </w:r>
      <w:r>
        <w:rPr>
          <w:sz w:val="19"/>
          <w:szCs w:val="19"/>
        </w:rPr>
        <w:t xml:space="preserve">If clearance is off the table, what keeps this liver quiet without burning the next option?</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Progression despite an appropriate systemic regimen — biologic unresectability, which surgery cannot correct</w:t>
      </w:r>
    </w:p>
    <w:p>
      <w:pPr>
        <w:pStyle w:val="ListParagraph"/>
        <w:numPr>
          <w:ilvl w:val="0"/>
          <w:numId w:val="2"/>
        </w:numPr>
        <w:spacing w:after="60" w:line="268"/>
      </w:pPr>
      <w:r>
        <w:rPr>
          <w:color w:val="15181F"/>
          <w:sz w:val="18"/>
          <w:szCs w:val="18"/>
        </w:rPr>
        <w:t xml:space="preserve">Liver-dominant refractory disease after at least one systemic line, where hepatic control rather than clearance is the goal</w:t>
      </w:r>
    </w:p>
    <w:p>
      <w:pPr>
        <w:pStyle w:val="ListParagraph"/>
        <w:numPr>
          <w:ilvl w:val="0"/>
          <w:numId w:val="2"/>
        </w:numPr>
        <w:spacing w:after="60" w:line="268"/>
      </w:pPr>
      <w:r>
        <w:rPr>
          <w:color w:val="15181F"/>
          <w:sz w:val="18"/>
          <w:szCs w:val="18"/>
        </w:rPr>
        <w:t xml:space="preserve">Oligoprogression in a patient otherwise controlled on systemic therapy</w:t>
      </w:r>
    </w:p>
    <w:p>
      <w:pPr>
        <w:pStyle w:val="ListParagraph"/>
        <w:numPr>
          <w:ilvl w:val="0"/>
          <w:numId w:val="2"/>
        </w:numPr>
        <w:spacing w:after="60" w:line="268"/>
      </w:pPr>
      <w:r>
        <w:rPr>
          <w:color w:val="15181F"/>
          <w:sz w:val="18"/>
          <w:szCs w:val="18"/>
        </w:rPr>
        <w:t xml:space="preserve">Reserve, parenchymal quality or frailty makes any clearance operation intolerable and recovery is not expected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Record the intent as control, name the reassessment date, and restage before repeating any procedure.</w:t>
      </w:r>
    </w:p>
    <w:p>
      <w:pPr>
        <w:spacing w:after="50" w:line="276"/>
        <w:ind w:left="240"/>
      </w:pPr>
      <w:r>
        <w:rPr>
          <w:color w:val="15181F"/>
          <w:sz w:val="18"/>
          <w:szCs w:val="18"/>
        </w:rPr>
        <w:t xml:space="preserve">Every control-intent decision: record the intended outcome, why the clearance alternatives do not fit, the systemic-treatment plan, the reassessment date and the next action. After progression or toxicity, restage and reconsider complete treatment rather than automatically repeating the same procedure.</w:t>
      </w:r>
    </w:p>
    <w:p>
      <w:pPr>
        <w:spacing w:after="50"/>
        <w:ind w:left="240"/>
      </w:pPr>
      <w:r>
        <w:rPr>
          <w:b/>
          <w:bCs/>
          <w:color w:val="8C2F26"/>
          <w:sz w:val="18"/>
          <w:szCs w:val="18"/>
        </w:rPr>
        <w:t xml:space="preserve">Caveat. </w:t>
      </w:r>
      <w:r>
        <w:rPr>
          <w:color w:val="15181F"/>
          <w:sz w:val="18"/>
          <w:szCs w:val="18"/>
        </w:rPr>
        <w:t xml:space="preserve">Do not run a universal ablation, SBRT, Y90, TACE, HAI, histotripsy ladder. An upfront alternative chosen for anatomy or organ reserve is not a post-progression second line, and there is no established priority between the transarterial options.</w:t>
      </w:r>
    </w:p>
    <w:p>
      <w:pPr>
        <w:spacing w:after="50" w:line="276"/>
        <w:ind w:left="240"/>
      </w:pPr>
      <w:r>
        <w:rPr>
          <w:i/>
          <w:iCs/>
          <w:color w:val="5A6069"/>
          <w:sz w:val="17"/>
          <w:szCs w:val="17"/>
        </w:rPr>
        <w:t xml:space="preserve">Protect what is left: remnant volume, vascular and biliary integrity, prior ablation zones, marrow and nutritional reserve, and the ability to treat recurrence. Clinical-trial eligibility is reassessed here too.</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There is no established ladder and no proven priority between these options; sequence by what the liver and the arterial anatomy will tolerate, by whether a future clearance or transplant route must be protected, and by what the patient wants. Only Y90 in the second line and HAI against an obsolete comparator have randomised support, and neither improved overall survival in a modern control arm.</w:t>
      </w:r>
    </w:p>
    <w:p>
      <w:pPr>
        <w:spacing w:after="50" w:before="120"/>
        <w:ind w:left="240"/>
      </w:pPr>
      <w:r>
        <w:rPr>
          <w:b/>
          <w:bCs/>
          <w:color w:val="15181F"/>
          <w:sz w:val="19"/>
          <w:szCs w:val="19"/>
        </w:rPr>
        <w:t xml:space="preserve">Y90 radioembolisation, second line</w:t>
      </w:r>
      <w:r>
        <w:rPr>
          <w:color w:val="5A6069"/>
          <w:sz w:val="15"/>
          <w:szCs w:val="15"/>
        </w:rPr>
        <w:t xml:space="preserve">   grade B</w:t>
      </w:r>
    </w:p>
    <w:p>
      <w:pPr>
        <w:spacing w:after="50" w:line="276"/>
        <w:ind w:left="240"/>
      </w:pPr>
      <w:r>
        <w:rPr>
          <w:color w:val="15181F"/>
          <w:sz w:val="18"/>
          <w:szCs w:val="18"/>
        </w:rPr>
        <w:t xml:space="preserve">EPOCH randomised 428 patients with disease progressing on first-line therapy: progression-free survival 8.0 versus 7.2 months, HR 0.69 (0.54–0.88), and hepatic progression-free survival 9.1 versus 7.2 months, HR 0.59 (0.46–0.77), both co-primary endpoints met.</w:t>
      </w:r>
    </w:p>
    <w:p>
      <w:pPr>
        <w:spacing w:after="50" w:line="276"/>
        <w:ind w:left="240"/>
      </w:pPr>
      <w:r>
        <w:rPr>
          <w:color w:val="15181F"/>
          <w:sz w:val="18"/>
          <w:szCs w:val="18"/>
        </w:rPr>
        <w:t xml:space="preserve">Chemotherapy-resistant or refractory liver-dominant disease, after review of the systemic and complete-treatment options, where hepatic control is the goal.</w:t>
      </w:r>
    </w:p>
    <w:p>
      <w:pPr>
        <w:spacing w:after="50"/>
        <w:ind w:left="240"/>
      </w:pPr>
      <w:r>
        <w:rPr>
          <w:b/>
          <w:bCs/>
          <w:color w:val="8C2F26"/>
          <w:sz w:val="18"/>
          <w:szCs w:val="18"/>
        </w:rPr>
        <w:t xml:space="preserve">Caveat. </w:t>
      </w:r>
      <w:r>
        <w:rPr>
          <w:color w:val="15181F"/>
          <w:sz w:val="18"/>
          <w:szCs w:val="18"/>
        </w:rPr>
        <w:t xml:space="preserve">Do not offer it for survival: median overall survival was 14.0 versus 14.4 months, HR 1.07 (0.86–1.32). Grade 3 or worse events were 68.4% versus 49.3%, with three possibly related deaths from radiation-induced liver disease, hepatic failure and portal hypertension at 3 to 5 months — a real cost in hepatic reserve if later resection, ablation or transplantation is still conceivable. Assess any future HAI pathway before liver irradiation.</w:t>
      </w:r>
    </w:p>
    <w:p>
      <w:pPr>
        <w:spacing w:after="60" w:line="276"/>
        <w:ind w:left="240"/>
      </w:pPr>
      <w:r>
        <w:rPr>
          <w:color w:val="5A6069"/>
          <w:sz w:val="16"/>
          <w:szCs w:val="16"/>
        </w:rPr>
        <w:t xml:space="preserve">Sources: EPOCH; Hendlisz Y90; ASCO 2023</w:t>
      </w:r>
    </w:p>
    <w:p>
      <w:pPr>
        <w:spacing w:after="50" w:before="120"/>
        <w:ind w:left="240"/>
      </w:pPr>
      <w:r>
        <w:rPr>
          <w:b/>
          <w:bCs/>
          <w:color w:val="15181F"/>
          <w:sz w:val="19"/>
          <w:szCs w:val="19"/>
        </w:rPr>
        <w:t xml:space="preserve">TACE or DEBIRI</w:t>
      </w:r>
      <w:r>
        <w:rPr>
          <w:color w:val="5A6069"/>
          <w:sz w:val="15"/>
          <w:szCs w:val="15"/>
        </w:rPr>
        <w:t xml:space="preserve">   grade D</w:t>
      </w:r>
    </w:p>
    <w:p>
      <w:pPr>
        <w:spacing w:after="50" w:line="276"/>
        <w:ind w:left="240"/>
      </w:pPr>
      <w:r>
        <w:rPr>
          <w:color w:val="15181F"/>
          <w:sz w:val="18"/>
          <w:szCs w:val="18"/>
        </w:rPr>
        <w:t xml:space="preserve">May be considered in selected liver-dominant refractory CRLM by an experienced MDT. The only randomised data are a two-centre trial in 74 patients after two or three prior lines, which reported median overall survival 22 versus 15 months with DEBIRI against FOLFIRI (p=0.031) and progression-free survival 7 versus 4 months (p=0.006).</w:t>
      </w:r>
    </w:p>
    <w:p>
      <w:pPr>
        <w:spacing w:after="50" w:line="276"/>
        <w:ind w:left="240"/>
      </w:pPr>
      <w:r>
        <w:rPr>
          <w:color w:val="15181F"/>
          <w:sz w:val="18"/>
          <w:szCs w:val="18"/>
        </w:rPr>
        <w:t xml:space="preserve">Later-line selected hepatic control, or a trial, where reserve and biliary anatomy allow.</w:t>
      </w:r>
    </w:p>
    <w:p>
      <w:pPr>
        <w:spacing w:after="50"/>
        <w:ind w:left="240"/>
      </w:pPr>
      <w:r>
        <w:rPr>
          <w:b/>
          <w:bCs/>
          <w:color w:val="8C2F26"/>
          <w:sz w:val="18"/>
          <w:szCs w:val="18"/>
        </w:rPr>
        <w:t xml:space="preserve">Caveat. </w:t>
      </w:r>
      <w:r>
        <w:rPr>
          <w:color w:val="15181F"/>
          <w:sz w:val="18"/>
          <w:szCs w:val="18"/>
        </w:rPr>
        <w:t xml:space="preserve">It should not substitute for feasible resection or margin-complete ablation, and neither technical response nor debulking establishes curative benefit. Reserve and biliary infection risk matter.</w:t>
      </w:r>
    </w:p>
    <w:p>
      <w:pPr>
        <w:spacing w:after="60" w:line="276"/>
        <w:ind w:left="240"/>
      </w:pPr>
      <w:r>
        <w:rPr>
          <w:color w:val="5A6069"/>
          <w:sz w:val="16"/>
          <w:szCs w:val="16"/>
        </w:rPr>
        <w:t xml:space="preserve">Sources: DEBIRI</w:t>
      </w:r>
    </w:p>
    <w:p>
      <w:pPr>
        <w:spacing w:after="50" w:before="120"/>
        <w:ind w:left="240"/>
      </w:pPr>
      <w:r>
        <w:rPr>
          <w:b/>
          <w:bCs/>
          <w:color w:val="15181F"/>
          <w:sz w:val="19"/>
          <w:szCs w:val="19"/>
        </w:rPr>
        <w:t xml:space="preserve">SBRT for oligoprogression</w:t>
      </w:r>
      <w:r>
        <w:rPr>
          <w:color w:val="5A6069"/>
          <w:sz w:val="15"/>
          <w:szCs w:val="15"/>
        </w:rPr>
        <w:t xml:space="preserve">   grade C</w:t>
      </w:r>
    </w:p>
    <w:p>
      <w:pPr>
        <w:spacing w:after="50" w:line="276"/>
        <w:ind w:left="240"/>
      </w:pPr>
      <w:r>
        <w:rPr>
          <w:color w:val="15181F"/>
          <w:sz w:val="18"/>
          <w:szCs w:val="18"/>
        </w:rPr>
        <w:t xml:space="preserve">SBRT can also treat oligoprogression with a control goal, and is not restricted to use after failed embolisation.</w:t>
      </w:r>
    </w:p>
    <w:p>
      <w:pPr>
        <w:spacing w:after="50" w:line="276"/>
        <w:ind w:left="240"/>
      </w:pPr>
      <w:r>
        <w:rPr>
          <w:color w:val="15181F"/>
          <w:sz w:val="18"/>
          <w:szCs w:val="18"/>
        </w:rPr>
        <w:t xml:space="preserve">One or a few progressing deposits in a patient otherwise controlled, where safe ablative dosing is feasible and the rest of the disease is quiet.</w:t>
      </w:r>
    </w:p>
    <w:p>
      <w:pPr>
        <w:spacing w:after="50"/>
        <w:ind w:left="240"/>
      </w:pPr>
      <w:r>
        <w:rPr>
          <w:b/>
          <w:bCs/>
          <w:color w:val="8C2F26"/>
          <w:sz w:val="18"/>
          <w:szCs w:val="18"/>
        </w:rPr>
        <w:t xml:space="preserve">Caveat. </w:t>
      </w:r>
      <w:r>
        <w:rPr>
          <w:color w:val="15181F"/>
          <w:sz w:val="18"/>
          <w:szCs w:val="18"/>
        </w:rPr>
        <w:t xml:space="preserve">Insufficient uninvolved liver or an unsafe normal-organ dose; and do not label the result clearance.</w:t>
      </w:r>
    </w:p>
    <w:p>
      <w:pPr>
        <w:spacing w:after="60" w:line="276"/>
        <w:ind w:left="240"/>
      </w:pPr>
      <w:r>
        <w:rPr>
          <w:color w:val="5A6069"/>
          <w:sz w:val="16"/>
          <w:szCs w:val="16"/>
        </w:rPr>
        <w:t xml:space="preserve">Sources: SABR-COMET long-term</w:t>
      </w:r>
    </w:p>
    <w:p>
      <w:pPr>
        <w:spacing w:after="50" w:before="120"/>
        <w:ind w:left="240"/>
      </w:pPr>
      <w:r>
        <w:rPr>
          <w:b/>
          <w:bCs/>
          <w:color w:val="15181F"/>
          <w:sz w:val="19"/>
          <w:szCs w:val="19"/>
        </w:rPr>
        <w:t xml:space="preserve">Hepatic arterial infusion for unresectable liver-only disease</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CALGB 9481 randomised 135 patients with unresectable liver-only disease: median overall survival 24.4 versus 20.0 months (p=0.0034), hepatic response 47% versus 24% and time to hepatic progression 9.8 versus 7.3 months.</w:t>
      </w:r>
    </w:p>
    <w:p>
      <w:pPr>
        <w:spacing w:after="50" w:line="276"/>
        <w:ind w:left="240"/>
      </w:pPr>
      <w:r>
        <w:rPr>
          <w:color w:val="15181F"/>
          <w:sz w:val="18"/>
          <w:szCs w:val="18"/>
        </w:rPr>
        <w:t xml:space="preserve">Liver-only disease at a credentialed pump centre where hepatic control is the objective and conversion has not been achieved.</w:t>
      </w:r>
    </w:p>
    <w:p>
      <w:pPr>
        <w:spacing w:after="50"/>
        <w:ind w:left="240"/>
      </w:pPr>
      <w:r>
        <w:rPr>
          <w:b/>
          <w:bCs/>
          <w:color w:val="8C2F26"/>
          <w:sz w:val="18"/>
          <w:szCs w:val="18"/>
        </w:rPr>
        <w:t xml:space="preserve">Caveat. </w:t>
      </w:r>
      <w:r>
        <w:rPr>
          <w:color w:val="15181F"/>
          <w:sz w:val="18"/>
          <w:szCs w:val="18"/>
        </w:rPr>
        <w:t xml:space="preserve">No pump programme, extrahepatic disease, prior liver radiation or concurrent VEGF inhibition. Time to extrahepatic progression was shorter with HAI (7.7 versus 14.8 months) and overall time to progression did not differ, so the survival claim rests entirely on hepatic control.</w:t>
      </w:r>
    </w:p>
    <w:p>
      <w:pPr>
        <w:spacing w:after="60" w:line="276"/>
        <w:ind w:left="240"/>
      </w:pPr>
      <w:r>
        <w:rPr>
          <w:color w:val="5A6069"/>
          <w:sz w:val="16"/>
          <w:szCs w:val="16"/>
        </w:rPr>
        <w:t xml:space="preserve">Sources: CALGB 9481</w:t>
      </w:r>
    </w:p>
    <w:p>
      <w:pPr>
        <w:spacing w:after="60" w:line="276"/>
        <w:ind w:left="240"/>
      </w:pPr>
      <w:r>
        <w:rPr>
          <w:i/>
          <w:iCs/>
          <w:color w:val="5A6069"/>
          <w:sz w:val="16"/>
          <w:szCs w:val="16"/>
        </w:rPr>
        <w:t xml:space="preserve">Interventional radiology must ratify that transarterial therapy is labelled regional control rather than clearance and is not first line, and radiation oncology must define response interpretation, cumulative radiation records and review of HAI eligibility before liver radiation.</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Histotripsy outside a prospective trial or institutional registry.</w:t>
      </w:r>
    </w:p>
    <w:p>
      <w:pPr>
        <w:spacing w:after="50" w:line="276"/>
        <w:ind w:left="240"/>
      </w:pPr>
      <w:r>
        <w:rPr>
          <w:color w:val="15181F"/>
          <w:sz w:val="18"/>
          <w:szCs w:val="18"/>
        </w:rPr>
        <w:t xml:space="preserve">Only under a protocol or mandatory outcomes registry, with explicit consent about oncologic uncertainty, suitable ultrasound visibility and acoustic access, a device-compliant target size and depth, and an independent standard-treatment review.</w:t>
      </w:r>
    </w:p>
    <w:p>
      <w:pPr>
        <w:spacing w:after="50"/>
        <w:ind w:left="240"/>
      </w:pPr>
      <w:r>
        <w:rPr>
          <w:b/>
          <w:bCs/>
          <w:color w:val="8C2F26"/>
          <w:sz w:val="18"/>
          <w:szCs w:val="18"/>
        </w:rPr>
        <w:t xml:space="preserve">Caveat. </w:t>
      </w:r>
      <w:r>
        <w:rPr>
          <w:color w:val="15181F"/>
          <w:sz w:val="18"/>
          <w:szCs w:val="18"/>
        </w:rPr>
        <w:t xml:space="preserve">There is no tumour-specific curative evidence in CRLM. FDA device clearance for tumour destruction does not establish survival benefit or equivalence to established ablation; the HOPE4LIVER one-year update in 47 patients with 52 tumours reported local control of 63.4% on its prespecified primary core-laboratory assessment against 90% on a post hoc read made once all one-year imaging was available, with the two reads agreeing only 71–84% of the time. Median treated tumour diameter was 1.3 cm, 88% of tumours lay in segments II to IV and none in VII or VIII, 12-month overall survival among the metastatic patients was 48.6%, and treatments after day 30 were not tracked so no progression-free survival exists. A bridge-to-transplant use remains protocol-based, and a technical response does not establish transplant eligibility.</w:t>
      </w:r>
    </w:p>
    <w:p>
      <w:pPr>
        <w:spacing w:after="50" w:line="276"/>
        <w:ind w:left="240"/>
      </w:pPr>
      <w:r>
        <w:rPr>
          <w:i/>
          <w:iCs/>
          <w:color w:val="5A6069"/>
          <w:sz w:val="17"/>
          <w:szCs w:val="17"/>
        </w:rPr>
        <w:t xml:space="preserve">Do not count technical success as proven complete oncologic clearance. Single-arm with no comparator, funded by the device manufacturer, in a population that was 94% multifocal with half the metastatic patients carrying extrahepatic disease.</w:t>
      </w:r>
    </w:p>
    <w:p>
      <w:pPr>
        <w:spacing w:after="60" w:line="276"/>
        <w:ind w:left="240"/>
      </w:pPr>
      <w:r>
        <w:rPr>
          <w:color w:val="5A6069"/>
          <w:sz w:val="16"/>
          <w:szCs w:val="16"/>
        </w:rPr>
        <w:t xml:space="preserve">Sources: #HOPE4LIVER one-year</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Extrapolating HCC segmentectomy cure claims, or any complete radiographic response, to oncologic clearance in CRLM.</w:t>
      </w:r>
    </w:p>
    <w:p>
      <w:pPr>
        <w:spacing w:after="50" w:line="276"/>
        <w:ind w:left="240"/>
      </w:pPr>
      <w:r>
        <w:rPr>
          <w:color w:val="15181F"/>
          <w:sz w:val="18"/>
          <w:szCs w:val="18"/>
        </w:rPr>
        <w:t xml:space="preserve">Nothing. Local control, complete radiographic response, complete pathologic necrosis in a treated lesion and overall survival are different outcomes, and bridge or downstaging treatment is recorded separately from definitive local treatment.</w:t>
      </w:r>
    </w:p>
    <w:p>
      <w:pPr>
        <w:spacing w:after="50"/>
        <w:ind w:left="240"/>
      </w:pPr>
      <w:r>
        <w:rPr>
          <w:b/>
          <w:bCs/>
          <w:color w:val="8C2F26"/>
          <w:sz w:val="18"/>
          <w:szCs w:val="18"/>
        </w:rPr>
        <w:t xml:space="preserve">Caveat. </w:t>
      </w:r>
      <w:r>
        <w:rPr>
          <w:color w:val="15181F"/>
          <w:sz w:val="18"/>
          <w:szCs w:val="18"/>
        </w:rPr>
        <w:t xml:space="preserve">Curative segmentectomy evidence is not established in CRLM, and a local complete response is not an automatic transplant exception.</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Fong clinical risk score</w:t>
      </w:r>
    </w:p>
    <w:p>
      <w:pPr>
        <w:spacing w:after="120" w:line="276"/>
      </w:pPr>
      <w:r>
        <w:rPr>
          <w:i/>
          <w:iCs/>
          <w:color w:val="5A6069"/>
          <w:sz w:val="18"/>
          <w:szCs w:val="18"/>
        </w:rPr>
        <w:t xml:space="preserve">Five preoperative factors, one point each, for stratifying outcome after resection of colorectal liver metastases.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Node-positive primary</w:t>
            </w:r>
          </w:p>
        </w:tc>
        <w:tc>
          <w:tcPr>
            <w:tcW w:type="dxa" w:w="5260"/>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Disease-free interval under 12 months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More than one hepatic tumour</w:t>
            </w:r>
          </w:p>
        </w:tc>
        <w:tc>
          <w:tcPr>
            <w:tcW w:type="dxa" w:w="5260"/>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Largest tumour over 5 cm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CEA over 200 ng/mL</w:t>
            </w:r>
          </w:p>
        </w:tc>
        <w:tc>
          <w:tcPr>
            <w:tcW w:type="dxa" w:w="5260"/>
            <w:tcMar>
              <w:top w:type="dxa" w:w="70"/>
              <w:left w:type="dxa" w:w="110"/>
              <w:bottom w:type="dxa" w:w="70"/>
              <w:right w:type="dxa" w:w="110"/>
            </w:tcMar>
            <w:vAlign w:val="top"/>
          </w:tcPr>
          <w:p>
            <w:pPr>
              <w:spacing w:after="0" w:line="276"/>
            </w:pPr>
            <w:r>
              <w:rPr>
                <w:color w:val="15181F"/>
                <w:sz w:val="17"/>
                <w:szCs w:val="17"/>
              </w:rPr>
              <w:t xml:space="preserve">1</w:t>
            </w:r>
          </w:p>
        </w:tc>
      </w:tr>
    </w:tbl>
    <w:p>
      <w:pPr>
        <w:spacing w:after="200" w:line="276"/>
      </w:pPr>
      <w:r>
        <w:rPr>
          <w:i/>
          <w:iCs/>
          <w:color w:val="5A6069"/>
          <w:sz w:val="16"/>
          <w:szCs w:val="16"/>
        </w:rPr>
        <w:t xml:space="preserve">Five-year survival falls from 60% at score 0 (n=52) to 44% at 1, 40% at 2, 20% at 3, 25% at 4 and 14% at 5 (n=14); median survival 74, 51, 47, 33, 20 and 22 months. No patient scoring 5 survived five years. Positive margin and extrahepatic disease were deliberately left out — they are not known preoperatively — and the authors treat both as contraindications to resection (5-year survival 20% and 18%). The score stratifies outcome; it does not by itself determine operability, and in the published discussion Bismuth and Blumgart both noted that about 20% five-year survival with three or more factors still beats the alternative. The five factors are weighted equally although their hazard ratios ranged from 1.3 to 1.5, the score is non-monotonic between 3 and 4 points, and the extreme groups hold 52 and 14 patients, so those two estimates are imprecise. A discussant in the same issue argued that CEA and nodal status double-count tumour burden and disease-free interval.</w:t>
      </w:r>
    </w:p>
    <w:p>
      <w:pPr>
        <w:pStyle w:val="Heading3"/>
        <w:keepNext/>
        <w:spacing w:after="110" w:before="240"/>
      </w:pPr>
      <w:r>
        <w:rPr>
          <w:rFonts w:ascii="Cambria" w:cs="Cambria" w:eastAsia="Cambria" w:hAnsi="Cambria"/>
          <w:b/>
          <w:bCs/>
          <w:color w:val="17365D"/>
          <w:sz w:val="22"/>
          <w:szCs w:val="22"/>
        </w:rPr>
        <w:t xml:space="preserve">The three axes of unresectability</w:t>
      </w:r>
    </w:p>
    <w:p>
      <w:pPr>
        <w:spacing w:after="120" w:line="276"/>
      </w:pPr>
      <w:r>
        <w:rPr>
          <w:i/>
          <w:iCs/>
          <w:color w:val="5A6069"/>
          <w:sz w:val="18"/>
          <w:szCs w:val="18"/>
        </w:rPr>
        <w:t xml:space="preserve">The roadmap's governing definition: the three axes are assessed separately because they differ in reversibility, and an operation may be anatomically feasible yet oncologically futile or physiologically intolerable.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Anatomic — disease cannot be cleared while preserving inflow, outflow, biliary drainage and an adequate functional remnant</w:t>
            </w:r>
          </w:p>
        </w:tc>
        <w:tc>
          <w:tcPr>
            <w:tcW w:type="dxa" w:w="5260"/>
            <w:tcMar>
              <w:top w:type="dxa" w:w="70"/>
              <w:left w:type="dxa" w:w="110"/>
              <w:bottom w:type="dxa" w:w="70"/>
              <w:right w:type="dxa" w:w="110"/>
            </w:tcMar>
            <w:vAlign w:val="top"/>
          </w:tcPr>
          <w:p>
            <w:pPr>
              <w:spacing w:after="0" w:line="276"/>
            </w:pPr>
            <w:r>
              <w:rPr>
                <w:color w:val="15181F"/>
                <w:sz w:val="17"/>
                <w:szCs w:val="17"/>
              </w:rPr>
              <w:t xml:space="preserve">Often reversible, by augmentation, conversion therapy or staged surgery. Pursue Phase 2 strategies before concluding unresectability.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Biologic — progression despite an appropriate systemic regimen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Not reversible: surgery cannot correct biology. Redirect; a larger operation is not the answer to progressive disease.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Functional — parenchymal quality or reserve, not tumour distribution, is the limiting factor</w:t>
            </w:r>
          </w:p>
        </w:tc>
        <w:tc>
          <w:tcPr>
            <w:tcW w:type="dxa" w:w="5260"/>
            <w:tcMar>
              <w:top w:type="dxa" w:w="70"/>
              <w:left w:type="dxa" w:w="110"/>
              <w:bottom w:type="dxa" w:w="70"/>
              <w:right w:type="dxa" w:w="110"/>
            </w:tcMar>
            <w:vAlign w:val="top"/>
          </w:tcPr>
          <w:p>
            <w:pPr>
              <w:spacing w:after="0" w:line="276"/>
            </w:pPr>
            <w:r>
              <w:rPr>
                <w:color w:val="15181F"/>
                <w:sz w:val="17"/>
                <w:szCs w:val="17"/>
              </w:rPr>
              <w:t xml:space="preserve">Sometimes reversible with a chemotherapy holiday and nutritional recovery; may be permanent. If permanent with favourable biology, this is the transplant question.</w:t>
            </w:r>
          </w:p>
        </w:tc>
      </w:tr>
    </w:tbl>
    <w:p>
      <w:pPr>
        <w:spacing w:after="200" w:line="276"/>
      </w:pPr>
      <w:r>
        <w:rPr>
          <w:i/>
          <w:iCs/>
          <w:color w:val="5A6069"/>
          <w:sz w:val="16"/>
          <w:szCs w:val="16"/>
        </w:rPr>
        <w:t xml:space="preserve">Permanent unresectability is a formal determination, not an impression. It requires dedicated hepatobiliary and transplant review and an explicit written record of why each alternative — resection, margin-verified ablation, portal vein embolisation or liver venous deprivation, staged hepatectomy, ALPPS and hepatic arterial infusion — cannot achieve clearance at acceptable functional risk. Clearance means a pathologic margin (resection or explant) or a confirmed circumferential ablative margin on imaging; radiographic response or stability after transarterial therapy is regional control and must not be called margin-verified clearance.</w:t>
      </w:r>
    </w:p>
    <w:p>
      <w:pPr>
        <w:pStyle w:val="Heading3"/>
        <w:keepNext/>
        <w:spacing w:after="110" w:before="240"/>
      </w:pPr>
      <w:r>
        <w:rPr>
          <w:rFonts w:ascii="Cambria" w:cs="Cambria" w:eastAsia="Cambria" w:hAnsi="Cambria"/>
          <w:b/>
          <w:bCs/>
          <w:color w:val="17365D"/>
          <w:sz w:val="22"/>
          <w:szCs w:val="22"/>
        </w:rPr>
        <w:t xml:space="preserve">Transplant: the Oslo score and the eligibility gates</w:t>
      </w:r>
    </w:p>
    <w:p>
      <w:pPr>
        <w:spacing w:after="120" w:line="276"/>
      </w:pPr>
      <w:r>
        <w:rPr>
          <w:i/>
          <w:iCs/>
          <w:color w:val="5A6069"/>
          <w:sz w:val="18"/>
          <w:szCs w:val="18"/>
        </w:rPr>
        <w:t xml:space="preserve">The Oslo score is prognostic and the allocation gates are binary. Keep them apart — a good score does not relax a gate, and the three documents a board will be handed do not agree with each other.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Oslo score — largest lesion over 5.5 cm</w:t>
            </w:r>
          </w:p>
        </w:tc>
        <w:tc>
          <w:tcPr>
            <w:tcW w:type="dxa" w:w="5260"/>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Oslo score — CEA over 80 µg/L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Oslo score — under 2 years from primary resection to transplant</w:t>
            </w:r>
          </w:p>
        </w:tc>
        <w:tc>
          <w:tcPr>
            <w:tcW w:type="dxa" w:w="5260"/>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Oslo score — progressive disease on chemotherapy at transplant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OPTN guidance (Dec 2025): diagnosis and molecular gates</w:t>
            </w:r>
          </w:p>
        </w:tc>
        <w:tc>
          <w:tcPr>
            <w:tcW w:type="dxa" w:w="5260"/>
            <w:tcMar>
              <w:top w:type="dxa" w:w="70"/>
              <w:left w:type="dxa" w:w="110"/>
              <w:bottom w:type="dxa" w:w="70"/>
              <w:right w:type="dxa" w:w="110"/>
            </w:tcMar>
            <w:vAlign w:val="top"/>
          </w:tcPr>
          <w:p>
            <w:pPr>
              <w:spacing w:after="0" w:line="276"/>
            </w:pPr>
            <w:r>
              <w:rPr>
                <w:color w:val="15181F"/>
                <w:sz w:val="17"/>
                <w:szCs w:val="17"/>
              </w:rPr>
              <w:t xml:space="preserve">Colorectal adenocarcinoma, BRAF wild type, microsatellite stable; R0 primary resection and colonoscopy within 12 months before the request; KRAS mutation is a negative prognostic footnote, not an exclusion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OPTN guidance: clocks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At least 12 months from CRLM diagnosis to the initial request; at least six months of stability or regression on systemic or locoregional therapy. For a synchronous colon primary: primary resection more than 6 months after initial diagnosis, at least six months of chemotherapy after that resection, and at least 12 months total stability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OPTN guidance: burden and staging</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hepatic lesion above 10 cm before treatment; CEA above 80 µg/L excludes; CT/MRI chest, abdomen and pelvis plus PET within one month before the request, the PET at least four weeks after chemotherapy stops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OPTN guidance: score and renewal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Nonstandard Adult Transplant Oncology Review Board review at MMaT-20, with a floor of 15 under Policy 9.4.E; renew every three months with CT/MRI and CEA below 80 µg/L</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IHPBA 2021, additional exclusions</w:t>
            </w:r>
          </w:p>
        </w:tc>
        <w:tc>
          <w:tcPr>
            <w:tcW w:type="dxa" w:w="5260"/>
            <w:tcMar>
              <w:top w:type="dxa" w:w="70"/>
              <w:left w:type="dxa" w:w="110"/>
              <w:bottom w:type="dxa" w:w="70"/>
              <w:right w:type="dxa" w:w="110"/>
            </w:tcMar>
            <w:vAlign w:val="top"/>
          </w:tcPr>
          <w:p>
            <w:pPr>
              <w:spacing w:after="0" w:line="276"/>
            </w:pPr>
            <w:r>
              <w:rPr>
                <w:color w:val="15181F"/>
                <w:sz w:val="17"/>
                <w:szCs w:val="17"/>
              </w:rPr>
              <w:t xml:space="preserve">BRAF V600E excludes; MSI-high or dMMR should not be considered at present; metabolic tumour volume above 70 cm³ with total lesion glycolysis above 260 g excludes; at least six months of response and at least one year from diagnosis of non-resectable disease; undifferentiated or signet-ring histology excludes, N2 a relative exclusion; colonoscopy within 3 months of transplant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ESMO 2026 [II, A], for comparison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BRAF wild type, CEA under 80 ng/mL, stabilisation of three months or more no later than third line, never any extrahepatic disease, resected primary, performance status under 2, age 18–65 — no MSI and no PET tumour-volume exclusion</w:t>
            </w:r>
          </w:p>
        </w:tc>
      </w:tr>
    </w:tbl>
    <w:p>
      <w:pPr>
        <w:spacing w:after="200" w:line="276"/>
      </w:pPr>
      <w:r>
        <w:rPr>
          <w:i/>
          <w:iCs/>
          <w:color w:val="5A6069"/>
          <w:sz w:val="16"/>
          <w:szCs w:val="16"/>
        </w:rPr>
        <w:t xml:space="preserve">Oslo score 0 gave median overall survival 151.6 months with 5- and 10-year survival both 88.9% in the 61-patient Oslo cohort, against 8.3% and 0% for a score of 3–4; a Fong score of 0–2 gave 5-year survival 75.4% versus 39.7% for 3–5, and metabolic tumour volume below 70 cm³ gave 66.7% versus 23.3%. These are prognostic refinements from small, internally derived, non-randomised cohorts and they do not replace the guidance gates. Note the contradiction the board must settle: ESMO 2026 asks only for three months of stabilisation up to third line and sets no MSI or PET-volume bar, so a dMMR patient with four months of stability, or a patient with a metabolic tumour volume of 90 cm³, is transplantable under ESMO and excluded under IHPBA 2021 and the OPTN route. The roadmap's rule is that where the randomised evidence (TransMet), the consensus (IHPBA 2021) and the institution's own protocol conflict, the stricter governs. Two numeric boundaries still need clarification before filing: the initial CEA exclusion is above 80 while renewal wording is below 80, so an exact 80 needs explicit review; and the guidance defines progression as a 10% increase in diameter or new lesions while labelling it RECIST 1.1.</w:t>
      </w:r>
    </w:p>
    <w:p>
      <w:pPr>
        <w:pStyle w:val="Heading3"/>
        <w:keepNext/>
        <w:spacing w:after="110" w:before="240"/>
      </w:pPr>
      <w:r>
        <w:rPr>
          <w:rFonts w:ascii="Cambria" w:cs="Cambria" w:eastAsia="Cambria" w:hAnsi="Cambria"/>
          <w:b/>
          <w:bCs/>
          <w:color w:val="17365D"/>
          <w:sz w:val="22"/>
          <w:szCs w:val="22"/>
        </w:rPr>
        <w:t xml:space="preserve">Molecular groups that change first-line therapy</w:t>
      </w:r>
    </w:p>
    <w:p>
      <w:pPr>
        <w:spacing w:after="120" w:line="276"/>
      </w:pPr>
      <w:r>
        <w:rPr>
          <w:i/>
          <w:iCs/>
          <w:color w:val="5A6069"/>
          <w:sz w:val="18"/>
          <w:szCs w:val="18"/>
        </w:rPr>
        <w:t xml:space="preserve">The four results that fork the pathway before any liver-directed decision, with what each one changes.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BRAF V600E</w:t>
            </w:r>
          </w:p>
        </w:tc>
        <w:tc>
          <w:tcPr>
            <w:tcW w:type="dxa" w:w="5260"/>
            <w:tcMar>
              <w:top w:type="dxa" w:w="70"/>
              <w:left w:type="dxa" w:w="110"/>
              <w:bottom w:type="dxa" w:w="70"/>
              <w:right w:type="dxa" w:w="110"/>
            </w:tcMar>
            <w:vAlign w:val="top"/>
          </w:tcPr>
          <w:p>
            <w:pPr>
              <w:spacing w:after="0" w:line="276"/>
            </w:pPr>
            <w:r>
              <w:rPr>
                <w:color w:val="15181F"/>
                <w:sz w:val="17"/>
                <w:szCs w:val="17"/>
              </w:rPr>
              <w:t xml:space="preserve">Encorafenib, cetuximab and mFOLFOX6 first line — progression-free survival 12.8 versus 7.1 months, HR 0.53; interim overall survival 30.3 versus 15.1 months, HR 0.49. Excluded from current transplant protocols.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dMMR or MSI-high</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Checkpoint blockade — nivolumab plus ipilimumab over nivolumab alone, progression-free survival HR 0.62 with survival still masked; against chemotherapy first line 54.1 versus 5.9 months, HR 0.21. Does not meet the microsatellite-stable OPTN exception route, and IHPBA excludes it from transplantation.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RAS and BRAF wild type, left-sided primary</w:t>
            </w:r>
          </w:p>
        </w:tc>
        <w:tc>
          <w:tcPr>
            <w:tcW w:type="dxa" w:w="5260"/>
            <w:tcMar>
              <w:top w:type="dxa" w:w="70"/>
              <w:left w:type="dxa" w:w="110"/>
              <w:bottom w:type="dxa" w:w="70"/>
              <w:right w:type="dxa" w:w="110"/>
            </w:tcMar>
            <w:vAlign w:val="top"/>
          </w:tcPr>
          <w:p>
            <w:pPr>
              <w:spacing w:after="0" w:line="276"/>
            </w:pPr>
            <w:r>
              <w:rPr>
                <w:color w:val="15181F"/>
                <w:sz w:val="17"/>
                <w:szCs w:val="17"/>
              </w:rPr>
              <w:t xml:space="preserve">Doublet plus anti-EGFR when maximal shrinkage is the goal — overall survival HR 0.71 versus bevacizumab on the left, 1.35 on the right; centrally reviewed response 72% versus 56% in FIRE-3, post hoc. Cetuximab and bevacizumab give similar overall survival overall (30.0 versus 29.0 months).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RAS or BRAF mutant, or right-sided primary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FOLFOXIRI–bevacizumab for fit patients — progression-free survival HR 0.76 and complete local treatment 51% versus 37% in CAIRO5, with grade 3 or worse events 76% versus 59% and overall survival not yet reported. Anti-EGFR is not used for right-sided tumours.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KRAS G12C</w:t>
            </w:r>
          </w:p>
        </w:tc>
        <w:tc>
          <w:tcPr>
            <w:tcW w:type="dxa" w:w="5260"/>
            <w:tcMar>
              <w:top w:type="dxa" w:w="70"/>
              <w:left w:type="dxa" w:w="110"/>
              <w:bottom w:type="dxa" w:w="70"/>
              <w:right w:type="dxa" w:w="110"/>
            </w:tcMar>
            <w:vAlign w:val="top"/>
          </w:tcPr>
          <w:p>
            <w:pPr>
              <w:spacing w:after="0" w:line="276"/>
            </w:pPr>
            <w:r>
              <w:rPr>
                <w:color w:val="15181F"/>
                <w:sz w:val="17"/>
                <w:szCs w:val="17"/>
              </w:rPr>
              <w:t xml:space="preserve">Sotorasib plus panitumumab after chemorefractory progression — progression-free survival 5.6 versus 2.0 months, HR 0.48; survival immature (HR 0.77, CI crossing 1). A later-line option, not a conversion strategy.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HER2, POLE or POLD1, other rare alterations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Tested at diagnosis of metastatic disease with broader profiling where the result would change treatment. A POLE or POLD1 variant needs variant-level and phenotype interpretation before it justifies checkpoint therapy.</w:t>
            </w:r>
          </w:p>
        </w:tc>
      </w:tr>
    </w:tbl>
    <w:p>
      <w:pPr>
        <w:spacing w:after="200" w:line="276"/>
      </w:pPr>
      <w:r>
        <w:rPr>
          <w:i/>
          <w:iCs/>
          <w:color w:val="5A6069"/>
          <w:sz w:val="16"/>
          <w:szCs w:val="16"/>
        </w:rPr>
        <w:t xml:space="preserve">Genotype is prognostic; observed response is the stronger signal, and the direction and duration of response during effective therapy carry more decision weight than genotype alone. A single mutation should not set margin width, the extent of parenchymal resection, or exclusion from otherwise feasible clearance. Two molecular results do close a door, but it is the transplant door: BRAF mutation and MSI-high or dMMR status both fall outside the described exception route.</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Hepatic arterial infusion converts unresectable disease.</w:t>
      </w:r>
    </w:p>
    <w:p>
      <w:pPr>
        <w:spacing w:after="40" w:line="276"/>
        <w:ind w:left="260"/>
      </w:pPr>
      <w:r>
        <w:rPr>
          <w:color w:val="15181F"/>
          <w:sz w:val="18"/>
          <w:szCs w:val="18"/>
        </w:rPr>
        <w:t xml:space="preserve">What is actually known is high hepatic response in single-arm, centre-concentrated series with no randomised conversion endpoint. The 47% conversion rate comes from a 49-patient phase I experience at one high-volume pump centre, where resectability was adjudicated by the surgeons who then operated, response was scored by WHO-type criteria rather than RECIST, median disease-free survival after R0 resection was 7.6 months, and more than half the resected patients needed portal vein embolisation or intraoperative ablation. The Dutch phase II study met a feasibility endpoint, not an efficacy one, and its 83% disease control rate is not comparable with the 37–58% complete local treatment CAIRO5 achieved on systemic therapy alone. Selection turns on liver-dominant burden, arterial anatomy, prior therapy and pump programme maturity, and the programme commits to tracking the conversion-to-resection rate, biliary toxicity and 6-month grade 3 or worse toxicity.</w:t>
      </w:r>
    </w:p>
    <w:p>
      <w:pPr>
        <w:spacing w:after="40" w:line="276"/>
        <w:ind w:left="260"/>
      </w:pPr>
      <w:r>
        <w:rPr>
          <w:color w:val="5A6069"/>
          <w:sz w:val="16"/>
          <w:szCs w:val="16"/>
        </w:rPr>
        <w:t xml:space="preserve">Sources: Kemeny HAI conversion; Dutch HAI phase II; CAIRO5</w:t>
      </w:r>
    </w:p>
    <w:p>
      <w:pPr>
        <w:spacing w:after="60" w:before="160"/>
      </w:pPr>
      <w:r>
        <w:rPr>
          <w:b/>
          <w:bCs/>
          <w:color w:val="8E5008"/>
          <w:sz w:val="19"/>
          <w:szCs w:val="19"/>
        </w:rPr>
        <w:t xml:space="preserve">2. </w:t>
      </w:r>
      <w:r>
        <w:rPr>
          <w:b/>
          <w:bCs/>
          <w:sz w:val="19"/>
          <w:szCs w:val="19"/>
        </w:rPr>
        <w:t xml:space="preserve">Ablation and resection are equivalent for small lesions.</w:t>
      </w:r>
    </w:p>
    <w:p>
      <w:pPr>
        <w:spacing w:after="40" w:line="276"/>
        <w:ind w:left="260"/>
      </w:pPr>
      <w:r>
        <w:rPr>
          <w:color w:val="15181F"/>
          <w:sz w:val="18"/>
          <w:szCs w:val="18"/>
        </w:rPr>
        <w:t xml:space="preserve">For lesions of 3 cm or less in selected patients, COLLISION's early stopping satisfied its own prespecified rule — a 90.5% conditional likelihood of proving non-inferiority — but formal overall-survival non-inferiority was not shown: the HR was 1.05 with a 95% CI of 0.69–1.58, whose upper bound crosses the trial's own 1.30 margin, and 5-year survival was 51.2% after ablation against 58.0% after resection. It enrolled few high-burden patients (intermediate n=91, high n=21), allowed combined ablation and resection in both arms, excluded solitary deep lesions needing major hepatectomy by mid-trial amendment, and was funded by an ablation device manufacturer. ESMO 2026 nevertheless recommends ablation over resection below 3 cm [II, B] without qualifying for lesion position or achievable margin. Selection turns on lesion size and location, achievable margin, remnant considerations and operator experience, and the programme tracks local progression by achieved margin band and salvage feasibility after ablation failure.</w:t>
      </w:r>
    </w:p>
    <w:p>
      <w:pPr>
        <w:spacing w:after="40" w:line="276"/>
        <w:ind w:left="260"/>
      </w:pPr>
      <w:r>
        <w:rPr>
          <w:color w:val="5A6069"/>
          <w:sz w:val="16"/>
          <w:szCs w:val="16"/>
        </w:rPr>
        <w:t xml:space="preserve">Sources: COLLISION; Shady ablation margins; ESMO 2026</w:t>
      </w:r>
    </w:p>
    <w:p>
      <w:pPr>
        <w:spacing w:after="60" w:before="160"/>
      </w:pPr>
      <w:r>
        <w:rPr>
          <w:b/>
          <w:bCs/>
          <w:color w:val="8E5008"/>
          <w:sz w:val="19"/>
          <w:szCs w:val="19"/>
        </w:rPr>
        <w:t xml:space="preserve">3. </w:t>
      </w:r>
      <w:r>
        <w:rPr>
          <w:b/>
          <w:bCs/>
          <w:sz w:val="19"/>
          <w:szCs w:val="19"/>
        </w:rPr>
        <w:t xml:space="preserve">ALPPS expands curative options.</w:t>
      </w:r>
    </w:p>
    <w:p>
      <w:pPr>
        <w:spacing w:after="40" w:line="276"/>
        <w:ind w:left="260"/>
      </w:pPr>
      <w:r>
        <w:rPr>
          <w:color w:val="15181F"/>
          <w:sz w:val="18"/>
          <w:szCs w:val="18"/>
        </w:rPr>
        <w:t xml:space="preserve">LIGRO randomised 100 patients and analysed 97, showing a higher resection rate (92% versus 57%); long-term oncologic outcome was not the endpoint and is reported in a separate paper, and the authors state the oncologic role is therefore uncertain. Rescue ALPPS after failed portal vein occlusion closed most of the gap (82% versus 92%, not significant), so the trial does not rule out an embolisation-first strategy. Ninety-day mortality was 8.3% versus 6.1% with liver failure in all seven deaths, severe complications were 43% in both arms, and resectability assessment, volumetry and embolisation technique were all left to local practice. Selection turns on remnant volume, biology, fitness and dropout risk in a staged approach, and the programme tracks resection rate, 90-day mortality, R0 rate and 2-year recurrence.</w:t>
      </w:r>
    </w:p>
    <w:p>
      <w:pPr>
        <w:spacing w:after="40" w:line="276"/>
        <w:ind w:left="260"/>
      </w:pPr>
      <w:r>
        <w:rPr>
          <w:color w:val="5A6069"/>
          <w:sz w:val="16"/>
          <w:szCs w:val="16"/>
        </w:rPr>
        <w:t xml:space="preserve">Sources: LIGRO</w:t>
      </w:r>
    </w:p>
    <w:p>
      <w:pPr>
        <w:spacing w:after="60" w:before="160"/>
      </w:pPr>
      <w:r>
        <w:rPr>
          <w:b/>
          <w:bCs/>
          <w:color w:val="8E5008"/>
          <w:sz w:val="19"/>
          <w:szCs w:val="19"/>
        </w:rPr>
        <w:t xml:space="preserve">4. </w:t>
      </w:r>
      <w:r>
        <w:rPr>
          <w:b/>
          <w:bCs/>
          <w:sz w:val="19"/>
          <w:szCs w:val="19"/>
        </w:rPr>
        <w:t xml:space="preserve">Transplantation should be offered beyond TransMet criteria.</w:t>
      </w:r>
    </w:p>
    <w:p>
      <w:pPr>
        <w:spacing w:after="40" w:line="276"/>
        <w:ind w:left="260"/>
      </w:pPr>
      <w:r>
        <w:rPr>
          <w:color w:val="15181F"/>
          <w:sz w:val="18"/>
          <w:szCs w:val="18"/>
        </w:rPr>
        <w:t xml:space="preserve">There is no randomised evidence outside that population, and the single randomised trial recruited 94 patients in 5.5 years across 20 centres after an independent panel rejected 40% of those local boards thought eligible. Selection turns on the Oslo score, CEA, largest lesion, metabolic tumour volume, interval from the primary and donor strategy — all of them one centre's prognostic work rather than validated gates — and the commitment is a mandatory registry recording whether criteria were met or exceeded, recurrence site and post-recurrence survival.</w:t>
      </w:r>
    </w:p>
    <w:p>
      <w:pPr>
        <w:spacing w:after="40" w:line="276"/>
        <w:ind w:left="260"/>
      </w:pPr>
      <w:r>
        <w:rPr>
          <w:color w:val="5A6069"/>
          <w:sz w:val="16"/>
          <w:szCs w:val="16"/>
        </w:rPr>
        <w:t xml:space="preserve">Sources: TransMet; Oslo cohort; SECA-II 10-year</w:t>
      </w:r>
    </w:p>
    <w:p>
      <w:pPr>
        <w:spacing w:after="60" w:before="160"/>
      </w:pPr>
      <w:r>
        <w:rPr>
          <w:b/>
          <w:bCs/>
          <w:color w:val="8E5008"/>
          <w:sz w:val="19"/>
          <w:szCs w:val="19"/>
        </w:rPr>
        <w:t xml:space="preserve">5. </w:t>
      </w:r>
      <w:r>
        <w:rPr>
          <w:b/>
          <w:bCs/>
          <w:sz w:val="19"/>
          <w:szCs w:val="19"/>
        </w:rPr>
        <w:t xml:space="preserve">Surgical reassessment every 8 weeks improves outcome.</w:t>
      </w:r>
    </w:p>
    <w:p>
      <w:pPr>
        <w:spacing w:after="40" w:line="276"/>
        <w:ind w:left="260"/>
      </w:pPr>
      <w:r>
        <w:rPr>
          <w:color w:val="15181F"/>
          <w:sz w:val="18"/>
          <w:szCs w:val="18"/>
        </w:rPr>
        <w:t xml:space="preserve">It is an operating judgement with no comparative evidence for the interval. ESMO asks for reassessment every 2–3 months on first-line treatment and the Chinese 2024 consensus every 1.5–2.0 months; neither interval was derived or tested. Selection turns on regimen, tempo of response, patient tolerance and scheduling capacity, and the programme tracks the conversion rate and the time from first response to operation.</w:t>
      </w:r>
    </w:p>
    <w:p>
      <w:pPr>
        <w:spacing w:after="40" w:line="276"/>
        <w:ind w:left="260"/>
      </w:pPr>
      <w:r>
        <w:rPr>
          <w:color w:val="5A6069"/>
          <w:sz w:val="16"/>
          <w:szCs w:val="16"/>
        </w:rPr>
        <w:t xml:space="preserve">Sources: ESMO 2026; Chinese 2024 consensus</w:t>
      </w:r>
    </w:p>
    <w:p>
      <w:pPr>
        <w:spacing w:after="60" w:before="160"/>
      </w:pPr>
      <w:r>
        <w:rPr>
          <w:b/>
          <w:bCs/>
          <w:color w:val="8E5008"/>
          <w:sz w:val="19"/>
          <w:szCs w:val="19"/>
        </w:rPr>
        <w:t xml:space="preserve">6. </w:t>
      </w:r>
      <w:r>
        <w:rPr>
          <w:b/>
          <w:bCs/>
          <w:sz w:val="19"/>
          <w:szCs w:val="19"/>
        </w:rPr>
        <w:t xml:space="preserve">There is one set of criteria for transplanting colorectal liver metastases.</w:t>
      </w:r>
    </w:p>
    <w:p>
      <w:pPr>
        <w:spacing w:after="40" w:line="276"/>
        <w:ind w:left="260"/>
      </w:pPr>
      <w:r>
        <w:rPr>
          <w:color w:val="15181F"/>
          <w:sz w:val="18"/>
          <w:szCs w:val="18"/>
        </w:rPr>
        <w:t xml:space="preserve">There are at least four, and they disagree on gates that decide individual patients. The OPTN guidance route requires BRAF wild type, microsatellite stability, 12 months from CRLM diagnosis, six months of stability or regression, CEA at or below 80 µg/L and no pretreatment lesion above 10 cm. IHPBA 2021 adds exclusion for metabolic tumour volume above 70 cm³ with total lesion glycolysis above 260 g, bars MSI-high and mismatch-repair-deficient patients outright, limits the BRAF exclusion to V600E, and excludes undifferentiated and signet-ring histology. ESMO 2026 asks only for stabilisation of three months or more no later than third line and sets no MSI and no PET-volume bar at all. TransMet's own entry criteria are a fifth filter again. A dMMR patient with four months of stability and a metabolic tumour volume of 90 cm³ is transplantable under ESMO and barred under IHPBA and the OPTN route; a non-V600E BRAF-mutant patient is eligible under IHPBA and excluded by the OPTN wording. The roadmap's rule that the stricter governs is a defensible institutional choice, but it is a choice, not a finding — no study compares these filters against each other, and none of the thresholds was derived in a cohort large enough to validate it.</w:t>
      </w:r>
    </w:p>
    <w:p>
      <w:pPr>
        <w:spacing w:after="40" w:line="276"/>
        <w:ind w:left="260"/>
      </w:pPr>
      <w:r>
        <w:rPr>
          <w:color w:val="5A6069"/>
          <w:sz w:val="16"/>
          <w:szCs w:val="16"/>
        </w:rPr>
        <w:t xml:space="preserve">Sources: IHPBA 2021; ESMO 2026; TransMet; SECA-II 10-year</w:t>
      </w:r>
    </w:p>
    <w:p>
      <w:pPr>
        <w:spacing w:after="60" w:before="160"/>
      </w:pPr>
      <w:r>
        <w:rPr>
          <w:b/>
          <w:bCs/>
          <w:color w:val="8E5008"/>
          <w:sz w:val="19"/>
          <w:szCs w:val="19"/>
        </w:rPr>
        <w:t xml:space="preserve">7. </w:t>
      </w:r>
      <w:r>
        <w:rPr>
          <w:b/>
          <w:bCs/>
          <w:sz w:val="19"/>
          <w:szCs w:val="19"/>
        </w:rPr>
        <w:t xml:space="preserve">The Oslo score, the 70 cm³ metabolic tumour volume cut-off and the CEA 80 µg/L bar are validated selection tools.</w:t>
      </w:r>
    </w:p>
    <w:p>
      <w:pPr>
        <w:spacing w:after="40" w:line="276"/>
        <w:ind w:left="260"/>
      </w:pPr>
      <w:r>
        <w:rPr>
          <w:color w:val="15181F"/>
          <w:sz w:val="18"/>
          <w:szCs w:val="18"/>
        </w:rPr>
        <w:t xml:space="preserve">They are one programme's numbers, tested largely in the patients from which they were derived. The Oslo score was derived from the first 21 SECA-I patients who then reappear in every later analysis; the 70 cm³ threshold was set by ROC analysis in the same 40-patient cohort in which it is tested; the CEA 80 µg/L cutoff comes from SECA-I. In the 19-patient score comparison, every patient with a Fong score of 0–2 also had a metabolic tumour volume below 70 cm³ and an Oslo score of 0–2, so the three scores cannot be told apart and no multivariable model exists; in the 61-patient cohort, factors were tested one at a time by log-rank with no correction for multiple testing. The PET signal held only when the scan was within 90 days of transplant and was not significant beyond that. None of this has been reproduced at another centre, and IHPBA 2021 nonetheless carries 70 cm³ and 260 g forward as binary exclusions.</w:t>
      </w:r>
    </w:p>
    <w:p>
      <w:pPr>
        <w:spacing w:after="40" w:line="276"/>
        <w:ind w:left="260"/>
      </w:pPr>
      <w:r>
        <w:rPr>
          <w:color w:val="5A6069"/>
          <w:sz w:val="16"/>
          <w:szCs w:val="16"/>
        </w:rPr>
        <w:t xml:space="preserve">Sources: Oslo selection criteria; Grut metabolic tumour volume; Oslo cohort; SECA-II 10-year; IHPBA 2021</w:t>
      </w:r>
    </w:p>
    <w:p>
      <w:pPr>
        <w:spacing w:after="60" w:before="160"/>
      </w:pPr>
      <w:r>
        <w:rPr>
          <w:b/>
          <w:bCs/>
          <w:color w:val="8E5008"/>
          <w:sz w:val="19"/>
          <w:szCs w:val="19"/>
        </w:rPr>
        <w:t xml:space="preserve">8. </w:t>
      </w:r>
      <w:r>
        <w:rPr>
          <w:b/>
          <w:bCs/>
          <w:sz w:val="19"/>
          <w:szCs w:val="19"/>
        </w:rPr>
        <w:t xml:space="preserve">Permanent unresectability is a determination this pathway can make reliably.</w:t>
      </w:r>
    </w:p>
    <w:p>
      <w:pPr>
        <w:spacing w:after="40" w:line="276"/>
        <w:ind w:left="260"/>
      </w:pPr>
      <w:r>
        <w:rPr>
          <w:color w:val="15181F"/>
          <w:sz w:val="18"/>
          <w:szCs w:val="18"/>
        </w:rPr>
        <w:t xml:space="preserve">It is the least reproducible step in the pathway, and the page makes it load-bearing. In CAIRO5 an expert panel agreed unanimously on resectability in only 66% of baseline and 42% of follow-up assessments, and only 12–18% of those patients were judged permanently unresectable. In CLOCC unresectability was decided by each local multidisciplinary team with no central review. In TransMet an independent panel rejected 40% of the patients local boards had declared eligible. In the HAI conversion series resectability was adjudicated by the same surgeons who then operated, and the authors note that the criteria differ between trials so resection rates cannot be compared. The written record the roadmap requires is the right response to this, but it documents a judgement, not a measurement.</w:t>
      </w:r>
    </w:p>
    <w:p>
      <w:pPr>
        <w:spacing w:after="40" w:line="276"/>
        <w:ind w:left="260"/>
      </w:pPr>
      <w:r>
        <w:rPr>
          <w:color w:val="5A6069"/>
          <w:sz w:val="16"/>
          <w:szCs w:val="16"/>
        </w:rPr>
        <w:t xml:space="preserve">Sources: CAIRO5; EORTC 40004 (CLOCC); TransMet; Kemeny HAI conversion</w:t>
      </w:r>
    </w:p>
    <w:p>
      <w:pPr>
        <w:spacing w:after="60" w:before="160"/>
      </w:pPr>
      <w:r>
        <w:rPr>
          <w:b/>
          <w:bCs/>
          <w:color w:val="8E5008"/>
          <w:sz w:val="19"/>
          <w:szCs w:val="19"/>
        </w:rPr>
        <w:t xml:space="preserve">9. </w:t>
      </w:r>
      <w:r>
        <w:rPr>
          <w:b/>
          <w:bCs/>
          <w:sz w:val="19"/>
          <w:szCs w:val="19"/>
        </w:rPr>
        <w:t xml:space="preserve">Conversion and complete-local-treatment rates can be compared between studies.</w:t>
      </w:r>
    </w:p>
    <w:p>
      <w:pPr>
        <w:spacing w:after="40" w:line="276"/>
        <w:ind w:left="260"/>
      </w:pPr>
      <w:r>
        <w:rPr>
          <w:color w:val="15181F"/>
          <w:sz w:val="18"/>
          <w:szCs w:val="18"/>
        </w:rPr>
        <w:t xml:space="preserve">They cannot. Each study defines its own unresectability and scores its own endpoint: 51% versus 37% complete local treatment in CAIRO5 by panel judgement, 54% versus 53% R0/R1 with ablation or SBRT in TRICE judged locally, 47% conversion in a single-centre HAI series adjudicated by the operating surgeons, 17% versus 16% hepatic resection in the pooled radioembolisation analysis. None of these is the same observation, and a programme that benchmarks itself against one of them is measuring its own selection as much as its results.</w:t>
      </w:r>
    </w:p>
    <w:p>
      <w:pPr>
        <w:spacing w:after="40" w:line="276"/>
        <w:ind w:left="260"/>
      </w:pPr>
      <w:r>
        <w:rPr>
          <w:color w:val="5A6069"/>
          <w:sz w:val="16"/>
          <w:szCs w:val="16"/>
        </w:rPr>
        <w:t xml:space="preserve">Sources: CAIRO5; TRICE; Kemeny HAI conversion; FOXFIRE / SIRFLOX / FOXFIRE-Global</w:t>
      </w:r>
    </w:p>
    <w:p>
      <w:pPr>
        <w:spacing w:after="60" w:before="160"/>
      </w:pPr>
      <w:r>
        <w:rPr>
          <w:b/>
          <w:bCs/>
          <w:color w:val="8E5008"/>
          <w:sz w:val="19"/>
          <w:szCs w:val="19"/>
        </w:rPr>
        <w:t xml:space="preserve">10. </w:t>
      </w:r>
      <w:r>
        <w:rPr>
          <w:b/>
          <w:bCs/>
          <w:sz w:val="19"/>
          <w:szCs w:val="19"/>
        </w:rPr>
        <w:t xml:space="preserve">A deeper radiological response produces more clearance.</w:t>
      </w:r>
    </w:p>
    <w:p>
      <w:pPr>
        <w:spacing w:after="40" w:line="276"/>
        <w:ind w:left="260"/>
      </w:pPr>
      <w:r>
        <w:rPr>
          <w:color w:val="15181F"/>
          <w:sz w:val="18"/>
          <w:szCs w:val="18"/>
        </w:rPr>
        <w:t xml:space="preserve">In the only randomised comparisons that measured both, it did not. In CAIRO5's left-sided RAS and BRAF wild-type comparison, panitumumab raised objective response from 53% to 80% and median depth of response from 33% to 49%, yet complete local treatment was 58% in both arms (p=1.00) and both groups were closed early for futility. TRICE deepened response (median 59.6% versus 55.0%, p=0.039) without raising resection (54.2% versus 52.7%). SIRFLOX raised liver response and complete response without changing the resection rate (13.7% versus 14.2%), and the pooled radioembolisation analysis raised objective response from 63% to 72% with identical resection rates (17% versus 16%). FIRE-3's shrinkage advantage was never tested against a resection endpoint. Shrinkage is less often the limiting factor than the pathway's conversion language implies; anatomy, remnant and surgical willingness usually are.</w:t>
      </w:r>
    </w:p>
    <w:p>
      <w:pPr>
        <w:spacing w:after="40" w:line="276"/>
        <w:ind w:left="260"/>
      </w:pPr>
      <w:r>
        <w:rPr>
          <w:color w:val="5A6069"/>
          <w:sz w:val="16"/>
          <w:szCs w:val="16"/>
        </w:rPr>
        <w:t xml:space="preserve">Sources: CAIRO5; TRICE; SIRFLOX; FOXFIRE / SIRFLOX / FOXFIRE-Global; FIRE-3</w:t>
      </w:r>
    </w:p>
    <w:p>
      <w:pPr>
        <w:spacing w:after="60" w:before="160"/>
      </w:pPr>
      <w:r>
        <w:rPr>
          <w:b/>
          <w:bCs/>
          <w:color w:val="8E5008"/>
          <w:sz w:val="19"/>
          <w:szCs w:val="19"/>
        </w:rPr>
        <w:t xml:space="preserve">11. </w:t>
      </w:r>
      <w:r>
        <w:rPr>
          <w:b/>
          <w:bCs/>
          <w:sz w:val="19"/>
          <w:szCs w:val="19"/>
        </w:rPr>
        <w:t xml:space="preserve">Perioperative chemotherapy for resectable disease is supported by EORTC 40983.</w:t>
      </w:r>
    </w:p>
    <w:p>
      <w:pPr>
        <w:spacing w:after="40" w:line="276"/>
        <w:ind w:left="260"/>
      </w:pPr>
      <w:r>
        <w:rPr>
          <w:color w:val="15181F"/>
          <w:sz w:val="18"/>
          <w:szCs w:val="18"/>
        </w:rPr>
        <w:t xml:space="preserve">That trial missed its primary endpoint as randomised (3-year progression-free survival HR 0.79, p=0.058), reached significance only in eligible and resected subsets, showed no overall survival difference at 8.5 years (HR 0.88, p=0.34), did not raise the resection rate (83% versus 84%), and raised reversible postoperative complications from 16% to 25%. Only 63% of patients started the postoperative half, so the regimen actually tested was six preoperative cycles of FOLFOX4. It enrolled one to four metastases with 52% solitary — the most favourable population — while this page directs the regimen at more or larger metastases and a risk score above 2, where it was never tested. ASCO's six-month duration is taken from the same trial, and the one other randomised adjuvant trial ASCO cites, JCOG0603, improved disease-free survival without improving overall survival.</w:t>
      </w:r>
    </w:p>
    <w:p>
      <w:pPr>
        <w:spacing w:after="40" w:line="276"/>
        <w:ind w:left="260"/>
      </w:pPr>
      <w:r>
        <w:rPr>
          <w:color w:val="5A6069"/>
          <w:sz w:val="16"/>
          <w:szCs w:val="16"/>
        </w:rPr>
        <w:t xml:space="preserve">Sources: EORTC 40983; EORTC 40983 long-term; ASCO 2023</w:t>
      </w:r>
    </w:p>
    <w:p>
      <w:pPr>
        <w:spacing w:after="60" w:before="160"/>
      </w:pPr>
      <w:r>
        <w:rPr>
          <w:b/>
          <w:bCs/>
          <w:color w:val="8E5008"/>
          <w:sz w:val="19"/>
          <w:szCs w:val="19"/>
        </w:rPr>
        <w:t xml:space="preserve">12. </w:t>
      </w:r>
      <w:r>
        <w:rPr>
          <w:b/>
          <w:bCs/>
          <w:sz w:val="19"/>
          <w:szCs w:val="19"/>
        </w:rPr>
        <w:t xml:space="preserve">Anti-EGFR therapy is the clear first-line choice for left-sided RAS wild-type disease.</w:t>
      </w:r>
    </w:p>
    <w:p>
      <w:pPr>
        <w:spacing w:after="40" w:line="276"/>
        <w:ind w:left="260"/>
      </w:pPr>
      <w:r>
        <w:rPr>
          <w:color w:val="15181F"/>
          <w:sz w:val="18"/>
          <w:szCs w:val="18"/>
        </w:rPr>
        <w:t xml:space="preserve">The guideline recommendation is strong, but the trial evidence behind it is inconsistent and was not designed to answer the question. FIRE-3's prespecified primary endpoint, investigator-assessed response, was negative and progression-free survival was identical; the 72% versus 56% response figure comes from a blinded central review performed after the survival difference was known, and FIRE-3 reported no sidedness analysis and no secondary resection data. CALGB/SWOG 80405 found no survival difference (30.0 versus 29.0 months, HR 0.88, p=0.08), collected sidedness post hoc by chart review, and did not randomise the chemotherapy backbone, so the mFOLFOX6 subgroup favouring cetuximab is an unplanned subgroup of a non-randomised comparison. ASCO's HR 0.71 on the left and 1.35 on the right is a synthesis of retrospectively defined subgroups. The linked editorial's point stands: absence of a difference does not make the two antibodies interchangeable, and a difference in subgroups does not make the choice settled.</w:t>
      </w:r>
    </w:p>
    <w:p>
      <w:pPr>
        <w:spacing w:after="40" w:line="276"/>
        <w:ind w:left="260"/>
      </w:pPr>
      <w:r>
        <w:rPr>
          <w:color w:val="5A6069"/>
          <w:sz w:val="16"/>
          <w:szCs w:val="16"/>
        </w:rPr>
        <w:t xml:space="preserve">Sources: FIRE-3; CALGB/SWOG 80405; ASCO 2023</w:t>
      </w:r>
    </w:p>
    <w:p>
      <w:pPr>
        <w:spacing w:after="60" w:before="160"/>
      </w:pPr>
      <w:r>
        <w:rPr>
          <w:b/>
          <w:bCs/>
          <w:color w:val="8E5008"/>
          <w:sz w:val="19"/>
          <w:szCs w:val="19"/>
        </w:rPr>
        <w:t xml:space="preserve">13. </w:t>
      </w:r>
      <w:r>
        <w:rPr>
          <w:b/>
          <w:bCs/>
          <w:sz w:val="19"/>
          <w:szCs w:val="19"/>
        </w:rPr>
        <w:t xml:space="preserve">Second-line radioembolisation benefits patients with liver-dominant disease.</w:t>
      </w:r>
    </w:p>
    <w:p>
      <w:pPr>
        <w:spacing w:after="40" w:line="276"/>
        <w:ind w:left="260"/>
      </w:pPr>
      <w:r>
        <w:rPr>
          <w:color w:val="15181F"/>
          <w:sz w:val="18"/>
          <w:szCs w:val="18"/>
        </w:rPr>
        <w:t xml:space="preserve">EPOCH met both co-primary surrogate endpoints and neither reflects survival: progression-free survival gained 0.8 months, hepatic progression-free survival about 1.9 months, and overall survival was 14.0 versus 14.4 months (HR 1.07, 0.86–1.32) in a trial not powered for it. Grade 3 or worse events were 68.4% versus 49.3%, with three possibly related deaths from radiation-induced liver disease, hepatic failure and portal hypertension at 3 to 5 months — hepatic reserve spent on a surrogate. Thirteen per cent of those assigned never received the treatment, the control arm gave a first-line EGFR inhibitor to only 17% of patients, and the device manufacturer sponsored the trial and co-authored the report. ASCO does not recommend SIRT routinely at all, judging harms to outweigh benefits. The roadmap keeps it as a control option, which is defensible; describing it as treatment that lengthens life is not.</w:t>
      </w:r>
    </w:p>
    <w:p>
      <w:pPr>
        <w:spacing w:after="40" w:line="276"/>
        <w:ind w:left="260"/>
      </w:pPr>
      <w:r>
        <w:rPr>
          <w:color w:val="5A6069"/>
          <w:sz w:val="16"/>
          <w:szCs w:val="16"/>
        </w:rPr>
        <w:t xml:space="preserve">Sources: EPOCH; ASCO 2023; Hendlisz Y90</w:t>
      </w:r>
    </w:p>
    <w:p>
      <w:pPr>
        <w:spacing w:after="60" w:before="160"/>
      </w:pPr>
      <w:r>
        <w:rPr>
          <w:b/>
          <w:bCs/>
          <w:color w:val="8E5008"/>
          <w:sz w:val="19"/>
          <w:szCs w:val="19"/>
        </w:rPr>
        <w:t xml:space="preserve">14. </w:t>
      </w:r>
      <w:r>
        <w:rPr>
          <w:b/>
          <w:bCs/>
          <w:sz w:val="19"/>
          <w:szCs w:val="19"/>
        </w:rPr>
        <w:t xml:space="preserve">Sidedness or RAS status identifies the patients who benefit from radioembolisation.</w:t>
      </w:r>
    </w:p>
    <w:p>
      <w:pPr>
        <w:spacing w:after="40" w:line="276"/>
        <w:ind w:left="260"/>
      </w:pPr>
      <w:r>
        <w:rPr>
          <w:color w:val="15181F"/>
          <w:sz w:val="18"/>
          <w:szCs w:val="18"/>
        </w:rPr>
        <w:t xml:space="preserve">The two datasets point in opposite directions. EPOCH's progression-free survival benefit sat in KRAS-mutant (HR 0.57) and left-sided (HR 0.65) disease with none for right-sided primaries; the pooled FOXFIRE, SIRFLOX and FOXFIRE-Global analysis found its only favourable subgroup in right-sided primaries (overall survival HR 0.67), the mirror image. Both are post hoc, in different microsphere types, different lines and different chemotherapy backbones, and the pooled analysis also reduced oxaliplatin dose around the radioembolisation by protocol. Neither signal should be used to select a patient.</w:t>
      </w:r>
    </w:p>
    <w:p>
      <w:pPr>
        <w:spacing w:after="40" w:line="276"/>
        <w:ind w:left="260"/>
      </w:pPr>
      <w:r>
        <w:rPr>
          <w:color w:val="5A6069"/>
          <w:sz w:val="16"/>
          <w:szCs w:val="16"/>
        </w:rPr>
        <w:t xml:space="preserve">Sources: EPOCH; FOXFIRE / SIRFLOX / FOXFIRE-Global</w:t>
      </w:r>
    </w:p>
    <w:p>
      <w:pPr>
        <w:spacing w:after="60" w:before="160"/>
      </w:pPr>
      <w:r>
        <w:rPr>
          <w:b/>
          <w:bCs/>
          <w:color w:val="8E5008"/>
          <w:sz w:val="19"/>
          <w:szCs w:val="19"/>
        </w:rPr>
        <w:t xml:space="preserve">15. </w:t>
      </w:r>
      <w:r>
        <w:rPr>
          <w:b/>
          <w:bCs/>
          <w:sz w:val="19"/>
          <w:szCs w:val="19"/>
        </w:rPr>
        <w:t xml:space="preserve">DEBIRI prolongs survival in refractory liver-dominant disease.</w:t>
      </w:r>
    </w:p>
    <w:p>
      <w:pPr>
        <w:spacing w:after="40" w:line="276"/>
        <w:ind w:left="260"/>
      </w:pPr>
      <w:r>
        <w:rPr>
          <w:color w:val="15181F"/>
          <w:sz w:val="18"/>
          <w:szCs w:val="18"/>
        </w:rPr>
        <w:t xml:space="preserve">The 22-versus-15-month figure comes from a single two-centre trial of 74 patients against FOLFIRI containing no oxaliplatin, bevacizumab or anti-EGFR agent and capped at eight cycles, while DEBIRI patients could be retreated; the arms therefore differ in treatment intensity (70 procedures against 277 cycles) as well as route. Response was scored by RECIST or EASL at investigator discretion in an open-label trial, DEBIRI patients received prophylactic morphine, steroids and antibiotics before symptom scoring, the report contradicts itself on two p values, and the authors present the work as sizing an effect for a larger trial that has not reproduced this magnitude.</w:t>
      </w:r>
    </w:p>
    <w:p>
      <w:pPr>
        <w:spacing w:after="40" w:line="276"/>
        <w:ind w:left="260"/>
      </w:pPr>
      <w:r>
        <w:rPr>
          <w:color w:val="5A6069"/>
          <w:sz w:val="16"/>
          <w:szCs w:val="16"/>
        </w:rPr>
        <w:t xml:space="preserve">Sources: DEBIRI</w:t>
      </w:r>
    </w:p>
    <w:p>
      <w:pPr>
        <w:spacing w:after="60" w:before="160"/>
      </w:pPr>
      <w:r>
        <w:rPr>
          <w:b/>
          <w:bCs/>
          <w:color w:val="8E5008"/>
          <w:sz w:val="19"/>
          <w:szCs w:val="19"/>
        </w:rPr>
        <w:t xml:space="preserve">16. </w:t>
      </w:r>
      <w:r>
        <w:rPr>
          <w:b/>
          <w:bCs/>
          <w:sz w:val="19"/>
          <w:szCs w:val="19"/>
        </w:rPr>
        <w:t xml:space="preserve">Adjuvant hepatic arterial infusion after resection is established.</w:t>
      </w:r>
    </w:p>
    <w:p>
      <w:pPr>
        <w:spacing w:after="40" w:line="276"/>
        <w:ind w:left="260"/>
      </w:pPr>
      <w:r>
        <w:rPr>
          <w:color w:val="15181F"/>
          <w:sz w:val="18"/>
          <w:szCs w:val="18"/>
        </w:rPr>
        <w:t xml:space="preserve">The randomised evidence is one 1999 single-centre trial in which the whole overall survival curves did not differ (p=0.21); the positive result is a prespecified two-year landmark against bolus fluorouracil, and biliary toxicity meant only 26% of patients received more than half the planned floxuridine, so the regimen tested is not the regimen designed. The 2368-patient propensity series spans 21 years, its hepatic arterial infusion patients were six years younger and more recently treated, a published letter argued the propensity model and post-adjustment balance were reported in too little detail to assess, and the largest effects fell in node-negative and low-risk patients — the opposite of where a regional therapy should help most, and with no benefit at all with extrahepatic disease or a positive margin. Dutch PUMP (ASCO 2026 LBA3506; DOI 10.1200/JCO.2026.44.17_suppl.LBA3506) has reported randomized conference results: in low-risk resected CRLM (CRS 0–2), adjuvant HAIP alone did not significantly improve PFS versus resection alone (HR 0.88, 95% CI 0.62–1.25; P=.48). Neither arm received adjuvant systemic chemotherapy. Overall survival is immature. This does not test HAI plus modern systemic therapy or the unresectable conversion setting.</w:t>
      </w:r>
    </w:p>
    <w:p>
      <w:pPr>
        <w:spacing w:after="40" w:line="276"/>
        <w:ind w:left="260"/>
      </w:pPr>
      <w:r>
        <w:rPr>
          <w:color w:val="5A6069"/>
          <w:sz w:val="16"/>
          <w:szCs w:val="16"/>
        </w:rPr>
        <w:t xml:space="preserve">Sources: Kemeny adjuvant HAI; MSKCC HAI propensity; PUMP protocol and ASCO 2026 LBA3506 results</w:t>
      </w:r>
    </w:p>
    <w:p>
      <w:pPr>
        <w:spacing w:after="60" w:before="160"/>
      </w:pPr>
      <w:r>
        <w:rPr>
          <w:b/>
          <w:bCs/>
          <w:color w:val="8E5008"/>
          <w:sz w:val="19"/>
          <w:szCs w:val="19"/>
        </w:rPr>
        <w:t xml:space="preserve">17. </w:t>
      </w:r>
      <w:r>
        <w:rPr>
          <w:b/>
          <w:bCs/>
          <w:sz w:val="19"/>
          <w:szCs w:val="19"/>
        </w:rPr>
        <w:t xml:space="preserve">SBRT is a definitive local treatment for colorectal liver metastases.</w:t>
      </w:r>
    </w:p>
    <w:p>
      <w:pPr>
        <w:spacing w:after="40" w:line="276"/>
        <w:ind w:left="260"/>
      </w:pPr>
      <w:r>
        <w:rPr>
          <w:color w:val="15181F"/>
          <w:sz w:val="18"/>
          <w:szCs w:val="18"/>
        </w:rPr>
        <w:t xml:space="preserve">Its local-control evidence is better than its cure evidence, and almost none of it is colorectal. The 95% and 92% in-field control figures come from a 47-patient single-arm phase I/II trial in which 15 patients had colorectal metastases, colorectal outcomes were never reported separately, 13 patients were treated below 60 Gy, control was scored in only 49 of 63 lesions, and the authors say the competing risk of death may exaggerate it. SABR-COMET is a 99-patient phase 2 screening trial run at a two-sided alpha of 0.20 whose primary report gave p=0.090 for survival; 18 of 99 patients had a colorectal primary and one of the 12 five-year survivors, the survival effect falls to p=0.085 when prostate cancers are removed, liver lesional control was 50% — the lowest of any treated site — and treatment-related mortality was 4.5%. ASCO graded its own SBRT recommendation low quality, weak. Imaging response after SBRT is not a margin.</w:t>
      </w:r>
    </w:p>
    <w:p>
      <w:pPr>
        <w:spacing w:after="40" w:line="276"/>
        <w:ind w:left="260"/>
      </w:pPr>
      <w:r>
        <w:rPr>
          <w:color w:val="5A6069"/>
          <w:sz w:val="16"/>
          <w:szCs w:val="16"/>
        </w:rPr>
        <w:t xml:space="preserve">Sources: Rusthoven SBRT; SABR-COMET primary; SABR-COMET long-term; ASCO 2023</w:t>
      </w:r>
    </w:p>
    <w:p>
      <w:pPr>
        <w:spacing w:after="60" w:before="160"/>
      </w:pPr>
      <w:r>
        <w:rPr>
          <w:b/>
          <w:bCs/>
          <w:color w:val="8E5008"/>
          <w:sz w:val="19"/>
          <w:szCs w:val="19"/>
        </w:rPr>
        <w:t xml:space="preserve">18. </w:t>
      </w:r>
      <w:r>
        <w:rPr>
          <w:b/>
          <w:bCs/>
          <w:sz w:val="19"/>
          <w:szCs w:val="19"/>
        </w:rPr>
        <w:t xml:space="preserve">A confirmed ablative margin is the same clearance as a pathologic margin.</w:t>
      </w:r>
    </w:p>
    <w:p>
      <w:pPr>
        <w:spacing w:after="40" w:line="276"/>
        <w:ind w:left="260"/>
      </w:pPr>
      <w:r>
        <w:rPr>
          <w:color w:val="15181F"/>
          <w:sz w:val="18"/>
          <w:szCs w:val="18"/>
        </w:rPr>
        <w:t xml:space="preserve">It is a different observation. A resection margin is read by a pathologist; an ablation margin is inferred by subtracting landmark distances on pre- and post-ablation CT, was unmeasurable in 25% of tumours in the series the 5 mm threshold comes from, and has never been confirmed histologically. That series also improved its margins and its local recurrence rate at the same time as it introduced immediate triple-phase CT, over a decade in which operators, imaging and systemic therapy all changed, so the before-and-after comparison overstates what margin assessment alone delivers. In COLLISION an imaging margin under 5 mm was recorded in only 5% of ablated tumours but 47% of those progressed, while a pathologic R1 was found in 12% of resected tumours and 36% of those progressed — the two measures do not agree on how often clearance failed.</w:t>
      </w:r>
    </w:p>
    <w:p>
      <w:pPr>
        <w:spacing w:after="40" w:line="276"/>
        <w:ind w:left="260"/>
      </w:pPr>
      <w:r>
        <w:rPr>
          <w:color w:val="5A6069"/>
          <w:sz w:val="16"/>
          <w:szCs w:val="16"/>
        </w:rPr>
        <w:t xml:space="preserve">Sources: Shady ablation margins; COLLISION</w:t>
      </w:r>
    </w:p>
    <w:p>
      <w:pPr>
        <w:spacing w:after="60" w:before="160"/>
      </w:pPr>
      <w:r>
        <w:rPr>
          <w:b/>
          <w:bCs/>
          <w:color w:val="8E5008"/>
          <w:sz w:val="19"/>
          <w:szCs w:val="19"/>
        </w:rPr>
        <w:t xml:space="preserve">19. </w:t>
      </w:r>
      <w:r>
        <w:rPr>
          <w:b/>
          <w:bCs/>
          <w:sz w:val="19"/>
          <w:szCs w:val="19"/>
        </w:rPr>
        <w:t xml:space="preserve">The survival figures on this page describe what the first operation achieves.</w:t>
      </w:r>
    </w:p>
    <w:p>
      <w:pPr>
        <w:spacing w:after="40" w:line="276"/>
        <w:ind w:left="260"/>
      </w:pPr>
      <w:r>
        <w:rPr>
          <w:color w:val="15181F"/>
          <w:sz w:val="18"/>
          <w:szCs w:val="18"/>
        </w:rPr>
        <w:t xml:space="preserve">They describe first treatment plus salvage, and the salvage is not incidental. In the ablation series median overall survival was 65 months with no liver progression, 51 months when progression was re-ablated and 22 months once a patient was no longer an ablation candidate. After transplantation 74% recurred in TransMet and 48% in SECA-II, with 5-year progression-free survival of 19.9%; most recurrences were pulmonary and the long survival depends on resecting them under immunosuppression — 46% of isolated recurrences in TransMet were treated with curative intent. Both transplant cohorts' authors state that relapse-free survival is not a valid efficacy measure in this setting, which is another way of saying the result belongs to the whole programme rather than to the operation.</w:t>
      </w:r>
    </w:p>
    <w:p>
      <w:pPr>
        <w:spacing w:after="40" w:line="276"/>
        <w:ind w:left="260"/>
      </w:pPr>
      <w:r>
        <w:rPr>
          <w:color w:val="5A6069"/>
          <w:sz w:val="16"/>
          <w:szCs w:val="16"/>
        </w:rPr>
        <w:t xml:space="preserve">Sources: Shady ablation margins; TransMet; SECA-II 10-year; Oslo cohort</w:t>
      </w:r>
    </w:p>
    <w:p>
      <w:pPr>
        <w:spacing w:after="60" w:before="160"/>
      </w:pPr>
      <w:r>
        <w:rPr>
          <w:b/>
          <w:bCs/>
          <w:color w:val="8E5008"/>
          <w:sz w:val="19"/>
          <w:szCs w:val="19"/>
        </w:rPr>
        <w:t xml:space="preserve">20. </w:t>
      </w:r>
      <w:r>
        <w:rPr>
          <w:b/>
          <w:bCs/>
          <w:sz w:val="19"/>
          <w:szCs w:val="19"/>
        </w:rPr>
        <w:t xml:space="preserve">TransMet shows 73% five-year survival after transplantation.</w:t>
      </w:r>
    </w:p>
    <w:p>
      <w:pPr>
        <w:spacing w:after="40" w:line="276"/>
        <w:ind w:left="260"/>
      </w:pPr>
      <w:r>
        <w:rPr>
          <w:color w:val="15181F"/>
          <w:sz w:val="18"/>
          <w:szCs w:val="18"/>
        </w:rPr>
        <w:t xml:space="preserve">That is the per-protocol figure, and the protocol deviations ran in both directions: 9 of 47 patients allocated to transplantation never received a graft and 9 of 47 allocated to chemotherapy went on to hepatectomy or transplantation, so the per-protocol comparison is no longer randomised. The intention-to-treat estimate is 56.6% versus 12.6% (HR 0.37, 0.21–0.65), and even that mixes treatments. Proportional hazards did not hold, so the authors added a post-hoc restricted-mean analysis giving a 12.6-month survival gain at 60 months (4.9–20.4). Severe morbidity was 34%, retransplantation 8%, three-month mortality 3%.</w:t>
      </w:r>
    </w:p>
    <w:p>
      <w:pPr>
        <w:spacing w:after="40" w:line="276"/>
        <w:ind w:left="260"/>
      </w:pPr>
      <w:r>
        <w:rPr>
          <w:color w:val="5A6069"/>
          <w:sz w:val="16"/>
          <w:szCs w:val="16"/>
        </w:rPr>
        <w:t xml:space="preserve">Sources: TransMet</w:t>
      </w:r>
    </w:p>
    <w:p>
      <w:pPr>
        <w:spacing w:after="60" w:before="160"/>
      </w:pPr>
      <w:r>
        <w:rPr>
          <w:b/>
          <w:bCs/>
          <w:color w:val="8E5008"/>
          <w:sz w:val="19"/>
          <w:szCs w:val="19"/>
        </w:rPr>
        <w:t xml:space="preserve">21. </w:t>
      </w:r>
      <w:r>
        <w:rPr>
          <w:b/>
          <w:bCs/>
          <w:sz w:val="19"/>
          <w:szCs w:val="19"/>
        </w:rPr>
        <w:t xml:space="preserve">A transplant programme can reproduce the published survival with the same criteria.</w:t>
      </w:r>
    </w:p>
    <w:p>
      <w:pPr>
        <w:spacing w:after="40" w:line="276"/>
        <w:ind w:left="260"/>
      </w:pPr>
      <w:r>
        <w:rPr>
          <w:color w:val="15181F"/>
          <w:sz w:val="18"/>
          <w:szCs w:val="18"/>
        </w:rPr>
        <w:t xml:space="preserve">The published survival is a product of selection and of an allocation arrangement as much as of the criteria. TransMet depended on negotiated national prioritisation that delivered grafts at a median 50.5 days after randomisation and within two months of the last chemotherapy cycle; 19% of the transplantation arm still never received a graft, and without exception points these normal-liver, low-MELD patients do not compete, so a longer wait raises that dropout. The Oslo programme's own simulation found 2 to 3 eligible patients per year in a population of 5.5 million, and its 15 SECA-II transplants over five years were possible because of a national graft surplus. The North American living-donor series transplanted 10 of 91 evaluated patients and does not report what happened to the other 79.</w:t>
      </w:r>
    </w:p>
    <w:p>
      <w:pPr>
        <w:spacing w:after="40" w:line="276"/>
        <w:ind w:left="260"/>
      </w:pPr>
      <w:r>
        <w:rPr>
          <w:color w:val="5A6069"/>
          <w:sz w:val="16"/>
          <w:szCs w:val="16"/>
        </w:rPr>
        <w:t xml:space="preserve">Sources: TransMet; SECA-II 10-year; SECA-II; North American LDLT</w:t>
      </w:r>
    </w:p>
    <w:p>
      <w:pPr>
        <w:spacing w:after="60" w:before="160"/>
      </w:pPr>
      <w:r>
        <w:rPr>
          <w:b/>
          <w:bCs/>
          <w:color w:val="8E5008"/>
          <w:sz w:val="19"/>
          <w:szCs w:val="19"/>
        </w:rPr>
        <w:t xml:space="preserve">22. </w:t>
      </w:r>
      <w:r>
        <w:rPr>
          <w:b/>
          <w:bCs/>
          <w:sz w:val="19"/>
          <w:szCs w:val="19"/>
        </w:rPr>
        <w:t xml:space="preserve">Living-donor transplantation is an established route for this indication.</w:t>
      </w:r>
    </w:p>
    <w:p>
      <w:pPr>
        <w:spacing w:after="40" w:line="276"/>
        <w:ind w:left="260"/>
      </w:pPr>
      <w:r>
        <w:rPr>
          <w:color w:val="15181F"/>
          <w:sz w:val="18"/>
          <w:szCs w:val="18"/>
        </w:rPr>
        <w:t xml:space="preserve">The published North American experience is 10 recipients across three centres running three different protocols, with 1.5-year overall survival 100% and recurrence-free survival 62%; three recurrences occurred at 92, 121 and 199 days, nine explants contained viable tumour and one a positive portal node. The invited commentary calls this a technical demonstration of an already-established operation rather than an oncologic result, notes the 30% early recurrence rate would alarm in any other transplant-oncology indication, and questions using a healthy donor while the deceased-donor pool and machine perfusion are expanding. IHPBA permits living donation only at benchmark-meeting centres and preferably within a trial, and allows no retransplantation for recurrent metastases.</w:t>
      </w:r>
    </w:p>
    <w:p>
      <w:pPr>
        <w:spacing w:after="40" w:line="276"/>
        <w:ind w:left="260"/>
      </w:pPr>
      <w:r>
        <w:rPr>
          <w:color w:val="5A6069"/>
          <w:sz w:val="16"/>
          <w:szCs w:val="16"/>
        </w:rPr>
        <w:t xml:space="preserve">Sources: North American LDLT; IHPBA 2021</w:t>
      </w:r>
    </w:p>
    <w:p>
      <w:pPr>
        <w:spacing w:after="60" w:before="160"/>
      </w:pPr>
      <w:r>
        <w:rPr>
          <w:b/>
          <w:bCs/>
          <w:color w:val="8E5008"/>
          <w:sz w:val="19"/>
          <w:szCs w:val="19"/>
        </w:rPr>
        <w:t xml:space="preserve">23. </w:t>
      </w:r>
      <w:r>
        <w:rPr>
          <w:b/>
          <w:bCs/>
          <w:sz w:val="19"/>
          <w:szCs w:val="19"/>
        </w:rPr>
        <w:t xml:space="preserve">MSI-high and mismatch-repair-deficient patients are excluded from transplantation on evidence.</w:t>
      </w:r>
    </w:p>
    <w:p>
      <w:pPr>
        <w:spacing w:after="40" w:line="276"/>
        <w:ind w:left="260"/>
      </w:pPr>
      <w:r>
        <w:rPr>
          <w:color w:val="15181F"/>
          <w:sz w:val="18"/>
          <w:szCs w:val="18"/>
        </w:rPr>
        <w:t xml:space="preserve">They are excluded on a mechanism. The IHPBA statement rests on the risk of graft rejection if immunotherapy were needed after transplant, not on transplant outcome data in these patients, and its own reviewers call it the statement most likely to be overtaken; ESMO 2026 sets no MSI exclusion. The checkpoint evidence does not resolve the dilemma it creates. In CheckMate 8HW overall survival is still masked and the treatment lines are masked, so whether adding ipilimumab helps in the first line is unknown and high-grade toxicity roughly doubled. In KEYNOTE-177, 29.4% of pembrolizumab patients had progressive disease as best response with no biomarker to identify them, survival was blinded with 59% effective crossover, and only about 9% of patients in either arm had curative-intent surgery and were censored at it. Nothing published tells a surgeon what to do with liver-limited dMMR disease that could be cleared.</w:t>
      </w:r>
    </w:p>
    <w:p>
      <w:pPr>
        <w:spacing w:after="40" w:line="276"/>
        <w:ind w:left="260"/>
      </w:pPr>
      <w:r>
        <w:rPr>
          <w:color w:val="5A6069"/>
          <w:sz w:val="16"/>
          <w:szCs w:val="16"/>
        </w:rPr>
        <w:t xml:space="preserve">Sources: IHPBA 2021; CheckMate 8HW; KEYNOTE-177; ESMO 2026</w:t>
      </w:r>
    </w:p>
    <w:p>
      <w:pPr>
        <w:spacing w:after="60" w:before="160"/>
      </w:pPr>
      <w:r>
        <w:rPr>
          <w:b/>
          <w:bCs/>
          <w:color w:val="8E5008"/>
          <w:sz w:val="19"/>
          <w:szCs w:val="19"/>
        </w:rPr>
        <w:t xml:space="preserve">24. </w:t>
      </w:r>
      <w:r>
        <w:rPr>
          <w:b/>
          <w:bCs/>
          <w:sz w:val="19"/>
          <w:szCs w:val="19"/>
        </w:rPr>
        <w:t xml:space="preserve">The sequence of primary and liver surgery can be set from the evidence.</w:t>
      </w:r>
    </w:p>
    <w:p>
      <w:pPr>
        <w:spacing w:after="40" w:line="276"/>
        <w:ind w:left="260"/>
      </w:pPr>
      <w:r>
        <w:rPr>
          <w:color w:val="15181F"/>
          <w:sz w:val="18"/>
          <w:szCs w:val="18"/>
        </w:rPr>
        <w:t xml:space="preserve">It cannot. The sequencing recommendations are Delphi expert opinion, and the panel records that no strong evidence supports its central position of chemotherapy before colon resection; the registry comparisons behind it are non-randomised and selection-confounded, with 5-year survival no better for chemotherapy first than for primary surgery first (42% versus 47% in resectable and 31% versus 33% in unresectable disease). The Chinese 2024 consensus prefers simultaneous resection for synchronous disease at its own weakest grade, the opposite emphasis. No randomised trial compares any of these sequences, so the roadmap's rule — sequence by the dominant oncologic threat — is a reasonable principle standing in for absent evidence.</w:t>
      </w:r>
    </w:p>
    <w:p>
      <w:pPr>
        <w:spacing w:after="40" w:line="276"/>
        <w:ind w:left="260"/>
      </w:pPr>
      <w:r>
        <w:rPr>
          <w:color w:val="5A6069"/>
          <w:sz w:val="16"/>
          <w:szCs w:val="16"/>
        </w:rPr>
        <w:t xml:space="preserve">Sources: Adam 2015 consensus; ESMO 2026; Chinese 2024 consensus</w:t>
      </w:r>
    </w:p>
    <w:p>
      <w:pPr>
        <w:spacing w:after="60" w:before="160"/>
      </w:pPr>
      <w:r>
        <w:rPr>
          <w:b/>
          <w:bCs/>
          <w:color w:val="8E5008"/>
          <w:sz w:val="19"/>
          <w:szCs w:val="19"/>
        </w:rPr>
        <w:t xml:space="preserve">25. </w:t>
      </w:r>
      <w:r>
        <w:rPr>
          <w:b/>
          <w:bCs/>
          <w:sz w:val="19"/>
          <w:szCs w:val="19"/>
        </w:rPr>
        <w:t xml:space="preserve">The Fong clinical risk score stratifies this population.</w:t>
      </w:r>
    </w:p>
    <w:p>
      <w:pPr>
        <w:spacing w:after="40" w:line="276"/>
        <w:ind w:left="260"/>
      </w:pPr>
      <w:r>
        <w:rPr>
          <w:color w:val="15181F"/>
          <w:sz w:val="18"/>
          <w:szCs w:val="18"/>
        </w:rPr>
        <w:t xml:space="preserve">It stratifies the population it was built from. It was derived and tested in the same 1001 consecutive resections at one tertiary centre with no independent validation cohort, in the pre-oxaliplatin, pre-PET, pre-RAS era, and 123 patients had no preoperative CEA. The two strongest predictors it identified — a positive margin and extrahepatic disease — were deliberately left out because they are not known before the operation, so the score omits the factors that most determined outcome. Its discussants argued that CEA and nodal status double-count tumour burden and that lesion number should not restrict exploration in the ablation era, and warned the score would be misread as an argument against operating. The molecular classifier that improves on it raises the concordance statistic only from 0.55 to 0.62, needs mRNA and miRNA from the resected metastasis, and so cannot inform the preoperative decision the score was built for.</w:t>
      </w:r>
    </w:p>
    <w:p>
      <w:pPr>
        <w:spacing w:after="40" w:line="276"/>
        <w:ind w:left="260"/>
      </w:pPr>
      <w:r>
        <w:rPr>
          <w:color w:val="5A6069"/>
          <w:sz w:val="16"/>
          <w:szCs w:val="16"/>
        </w:rPr>
        <w:t xml:space="preserve">Sources: Fong CRS; New EPOC biomarker</w:t>
      </w:r>
    </w:p>
    <w:p>
      <w:pPr>
        <w:spacing w:after="60" w:before="160"/>
      </w:pPr>
      <w:r>
        <w:rPr>
          <w:b/>
          <w:bCs/>
          <w:color w:val="8E5008"/>
          <w:sz w:val="19"/>
          <w:szCs w:val="19"/>
        </w:rPr>
        <w:t xml:space="preserve">26. </w:t>
      </w:r>
      <w:r>
        <w:rPr>
          <w:b/>
          <w:bCs/>
          <w:sz w:val="19"/>
          <w:szCs w:val="19"/>
        </w:rPr>
        <w:t xml:space="preserve">The imaging, interval and threshold requirements on this page rest on evidence of benefit.</w:t>
      </w:r>
    </w:p>
    <w:p>
      <w:pPr>
        <w:spacing w:after="40" w:line="276"/>
        <w:ind w:left="260"/>
      </w:pPr>
      <w:r>
        <w:rPr>
          <w:color w:val="15181F"/>
          <w:sz w:val="18"/>
          <w:szCs w:val="18"/>
        </w:rPr>
        <w:t xml:space="preserve">Most of them rest on documents. There is no comparative outcome evidence in CRLM that MRI-based or PET-based staging, a particular reassessment interval, a particular remnant threshold or a particular surveillance schedule changes survival; they are guideline, consensus and local-policy positions, and the page grades them accordingly. The Chinese 2024 consensus publishes four pages of numbered recommendations with its evidence base in an online supplement and describes no consensus method, so its grades cannot be audited from the paper and its CSCO grades are not comparable with ESMO, NCCN or ASCO grades read alongside them. The OPTN transplant-oncology document is review-board guidance and not Policy, and two of its numeric boundaries are internally inconsistent: the initial exclusion is CEA above 80 µg/L while renewal wording is below 80, and progression is defined as a 10% increase in diameter while being labelled RECIST 1.1.</w:t>
      </w:r>
    </w:p>
    <w:p>
      <w:pPr>
        <w:spacing w:after="40" w:line="276"/>
        <w:ind w:left="260"/>
      </w:pPr>
      <w:r>
        <w:rPr>
          <w:color w:val="5A6069"/>
          <w:sz w:val="16"/>
          <w:szCs w:val="16"/>
        </w:rPr>
        <w:t xml:space="preserve">Sources: ESMO 2026; Chinese 2024 consensus; IHPBA 2021</w:t>
      </w:r>
    </w:p>
    <w:p>
      <w:pPr>
        <w:spacing w:after="60" w:before="160"/>
      </w:pPr>
      <w:r>
        <w:rPr>
          <w:b/>
          <w:bCs/>
          <w:color w:val="8E5008"/>
          <w:sz w:val="19"/>
          <w:szCs w:val="19"/>
        </w:rPr>
        <w:t xml:space="preserve">27. </w:t>
      </w:r>
      <w:r>
        <w:rPr>
          <w:b/>
          <w:bCs/>
          <w:sz w:val="19"/>
          <w:szCs w:val="19"/>
        </w:rPr>
        <w:t xml:space="preserve">Histotripsy is a liver-directed treatment option.</w:t>
      </w:r>
    </w:p>
    <w:p>
      <w:pPr>
        <w:spacing w:after="40" w:line="276"/>
        <w:ind w:left="260"/>
      </w:pPr>
      <w:r>
        <w:rPr>
          <w:color w:val="15181F"/>
          <w:sz w:val="18"/>
          <w:szCs w:val="18"/>
        </w:rPr>
        <w:t xml:space="preserve">In CRLM it is a device with no oncologic outcome data. The pivotal experience is single-arm, 47 patients and 52 tumours, median treated diameter 1.3 cm, 88% of targets in segments II to IV and none in VII or VIII — so the anatomy where an alternative to resection is most wanted was not tested. The headline 90% local control is a post hoc read made once all one-year imaging was available; the prespecified primary assessment gave 63.4%, and the two reads agreed only 71–84% of the time. Twelve-month overall survival among the metastatic patients was 48.6%, treatments after day 30 were not tracked so no progression-free survival exists, and the manufacturer funded the trial and supplied the devices. FDA clearance for tumour destruction is not evidence of benefit.</w:t>
      </w:r>
    </w:p>
    <w:p>
      <w:pPr>
        <w:spacing w:after="40" w:line="276"/>
        <w:ind w:left="260"/>
      </w:pPr>
      <w:r>
        <w:rPr>
          <w:color w:val="5A6069"/>
          <w:sz w:val="16"/>
          <w:szCs w:val="16"/>
        </w:rPr>
        <w:t xml:space="preserve">Sources: #HOPE4LIVER one-year</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Name the accountable CRLM pathway owner and the neutral tumour-board chair.</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pathway produces one recommendation, one accountable owner, one due date and one reassessment plan; without a named owner and a neutral chair the synthesis step has nobody to perform it.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Approve the Epic submission form with an explicit phase field and a clearance-assessment field.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Phase assignment and the explicit clearance question are the two things this pathway is built on, so they have to be captured at submission rather than reconstructed later.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Decide whether Memorial Hermann will run a hepatic arterial infusion programme, and if so the credentialing standard, case volume floor and toxicity review cadence.</w:t>
            </w:r>
          </w:p>
        </w:tc>
        <w:tc>
          <w:tcPr>
            <w:tcW w:type="dxa" w:w="4740"/>
            <w:tcMar>
              <w:top w:type="dxa" w:w="70"/>
              <w:left w:type="dxa" w:w="110"/>
              <w:bottom w:type="dxa" w:w="70"/>
              <w:right w:type="dxa" w:w="110"/>
            </w:tcMar>
            <w:vAlign w:val="top"/>
          </w:tcPr>
          <w:p>
            <w:pPr>
              <w:spacing w:after="0" w:line="276"/>
            </w:pPr>
            <w:r>
              <w:rPr>
                <w:color w:val="15181F"/>
                <w:sz w:val="17"/>
                <w:szCs w:val="17"/>
              </w:rPr>
              <w:t xml:space="preserve">HAI conversion evidence is single-arm and concentrated in experienced centres, and biliary toxicity and pump complications are not occasional-case risks; the modality is only defensible with a credentialed programme behind it.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Ratify the written liver transplant protocol for CRLM: eligibility, review-board route, graft strategy including living donation, registry dataset and recurrence plan.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CRLM is not a standardised OPTN exception, so the institutional protocol is the operative constraint and the programme domain of the selection table requires it in writing.</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Set the institutional position on transplanting outside TransMet criteria — permitted under protocol with registry entry, or not at all.</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There is no randomised evidence outside the TransMet population, and the roadmap lists this among the statements that are locally reasonable but not evidence based.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Define the pre-transplant checkpoint-inhibitor policy for MSI-high candidates, including washout and the approval route, before any such patient is listed.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exception route requires microsatellite stability and IHPBA excludes these patients, while pre-transplant checkpoint exposure and post-transplant rejection risk must be addressed before the first dose.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Approve remnant-volume thresholds and the augmentation strategy hierarchy (PVE, LVD, two-stage, ALPPS), including who decides between them.</w:t>
            </w:r>
          </w:p>
        </w:tc>
        <w:tc>
          <w:tcPr>
            <w:tcW w:type="dxa" w:w="4740"/>
            <w:tcMar>
              <w:top w:type="dxa" w:w="70"/>
              <w:left w:type="dxa" w:w="110"/>
              <w:bottom w:type="dxa" w:w="70"/>
              <w:right w:type="dxa" w:w="110"/>
            </w:tcMar>
            <w:vAlign w:val="top"/>
          </w:tcPr>
          <w:p>
            <w:pPr>
              <w:spacing w:after="0" w:line="276"/>
            </w:pPr>
            <w:r>
              <w:rPr>
                <w:color w:val="15181F"/>
                <w:sz w:val="17"/>
                <w:szCs w:val="17"/>
              </w:rPr>
              <w:t xml:space="preserve">Modality-specific remnant thresholds are local policy without comparative outcome evidence, and the augmentation options differ in morbidity rather than in proven survival.</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Set the minimum ablative margin that counts toward clearance, and require it to be documented.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Ablation counts as clearance only when a circumferential margin is confirmed, and local progression risk rises steeply below 5 mm.</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Name the referral route and the specialist team for peritoneal metastases, which are assessed outside this liver pathway.</w:t>
            </w:r>
          </w:p>
        </w:tc>
        <w:tc>
          <w:tcPr>
            <w:tcW w:type="dxa" w:w="4740"/>
            <w:tcMar>
              <w:top w:type="dxa" w:w="70"/>
              <w:left w:type="dxa" w:w="110"/>
              <w:bottom w:type="dxa" w:w="70"/>
              <w:right w:type="dxa" w:w="110"/>
            </w:tcMar>
            <w:vAlign w:val="top"/>
          </w:tcPr>
          <w:p>
            <w:pPr>
              <w:spacing w:after="0" w:line="276"/>
            </w:pPr>
            <w:r>
              <w:rPr>
                <w:color w:val="15181F"/>
                <w:sz w:val="17"/>
                <w:szCs w:val="17"/>
              </w:rPr>
              <w:t xml:space="preserve">Peritoneal disease is assessed by a peritoneal surface malignancy team rather than routed automatically through the liver pathway, and any peritoneal disease ends transplant intent.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Decide which transplant criteria set governs locally, and record the resolution of each named disagreement between the OPTN guidance route, IHPBA 2021 and ESMO 2026 — MSI-high and dMMR status, BRAF V600E versus any BRAF mutation, the metabolic tumour volume and total lesion glycolysis bars, the months of stability required and the line of therapy by which transplantation may be considered.</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documents a review board will be handed disagree on gates that decide individual patients, and the rule that the stricter governs does not by itself say which document supplies the stricter value for each criterion.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Resolve the two numeric boundaries in the OPTN transplant-oncology guidance before the first filing: a CEA of exactly 80 µg/L, and the definition of progression as a 10% increase in diameter while being labelled RECIST 1.1.</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initial exclusion is stated as CEA above 80 and the renewal wording as below 80, so an exact value of 80 has no stated answer; and the 10% figure differs from the usual target-lesion threshold, so a candidate can be progressing under one reading and stable under the other.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Decide whether anti-EGFR therapy is used with conversion intent in left-sided RAS and BRAF wild-type disease, or only as the first-line survival choice.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In the one randomised comparison that measured clearance, panitumumab raised objective response from 53% to 80% and deepened response without changing complete local treatment (58% in both arms), and those groups were closed early for futility; the conversion rationale and the first-line rationale are not the same claim.</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Set the institutional position on transarterial therapy in refractory disease: whether second-line Y90 and DEBIRI are offered at all, and the requirement that every transarterial treatment be recorded as regional control with a named reassessment date.</w:t>
            </w:r>
          </w:p>
        </w:tc>
        <w:tc>
          <w:tcPr>
            <w:tcW w:type="dxa" w:w="4740"/>
            <w:tcMar>
              <w:top w:type="dxa" w:w="70"/>
              <w:left w:type="dxa" w:w="110"/>
              <w:bottom w:type="dxa" w:w="70"/>
              <w:right w:type="dxa" w:w="110"/>
            </w:tcMar>
            <w:vAlign w:val="top"/>
          </w:tcPr>
          <w:p>
            <w:pPr>
              <w:spacing w:after="0" w:line="276"/>
            </w:pPr>
            <w:r>
              <w:rPr>
                <w:color w:val="15181F"/>
                <w:sz w:val="17"/>
                <w:szCs w:val="17"/>
              </w:rPr>
              <w:t xml:space="preserve">Neither improved overall survival — EPOCH gave 14.0 versus 14.4 months with grade 3 or worse events in 68% and three treatment-related deaths, and the DEBIRI survival figure comes from 74 patients against an obsolete comparator — and ASCO does not recommend SIRT routinely at all.</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Decide whether perioperative chemotherapy is offered outside the population in which it was tested — one to four metastases, no extrahepatic disease — and require the indication to be recorded each time it is given.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EORTC 40983 missed its primary endpoint, showed no survival difference at 8.5 years, did not raise the resection rate and raised postoperative complications; extending it to higher-burden disease and a risk score above 2 is a local judgement that should be visible as one.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Decide how an ablation margin that cannot be measured is recorded and managed, and who reads the confirmatory study.</w:t>
            </w:r>
          </w:p>
        </w:tc>
        <w:tc>
          <w:tcPr>
            <w:tcW w:type="dxa" w:w="4740"/>
            <w:tcMar>
              <w:top w:type="dxa" w:w="70"/>
              <w:left w:type="dxa" w:w="110"/>
              <w:bottom w:type="dxa" w:w="70"/>
              <w:right w:type="dxa" w:w="110"/>
            </w:tcMar>
            <w:vAlign w:val="top"/>
          </w:tcPr>
          <w:p>
            <w:pPr>
              <w:spacing w:after="0" w:line="276"/>
            </w:pPr>
            <w:r>
              <w:rPr>
                <w:color w:val="15181F"/>
                <w:sz w:val="17"/>
                <w:szCs w:val="17"/>
              </w:rPr>
              <w:t xml:space="preserve">In the series the 5 mm threshold comes from, the margin was unmeasurable in a quarter of tumours and never confirmed histologically, and in COLLISION the imaging and pathologic margin categories did not agree on how often clearance failed; an unreadable margin is a decision, not a gap in the record.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Commit the surveillance and salvage capacity the published survival figures depend on — thoracic surveillance, pulmonary metastasectomy, repeat hepatic clearance — and name the owner of each.</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After transplantation three-quarters of TransMet patients and half of SECA-II patients recurred, mostly in the lung, and the survival gain came from treating those recurrences with curative intent; the ablation series shows the same pattern, with median survival falling from 51 to 22 months once a patient is no longer a candidate for re-treatment.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17</w:t>
            </w:r>
          </w:p>
        </w:tc>
        <w:tc>
          <w:tcPr>
            <w:tcW w:type="dxa" w:w="4100"/>
            <w:tcMar>
              <w:top w:type="dxa" w:w="70"/>
              <w:left w:type="dxa" w:w="110"/>
              <w:bottom w:type="dxa" w:w="70"/>
              <w:right w:type="dxa" w:w="110"/>
            </w:tcMar>
            <w:vAlign w:val="top"/>
          </w:tcPr>
          <w:p>
            <w:pPr>
              <w:spacing w:after="0" w:line="276"/>
            </w:pPr>
            <w:r>
              <w:rPr>
                <w:color w:val="15181F"/>
                <w:sz w:val="17"/>
                <w:szCs w:val="17"/>
              </w:rPr>
              <w:t xml:space="preserve">Agree the registry dataset for every conversion-intent course: who judged resectability at each reassessment, what they judged, and whether the operation happened.</w:t>
            </w:r>
          </w:p>
        </w:tc>
        <w:tc>
          <w:tcPr>
            <w:tcW w:type="dxa" w:w="4740"/>
            <w:tcMar>
              <w:top w:type="dxa" w:w="70"/>
              <w:left w:type="dxa" w:w="110"/>
              <w:bottom w:type="dxa" w:w="70"/>
              <w:right w:type="dxa" w:w="110"/>
            </w:tcMar>
            <w:vAlign w:val="top"/>
          </w:tcPr>
          <w:p>
            <w:pPr>
              <w:spacing w:after="0" w:line="276"/>
            </w:pPr>
            <w:r>
              <w:rPr>
                <w:color w:val="15181F"/>
                <w:sz w:val="17"/>
                <w:szCs w:val="17"/>
              </w:rPr>
              <w:t xml:space="preserve">Resectability judgements are the least reproducible step in this pathway — unanimous in only 66% of baseline and 42% of follow-up panel assessments in CAIRO5, and locally determined with no central review in the other conversion series — so conversion rates are uninterpretable without recording who decided.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Pilot for 90 days, audit 20 consecutive cases, then revise before approval as a clinical practice guideline.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This is a draft for multidisciplinary and institutional governance review, not active clinical policy, and the operating measures are grade D by construction.</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Built from the Memorial Hermann Colorectal Liver Metastasis System Roadmap Draft v0.6 (4 October 2026, liver-directed section revised 3 October 2026, evidence current to 20 September 2026) and its companion guideline alignment worksheet of the same date, which supplied the institutional positions, the NCCN decisions 1-16 and the open ratification items. Revised on 7 October 2026 (Batch 08) after a full-text read of the whole CRLM reference depot: 45 papers, each with an independently recorded critique, covering all 45 PubMed-indexed references cited on this page. Every evidence string was re-checked against the paper's own reported results rather than against a guideline quoting it, and the grades were re-set where the full text showed the recommendation rested on a surrogate endpoint, a subset analysis, an unvalidated threshold or a single centre's practice; 20 evidence entries changed and 13 grades were lowered in that pass, and the honest section was rewritten and expanded from 5 entries to 27. Three references are cited only for what they do not yet show: the PUMP trial appears as a published protocol with no outcome data, so no efficacy claim rests on it; the LIGRO survival analysis is published separately and was not read, so ALPPS is cited for resectability only; and the NCCN guideline, the OPTN policy and guidance documents, the Memorial Hermann roadmap and its alignment worksheet are not PubMed-indexed papers and were read as documents, not trials. Policy wording follows NCCN Colon Cancer v2.2026 (7 April 2026), OPTN Policy 9 as retrieved 1 October 2026, and the OPTN Adult MELD Exceptions for Transplant Oncology review-board guidance of December 2025, which is guidance and not Policy. The roadmap itself is a draft pending multidisciplinary and institutional governance review: it is not active clinical policy, does not replace clinician judgement, current drug labelling, OPTN policy or patient-specific informed consent, and every transplant criterion must be confirmed against current policy at implementation.</w:t>
      </w:r>
    </w:p>
    <w:p>
      <w:pPr>
        <w:pStyle w:val="Heading1"/>
        <w:widowControl/>
        <w:keepNext/>
      </w:pPr>
      <w:r>
        <w:t xml:space="preserve">Systemic treatment matrix</w:t>
      </w:r>
    </w:p>
    <w:p>
      <w:pPr>
        <w:pStyle w:val="Normal"/>
        <w:widowControl/>
        <w:spacing w:after="120"/>
      </w:pPr>
      <w:r>
        <w:t xml:space="preserve">Later-line efficacy does not define persistent unresectability. HPB MDT must document why complete clearance of every original disease site cannot be achieved with a credible resection/ablation strategy, liver reserve and staged options. Treated/nonviable lesions alone are not proof of active unresectable disease. Preserve all biology, extrahepatic and allocation gates.</w:t>
      </w:r>
    </w:p>
    <w:p>
      <w:pPr>
        <w:pStyle w:val="Heading2"/>
        <w:widowControl/>
        <w:keepNext/>
      </w:pPr>
      <w:r>
        <w:t xml:space="preserve">Regimen, setting and 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FOLFOX or CAPOX</w:t>
            </w:r>
          </w:p>
          <w:p>
            <w:pPr>
              <w:pStyle w:val="Normal"/>
              <w:widowControl/>
              <w:spacing w:after="55" w:line="240" w:lineRule="auto"/>
              <w:keepNext w:val="0"/>
              <w:keepLines/>
            </w:pPr>
            <w:r>
              <w:rPr>
                <w:sz w:val="21"/>
                <w:szCs w:val="21"/>
              </w:rPr>
              <w:t xml:space="preserve">Perioperative or postoperative</w:t>
            </w:r>
          </w:p>
        </w:tc>
        <w:tc>
          <w:tcPr>
            <w:tcW w:w="4000" w:type="dxa"/>
            <w:vAlign w:val="top"/>
            <w:shd w:fill="F1F5F8"/>
          </w:tcPr>
          <w:p>
            <w:pPr>
              <w:pStyle w:val="Normal"/>
              <w:widowControl/>
              <w:spacing w:after="55" w:line="240" w:lineRule="auto"/>
              <w:keepNext w:val="0"/>
              <w:keepLines/>
            </w:pPr>
            <w:r>
              <w:rPr>
                <w:sz w:val="21"/>
                <w:szCs w:val="21"/>
              </w:rPr>
              <w:t xml:space="preserve">In resectable CRLM, decide surgery alone versus chemotherapy plus surgery in MDT. If perioperative treatment is chosen, use a time-limited plan and avoid extending preoperative treatment after resectability is achieved.</w:t>
            </w:r>
          </w:p>
        </w:tc>
        <w:tc>
          <w:tcPr>
            <w:tcW w:w="4180" w:type="dxa"/>
            <w:vAlign w:val="top"/>
            <w:shd w:fill="F1F5F8"/>
          </w:tcPr>
          <w:p>
            <w:pPr>
              <w:pStyle w:val="Normal"/>
              <w:widowControl/>
              <w:spacing w:after="55" w:line="240" w:lineRule="auto"/>
              <w:keepNext w:val="0"/>
              <w:keepLines/>
            </w:pPr>
            <w:r>
              <w:rPr>
                <w:sz w:val="21"/>
                <w:szCs w:val="21"/>
              </w:rPr>
              <w:t xml:space="preserve">EORTC 40983 supported PFS but not a significant long-term OS benefit. Do not add cetuximab to perioperative chemotherapy for otherwise resectable CRLM: New EPOC showed harm.</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TQ3MC0yMDQ1KDEzKTcwNDQ3LTk8L3VybD48L3JlbGF0ZWQtdXJscz48cGRmLXVybHMvPjwvdXJscz48L3JlY29yZD48L0NpdGU+PC9FbmROb3RlPg==</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E2L1MxNDcwLTIwNDUoMTkpMzA3OTgtMzwvdXJsPjwvcmVsYXRlZC11cmxzPjxwZGYtdXJscy8+PC91cmxzPjwvcmVjb3JkPjwvQ2l0ZT48L0VuZE5vdGU+</w:fldData>
              </w:fldChar>
            </w:r>
            <w:r>
              <w:instrText xml:space="preserve"> ADDIN EN.CITE.DATA </w:instrText>
            </w:r>
            <w:r>
              <w:fldChar w:fldCharType="end"/>
            </w:r>
            <w:r>
              <w:fldChar w:fldCharType="separate"/>
            </w:r>
            <w:r>
              <w:t xml:space="preserve">[V12-2]</w:t>
            </w:r>
            <w:r>
              <w:fldChar w:fldCharType="end"/>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ItM108L0Rpc3BsYXlUZXh0PjxyZWNvcmQ+PHJlYy1udW1iZXI+MzwvcmVjLW51bWJlcj48Zm9yZWlnbi1rZXlzPjxrZXkgYXBwPSJFTiIgZGItaWQ9Ijk5MjJhN2VlLTk2ZDctNTQ1MC05ZmRmLTIxNWE0MDY1OWQwMCIgdGltZXN0YW1wPSIxNzkyOTIxMDg4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br/>
            </w:r>
            <w:hyperlink r:id="rId9">
              <w:r>
                <w:rPr>
                  <w:color w:val="0563C1"/>
                  <w:u w:val="single"/>
                </w:rPr>
                <w:t>Source</w:t>
              </w:r>
            </w:hyperlink>
            <w:r>
              <w:t xml:space="preserve"> · </w:t>
            </w:r>
            <w:hyperlink r:id="rId10">
              <w:r>
                <w:rPr>
                  <w:color w:val="0563C1"/>
                  <w:u w:val="single"/>
                </w:rPr>
                <w:t>PDF</w:t>
              </w:r>
            </w:hyperlink>
            <w:r>
              <w:br/>
            </w:r>
            <w:hyperlink r:id="rId11">
              <w:r>
                <w:rPr>
                  <w:color w:val="0563C1"/>
                  <w:u w:val="single"/>
                </w:rPr>
                <w:t>Source</w:t>
              </w:r>
            </w:hyperlink>
            <w:r>
              <w:t xml:space="preserve"> · </w:t>
            </w:r>
            <w:hyperlink r:id="rId12">
              <w:r>
                <w:rPr>
                  <w:color w:val="0563C1"/>
                  <w:u w:val="single"/>
                </w:rPr>
                <w:t>PDF</w:t>
              </w:r>
            </w:hyperlink>
            <w:r>
              <w:br/>
            </w:r>
            <w:hyperlink r:id="rId13">
              <w:r>
                <w:rPr>
                  <w:color w:val="0563C1"/>
                  <w:u w:val="single"/>
                </w:rPr>
                <w:t>Source</w:t>
              </w:r>
            </w:hyperlink>
            <w:r>
              <w:t xml:space="preserve"> · </w:t>
            </w:r>
            <w:hyperlink r:id="rId1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FOLFOX or FOLFIRI plus anti-EGFR</w:t>
            </w:r>
          </w:p>
          <w:p>
            <w:pPr>
              <w:pStyle w:val="Normal"/>
              <w:widowControl/>
              <w:spacing w:after="55" w:line="240" w:lineRule="auto"/>
              <w:keepNext w:val="0"/>
              <w:keepLines/>
            </w:pPr>
            <w:r>
              <w:rPr>
                <w:sz w:val="21"/>
                <w:szCs w:val="21"/>
              </w:rPr>
              <w:t xml:space="preserve">Left sided RAS and BRAF wild type</w:t>
            </w:r>
          </w:p>
        </w:tc>
        <w:tc>
          <w:tcPr>
            <w:tcW w:w="4000" w:type="dxa"/>
            <w:vAlign w:val="top"/>
            <w:shd w:fill="FFFFFF"/>
          </w:tcPr>
          <w:p>
            <w:pPr>
              <w:pStyle w:val="Normal"/>
              <w:widowControl/>
              <w:spacing w:after="55" w:line="240" w:lineRule="auto"/>
              <w:keepNext w:val="0"/>
              <w:keepLines/>
            </w:pPr>
            <w:r>
              <w:rPr>
                <w:sz w:val="21"/>
                <w:szCs w:val="21"/>
              </w:rPr>
              <w:t xml:space="preserve">For MSS/pMMR disease when response or survival benefit is the goal, confirm expanded RAS, BRAF, sidedness and HER2 status. Cetuximab or panitumumab is not a general option for RAS-mutant disease.</w:t>
            </w:r>
          </w:p>
        </w:tc>
        <w:tc>
          <w:tcPr>
            <w:tcW w:w="4180" w:type="dxa"/>
            <w:vAlign w:val="top"/>
            <w:shd w:fill="FFFFFF"/>
          </w:tcPr>
          <w:p>
            <w:pPr>
              <w:pStyle w:val="Normal"/>
              <w:widowControl/>
              <w:spacing w:after="55" w:line="240" w:lineRule="auto"/>
              <w:keepNext w:val="0"/>
              <w:keepLines/>
            </w:pPr>
            <w:r>
              <w:rPr>
                <w:sz w:val="21"/>
                <w:szCs w:val="21"/>
              </w:rPr>
              <w:t xml:space="preserve">Molecular and sidedness selection matters. CAIRO5 did not show panitumumab superiority over bevacizumab for its left-sided wild-type liver-only population; do not promise more resections from anti-EGFR treatment alone.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ItM108L0Rpc3BsYXlUZXh0PjxyZWNvcmQ+PHJlYy1udW1iZXI+MzwvcmVjLW51bWJlcj48Zm9yZWlnbi1rZXlzPjxrZXkgYXBwPSJFTiIgZGItaWQ9Ijk5MjJhN2VlLTk2ZDctNTQ1MC05ZmRmLTIxNWE0MDY1OWQwMCIgdGltZXN0YW1wPSIxNzkyOTIxMDg4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fldChar w:fldCharType="begin"/>
            </w:r>
            <w:r>
              <w:instrText xml:space="preserve"> ADDIN EN.CITE </w:instrText>
            </w:r>
            <w:r>
              <w:fldChar w:fldCharType="begin">
                <w:fldData>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TQ3MC0yMDQ1KDIzKTAwMjE5LVg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t xml:space="preserve"> </w:t>
            </w:r>
            <w:r>
              <w:fldChar w:fldCharType="begin"/>
            </w:r>
            <w:r>
              <w:instrText xml:space="preserve"> ADDIN EN.CITE </w:instrText>
            </w:r>
            <w:r>
              <w:fldChar w:fldCharType="begin">
                <w:fldData>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AxL2phbWEuMjAxNy43MTA1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r>
              <w:br/>
            </w:r>
            <w:hyperlink r:id="rId15">
              <w:r>
                <w:rPr>
                  <w:color w:val="0563C1"/>
                  <w:u w:val="single"/>
                </w:rPr>
                <w:t>Source</w:t>
              </w:r>
            </w:hyperlink>
            <w:r>
              <w:t xml:space="preserve"> · </w:t>
            </w:r>
            <w:hyperlink r:id="rId16">
              <w:r>
                <w:rPr>
                  <w:color w:val="0563C1"/>
                  <w:u w:val="single"/>
                </w:rPr>
                <w:t>PDF</w:t>
              </w:r>
            </w:hyperlink>
            <w:r>
              <w:br/>
            </w:r>
            <w:hyperlink r:id="rId17">
              <w:r>
                <w:rPr>
                  <w:color w:val="0563C1"/>
                  <w:u w:val="single"/>
                </w:rPr>
                <w:t>Source</w:t>
              </w:r>
            </w:hyperlink>
            <w:r>
              <w:t xml:space="preserve"> · </w:t>
            </w:r>
            <w:hyperlink r:id="rId18">
              <w:r>
                <w:rPr>
                  <w:color w:val="0563C1"/>
                  <w:u w:val="single"/>
                </w:rPr>
                <w:t>PDF</w:t>
              </w:r>
            </w:hyperlink>
            <w:r>
              <w:br/>
            </w:r>
            <w:hyperlink r:id="rId19">
              <w:r>
                <w:rPr>
                  <w:color w:val="0563C1"/>
                  <w:u w:val="single"/>
                </w:rPr>
                <w:t>Source</w:t>
              </w:r>
            </w:hyperlink>
            <w:r>
              <w:t xml:space="preserve"> · </w:t>
            </w:r>
            <w:hyperlink r:id="rId2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Doublet chemotherapy plus bevacizumab</w:t>
            </w:r>
          </w:p>
          <w:p>
            <w:pPr>
              <w:pStyle w:val="Normal"/>
              <w:widowControl/>
              <w:spacing w:after="55" w:line="240" w:lineRule="auto"/>
              <w:keepNext w:val="0"/>
              <w:keepLines/>
            </w:pPr>
            <w:r>
              <w:rPr>
                <w:sz w:val="21"/>
                <w:szCs w:val="21"/>
              </w:rPr>
              <w:t xml:space="preserve">MSS pMMR first line</w:t>
            </w:r>
          </w:p>
        </w:tc>
        <w:tc>
          <w:tcPr>
            <w:tcW w:w="4000" w:type="dxa"/>
            <w:vAlign w:val="top"/>
            <w:shd w:fill="F1F5F8"/>
          </w:tcPr>
          <w:p>
            <w:pPr>
              <w:pStyle w:val="Normal"/>
              <w:widowControl/>
              <w:spacing w:after="55" w:line="240" w:lineRule="auto"/>
              <w:keepNext w:val="0"/>
              <w:keepLines/>
            </w:pPr>
            <w:r>
              <w:rPr>
                <w:sz w:val="21"/>
                <w:szCs w:val="21"/>
              </w:rPr>
              <w:t xml:space="preserve">FOLFOX, CAPOX or FOLFIRI according to prior therapy, neuropathy, bowel function and fitness. Common choice for RAS-mutant or right-sided disease and when anti-EGFR is unsuitable.</w:t>
            </w:r>
          </w:p>
        </w:tc>
        <w:tc>
          <w:tcPr>
            <w:tcW w:w="4180" w:type="dxa"/>
            <w:vAlign w:val="top"/>
            <w:shd w:fill="F1F5F8"/>
          </w:tcPr>
          <w:p>
            <w:pPr>
              <w:pStyle w:val="Normal"/>
              <w:widowControl/>
              <w:spacing w:after="55" w:line="240" w:lineRule="auto"/>
              <w:keepNext w:val="0"/>
              <w:keepLines/>
            </w:pPr>
            <w:r>
              <w:rPr>
                <w:sz w:val="21"/>
                <w:szCs w:val="21"/>
              </w:rPr>
              <w:t xml:space="preserve">Guideline-supported backbone. Assess bleeding, perforation, hypertension and wound healing. Plan bevacizumab hold before surgery; radiographic response is not itself a transplant approval.</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ItM108L0Rpc3BsYXlUZXh0PjxyZWNvcmQ+PHJlYy1udW1iZXI+MzwvcmVjLW51bWJlcj48Zm9yZWlnbi1rZXlzPjxrZXkgYXBwPSJFTiIgZGItaWQ9Ijk5MjJhN2VlLTk2ZDctNTQ1MC05ZmRmLTIxNWE0MDY1OWQwMCIgdGltZXN0YW1wPSIxNzkyOTIxMDg4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fldChar w:fldCharType="begin"/>
            </w:r>
            <w:r>
              <w:instrText xml:space="preserve"> ADDIN EN.CITE </w:instrText>
            </w:r>
            <w:r>
              <w:fldChar w:fldCharType="begin">
                <w:fldData>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</w:fldData>
              </w:fldChar>
            </w:r>
            <w:r>
              <w:instrText xml:space="preserve"> ADDIN EN.CITE.DATA </w:instrText>
            </w:r>
            <w:r>
              <w:fldChar w:fldCharType="end"/>
            </w:r>
            <w:r>
              <w:fldChar w:fldCharType="separate"/>
            </w:r>
            <w:r>
              <w:t xml:space="preserve">[V12-6]</w:t>
            </w:r>
            <w:r>
              <w:fldChar w:fldCharType="end"/>
            </w:r>
            <w:r>
              <w:br/>
            </w:r>
            <w:hyperlink r:id="rId21">
              <w:r>
                <w:rPr>
                  <w:color w:val="0563C1"/>
                  <w:u w:val="single"/>
                </w:rPr>
                <w:t>Source</w:t>
              </w:r>
            </w:hyperlink>
            <w:r>
              <w:t xml:space="preserve"> · </w:t>
            </w:r>
            <w:hyperlink r:id="rId22">
              <w:r>
                <w:rPr>
                  <w:color w:val="0563C1"/>
                  <w:u w:val="single"/>
                </w:rPr>
                <w:t>PDF</w:t>
              </w:r>
            </w:hyperlink>
            <w:r>
              <w:br/>
            </w:r>
            <w:hyperlink r:id="rId23">
              <w:r>
                <w:rPr>
                  <w:color w:val="0563C1"/>
                  <w:u w:val="single"/>
                </w:rPr>
                <w:t>Source</w:t>
              </w:r>
            </w:hyperlink>
            <w:r>
              <w:t xml:space="preserve"> · </w:t>
            </w:r>
            <w:hyperlink r:id="rId2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FOLFOXIRI plus bevacizumab</w:t>
            </w:r>
          </w:p>
          <w:p>
            <w:pPr>
              <w:pStyle w:val="Normal"/>
              <w:widowControl/>
              <w:spacing w:after="55" w:line="240" w:lineRule="auto"/>
              <w:keepNext w:val="0"/>
              <w:keepLines/>
            </w:pPr>
            <w:r>
              <w:rPr>
                <w:sz w:val="21"/>
                <w:szCs w:val="21"/>
              </w:rPr>
              <w:t xml:space="preserve">Selected fit patients</w:t>
            </w:r>
          </w:p>
        </w:tc>
        <w:tc>
          <w:tcPr>
            <w:tcW w:w="4000" w:type="dxa"/>
            <w:vAlign w:val="top"/>
            <w:shd w:fill="FFFFFF"/>
          </w:tcPr>
          <w:p>
            <w:pPr>
              <w:pStyle w:val="Normal"/>
              <w:widowControl/>
              <w:spacing w:after="55" w:line="240" w:lineRule="auto"/>
              <w:keepNext w:val="0"/>
              <w:keepLines/>
            </w:pPr>
            <w:r>
              <w:rPr>
                <w:sz w:val="21"/>
                <w:szCs w:val="21"/>
              </w:rPr>
              <w:t xml:space="preserve">Consider when high response is needed and the patient can tolerate triplet chemotherapy. Do not apply to frail patients by default. Reassess liver resectability every two to three months.</w:t>
            </w:r>
          </w:p>
        </w:tc>
        <w:tc>
          <w:tcPr>
            <w:tcW w:w="4180" w:type="dxa"/>
            <w:vAlign w:val="top"/>
            <w:shd w:fill="FFFFFF"/>
          </w:tcPr>
          <w:p>
            <w:pPr>
              <w:pStyle w:val="Normal"/>
              <w:widowControl/>
              <w:spacing w:after="55" w:line="240" w:lineRule="auto"/>
              <w:keepNext w:val="0"/>
              <w:keepLines/>
            </w:pPr>
            <w:r>
              <w:rPr>
                <w:sz w:val="21"/>
                <w:szCs w:val="21"/>
              </w:rPr>
              <w:t xml:space="preserve">CAIRO5 showed improved PFS and complete local treatment in right-sided or RAS/BRAF-mutant liver-only disease, with substantially greater toxicity. Its BRAF subgroup predates current targeted first-line treatment.</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TQ3MC0yMDQ1KDIzKTAwMjE5LVg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ItM108L0Rpc3BsYXlUZXh0PjxyZWNvcmQ+PHJlYy1udW1iZXI+MzwvcmVjLW51bWJlcj48Zm9yZWlnbi1rZXlzPjxrZXkgYXBwPSJFTiIgZGItaWQ9Ijk5MjJhN2VlLTk2ZDctNTQ1MC05ZmRmLTIxNWE0MDY1OWQwMCIgdGltZXN0YW1wPSIxNzkyOTIxMDg4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br/>
            </w:r>
            <w:hyperlink r:id="rId25">
              <w:r>
                <w:rPr>
                  <w:color w:val="0563C1"/>
                  <w:u w:val="single"/>
                </w:rPr>
                <w:t>Source</w:t>
              </w:r>
            </w:hyperlink>
            <w:r>
              <w:t xml:space="preserve"> · </w:t>
            </w:r>
            <w:hyperlink r:id="rId26">
              <w:r>
                <w:rPr>
                  <w:color w:val="0563C1"/>
                  <w:u w:val="single"/>
                </w:rPr>
                <w:t>PDF</w:t>
              </w:r>
            </w:hyperlink>
            <w:r>
              <w:br/>
            </w:r>
            <w:hyperlink r:id="rId27">
              <w:r>
                <w:rPr>
                  <w:color w:val="0563C1"/>
                  <w:u w:val="single"/>
                </w:rPr>
                <w:t>Source</w:t>
              </w:r>
            </w:hyperlink>
            <w:r>
              <w:t xml:space="preserve"> · </w:t>
            </w:r>
            <w:hyperlink r:id="rId28">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Nivolumab ipilimumab or pembrolizumab</w:t>
            </w:r>
          </w:p>
          <w:p>
            <w:pPr>
              <w:pStyle w:val="Normal"/>
              <w:widowControl/>
              <w:spacing w:after="55" w:line="240" w:lineRule="auto"/>
              <w:keepNext w:val="0"/>
              <w:keepLines/>
            </w:pPr>
            <w:r>
              <w:rPr>
                <w:sz w:val="21"/>
                <w:szCs w:val="21"/>
              </w:rPr>
              <w:t xml:space="preserve">MSI-H dMMR</w:t>
            </w:r>
          </w:p>
        </w:tc>
        <w:tc>
          <w:tcPr>
            <w:tcW w:w="4000" w:type="dxa"/>
            <w:vAlign w:val="top"/>
            <w:shd w:fill="F1F5F8"/>
          </w:tcPr>
          <w:p>
            <w:pPr>
              <w:pStyle w:val="Normal"/>
              <w:widowControl/>
              <w:spacing w:after="55" w:line="240" w:lineRule="auto"/>
              <w:keepNext w:val="0"/>
              <w:keepLines/>
            </w:pPr>
            <w:r>
              <w:rPr>
                <w:sz w:val="21"/>
                <w:szCs w:val="21"/>
              </w:rPr>
              <w:t xml:space="preserve">Confirm MSI/MMR before first-line selection. Choose dual versus single checkpoint therapy by immune-toxicity risk, comorbidity and patient preference; prospective transplant review if LT might be considered.</w:t>
            </w:r>
          </w:p>
        </w:tc>
        <w:tc>
          <w:tcPr>
            <w:tcW w:w="4180" w:type="dxa"/>
            <w:vAlign w:val="top"/>
            <w:shd w:fill="F1F5F8"/>
          </w:tcPr>
          <w:p>
            <w:pPr>
              <w:pStyle w:val="Normal"/>
              <w:widowControl/>
              <w:spacing w:after="55" w:line="240" w:lineRule="auto"/>
              <w:keepNext w:val="0"/>
              <w:keepLines/>
            </w:pPr>
            <w:r>
              <w:rPr>
                <w:sz w:val="21"/>
                <w:szCs w:val="21"/>
              </w:rPr>
              <w:t xml:space="preserve">CheckMate 8HW and KEYNOTE-177 establish this as a different biological pathway from MSS disease. Not interchangeable trial comparisons; routine chemotherapy for MSS disease cannot be extrapolated here.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DE0MC02NzM2KDI0KTAyODQ4LTQ8L3VybD48L3JlbGF0ZWQtdXJscz48cGRmLXVybHMvPjwvdXJscz48L3JlY29yZD48L0NpdGU+PC9FbmROb3RlPg==</w:fldData>
              </w:fldChar>
            </w:r>
            <w:r>
              <w:instrText xml:space="preserve"> ADDIN EN.CITE.DATA </w:instrText>
            </w:r>
            <w:r>
              <w:fldChar w:fldCharType="end"/>
            </w:r>
            <w:r>
              <w:fldChar w:fldCharType="separate"/>
            </w:r>
            <w:r>
              <w:t xml:space="preserve">[V12-7]</w:t>
            </w:r>
            <w:r>
              <w:fldChar w:fldCharType="end"/>
            </w:r>
            <w:r>
              <w:t xml:space="preserve"> </w:t>
            </w:r>
            <w:r>
              <w:fldChar w:fldCharType="begin"/>
            </w:r>
            <w:r>
              <w:instrText xml:space="preserve"> ADDIN EN.CITE </w:instrText>
            </w:r>
            <w:r>
              <w:fldChar w:fldCharType="begin">
                <w:fldData>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1Ni9ORUpNb2EyMDE3Njk5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ItM108L0Rpc3BsYXlUZXh0PjxyZWNvcmQ+PHJlYy1udW1iZXI+MzwvcmVjLW51bWJlcj48Zm9yZWlnbi1rZXlzPjxrZXkgYXBwPSJFTiIgZGItaWQ9Ijk5MjJhN2VlLTk2ZDctNTQ1MC05ZmRmLTIxNWE0MDY1OWQwMCIgdGltZXN0YW1wPSIxNzkyOTIxMDg4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br/>
            </w:r>
            <w:hyperlink r:id="rId29">
              <w:r>
                <w:rPr>
                  <w:color w:val="0563C1"/>
                  <w:u w:val="single"/>
                </w:rPr>
                <w:t>Source</w:t>
              </w:r>
            </w:hyperlink>
            <w:r>
              <w:t xml:space="preserve"> · </w:t>
            </w:r>
            <w:hyperlink r:id="rId30">
              <w:r>
                <w:rPr>
                  <w:color w:val="0563C1"/>
                  <w:u w:val="single"/>
                </w:rPr>
                <w:t>PDF</w:t>
              </w:r>
            </w:hyperlink>
            <w:r>
              <w:br/>
            </w:r>
            <w:hyperlink r:id="rId31">
              <w:r>
                <w:rPr>
                  <w:color w:val="0563C1"/>
                  <w:u w:val="single"/>
                </w:rPr>
                <w:t>Source</w:t>
              </w:r>
            </w:hyperlink>
            <w:r>
              <w:t xml:space="preserve"> · </w:t>
            </w:r>
            <w:hyperlink r:id="rId32">
              <w:r>
                <w:rPr>
                  <w:color w:val="0563C1"/>
                  <w:u w:val="single"/>
                </w:rPr>
                <w:t>PDF</w:t>
              </w:r>
            </w:hyperlink>
            <w:r>
              <w:br/>
            </w:r>
            <w:hyperlink r:id="rId33">
              <w:r>
                <w:rPr>
                  <w:color w:val="0563C1"/>
                  <w:u w:val="single"/>
                </w:rPr>
                <w:t>Source</w:t>
              </w:r>
            </w:hyperlink>
            <w:r>
              <w:t xml:space="preserve"> · </w:t>
            </w:r>
            <w:hyperlink r:id="rId34">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Encorafenib cetuximab with fluorouracil chemotherapy</w:t>
            </w:r>
          </w:p>
          <w:p>
            <w:pPr>
              <w:pStyle w:val="Normal"/>
              <w:widowControl/>
              <w:spacing w:after="55" w:line="240" w:lineRule="auto"/>
              <w:keepNext w:val="0"/>
              <w:keepLines/>
            </w:pPr>
            <w:r>
              <w:rPr>
                <w:sz w:val="21"/>
                <w:szCs w:val="21"/>
              </w:rPr>
              <w:t xml:space="preserve">BRAF V600E first line</w:t>
            </w:r>
          </w:p>
        </w:tc>
        <w:tc>
          <w:tcPr>
            <w:tcW w:w="4000" w:type="dxa"/>
            <w:vAlign w:val="top"/>
            <w:shd w:fill="FFFFFF"/>
          </w:tcPr>
          <w:p>
            <w:pPr>
              <w:pStyle w:val="Normal"/>
              <w:widowControl/>
              <w:spacing w:after="55" w:line="240" w:lineRule="auto"/>
              <w:keepNext w:val="0"/>
              <w:keepLines/>
            </w:pPr>
            <w:r>
              <w:rPr>
                <w:sz w:val="21"/>
                <w:szCs w:val="21"/>
              </w:rPr>
              <w:t xml:space="preserve">Current US approval includes mFOLFOX6 or FOLFIRI combinations. Confirm BRAF V600E and MMR; an MSI-H tumor still requires the checkpoint-treatment discussion.</w:t>
            </w:r>
          </w:p>
        </w:tc>
        <w:tc>
          <w:tcPr>
            <w:tcW w:w="4180" w:type="dxa"/>
            <w:vAlign w:val="top"/>
            <w:shd w:fill="FFFFFF"/>
          </w:tcPr>
          <w:p>
            <w:pPr>
              <w:pStyle w:val="Normal"/>
              <w:widowControl/>
              <w:spacing w:after="55" w:line="240" w:lineRule="auto"/>
              <w:keepNext w:val="0"/>
              <w:keepLines/>
            </w:pPr>
            <w:r>
              <w:rPr>
                <w:sz w:val="21"/>
                <w:szCs w:val="21"/>
              </w:rPr>
              <w:t xml:space="preserve">BREAKWATER mFOLFOX6 comparison: PFS 12.8 versus 7.1 months and OS 30.3 versus 15.1 months. FOLFIRI evidence is a separate cohort; do not transfer those OS estimates to it.</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I1MDE5MTI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r>
              <w:t xml:space="preserve"> </w:t>
            </w:r>
            <w:r>
              <w:fldChar w:fldCharType="begin"/>
            </w:r>
            <w:r>
              <w:instrText xml:space="preserve"> ADDIN EN.CITE </w:instrText>
            </w:r>
            <w:r>
              <w:fldChar w:fldCharType="begin">
                <w:fldData>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</w:fldData>
              </w:fldChar>
            </w:r>
            <w:r>
              <w:instrText xml:space="preserve"> ADDIN EN.CITE.DATA </w:instrText>
            </w:r>
            <w:r>
              <w:fldChar w:fldCharType="end"/>
            </w:r>
            <w:r>
              <w:fldChar w:fldCharType="separate"/>
            </w:r>
            <w:r>
              <w:t xml:space="preserve">[V12-10]</w:t>
            </w:r>
            <w:r>
              <w:fldChar w:fldCharType="end"/>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ItM108L0Rpc3BsYXlUZXh0PjxyZWNvcmQ+PHJlYy1udW1iZXI+MzwvcmVjLW51bWJlcj48Zm9yZWlnbi1rZXlzPjxrZXkgYXBwPSJFTiIgZGItaWQ9Ijk5MjJhN2VlLTk2ZDctNTQ1MC05ZmRmLTIxNWE0MDY1OWQwMCIgdGltZXN0YW1wPSIxNzkyOTIxMDg4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br/>
            </w:r>
            <w:hyperlink r:id="rId35">
              <w:r>
                <w:rPr>
                  <w:color w:val="0563C1"/>
                  <w:u w:val="single"/>
                </w:rPr>
                <w:t>Source</w:t>
              </w:r>
            </w:hyperlink>
            <w:r>
              <w:t xml:space="preserve"> · </w:t>
            </w:r>
            <w:hyperlink r:id="rId36">
              <w:r>
                <w:rPr>
                  <w:color w:val="0563C1"/>
                  <w:u w:val="single"/>
                </w:rPr>
                <w:t>PDF</w:t>
              </w:r>
            </w:hyperlink>
            <w:r>
              <w:br/>
            </w:r>
            <w:hyperlink r:id="rId37">
              <w:r>
                <w:rPr>
                  <w:color w:val="0563C1"/>
                  <w:u w:val="single"/>
                </w:rPr>
                <w:t>Source</w:t>
              </w:r>
            </w:hyperlink>
            <w:r>
              <w:t xml:space="preserve"> · </w:t>
            </w:r>
            <w:r>
              <w:t xml:space="preserve">full PDF pending</w:t>
            </w:r>
            <w:r>
              <w:br/>
            </w:r>
            <w:hyperlink r:id="rId38">
              <w:r>
                <w:rPr>
                  <w:color w:val="0563C1"/>
                  <w:u w:val="single"/>
                </w:rPr>
                <w:t>Source</w:t>
              </w:r>
            </w:hyperlink>
            <w:r>
              <w:t xml:space="preserve"> · </w:t>
            </w:r>
            <w:hyperlink r:id="rId39">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Maintenance or monitored treatment break</w:t>
            </w:r>
          </w:p>
        </w:tc>
        <w:tc>
          <w:tcPr>
            <w:tcW w:w="4000" w:type="dxa"/>
            <w:vAlign w:val="top"/>
            <w:shd w:fill="F1F5F8"/>
          </w:tcPr>
          <w:p>
            <w:pPr>
              <w:pStyle w:val="Normal"/>
              <w:widowControl/>
              <w:spacing w:after="55" w:line="240" w:lineRule="auto"/>
              <w:keepNext w:val="0"/>
              <w:keepLines/>
            </w:pPr>
            <w:r>
              <w:rPr>
                <w:sz w:val="21"/>
                <w:szCs w:val="21"/>
              </w:rPr>
              <w:t xml:space="preserve">After induction disease control, consider a fluoropyrimidine with the appropriate biologic, or a selected monitored break. Record the trigger for reintroduction and the next scan.</w:t>
            </w:r>
          </w:p>
        </w:tc>
        <w:tc>
          <w:tcPr>
            <w:tcW w:w="4180" w:type="dxa"/>
            <w:vAlign w:val="top"/>
            <w:shd w:fill="F1F5F8"/>
          </w:tcPr>
          <w:p>
            <w:pPr>
              <w:pStyle w:val="Normal"/>
              <w:widowControl/>
              <w:spacing w:after="55" w:line="240" w:lineRule="auto"/>
              <w:keepNext w:val="0"/>
              <w:keepLines/>
            </w:pPr>
            <w:r>
              <w:rPr>
                <w:sz w:val="21"/>
                <w:szCs w:val="21"/>
              </w:rPr>
              <w:t xml:space="preserve">De-escalation may limit cumulative neuropathy and fatigue. A maintenance strategy is not failure; active conversion intent requires repeated surgical review instead of indefinite chemotherapy.</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ItM108L0Rpc3BsYXlUZXh0PjxyZWNvcmQ+PHJlYy1udW1iZXI+MzwvcmVjLW51bWJlcj48Zm9yZWlnbi1rZXlzPjxrZXkgYXBwPSJFTiIgZGItaWQ9Ijk5MjJhN2VlLTk2ZDctNTQ1MC05ZmRmLTIxNWE0MDY1OWQwMCIgdGltZXN0YW1wPSIxNzkyOTIxMDg4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br/>
            </w:r>
            <w:hyperlink r:id="rId40">
              <w:r>
                <w:rPr>
                  <w:color w:val="0563C1"/>
                  <w:u w:val="single"/>
                </w:rPr>
                <w:t>Source</w:t>
              </w:r>
            </w:hyperlink>
            <w:r>
              <w:t xml:space="preserve"> · </w:t>
            </w:r>
            <w:hyperlink r:id="rId41">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Switch chemotherapy backbone with an appropriate biologic</w:t>
            </w:r>
          </w:p>
          <w:p>
            <w:pPr>
              <w:pStyle w:val="Normal"/>
              <w:widowControl/>
              <w:spacing w:after="55" w:line="240" w:lineRule="auto"/>
              <w:keepNext w:val="0"/>
              <w:keepLines/>
            </w:pPr>
            <w:r>
              <w:rPr>
                <w:sz w:val="21"/>
                <w:szCs w:val="21"/>
              </w:rPr>
              <w:t xml:space="preserve">Second line</w:t>
            </w:r>
          </w:p>
        </w:tc>
        <w:tc>
          <w:tcPr>
            <w:tcW w:w="4000" w:type="dxa"/>
            <w:vAlign w:val="top"/>
            <w:shd w:fill="FFFFFF"/>
          </w:tcPr>
          <w:p>
            <w:pPr>
              <w:pStyle w:val="Normal"/>
              <w:widowControl/>
              <w:spacing w:after="55" w:line="240" w:lineRule="auto"/>
              <w:keepNext w:val="0"/>
              <w:keepLines/>
            </w:pPr>
            <w:r>
              <w:rPr>
                <w:sz w:val="21"/>
                <w:szCs w:val="21"/>
              </w:rPr>
              <w:t xml:space="preserve">After oxaliplatin use an irinotecan backbone, or vice versa, according to prior response and toxicity. Options include bevacizumab, aflibercept or ramucirumab in their indicated settings; unused anti-EGFR for suitable RAS/BRAF wild-type disease.</w:t>
            </w:r>
          </w:p>
        </w:tc>
        <w:tc>
          <w:tcPr>
            <w:tcW w:w="4180" w:type="dxa"/>
            <w:vAlign w:val="top"/>
            <w:shd w:fill="FFFFFF"/>
          </w:tcPr>
          <w:p>
            <w:pPr>
              <w:pStyle w:val="Normal"/>
              <w:widowControl/>
              <w:spacing w:after="55" w:line="240" w:lineRule="auto"/>
              <w:keepNext w:val="0"/>
              <w:keepLines/>
            </w:pPr>
            <w:r>
              <w:rPr>
                <w:sz w:val="21"/>
                <w:szCs w:val="21"/>
              </w:rPr>
              <w:t xml:space="preserve">Sequence by prior exposure and molecular findings. Anti-EGFR rechallenge requires specialist selection and usually ctDNA reassessment; do not treat persistent RAS resistance as eligible.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ItM108L0Rpc3BsYXlUZXh0PjxyZWNvcmQ+PHJlYy1udW1iZXI+MzwvcmVjLW51bWJlcj48Zm9yZWlnbi1rZXlzPjxrZXkgYXBwPSJFTiIgZGItaWQ9Ijk5MjJhN2VlLTk2ZDctNTQ1MC05ZmRmLTIxNWE0MDY1OWQwMCIgdGltZXN0YW1wPSIxNzkyOTIxMDg4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br/>
            </w:r>
            <w:hyperlink r:id="rId42">
              <w:r>
                <w:rPr>
                  <w:color w:val="0563C1"/>
                  <w:u w:val="single"/>
                </w:rPr>
                <w:t>Source</w:t>
              </w:r>
            </w:hyperlink>
            <w:r>
              <w:t xml:space="preserve"> · </w:t>
            </w:r>
            <w:hyperlink r:id="rId4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Encorafenib cetuximab</w:t>
            </w:r>
          </w:p>
          <w:p>
            <w:pPr>
              <w:pStyle w:val="Normal"/>
              <w:widowControl/>
              <w:spacing w:after="55" w:line="240" w:lineRule="auto"/>
              <w:keepNext w:val="0"/>
              <w:keepLines/>
            </w:pPr>
            <w:r>
              <w:rPr>
                <w:sz w:val="21"/>
                <w:szCs w:val="21"/>
              </w:rPr>
              <w:t xml:space="preserve">Previously treated BRAF V600E</w:t>
            </w:r>
          </w:p>
        </w:tc>
        <w:tc>
          <w:tcPr>
            <w:tcW w:w="4000" w:type="dxa"/>
            <w:vAlign w:val="top"/>
            <w:shd w:fill="F1F5F8"/>
          </w:tcPr>
          <w:p>
            <w:pPr>
              <w:pStyle w:val="Normal"/>
              <w:widowControl/>
              <w:spacing w:after="55" w:line="240" w:lineRule="auto"/>
              <w:keepNext w:val="0"/>
              <w:keepLines/>
            </w:pPr>
            <w:r>
              <w:rPr>
                <w:sz w:val="21"/>
                <w:szCs w:val="21"/>
              </w:rPr>
              <w:t xml:space="preserve">An established later-line option if not already used. Progression on first-line encorafenib-cetuximab-chemotherapy is not evidence that removing chemotherapy restores sensitivity.</w:t>
            </w:r>
          </w:p>
        </w:tc>
        <w:tc>
          <w:tcPr>
            <w:tcW w:w="4180" w:type="dxa"/>
            <w:vAlign w:val="top"/>
            <w:shd w:fill="F1F5F8"/>
          </w:tcPr>
          <w:p>
            <w:pPr>
              <w:pStyle w:val="Normal"/>
              <w:widowControl/>
              <w:spacing w:after="55" w:line="240" w:lineRule="auto"/>
              <w:keepNext w:val="0"/>
              <w:keepLines/>
            </w:pPr>
            <w:r>
              <w:rPr>
                <w:sz w:val="21"/>
                <w:szCs w:val="21"/>
              </w:rPr>
              <w:t xml:space="preserve">BRAF-directed and EGFR-directed combination is disease-specific. Dabrafenib-trametinib tumor-agnostic use does not substitute for the CRC regimen.</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ItM108L0Rpc3BsYXlUZXh0PjxyZWNvcmQ+PHJlYy1udW1iZXI+MzwvcmVjLW51bWJlcj48Zm9yZWlnbi1rZXlzPjxrZXkgYXBwPSJFTiIgZGItaWQ9Ijk5MjJhN2VlLTk2ZDctNTQ1MC05ZmRmLTIxNWE0MDY1OWQwMCIgdGltZXN0YW1wPSIxNzkyOTIxMDg4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fldChar w:fldCharType="begin"/>
            </w:r>
            <w:r>
              <w:instrText xml:space="preserve"> ADDIN EN.CITE </w:instrText>
            </w:r>
            <w:r>
              <w:fldChar w:fldCharType="begin">
                <w:fldData>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</w:fldData>
              </w:fldChar>
            </w:r>
            <w:r>
              <w:instrText xml:space="preserve"> ADDIN EN.CITE.DATA </w:instrText>
            </w:r>
            <w:r>
              <w:fldChar w:fldCharType="end"/>
            </w:r>
            <w:r>
              <w:fldChar w:fldCharType="separate"/>
            </w:r>
            <w:r>
              <w:t xml:space="preserve">[V12-10]</w:t>
            </w:r>
            <w:r>
              <w:fldChar w:fldCharType="end"/>
            </w:r>
            <w:r>
              <w:br/>
            </w:r>
            <w:hyperlink r:id="rId44">
              <w:r>
                <w:rPr>
                  <w:color w:val="0563C1"/>
                  <w:u w:val="single"/>
                </w:rPr>
                <w:t>Source</w:t>
              </w:r>
            </w:hyperlink>
            <w:r>
              <w:t xml:space="preserve"> · </w:t>
            </w:r>
            <w:hyperlink r:id="rId45">
              <w:r>
                <w:rPr>
                  <w:color w:val="0563C1"/>
                  <w:u w:val="single"/>
                </w:rPr>
                <w:t>PDF</w:t>
              </w:r>
            </w:hyperlink>
            <w:r>
              <w:br/>
            </w:r>
            <w:hyperlink r:id="rId46">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Tucatinib trastuzumab</w:t>
            </w:r>
          </w:p>
          <w:p>
            <w:pPr>
              <w:pStyle w:val="Normal"/>
              <w:widowControl/>
              <w:spacing w:after="55" w:line="240" w:lineRule="auto"/>
              <w:keepNext w:val="0"/>
              <w:keepLines/>
            </w:pPr>
            <w:r>
              <w:rPr>
                <w:sz w:val="21"/>
                <w:szCs w:val="21"/>
              </w:rPr>
              <w:t xml:space="preserve">HER2 positive RAS wild type</w:t>
            </w:r>
          </w:p>
        </w:tc>
        <w:tc>
          <w:tcPr>
            <w:tcW w:w="4000" w:type="dxa"/>
            <w:vAlign w:val="top"/>
            <w:shd w:fill="FFFFFF"/>
          </w:tcPr>
          <w:p>
            <w:pPr>
              <w:pStyle w:val="Normal"/>
              <w:widowControl/>
              <w:spacing w:after="55" w:line="240" w:lineRule="auto"/>
              <w:keepNext w:val="0"/>
              <w:keepLines/>
            </w:pPr>
            <w:r>
              <w:rPr>
                <w:sz w:val="21"/>
                <w:szCs w:val="21"/>
              </w:rPr>
              <w:t xml:space="preserve">After fluoropyrimidine, oxaliplatin and irinotecan in eligible unresectable/metastatic CRC. Assess cardiac function, liver tests and drug interactions.</w:t>
            </w:r>
          </w:p>
          <w:p>
            <w:pPr>
              <w:pStyle w:val="Normal"/>
              <w:widowControl/>
              <w:spacing w:after="55" w:line="240" w:lineRule="auto"/>
              <w:keepNext w:val="0"/>
              <w:keepLines/>
            </w:pPr>
            <w:r>
              <w:rPr>
                <w:sz w:val="21"/>
                <w:szCs w:val="21"/>
              </w:rPr>
              <w:t xml:space="preserve">Use local validated HER2 IHC3+, IHC2+/ISH+, or qualifying tissue amplification with RAS wild type and prior-treatment review. A negative plasma result may require tissue testing. Response can prompt HPB reassessment but does not establish persistent unresectability or transplant benefit.</w:t>
            </w:r>
          </w:p>
        </w:tc>
        <w:tc>
          <w:tcPr>
            <w:tcW w:w="4180" w:type="dxa"/>
            <w:vAlign w:val="top"/>
            <w:shd w:fill="FFFFFF"/>
          </w:tcPr>
          <w:p>
            <w:pPr>
              <w:pStyle w:val="Normal"/>
              <w:widowControl/>
              <w:spacing w:after="55" w:line="240" w:lineRule="auto"/>
              <w:keepNext w:val="0"/>
              <w:keepLines/>
            </w:pPr>
            <w:r>
              <w:rPr>
                <w:sz w:val="21"/>
                <w:szCs w:val="21"/>
              </w:rPr>
              <w:t xml:space="preserve">Tucatinib plus trastuzumab: confirmed ORR 39.3% (28.8–50.5), median response duration 15.2 months, PFS 8.1 months, OS 23.9 months. Grade 3 and 4 events 33.7% and 7.0%; 5.8% discontinued for adverse events. No randomized combination comparator or proven best sequence after other HER2 drugs. Do not rank its median OS against unrelated later-line trials. Exploratory HER2 copy-number thresholds are not mandatory selection cutoffs.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ItM108L0Rpc3BsYXlUZXh0PjxyZWNvcmQ+PHJlYy1udW1iZXI+MzwvcmVjLW51bWJlcj48Zm9yZWlnbi1rZXlzPjxrZXkgYXBwPSJFTiIgZGItaWQ9Ijk5MjJhN2VlLTk2ZDctNTQ1MC05ZmRmLTIxNWE0MDY1OWQwMCIgdGltZXN0YW1wPSIxNzkyOTIxMDg4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br/>
            </w:r>
            <w:hyperlink r:id="rId47">
              <w:r>
                <w:rPr>
                  <w:color w:val="0563C1"/>
                  <w:u w:val="single"/>
                </w:rPr>
                <w:t>Source</w:t>
              </w:r>
            </w:hyperlink>
            <w:r>
              <w:t xml:space="preserve"> · </w:t>
            </w:r>
            <w:hyperlink r:id="rId48">
              <w:r>
                <w:rPr>
                  <w:color w:val="0563C1"/>
                  <w:u w:val="single"/>
                </w:rPr>
                <w:t>PDF</w:t>
              </w:r>
            </w:hyperlink>
            <w:r>
              <w:br/>
            </w:r>
            <w:hyperlink r:id="rId49">
              <w:r>
                <w:rPr>
                  <w:color w:val="0563C1"/>
                  <w:u w:val="single"/>
                </w:rPr>
                <w:t>Source</w:t>
              </w:r>
            </w:hyperlink>
            <w:r>
              <w:t xml:space="preserve"> · </w:t>
            </w:r>
            <w:hyperlink r:id="rId50">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Sotorasib panitumumab or adagrasib cetuximab</w:t>
            </w:r>
          </w:p>
          <w:p>
            <w:pPr>
              <w:pStyle w:val="Normal"/>
              <w:widowControl/>
              <w:spacing w:after="55" w:line="240" w:lineRule="auto"/>
              <w:keepNext w:val="0"/>
              <w:keepLines/>
            </w:pPr>
            <w:r>
              <w:rPr>
                <w:sz w:val="21"/>
                <w:szCs w:val="21"/>
              </w:rPr>
              <w:t xml:space="preserve">KRAS G12C</w:t>
            </w:r>
          </w:p>
        </w:tc>
        <w:tc>
          <w:tcPr>
            <w:tcW w:w="4000" w:type="dxa"/>
            <w:vAlign w:val="top"/>
            <w:shd w:fill="F1F5F8"/>
          </w:tcPr>
          <w:p>
            <w:pPr>
              <w:pStyle w:val="Normal"/>
              <w:widowControl/>
              <w:spacing w:after="55" w:line="240" w:lineRule="auto"/>
              <w:keepNext w:val="0"/>
              <w:keepLines/>
            </w:pPr>
            <w:r>
              <w:rPr>
                <w:sz w:val="21"/>
                <w:szCs w:val="21"/>
              </w:rPr>
              <w:t xml:space="preserve">After the required fluoropyrimidine, oxaliplatin and irinotecan exposure. Confirm G12C, not another KRAS variant. Use the specific supported pairing; monitor skin, GI, electrolyte and liver toxicity.</w:t>
            </w:r>
          </w:p>
        </w:tc>
        <w:tc>
          <w:tcPr>
            <w:tcW w:w="4180" w:type="dxa"/>
            <w:vAlign w:val="top"/>
            <w:shd w:fill="F1F5F8"/>
          </w:tcPr>
          <w:p>
            <w:pPr>
              <w:pStyle w:val="Normal"/>
              <w:widowControl/>
              <w:spacing w:after="55" w:line="240" w:lineRule="auto"/>
              <w:keepNext w:val="0"/>
              <w:keepLines/>
            </w:pPr>
            <w:r>
              <w:rPr>
                <w:sz w:val="21"/>
                <w:szCs w:val="21"/>
              </w:rPr>
              <w:t xml:space="preserve">CodeBreaK 300 is randomized PFS evidence for sotorasib-panitumumab; adagrasib-cetuximab has separate single-arm evidence. The regimens are not a head-to-head comparison.</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IzMDg3OTU8L3VybD48L3JlbGF0ZWQtdXJscz48cGRmLXVybHMvPjwvdXJscz48L3JlY29yZD48L0NpdGU+PC9FbmROb3RlPg==</w:fldData>
              </w:fldChar>
            </w:r>
            <w:r>
              <w:instrText xml:space="preserve"> ADDIN EN.CITE.DATA </w:instrText>
            </w:r>
            <w:r>
              <w:fldChar w:fldCharType="end"/>
            </w:r>
            <w:r>
              <w:fldChar w:fldCharType="separate"/>
            </w:r>
            <w:r>
              <w:t xml:space="preserve">[V12-12]</w:t>
            </w:r>
            <w:r>
              <w:fldChar w:fldCharType="end"/>
            </w:r>
            <w:r>
              <w:t xml:space="preserve"> </w:t>
            </w:r>
            <w:r>
              <w:fldChar w:fldCharType="begin"/>
            </w:r>
            <w:r>
              <w:instrText xml:space="preserve"> ADDIN EN.CITE </w:instrText>
            </w:r>
            <w:r>
              <w:fldChar w:fldCharType="begin">
                <w:fldData>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</w:fldData>
              </w:fldChar>
            </w:r>
            <w:r>
              <w:instrText xml:space="preserve"> ADDIN EN.CITE.DATA </w:instrText>
            </w:r>
            <w:r>
              <w:fldChar w:fldCharType="end"/>
            </w:r>
            <w:r>
              <w:fldChar w:fldCharType="separate"/>
            </w:r>
            <w:r>
              <w:t xml:space="preserve">[V12-13]</w:t>
            </w:r>
            <w:r>
              <w:fldChar w:fldCharType="end"/>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ItM108L0Rpc3BsYXlUZXh0PjxyZWNvcmQ+PHJlYy1udW1iZXI+MzwvcmVjLW51bWJlcj48Zm9yZWlnbi1rZXlzPjxrZXkgYXBwPSJFTiIgZGItaWQ9Ijk5MjJhN2VlLTk2ZDctNTQ1MC05ZmRmLTIxNWE0MDY1OWQwMCIgdGltZXN0YW1wPSIxNzkyOTIxMDg4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br/>
            </w:r>
            <w:hyperlink r:id="rId51">
              <w:r>
                <w:rPr>
                  <w:color w:val="0563C1"/>
                  <w:u w:val="single"/>
                </w:rPr>
                <w:t>Source</w:t>
              </w:r>
            </w:hyperlink>
            <w:r>
              <w:t xml:space="preserve"> · </w:t>
            </w:r>
            <w:hyperlink r:id="rId52">
              <w:r>
                <w:rPr>
                  <w:color w:val="0563C1"/>
                  <w:u w:val="single"/>
                </w:rPr>
                <w:t>PDF</w:t>
              </w:r>
            </w:hyperlink>
            <w:r>
              <w:br/>
            </w:r>
            <w:hyperlink r:id="rId53">
              <w:r>
                <w:rPr>
                  <w:color w:val="0563C1"/>
                  <w:u w:val="single"/>
                </w:rPr>
                <w:t>Source</w:t>
              </w:r>
            </w:hyperlink>
            <w:r>
              <w:t xml:space="preserve"> · </w:t>
            </w:r>
            <w:r>
              <w:t xml:space="preserve">full PDF pending</w:t>
            </w:r>
            <w:r>
              <w:br/>
            </w:r>
            <w:hyperlink r:id="rId54">
              <w:r>
                <w:rPr>
                  <w:color w:val="0563C1"/>
                  <w:u w:val="single"/>
                </w:rPr>
                <w:t>Source</w:t>
              </w:r>
            </w:hyperlink>
            <w:r>
              <w:t xml:space="preserve"> · </w:t>
            </w:r>
            <w:hyperlink r:id="rId55">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Trifluridine tipiracil plus bevacizumab</w:t>
            </w:r>
          </w:p>
          <w:p>
            <w:pPr>
              <w:pStyle w:val="Normal"/>
              <w:widowControl/>
              <w:spacing w:after="55" w:line="240" w:lineRule="auto"/>
              <w:keepNext w:val="0"/>
              <w:keepLines/>
            </w:pPr>
            <w:r>
              <w:rPr>
                <w:sz w:val="21"/>
                <w:szCs w:val="21"/>
              </w:rPr>
              <w:t xml:space="preserve">Refractory disease</w:t>
            </w:r>
          </w:p>
        </w:tc>
        <w:tc>
          <w:tcPr>
            <w:tcW w:w="4000" w:type="dxa"/>
            <w:vAlign w:val="top"/>
            <w:shd w:fill="FFFFFF"/>
          </w:tcPr>
          <w:p>
            <w:pPr>
              <w:pStyle w:val="Normal"/>
              <w:widowControl/>
              <w:spacing w:after="55" w:line="240" w:lineRule="auto"/>
              <w:keepNext w:val="0"/>
              <w:keepLines/>
            </w:pPr>
            <w:r>
              <w:rPr>
                <w:sz w:val="21"/>
                <w:szCs w:val="21"/>
              </w:rPr>
              <w:t xml:space="preserve">For an appropriate previously treated patient with marrow reserve and anti-VEGF eligibility. Monitor CBC, infection and fatigue; fluoropyrimidine-like naming does not mean identical dosing or toxicity.</w:t>
            </w:r>
          </w:p>
          <w:p>
            <w:pPr>
              <w:pStyle w:val="Normal"/>
              <w:widowControl/>
              <w:spacing w:after="55" w:line="240" w:lineRule="auto"/>
              <w:keepNext w:val="0"/>
              <w:keepLines/>
            </w:pPr>
            <w:r>
              <w:rPr>
                <w:sz w:val="21"/>
                <w:szCs w:val="21"/>
              </w:rPr>
              <w:t xml:space="preserve">Offer a later-line disease-control option when marrow reserve and anti-VEGF safety permit. Record bleeding, wound-healing and operative timing; do not translate disease control automatically into LT eligibility.</w:t>
            </w:r>
          </w:p>
        </w:tc>
        <w:tc>
          <w:tcPr>
            <w:tcW w:w="4180" w:type="dxa"/>
            <w:vAlign w:val="top"/>
            <w:shd w:fill="FFFFFF"/>
          </w:tcPr>
          <w:p>
            <w:pPr>
              <w:pStyle w:val="Normal"/>
              <w:widowControl/>
              <w:spacing w:after="55" w:line="240" w:lineRule="auto"/>
              <w:keepNext w:val="0"/>
              <w:keepLines/>
            </w:pPr>
            <w:r>
              <w:rPr>
                <w:sz w:val="21"/>
                <w:szCs w:val="21"/>
              </w:rPr>
              <w:t xml:space="preserve">OS 10.8 versus 7.5 months, HR 0.61 (0.49–0.77); PFS 5.6 versus 2.4 months, HR 0.44. ORR 6.1% versus 1.2%. Grade ≥3 events 72.4% versus 69.5%; neutropenia 43.1% versus 32.1%. Open-label; no head-to-head comparison with fruquintinib/regorafenib. Low response rate and an advanced refractory population: not a preferred curative conversion regimen or LT trial.</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</w:fldData>
              </w:fldChar>
            </w:r>
            <w:r>
              <w:instrText xml:space="preserve"> ADDIN EN.CITE.DATA </w:instrText>
            </w:r>
            <w:r>
              <w:fldChar w:fldCharType="end"/>
            </w:r>
            <w:r>
              <w:fldChar w:fldCharType="separate"/>
            </w:r>
            <w:r>
              <w:t xml:space="preserve">[V12-14]</w:t>
            </w:r>
            <w:r>
              <w:fldChar w:fldCharType="end"/>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ItM108L0Rpc3BsYXlUZXh0PjxyZWNvcmQ+PHJlYy1udW1iZXI+MzwvcmVjLW51bWJlcj48Zm9yZWlnbi1rZXlzPjxrZXkgYXBwPSJFTiIgZGItaWQ9Ijk5MjJhN2VlLTk2ZDctNTQ1MC05ZmRmLTIxNWE0MDY1OWQwMCIgdGltZXN0YW1wPSIxNzkyOTIxMDg4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br/>
            </w:r>
            <w:hyperlink r:id="rId56">
              <w:r>
                <w:rPr>
                  <w:color w:val="0563C1"/>
                  <w:u w:val="single"/>
                </w:rPr>
                <w:t>Source</w:t>
              </w:r>
            </w:hyperlink>
            <w:r>
              <w:t xml:space="preserve"> · </w:t>
            </w:r>
            <w:hyperlink r:id="rId57">
              <w:r>
                <w:rPr>
                  <w:color w:val="0563C1"/>
                  <w:u w:val="single"/>
                </w:rPr>
                <w:t>PDF</w:t>
              </w:r>
            </w:hyperlink>
            <w:r>
              <w:br/>
            </w:r>
            <w:hyperlink r:id="rId58">
              <w:r>
                <w:rPr>
                  <w:color w:val="0563C1"/>
                  <w:u w:val="single"/>
                </w:rPr>
                <w:t>Source</w:t>
              </w:r>
            </w:hyperlink>
            <w:r>
              <w:t xml:space="preserve"> · </w:t>
            </w:r>
            <w:hyperlink r:id="rId59">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Fruquintinib or regorafenib</w:t>
            </w:r>
          </w:p>
          <w:p>
            <w:pPr>
              <w:pStyle w:val="Normal"/>
              <w:widowControl/>
              <w:spacing w:after="55" w:line="240" w:lineRule="auto"/>
              <w:keepNext w:val="0"/>
              <w:keepLines/>
            </w:pPr>
            <w:r>
              <w:rPr>
                <w:sz w:val="21"/>
                <w:szCs w:val="21"/>
              </w:rPr>
              <w:t xml:space="preserve">Other refractory options</w:t>
            </w:r>
          </w:p>
        </w:tc>
        <w:tc>
          <w:tcPr>
            <w:tcW w:w="4000" w:type="dxa"/>
            <w:vAlign w:val="top"/>
            <w:shd w:fill="F1F5F8"/>
          </w:tcPr>
          <w:p>
            <w:pPr>
              <w:pStyle w:val="Normal"/>
              <w:widowControl/>
              <w:spacing w:after="55" w:line="240" w:lineRule="auto"/>
              <w:keepNext w:val="0"/>
              <w:keepLines/>
            </w:pPr>
            <w:r>
              <w:rPr>
                <w:sz w:val="21"/>
                <w:szCs w:val="21"/>
              </w:rPr>
              <w:t xml:space="preserve">Select after required prior therapies by fitness, blood pressure, hand-foot toxicity, interactions and goals. Prefer a relevant trial when available; supportive care is an active option.</w:t>
            </w:r>
          </w:p>
          <w:p>
            <w:pPr>
              <w:pStyle w:val="Normal"/>
              <w:widowControl/>
              <w:spacing w:after="55" w:line="240" w:lineRule="auto"/>
              <w:keepNext w:val="0"/>
              <w:keepLines/>
            </w:pPr>
            <w:r>
              <w:rPr>
                <w:sz w:val="21"/>
                <w:szCs w:val="21"/>
              </w:rPr>
              <w:t xml:space="preserve">Retain a later-line option with BP, proteinuria, hand–foot, bleeding/perforation and operative safety assessment. Not an evidence-based curative conversion strategy or new transplant-selection route.</w:t>
            </w:r>
          </w:p>
        </w:tc>
        <w:tc>
          <w:tcPr>
            <w:tcW w:w="4180" w:type="dxa"/>
            <w:vAlign w:val="top"/>
            <w:shd w:fill="F1F5F8"/>
          </w:tcPr>
          <w:p>
            <w:pPr>
              <w:pStyle w:val="Normal"/>
              <w:widowControl/>
              <w:spacing w:after="55" w:line="240" w:lineRule="auto"/>
              <w:keepNext w:val="0"/>
              <w:keepLines/>
            </w:pPr>
            <w:r>
              <w:rPr>
                <w:sz w:val="21"/>
                <w:szCs w:val="21"/>
              </w:rPr>
              <w:t xml:space="preserve">Fruquintinib versus placebo plus supportive care: OS 7.4 versus 4.8 months, HR 0.66 (0.55–0.80); PFS 3.7 versus 1.8, HR 0.32. Seven partial responses among 461; no complete response. Grade ≥3 events 63% versus 50%. Very late-line population, no direct comparison with SUNLIGHT. Grade ≥3 hypertension 14%, asthenia 8%, hand–foot syndrome 6%; one treatment-related intestinal-perforation death.</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</w:fldData>
              </w:fldChar>
            </w:r>
            <w:r>
              <w:instrText xml:space="preserve"> ADDIN EN.CITE.DATA </w:instrText>
            </w:r>
            <w:r>
              <w:fldChar w:fldCharType="end"/>
            </w:r>
            <w:r>
              <w:fldChar w:fldCharType="separate"/>
            </w:r>
            <w:r>
              <w:t xml:space="preserve">[V12-15]</w:t>
            </w:r>
            <w:r>
              <w:fldChar w:fldCharType="end"/>
            </w:r>
            <w:r>
              <w:t xml:space="preserve"> </w:t>
            </w:r>
            <w:r>
              <w:fldChar w:fldCharType="begin"/>
            </w:r>
            <w:r>
              <w:instrText xml:space="preserve"> ADDIN EN.CITE </w:instrText>
            </w:r>
            <w:r>
              <w:fldChar w:fldCharType="begin">
                <w:fldData>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qLmFubm9uYy4yMDI2LjAzLjAwNT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br/>
            </w:r>
            <w:hyperlink r:id="rId60">
              <w:r>
                <w:rPr>
                  <w:color w:val="0563C1"/>
                  <w:u w:val="single"/>
                </w:rPr>
                <w:t>Source</w:t>
              </w:r>
            </w:hyperlink>
            <w:r>
              <w:t xml:space="preserve"> · </w:t>
            </w:r>
            <w:hyperlink r:id="rId61">
              <w:r>
                <w:rPr>
                  <w:color w:val="0563C1"/>
                  <w:u w:val="single"/>
                </w:rPr>
                <w:t>PDF</w:t>
              </w:r>
            </w:hyperlink>
            <w:r>
              <w:br/>
            </w:r>
            <w:hyperlink r:id="rId62">
              <w:r>
                <w:rPr>
                  <w:color w:val="0563C1"/>
                  <w:u w:val="single"/>
                </w:rPr>
                <w:t>Source</w:t>
              </w:r>
            </w:hyperlink>
            <w:r>
              <w:t xml:space="preserve"> · </w:t>
            </w:r>
            <w:hyperlink r:id="rId63">
              <w:r>
                <w:rPr>
                  <w:color w:val="0563C1"/>
                  <w:u w:val="single"/>
                </w:rPr>
                <w:t>PDF</w:t>
              </w:r>
            </w:hyperlink>
          </w:p>
        </w:tc>
      </w:tr>
    </w:tbl>
    <w:p>
      <w:pPr>
        <w:pStyle w:val="Heading2"/>
        <w:widowControl/>
        <w:keepNext/>
      </w:pPr>
      <w:r>
        <w:t xml:space="preserve">Supporting study appraisals</w:t>
      </w:r>
    </w:p>
    <w:p>
      <w:pPr>
        <w:pStyle w:val="Heading2"/>
        <w:widowControl/>
        <w:keepNext/>
      </w:pPr>
      <w:r>
        <w:t xml:space="preserve">MOUNTAINEER final: HER2-positive CRC</w:t>
      </w:r>
    </w:p>
    <w:p>
      <w:pPr>
        <w:pStyle w:val="Normal"/>
        <w:widowControl/>
        <w:spacing w:after="120"/>
      </w:pPr>
      <w:r>
        <w:t xml:space="preserve">Use local validated HER2 IHC3+, IHC2+/ISH+, or qualifying tissue amplification with RAS wild type and prior-treatment review. A negative plasma result may require tissue testing. Response can prompt HPB reassessment but does not establish persistent unresectability or transplant benefit.</w:t>
      </w:r>
      <w:r>
        <w:t xml:space="preserve"> </w:t>
      </w:r>
      <w:r>
        <w:fldChar w:fldCharType="begin"/>
      </w:r>
      <w:r>
        <w:instrText xml:space="preserve"> ADDIN EN.CITE </w:instrText>
      </w:r>
      <w:r>
        <w:fldChar w:fldCharType="begin">
          <w:fldData>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br/>
      </w:r>
      <w:hyperlink r:id="rId64">
        <w:r>
          <w:rPr>
            <w:color w:val="0563C1"/>
            <w:u w:val="single"/>
          </w:rPr>
          <w:t>Source</w:t>
        </w:r>
      </w:hyperlink>
      <w:r>
        <w:t xml:space="preserve"> · </w:t>
      </w:r>
      <w:hyperlink r:id="rId65">
        <w:r>
          <w:rPr>
            <w:color w:val="0563C1"/>
            <w:u w:val="single"/>
          </w:rPr>
          <w:t>PDF</w:t>
        </w:r>
      </w:hyperlink>
    </w:p>
    <w:p>
      <w:pPr>
        <w:pStyle w:val="Normal"/>
        <w:widowControl/>
        <w:spacing w:after="120"/>
      </w:pPr>
      <w:r>
        <w:t xml:space="preserve">Population and design: Phase II open-label, noncomparative combination cohorts: 84 efficacy patients, 86 safety. HER2-positive/RAS-wild-type refractory CRC after fluoropyrimidine, oxaliplatin, irinotecan and anti-VEGF; no prior HER2 therapy. LVEF ≥50%.</w:t>
      </w:r>
    </w:p>
    <w:p>
      <w:pPr>
        <w:pStyle w:val="Normal"/>
        <w:widowControl/>
        <w:spacing w:after="120"/>
      </w:pPr>
      <w:r>
        <w:t xml:space="preserve">Results: Tucatinib plus trastuzumab: confirmed ORR 39.3% (28.8–50.5), median response duration 15.2 months, PFS 8.1 months, OS 23.9 months. Grade 3 and 4 events 33.7% and 7.0%; 5.8% discontinued for adverse events.</w:t>
      </w:r>
    </w:p>
    <w:p>
      <w:pPr>
        <w:pStyle w:val="Normal"/>
        <w:widowControl/>
        <w:spacing w:after="120"/>
      </w:pPr>
      <w:r>
        <w:t xml:space="preserve">Limits: No randomized combination comparator or proven best sequence after other HER2 drugs. Do not rank its median OS against unrelated later-line trials. Exploratory HER2 copy-number thresholds are not mandatory selection cutoffs.</w:t>
      </w:r>
    </w:p>
    <w:p>
      <w:pPr>
        <w:pStyle w:val="Heading2"/>
        <w:widowControl/>
        <w:keepNext/>
      </w:pPr>
      <w:r>
        <w:t xml:space="preserve">SUNLIGHT: FTD/TPI plus bevacizumab</w:t>
      </w:r>
    </w:p>
    <w:p>
      <w:pPr>
        <w:pStyle w:val="Normal"/>
        <w:widowControl/>
        <w:spacing w:after="120"/>
      </w:pPr>
      <w:r>
        <w:t xml:space="preserve">Offer a later-line disease-control option when marrow reserve and anti-VEGF safety permit. Record bleeding, wound-healing and operative timing; do not translate disease control automatically into LT eligibility.</w:t>
      </w:r>
      <w:r>
        <w:t xml:space="preserve"> </w:t>
      </w:r>
      <w:r>
        <w:fldChar w:fldCharType="begin"/>
      </w:r>
      <w:r>
        <w:instrText xml:space="preserve"> ADDIN EN.CITE </w:instrText>
      </w:r>
      <w:r>
        <w:fldChar w:fldCharType="begin">
          <w:fldData>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</w:fldData>
        </w:fldChar>
      </w:r>
      <w:r>
        <w:instrText xml:space="preserve"> ADDIN EN.CITE.DATA </w:instrText>
      </w:r>
      <w:r>
        <w:fldChar w:fldCharType="end"/>
      </w:r>
      <w:r>
        <w:fldChar w:fldCharType="separate"/>
      </w:r>
      <w:r>
        <w:t xml:space="preserve">[V12-14]</w:t>
      </w:r>
      <w:r>
        <w:fldChar w:fldCharType="end"/>
      </w:r>
      <w:r>
        <w:br/>
      </w:r>
      <w:hyperlink r:id="rId66">
        <w:r>
          <w:rPr>
            <w:color w:val="0563C1"/>
            <w:u w:val="single"/>
          </w:rPr>
          <w:t>Source</w:t>
        </w:r>
      </w:hyperlink>
      <w:r>
        <w:t xml:space="preserve"> · </w:t>
      </w:r>
      <w:hyperlink r:id="rId67">
        <w:r>
          <w:rPr>
            <w:color w:val="0563C1"/>
            <w:u w:val="single"/>
          </w:rPr>
          <w:t>PDF</w:t>
        </w:r>
      </w:hyperlink>
    </w:p>
    <w:p>
      <w:pPr>
        <w:pStyle w:val="Normal"/>
        <w:widowControl/>
        <w:spacing w:after="120"/>
      </w:pPr>
      <w:r>
        <w:t xml:space="preserve">Population and design: Randomized phase III, 492 refractory mCRC patients, ECOG 0–1; 92% had two prior treatment regimens. FTD/TPI plus bevacizumab versus FTD/TPI alone.</w:t>
      </w:r>
    </w:p>
    <w:p>
      <w:pPr>
        <w:pStyle w:val="Normal"/>
        <w:widowControl/>
        <w:spacing w:after="120"/>
      </w:pPr>
      <w:r>
        <w:t xml:space="preserve">Results: OS 10.8 versus 7.5 months, HR 0.61 (0.49–0.77); PFS 5.6 versus 2.4 months, HR 0.44. ORR 6.1% versus 1.2%. Grade ≥3 events 72.4% versus 69.5%; neutropenia 43.1% versus 32.1%.</w:t>
      </w:r>
    </w:p>
    <w:p>
      <w:pPr>
        <w:pStyle w:val="Normal"/>
        <w:widowControl/>
        <w:spacing w:after="120"/>
      </w:pPr>
      <w:r>
        <w:t xml:space="preserve">Limits: Open-label; no head-to-head comparison with fruquintinib/regorafenib. Low response rate and an advanced refractory population: not a preferred curative conversion regimen or LT trial.</w:t>
      </w:r>
    </w:p>
    <w:p>
      <w:pPr>
        <w:pStyle w:val="Heading2"/>
        <w:widowControl/>
        <w:keepNext/>
      </w:pPr>
      <w:r>
        <w:t xml:space="preserve">FRESCO-2: fruquintinib</w:t>
      </w:r>
    </w:p>
    <w:p>
      <w:pPr>
        <w:pStyle w:val="Normal"/>
        <w:widowControl/>
        <w:spacing w:after="120"/>
      </w:pPr>
      <w:r>
        <w:t xml:space="preserve">Retain a later-line option with BP, proteinuria, hand–foot, bleeding/perforation and operative safety assessment. Not an evidence-based curative conversion strategy or new transplant-selection route.</w:t>
      </w:r>
      <w:r>
        <w:t xml:space="preserve"> </w:t>
      </w:r>
      <w:r>
        <w:fldChar w:fldCharType="begin"/>
      </w:r>
      <w:r>
        <w:instrText xml:space="preserve"> ADDIN EN.CITE </w:instrText>
      </w:r>
      <w:r>
        <w:fldChar w:fldCharType="begin">
          <w:fldData>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</w:fldData>
        </w:fldChar>
      </w:r>
      <w:r>
        <w:instrText xml:space="preserve"> ADDIN EN.CITE.DATA </w:instrText>
      </w:r>
      <w:r>
        <w:fldChar w:fldCharType="end"/>
      </w:r>
      <w:r>
        <w:fldChar w:fldCharType="separate"/>
      </w:r>
      <w:r>
        <w:t xml:space="preserve">[V12-15]</w:t>
      </w:r>
      <w:r>
        <w:fldChar w:fldCharType="end"/>
      </w:r>
      <w:r>
        <w:br/>
      </w:r>
      <w:hyperlink r:id="rId68">
        <w:r>
          <w:rPr>
            <w:color w:val="0563C1"/>
            <w:u w:val="single"/>
          </w:rPr>
          <w:t>Source</w:t>
        </w:r>
      </w:hyperlink>
      <w:r>
        <w:t xml:space="preserve"> · </w:t>
      </w:r>
      <w:hyperlink r:id="rId69">
        <w:r>
          <w:rPr>
            <w:color w:val="0563C1"/>
            <w:u w:val="single"/>
          </w:rPr>
          <w:t>PDF</w:t>
        </w:r>
      </w:hyperlink>
    </w:p>
    <w:p>
      <w:pPr>
        <w:pStyle w:val="Normal"/>
        <w:widowControl/>
        <w:spacing w:after="120"/>
      </w:pPr>
      <w:r>
        <w:t xml:space="preserve">Population and design: Double-blind phase III, 691 refractory mCRC patients (461 versus 230); median four prior lines, prior FTD/TPI and/or regorafenib required; ECOG 0–1.</w:t>
      </w:r>
    </w:p>
    <w:p>
      <w:pPr>
        <w:pStyle w:val="Normal"/>
        <w:widowControl/>
        <w:spacing w:after="120"/>
      </w:pPr>
      <w:r>
        <w:t xml:space="preserve">Results: Fruquintinib versus placebo plus supportive care: OS 7.4 versus 4.8 months, HR 0.66 (0.55–0.80); PFS 3.7 versus 1.8, HR 0.32. Seven partial responses among 461; no complete response. Grade ≥3 events 63% versus 50%.</w:t>
      </w:r>
    </w:p>
    <w:p>
      <w:pPr>
        <w:pStyle w:val="Normal"/>
        <w:widowControl/>
        <w:spacing w:after="120"/>
      </w:pPr>
      <w:r>
        <w:t xml:space="preserve">Limits: Very late-line population, no direct comparison with SUNLIGHT. Grade ≥3 hypertension 14%, asthenia 8%, hand–foot syndrome 6%; one treatment-related intestinal-perforation death.</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51 sources. Every one is held as a PDF in Ref_Depot_CRLM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Adam 2015 consensus. </w:t>
      </w:r>
      <w:r>
        <w:rPr>
          <w:sz w:val="17"/>
          <w:szCs w:val="17"/>
        </w:rPr>
        <w:t xml:space="preserve">Adam R, de Gramont A, Figueras J, et al. Managing synchronous liver metastases from colorectal cancer: a multidisciplinary international consensus. Cancer Treat Rev. 2015;41(9):729-741. doi:10.1016/j.ctrv.2015.06.006. PMID:26417845.</w:t>
      </w:r>
    </w:p>
    <w:p>
      <w:pPr>
        <w:spacing w:after="70"/>
        <w:ind w:left="360" w:hanging="360"/>
      </w:pPr>
      <w:r>
        <w:rPr>
          <w:b/>
          <w:bCs/>
          <w:color w:val="17365D"/>
          <w:sz w:val="17"/>
          <w:szCs w:val="17"/>
        </w:rPr>
        <w:t xml:space="preserve">ASCO 2023. </w:t>
      </w:r>
      <w:r>
        <w:rPr>
          <w:sz w:val="17"/>
          <w:szCs w:val="17"/>
        </w:rPr>
        <w:t xml:space="preserve">Morris VK, Kennedy EB, Baxter NN, et al. Treatment of metastatic colorectal cancer: ASCO guideline. J Clin Oncol. 2023;41(3):678-700. doi:10.1200/JCO.22.01690. PMID:36252154.</w:t>
      </w:r>
    </w:p>
    <w:p>
      <w:pPr>
        <w:spacing w:after="70"/>
        <w:ind w:left="360" w:hanging="360"/>
      </w:pPr>
      <w:r>
        <w:rPr>
          <w:b/>
          <w:bCs/>
          <w:color w:val="17365D"/>
          <w:sz w:val="17"/>
          <w:szCs w:val="17"/>
        </w:rPr>
        <w:t xml:space="preserve">Chinese 2024 consensus. </w:t>
      </w:r>
      <w:r>
        <w:rPr>
          <w:sz w:val="17"/>
          <w:szCs w:val="17"/>
        </w:rPr>
        <w:t xml:space="preserve">Zhang W, Bi X, Sun Y, et al. Diagnosis and treatment of colorectal liver metastases: Chinese expert consensus-based multidisciplinary team (2024 edition). Chin Med J (Engl). 2025;138(15):1765-1768. doi:10.1097/CM9.0000000000003688. PMID:40640089.</w:t>
      </w:r>
    </w:p>
    <w:p>
      <w:pPr>
        <w:spacing w:after="70"/>
        <w:ind w:left="360" w:hanging="360"/>
      </w:pPr>
      <w:r>
        <w:rPr>
          <w:b/>
          <w:bCs/>
          <w:color w:val="17365D"/>
          <w:sz w:val="17"/>
          <w:szCs w:val="17"/>
        </w:rPr>
        <w:t xml:space="preserve">CRLM alignment worksheet. </w:t>
      </w:r>
      <w:r>
        <w:rPr>
          <w:sz w:val="17"/>
          <w:szCs w:val="17"/>
        </w:rPr>
        <w:t xml:space="preserve">Guideline alignment worksheet — adult colorectal liver metastases, Memorial Hermann CRLM System Roadmap Draft v0.6, 4 October 2026. Sixteen areas where NCCN 2.2026, IHPBA 2021, OPTN 2025 guidance, ASCO 2023, Adam 2015 and the Chinese 2024 consensus can disagree, with the institutional position and the open ratification decisions.</w:t>
      </w:r>
    </w:p>
    <w:p>
      <w:pPr>
        <w:spacing w:after="70"/>
        <w:ind w:left="360" w:hanging="360"/>
      </w:pPr>
      <w:r>
        <w:rPr>
          <w:b/>
          <w:bCs/>
          <w:color w:val="17365D"/>
          <w:sz w:val="17"/>
          <w:szCs w:val="17"/>
        </w:rPr>
        <w:t xml:space="preserve">ESMO 2026. </w:t>
      </w:r>
      <w:r>
        <w:rPr>
          <w:sz w:val="17"/>
          <w:szCs w:val="17"/>
        </w:rPr>
        <w:t xml:space="preserve">Cremolini C, Chalabi M, Elez E, et al. Metastatic colorectal cancer: ESMO Clinical Practice Guideline for diagnosis, treatment and follow-up. Ann Oncol. 2026;37(6):759-776. doi:10.1016/j.annonc.2026.03.005. PMID:41990853.</w:t>
      </w:r>
    </w:p>
    <w:p>
      <w:pPr>
        <w:spacing w:after="70"/>
        <w:ind w:left="360" w:hanging="360"/>
      </w:pPr>
      <w:r>
        <w:rPr>
          <w:b/>
          <w:bCs/>
          <w:color w:val="17365D"/>
          <w:sz w:val="17"/>
          <w:szCs w:val="17"/>
        </w:rPr>
        <w:t xml:space="preserve">IHPBA 2021. </w:t>
      </w:r>
      <w:r>
        <w:rPr>
          <w:sz w:val="17"/>
          <w:szCs w:val="17"/>
        </w:rPr>
        <w:t xml:space="preserve">Bonney GK, Chew CA, Lodge P, et al. Liver transplantation for non-resectable colorectal liver metastases: the International Hepato-Pancreato-Biliary Association consensus guidelines. Lancet Gastroenterol Hepatol. 2021;6(11):933-946. doi:10.1016/S2468-1253(21)00219-3. PMID:34506756.</w:t>
      </w:r>
    </w:p>
    <w:p>
      <w:pPr>
        <w:spacing w:after="70"/>
        <w:ind w:left="360" w:hanging="360"/>
      </w:pPr>
      <w:r>
        <w:rPr>
          <w:b/>
          <w:bCs/>
          <w:color w:val="17365D"/>
          <w:sz w:val="17"/>
          <w:szCs w:val="17"/>
        </w:rPr>
        <w:t xml:space="preserve">MH CRLM roadmap v0.6. </w:t>
      </w:r>
      <w:r>
        <w:rPr>
          <w:sz w:val="17"/>
          <w:szCs w:val="17"/>
        </w:rPr>
        <w:t xml:space="preserve">Memorial Hermann Colorectal Liver Metastasis System Roadmap. Multidisciplinary practice guideline and operating pathway, Draft v0.6, 4 October 2026; liver-directed treatment section revised 3 October 2026. Evidence current to 20 September 2026. Pending multidisciplinary approval; not active clinical policy.</w:t>
      </w:r>
    </w:p>
    <w:p>
      <w:pPr>
        <w:spacing w:after="70"/>
        <w:ind w:left="360" w:hanging="360"/>
      </w:pPr>
      <w:r>
        <w:rPr>
          <w:b/>
          <w:bCs/>
          <w:color w:val="17365D"/>
          <w:sz w:val="17"/>
          <w:szCs w:val="17"/>
        </w:rPr>
        <w:t xml:space="preserve">MH/UTHealth CRLM review. </w:t>
      </w:r>
      <w:r>
        <w:rPr>
          <w:sz w:val="17"/>
          <w:szCs w:val="17"/>
        </w:rPr>
        <w:t xml:space="preserve">Memorial Hermann / UTHealth colorectal liver metastasis review, V18 coauthor draft, September 2026. Internal manuscript; the three-phase clearance-anchored framework, the clearance / regional-control / remnant-augmentation distinction and the transplant selection domains follow that review.</w:t>
      </w:r>
    </w:p>
    <w:p>
      <w:pPr>
        <w:spacing w:after="70"/>
        <w:ind w:left="360" w:hanging="360"/>
      </w:pPr>
      <w:r>
        <w:rPr>
          <w:b/>
          <w:bCs/>
          <w:color w:val="17365D"/>
          <w:sz w:val="17"/>
          <w:szCs w:val="17"/>
        </w:rPr>
        <w:t xml:space="preserve">NCCN colon v2.2026. </w:t>
      </w:r>
      <w:r>
        <w:rPr>
          <w:sz w:val="17"/>
          <w:szCs w:val="17"/>
        </w:rPr>
        <w:t xml:space="preserve">National Comprehensive Cancer Network. NCCN Clinical Practice Guidelines in Oncology: Colon Cancer. Version 2.2026, 7 April 2026. Original PDF pp. 13-14, 16, 26, 30, 37-41 and 51-55; HAI and SBRT on p. 39 and local selection on p. 40.</w:t>
      </w:r>
    </w:p>
    <w:p>
      <w:pPr>
        <w:spacing w:after="70"/>
        <w:ind w:left="360" w:hanging="360"/>
      </w:pPr>
      <w:r>
        <w:rPr>
          <w:b/>
          <w:bCs/>
          <w:color w:val="17365D"/>
          <w:sz w:val="17"/>
          <w:szCs w:val="17"/>
        </w:rPr>
        <w:t xml:space="preserve">OPTN Policy 9. </w:t>
      </w:r>
      <w:r>
        <w:rPr>
          <w:sz w:val="17"/>
          <w:szCs w:val="17"/>
        </w:rPr>
        <w:t xml:space="preserve">Organ Procurement and Transplantation Network. Policy 9: Allocation of Livers and Liver-Intestines. US Department of Health and Human Services, HRSA. Policy 9.4.C-E, 9.5.A and 9.5.I; official PDF retrieved 1 October 2026. Colorectal liver metastasis is not a standardised exception; verify the current text before any listing decision.</w:t>
      </w:r>
    </w:p>
    <w:p>
      <w:pPr>
        <w:spacing w:after="70"/>
        <w:ind w:left="360" w:hanging="360"/>
      </w:pPr>
      <w:r>
        <w:rPr>
          <w:b/>
          <w:bCs/>
          <w:color w:val="17365D"/>
          <w:sz w:val="17"/>
          <w:szCs w:val="17"/>
        </w:rPr>
        <w:t xml:space="preserve">OPTN transplant-oncology guidance. </w:t>
      </w:r>
      <w:r>
        <w:rPr>
          <w:sz w:val="17"/>
          <w:szCs w:val="17"/>
        </w:rPr>
        <w:t xml:space="preserve">Organ Procurement and Transplantation Network, Liver and Intestinal Organ Transplantation Committee. Guidance to Liver Transplant Programs and the National Liver Review Board for: Adult MELD Exceptions for Transplant Oncology. December 2025. Review-board guidance, not OPTN Policy; colorectal liver metastasis section, pp. 9-10.</w:t>
      </w:r>
    </w:p>
    <w:p>
      <w:pPr>
        <w:pStyle w:val="Heading3"/>
        <w:keepNext/>
        <w:spacing w:after="110" w:before="240"/>
      </w:pPr>
      <w:r>
        <w:rPr>
          <w:rFonts w:ascii="Cambria" w:cs="Cambria" w:eastAsia="Cambria" w:hAnsi="Cambria"/>
          <w:b/>
          <w:bCs/>
          <w:color w:val="17365D"/>
          <w:sz w:val="22"/>
          <w:szCs w:val="22"/>
        </w:rPr>
        <w:t xml:space="preserve">Liver-directed</w:t>
      </w:r>
    </w:p>
    <w:p>
      <w:pPr>
        <w:spacing w:after="70"/>
        <w:ind w:left="360" w:hanging="360"/>
      </w:pPr>
      <w:r>
        <w:rPr>
          <w:b/>
          <w:bCs/>
          <w:color w:val="17365D"/>
          <w:sz w:val="17"/>
          <w:szCs w:val="17"/>
        </w:rPr>
        <w:t xml:space="preserve">#HOPE4LIVER one-year. </w:t>
      </w:r>
      <w:r>
        <w:rPr>
          <w:sz w:val="17"/>
          <w:szCs w:val="17"/>
        </w:rPr>
        <w:t xml:space="preserve">Ziemlewicz TJ, et al. The #HOPE4LIVER single-arm pivotal trial for histotripsy of primary and metastatic liver tumors: one-year update of clinical outcomes. Ann Surg. 2025. doi:10.1097/SLA.0000000000006720. PMID:40201962.</w:t>
      </w:r>
    </w:p>
    <w:p>
      <w:pPr>
        <w:spacing w:after="70"/>
        <w:ind w:left="360" w:hanging="360"/>
      </w:pPr>
      <w:r>
        <w:rPr>
          <w:b/>
          <w:bCs/>
          <w:color w:val="17365D"/>
          <w:sz w:val="17"/>
          <w:szCs w:val="17"/>
        </w:rPr>
        <w:t xml:space="preserve">CALGB 9481. </w:t>
      </w:r>
      <w:r>
        <w:rPr>
          <w:sz w:val="17"/>
          <w:szCs w:val="17"/>
        </w:rPr>
        <w:t xml:space="preserve">Kemeny NE, Niedzwiecki D, Hollis DR, et al. Hepatic arterial infusion versus systemic therapy for hepatic metastases from colorectal cancer: a randomized trial of efficacy, quality of life, and molecular markers (CALGB 9481). J Clin Oncol. 2006;24(9):1395-1403. doi:10.1200/JCO.2005.03.8166. PMID:16505413.</w:t>
      </w:r>
    </w:p>
    <w:p>
      <w:pPr>
        <w:spacing w:after="70"/>
        <w:ind w:left="360" w:hanging="360"/>
      </w:pPr>
      <w:r>
        <w:rPr>
          <w:b/>
          <w:bCs/>
          <w:color w:val="17365D"/>
          <w:sz w:val="17"/>
          <w:szCs w:val="17"/>
        </w:rPr>
        <w:t xml:space="preserve">COLLISION. </w:t>
      </w:r>
      <w:r>
        <w:rPr>
          <w:sz w:val="17"/>
          <w:szCs w:val="17"/>
        </w:rPr>
        <w:t xml:space="preserve">van der Lei S, Puijk RS, Dijkstra M, et al. Thermal ablation versus surgical resection of small-size colorectal liver metastases (COLLISION): an international, randomised, controlled, phase 3 non-inferiority trial. Lancet Oncol. 2025;26(2):187-199. doi:10.1016/S1470-2045(24)00660-0. PMID:39848272.</w:t>
      </w:r>
    </w:p>
    <w:p>
      <w:pPr>
        <w:spacing w:after="70"/>
        <w:ind w:left="360" w:hanging="360"/>
      </w:pPr>
      <w:r>
        <w:rPr>
          <w:b/>
          <w:bCs/>
          <w:color w:val="17365D"/>
          <w:sz w:val="17"/>
          <w:szCs w:val="17"/>
        </w:rPr>
        <w:t xml:space="preserve">DEBIRI. </w:t>
      </w:r>
      <w:r>
        <w:rPr>
          <w:sz w:val="17"/>
          <w:szCs w:val="17"/>
        </w:rPr>
        <w:t xml:space="preserve">Fiorentini G, Aliberti C, Tilli M, et al. Intra-arterial infusion of irinotecan-loaded drug-eluting beads (DEBIRI) versus intravenous therapy (FOLFIRI) for hepatic metastases from colorectal cancer: final results of a phase III study. Anticancer Res. 2012;32(4):1387-1395. PMID:22493375.</w:t>
      </w:r>
    </w:p>
    <w:p>
      <w:pPr>
        <w:spacing w:after="70"/>
        <w:ind w:left="360" w:hanging="360"/>
      </w:pPr>
      <w:r>
        <w:rPr>
          <w:b/>
          <w:bCs/>
          <w:color w:val="17365D"/>
          <w:sz w:val="17"/>
          <w:szCs w:val="17"/>
        </w:rPr>
        <w:t xml:space="preserve">Dutch HAI phase II. </w:t>
      </w:r>
      <w:r>
        <w:rPr>
          <w:sz w:val="17"/>
          <w:szCs w:val="17"/>
        </w:rPr>
        <w:t xml:space="preserve">Krul MF, Kok NFM, Osmani H, et al. Hepatic arterial infusion pump chemotherapy combined with systemic chemotherapy for borderline resectable and unresectable colorectal liver metastases: phase II feasibility study. Br J Surg. 2024;111(4):znae089. doi:10.1093/bjs/znae089. PMID:38608150.</w:t>
      </w:r>
    </w:p>
    <w:p>
      <w:pPr>
        <w:spacing w:after="70"/>
        <w:ind w:left="360" w:hanging="360"/>
      </w:pPr>
      <w:r>
        <w:rPr>
          <w:b/>
          <w:bCs/>
          <w:color w:val="17365D"/>
          <w:sz w:val="17"/>
          <w:szCs w:val="17"/>
        </w:rPr>
        <w:t xml:space="preserve">EORTC 40004 (CLOCC). </w:t>
      </w:r>
      <w:r>
        <w:rPr>
          <w:sz w:val="17"/>
          <w:szCs w:val="17"/>
        </w:rPr>
        <w:t xml:space="preserve">Ruers T, Van Coevorden F, Punt CJ, et al. Local treatment of unresectable colorectal liver metastases: results of a randomized phase II trial. J Natl Cancer Inst. 2017;109(9):djx015. doi:10.1093/jnci/djx015. PMID:28376151.</w:t>
      </w:r>
    </w:p>
    <w:p>
      <w:pPr>
        <w:spacing w:after="70"/>
        <w:ind w:left="360" w:hanging="360"/>
      </w:pPr>
      <w:r>
        <w:rPr>
          <w:b/>
          <w:bCs/>
          <w:color w:val="17365D"/>
          <w:sz w:val="17"/>
          <w:szCs w:val="17"/>
        </w:rPr>
        <w:t xml:space="preserve">EPOCH. </w:t>
      </w:r>
      <w:r>
        <w:rPr>
          <w:sz w:val="17"/>
          <w:szCs w:val="17"/>
        </w:rPr>
        <w:t xml:space="preserve">Mulcahy MF, Mahvash A, Pracht M, et al. Radioembolization with chemotherapy for colorectal liver metastases: a randomized, open-label, international, multicenter, phase III trial. J Clin Oncol. 2021;39(35):3897-3907. doi:10.1200/JCO.21.01839. PMID:34541864.</w:t>
      </w:r>
    </w:p>
    <w:p>
      <w:pPr>
        <w:spacing w:after="70"/>
        <w:ind w:left="360" w:hanging="360"/>
      </w:pPr>
      <w:r>
        <w:rPr>
          <w:b/>
          <w:bCs/>
          <w:color w:val="17365D"/>
          <w:sz w:val="17"/>
          <w:szCs w:val="17"/>
        </w:rPr>
        <w:t xml:space="preserve">FOXFIRE / SIRFLOX / FOXFIRE-Global. </w:t>
      </w:r>
      <w:r>
        <w:rPr>
          <w:sz w:val="17"/>
          <w:szCs w:val="17"/>
        </w:rPr>
        <w:t xml:space="preserve">Wasan HS, Gibbs P, Sharma NK, et al. First-line selective internal radiotherapy plus chemotherapy versus chemotherapy alone in patients with liver metastases from colorectal cancer (FOXFIRE, SIRFLOX, and FOXFIRE-Global): a combined analysis of three multicentre, randomised, phase 3 trials. Lancet Oncol. 2017;18(9):1159-1171. doi:10.1016/S1470-2045(17)30457-6. PMID:28781171.</w:t>
      </w:r>
    </w:p>
    <w:p>
      <w:pPr>
        <w:spacing w:after="70"/>
        <w:ind w:left="360" w:hanging="360"/>
      </w:pPr>
      <w:r>
        <w:rPr>
          <w:b/>
          <w:bCs/>
          <w:color w:val="17365D"/>
          <w:sz w:val="17"/>
          <w:szCs w:val="17"/>
        </w:rPr>
        <w:t xml:space="preserve">Hendlisz Y90. </w:t>
      </w:r>
      <w:r>
        <w:rPr>
          <w:sz w:val="17"/>
          <w:szCs w:val="17"/>
        </w:rPr>
        <w:t xml:space="preserve">Hendlisz A, Van den Eynde M, Peeters M, et al. Phase III trial comparing protracted intravenous fluorouracil infusion alone or with yttrium-90 resin microspheres radioembolization for liver-limited metastatic colorectal cancer refractory to standard chemotherapy. J Clin Oncol. 2010;28(23):3687-3694. doi:10.1200/JCO.2010.28.5643. PMID:20567019.</w:t>
      </w:r>
    </w:p>
    <w:p>
      <w:pPr>
        <w:spacing w:after="70"/>
        <w:ind w:left="360" w:hanging="360"/>
      </w:pPr>
      <w:r>
        <w:rPr>
          <w:b/>
          <w:bCs/>
          <w:color w:val="17365D"/>
          <w:sz w:val="17"/>
          <w:szCs w:val="17"/>
        </w:rPr>
        <w:t xml:space="preserve">Kemeny adjuvant HAI. </w:t>
      </w:r>
      <w:r>
        <w:rPr>
          <w:sz w:val="17"/>
          <w:szCs w:val="17"/>
        </w:rPr>
        <w:t xml:space="preserve">Kemeny N, Huang Y, Cohen AM, et al. Hepatic arterial infusion of chemotherapy after resection of hepatic metastases from colorectal cancer. N Engl J Med. 1999;341(27):2039-2048. doi:10.1056/NEJM199912303412702. PMID:10615075.</w:t>
      </w:r>
    </w:p>
    <w:p>
      <w:pPr>
        <w:spacing w:after="70"/>
        <w:ind w:left="360" w:hanging="360"/>
      </w:pPr>
      <w:r>
        <w:rPr>
          <w:b/>
          <w:bCs/>
          <w:color w:val="17365D"/>
          <w:sz w:val="17"/>
          <w:szCs w:val="17"/>
        </w:rPr>
        <w:t xml:space="preserve">Kemeny HAI conversion. </w:t>
      </w:r>
      <w:r>
        <w:rPr>
          <w:sz w:val="17"/>
          <w:szCs w:val="17"/>
        </w:rPr>
        <w:t xml:space="preserve">Kemeny NE, Melendez FDH, Capanu M, et al. Conversion to resectability using hepatic artery infusion plus systemic chemotherapy for the treatment of unresectable liver metastases from colorectal carcinoma. J Clin Oncol. 2009;27(21):3465-3471. doi:10.1200/JCO.2008.20.1301. PMID:19470932.</w:t>
      </w:r>
    </w:p>
    <w:p>
      <w:pPr>
        <w:spacing w:after="70"/>
        <w:ind w:left="360" w:hanging="360"/>
      </w:pPr>
      <w:r>
        <w:rPr>
          <w:b/>
          <w:bCs/>
          <w:color w:val="17365D"/>
          <w:sz w:val="17"/>
          <w:szCs w:val="17"/>
        </w:rPr>
        <w:t xml:space="preserve">MSKCC HAI propensity. </w:t>
      </w:r>
      <w:r>
        <w:rPr>
          <w:sz w:val="17"/>
          <w:szCs w:val="17"/>
        </w:rPr>
        <w:t xml:space="preserve">Groot Koerkamp B, Sadot E, Kemeny NE, et al. Perioperative hepatic arterial infusion pump chemotherapy is associated with longer survival after resection of colorectal liver metastases: a propensity score analysis. J Clin Oncol. 2017;35(17):1938-1944. doi:10.1200/JCO.2016.71.8346. PMID:28426374.</w:t>
      </w:r>
    </w:p>
    <w:p>
      <w:pPr>
        <w:spacing w:after="70"/>
        <w:ind w:left="360" w:hanging="360"/>
      </w:pPr>
      <w:r>
        <w:rPr>
          <w:b/>
          <w:bCs/>
          <w:color w:val="17365D"/>
          <w:sz w:val="17"/>
          <w:szCs w:val="17"/>
        </w:rPr>
        <w:t xml:space="preserve">PUMP (protocol). </w:t>
      </w:r>
      <w:r>
        <w:rPr>
          <w:sz w:val="17"/>
          <w:szCs w:val="17"/>
        </w:rPr>
        <w:t xml:space="preserve">Buisman FE, Homs MYV, Grünhagen DJ, et al. Adjuvant hepatic arterial infusion pump chemotherapy and resection versus resection alone in patients with low-risk resectable colorectal liver metastases — the multicenter randomized controlled PUMP trial. BMC Cancer. 2019;19(1):327. doi:10.1186/s12885-019-5515-6. PMID:30953467. Published protocol; no outcome data.</w:t>
      </w:r>
    </w:p>
    <w:p>
      <w:pPr>
        <w:spacing w:after="70"/>
        <w:ind w:left="360" w:hanging="360"/>
      </w:pPr>
      <w:r>
        <w:rPr>
          <w:b/>
          <w:bCs/>
          <w:color w:val="17365D"/>
          <w:sz w:val="17"/>
          <w:szCs w:val="17"/>
        </w:rPr>
        <w:t xml:space="preserve">Rusthoven SBRT. </w:t>
      </w:r>
      <w:r>
        <w:rPr>
          <w:sz w:val="17"/>
          <w:szCs w:val="17"/>
        </w:rPr>
        <w:t xml:space="preserve">Rusthoven KE, Kavanagh BD, Cardenes H, et al. Multi-institutional phase I/II trial of stereotactic body radiation therapy for liver metastases. J Clin Oncol. 2009;27(10):1572-1578. doi:10.1200/JCO.2008.19.6329. PMID:19255321.</w:t>
      </w:r>
    </w:p>
    <w:p>
      <w:pPr>
        <w:spacing w:after="70"/>
        <w:ind w:left="360" w:hanging="360"/>
      </w:pPr>
      <w:r>
        <w:rPr>
          <w:b/>
          <w:bCs/>
          <w:color w:val="17365D"/>
          <w:sz w:val="17"/>
          <w:szCs w:val="17"/>
        </w:rPr>
        <w:t xml:space="preserve">SABR-COMET long-term. </w:t>
      </w:r>
      <w:r>
        <w:rPr>
          <w:sz w:val="17"/>
          <w:szCs w:val="17"/>
        </w:rPr>
        <w:t xml:space="preserve">Palma DA, Olson R, Harrow S, et al. Stereotactic ablative radiotherapy for the comprehensive treatment of oligometastatic cancers: long-term results of the SABR-COMET phase II randomized trial. J Clin Oncol. 2020;38(25):2830-2838. doi:10.1200/JCO.20.00818. PMID:32484754.</w:t>
      </w:r>
    </w:p>
    <w:p>
      <w:pPr>
        <w:spacing w:after="70"/>
        <w:ind w:left="360" w:hanging="360"/>
      </w:pPr>
      <w:r>
        <w:rPr>
          <w:b/>
          <w:bCs/>
          <w:color w:val="17365D"/>
          <w:sz w:val="17"/>
          <w:szCs w:val="17"/>
        </w:rPr>
        <w:t xml:space="preserve">SABR-COMET primary. </w:t>
      </w:r>
      <w:r>
        <w:rPr>
          <w:sz w:val="17"/>
          <w:szCs w:val="17"/>
        </w:rPr>
        <w:t xml:space="preserve">Palma DA, Olson R, Harrow S, et al. Stereotactic ablative radiotherapy versus standard of care palliative treatment in patients with oligometastatic cancers (SABR-COMET): a randomised, phase 2, open-label trial. Lancet. 2019;393(10185):2051-2058. doi:10.1016/S0140-6736(18)32487-5. PMID:30982687.</w:t>
      </w:r>
    </w:p>
    <w:p>
      <w:pPr>
        <w:spacing w:after="70"/>
        <w:ind w:left="360" w:hanging="360"/>
      </w:pPr>
      <w:r>
        <w:rPr>
          <w:b/>
          <w:bCs/>
          <w:color w:val="17365D"/>
          <w:sz w:val="17"/>
          <w:szCs w:val="17"/>
        </w:rPr>
        <w:t xml:space="preserve">Shady ablation margins. </w:t>
      </w:r>
      <w:r>
        <w:rPr>
          <w:sz w:val="17"/>
          <w:szCs w:val="17"/>
        </w:rPr>
        <w:t xml:space="preserve">Shady W, Petre EN, Gonen M, et al. Percutaneous radiofrequency ablation of colorectal cancer liver metastases: factors affecting outcomes — a 10-year experience at a single center. Radiology. 2016;278(2):601-611. doi:10.1148/radiol.2015142489. PMID:26267832.</w:t>
      </w:r>
    </w:p>
    <w:p>
      <w:pPr>
        <w:spacing w:after="70"/>
        <w:ind w:left="360" w:hanging="360"/>
      </w:pPr>
      <w:r>
        <w:rPr>
          <w:b/>
          <w:bCs/>
          <w:color w:val="17365D"/>
          <w:sz w:val="17"/>
          <w:szCs w:val="17"/>
        </w:rPr>
        <w:t xml:space="preserve">SIRFLOX. </w:t>
      </w:r>
      <w:r>
        <w:rPr>
          <w:sz w:val="17"/>
          <w:szCs w:val="17"/>
        </w:rPr>
        <w:t xml:space="preserve">van Hazel GA, Heinemann V, Sharma NK, et al. SIRFLOX: randomized phase III trial comparing first-line mFOLFOX6 (plus or minus bevacizumab) versus mFOLFOX6 (plus or minus bevacizumab) plus selective internal radiation therapy in patients with metastatic colorectal cancer. J Clin Oncol. 2016;34(15):1723-1731. doi:10.1200/JCO.2015.66.1181. PMID:26903575.</w:t>
      </w:r>
    </w:p>
    <w:p>
      <w:pPr>
        <w:pStyle w:val="Heading3"/>
        <w:keepNext/>
        <w:spacing w:after="110" w:before="240"/>
      </w:pPr>
      <w:r>
        <w:rPr>
          <w:rFonts w:ascii="Cambria" w:cs="Cambria" w:eastAsia="Cambria" w:hAnsi="Cambria"/>
          <w:b/>
          <w:bCs/>
          <w:color w:val="17365D"/>
          <w:sz w:val="22"/>
          <w:szCs w:val="22"/>
        </w:rPr>
        <w:t xml:space="preserve">Resection</w:t>
      </w:r>
    </w:p>
    <w:p>
      <w:pPr>
        <w:spacing w:after="70"/>
        <w:ind w:left="360" w:hanging="360"/>
      </w:pPr>
      <w:r>
        <w:rPr>
          <w:b/>
          <w:bCs/>
          <w:color w:val="17365D"/>
          <w:sz w:val="17"/>
          <w:szCs w:val="17"/>
        </w:rPr>
        <w:t xml:space="preserve">EORTC 40983. </w:t>
      </w:r>
      <w:r>
        <w:rPr>
          <w:sz w:val="17"/>
          <w:szCs w:val="17"/>
        </w:rPr>
        <w:t xml:space="preserve">Nordlinger B, Sorbye H, Glimelius B, et al. Perioperative chemotherapy with FOLFOX4 and surgery versus surgery alone for resectable liver metastases from colorectal cancer (EORTC Intergroup trial 40983): a randomised controlled trial. Lancet. 2008;371(9617):1007-1016. doi:10.1016/S0140-6736(08)60455-9. PMID:18358928.</w:t>
      </w:r>
    </w:p>
    <w:p>
      <w:pPr>
        <w:spacing w:after="70"/>
        <w:ind w:left="360" w:hanging="360"/>
      </w:pPr>
      <w:r>
        <w:rPr>
          <w:b/>
          <w:bCs/>
          <w:color w:val="17365D"/>
          <w:sz w:val="17"/>
          <w:szCs w:val="17"/>
        </w:rPr>
        <w:t xml:space="preserve">EORTC 40983 long-term. </w:t>
      </w:r>
      <w:r>
        <w:rPr>
          <w:sz w:val="17"/>
          <w:szCs w:val="17"/>
        </w:rPr>
        <w:t xml:space="preserve">Nordlinger B, Sorbye H, Glimelius B, et al. Perioperative FOLFOX4 chemotherapy and surgery versus surgery alone for resectable liver metastases from colorectal cancer (EORTC 40983): long-term results of a randomised, controlled, phase 3 trial. Lancet Oncol. 2013;14(12):1208-1215. doi:10.1016/S1470-2045(13)70447-9. PMID:24120480.</w:t>
      </w:r>
    </w:p>
    <w:p>
      <w:pPr>
        <w:spacing w:after="70"/>
        <w:ind w:left="360" w:hanging="360"/>
      </w:pPr>
      <w:r>
        <w:rPr>
          <w:b/>
          <w:bCs/>
          <w:color w:val="17365D"/>
          <w:sz w:val="17"/>
          <w:szCs w:val="17"/>
        </w:rPr>
        <w:t xml:space="preserve">LIGRO. </w:t>
      </w:r>
      <w:r>
        <w:rPr>
          <w:sz w:val="17"/>
          <w:szCs w:val="17"/>
        </w:rPr>
        <w:t xml:space="preserve">Sandström P, Røsok BI, Sparrelid E, et al. ALPPS improves resectability compared with conventional two-stage hepatectomy in patients with advanced colorectal liver metastasis: results from a Scandinavian multicenter randomized controlled trial (LIGRO trial). Ann Surg. 2018;267(5):833-840. doi:10.1097/SLA.0000000000002511. PMID:28902669.</w:t>
      </w:r>
    </w:p>
    <w:p>
      <w:pPr>
        <w:spacing w:after="70"/>
        <w:ind w:left="360" w:hanging="360"/>
      </w:pPr>
      <w:r>
        <w:rPr>
          <w:b/>
          <w:bCs/>
          <w:color w:val="17365D"/>
          <w:sz w:val="17"/>
          <w:szCs w:val="17"/>
        </w:rPr>
        <w:t xml:space="preserve">New EPOC. </w:t>
      </w:r>
      <w:r>
        <w:rPr>
          <w:sz w:val="17"/>
          <w:szCs w:val="17"/>
        </w:rPr>
        <w:t xml:space="preserve">Primrose J, Falk S, Finch-Jones M, et al. Systemic chemotherapy with or without cetuximab in patients with resectable colorectal liver metastasis: the New EPOC randomised controlled trial. Lancet Oncol. 2014;15(6):601-611. doi:10.1016/S1470-2045(14)70105-6. PMID:24717919.</w:t>
      </w:r>
    </w:p>
    <w:p>
      <w:pPr>
        <w:spacing w:after="70"/>
        <w:ind w:left="360" w:hanging="360"/>
      </w:pPr>
      <w:r>
        <w:rPr>
          <w:b/>
          <w:bCs/>
          <w:color w:val="17365D"/>
          <w:sz w:val="17"/>
          <w:szCs w:val="17"/>
        </w:rPr>
        <w:t xml:space="preserve">New EPOC long-term. </w:t>
      </w:r>
      <w:r>
        <w:rPr>
          <w:sz w:val="17"/>
          <w:szCs w:val="17"/>
        </w:rPr>
        <w:t xml:space="preserve">Bridgewater JA, Pugh SA, Maishman T, et al. Systemic chemotherapy with or without cetuximab in patients with resectable colorectal liver metastasis (New EPOC): long-term results of a multicentre, randomised, controlled, phase 3 trial. Lancet Oncol. 2020;21(3):398-411. doi:10.1016/S1470-2045(19)30798-3. PMID:32014119.</w:t>
      </w:r>
    </w:p>
    <w:p>
      <w:pPr>
        <w:pStyle w:val="Heading3"/>
        <w:keepNext/>
        <w:spacing w:after="110" w:before="240"/>
      </w:pPr>
      <w:r>
        <w:rPr>
          <w:rFonts w:ascii="Cambria" w:cs="Cambria" w:eastAsia="Cambria" w:hAnsi="Cambria"/>
          <w:b/>
          <w:bCs/>
          <w:color w:val="17365D"/>
          <w:sz w:val="22"/>
          <w:szCs w:val="22"/>
        </w:rPr>
        <w:t xml:space="preserve">Staging &amp; risk</w:t>
      </w:r>
    </w:p>
    <w:p>
      <w:pPr>
        <w:spacing w:after="70"/>
        <w:ind w:left="360" w:hanging="360"/>
      </w:pPr>
      <w:r>
        <w:rPr>
          <w:b/>
          <w:bCs/>
          <w:color w:val="17365D"/>
          <w:sz w:val="17"/>
          <w:szCs w:val="17"/>
        </w:rPr>
        <w:t xml:space="preserve">Fong CRS. </w:t>
      </w:r>
      <w:r>
        <w:rPr>
          <w:sz w:val="17"/>
          <w:szCs w:val="17"/>
        </w:rPr>
        <w:t xml:space="preserve">Fong Y, Fortner J, Sun RL, et al. Clinical score for predicting recurrence after hepatic resection for metastatic colorectal cancer: analysis of 1001 consecutive cases. Ann Surg. 1999;230(3):309-318; discussion 318-321. doi:10.1097/00000658-199909000-00004. PMID:10493478.</w:t>
      </w:r>
    </w:p>
    <w:p>
      <w:pPr>
        <w:spacing w:after="70"/>
        <w:ind w:left="360" w:hanging="360"/>
      </w:pPr>
      <w:r>
        <w:rPr>
          <w:b/>
          <w:bCs/>
          <w:color w:val="17365D"/>
          <w:sz w:val="17"/>
          <w:szCs w:val="17"/>
        </w:rPr>
        <w:t xml:space="preserve">New EPOC biomarker. </w:t>
      </w:r>
      <w:r>
        <w:rPr>
          <w:sz w:val="17"/>
          <w:szCs w:val="17"/>
        </w:rPr>
        <w:t xml:space="preserve">Katipally RR, Martinez CA, Pugh SA, et al. Integrated clinical-molecular classification of colorectal liver metastases: a biomarker analysis of the phase 3 New EPOC randomized clinical trial. JAMA Oncol. 2023;9(9):1245-1254. doi:10.1001/jamaoncol.2023.2535. PMID:37471075.</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BREAKWATER. </w:t>
      </w:r>
      <w:r>
        <w:rPr>
          <w:sz w:val="17"/>
          <w:szCs w:val="17"/>
        </w:rPr>
        <w:t xml:space="preserve">Elez E, Yoshino T, Shen L, et al. Encorafenib, cetuximab, and mFOLFOX6 in BRAF-mutated colorectal cancer. N Engl J Med. 2025;392(24):2425-2437. doi:10.1056/NEJMoa2501912. PMID:40444708.</w:t>
      </w:r>
    </w:p>
    <w:p>
      <w:pPr>
        <w:spacing w:after="70"/>
        <w:ind w:left="360" w:hanging="360"/>
      </w:pPr>
      <w:r>
        <w:rPr>
          <w:b/>
          <w:bCs/>
          <w:color w:val="17365D"/>
          <w:sz w:val="17"/>
          <w:szCs w:val="17"/>
        </w:rPr>
        <w:t xml:space="preserve">CAIRO5. </w:t>
      </w:r>
      <w:r>
        <w:rPr>
          <w:sz w:val="17"/>
          <w:szCs w:val="17"/>
        </w:rPr>
        <w:t xml:space="preserve">Bond MJG, Bolhuis K, Loosveld OJL, et al. First-line systemic treatment strategies in patients with initially unresectable colorectal cancer liver metastases (CAIRO5): an open-label, multicentre, randomised, controlled, phase 3 study from the Dutch Colorectal Cancer Group. Lancet Oncol. 2023;24(7):757-771. doi:10.1016/S1470-2045(23)00219-X. PMID:37329889.</w:t>
      </w:r>
    </w:p>
    <w:p>
      <w:pPr>
        <w:spacing w:after="70"/>
        <w:ind w:left="360" w:hanging="360"/>
      </w:pPr>
      <w:r>
        <w:rPr>
          <w:b/>
          <w:bCs/>
          <w:color w:val="17365D"/>
          <w:sz w:val="17"/>
          <w:szCs w:val="17"/>
        </w:rPr>
        <w:t xml:space="preserve">CALGB/SWOG 80405. </w:t>
      </w:r>
      <w:r>
        <w:rPr>
          <w:sz w:val="17"/>
          <w:szCs w:val="17"/>
        </w:rPr>
        <w:t xml:space="preserve">Venook AP, Niedzwiecki D, Lenz HJ, et al. Effect of first-line chemotherapy combined with cetuximab or bevacizumab on overall survival in patients with KRAS wild-type advanced or metastatic colorectal cancer: a randomized clinical trial. JAMA. 2017;317(23):2392-2401. doi:10.1001/jama.2017.7105. PMID:28632865.</w:t>
      </w:r>
    </w:p>
    <w:p>
      <w:pPr>
        <w:spacing w:after="70"/>
        <w:ind w:left="360" w:hanging="360"/>
      </w:pPr>
      <w:r>
        <w:rPr>
          <w:b/>
          <w:bCs/>
          <w:color w:val="17365D"/>
          <w:sz w:val="17"/>
          <w:szCs w:val="17"/>
        </w:rPr>
        <w:t xml:space="preserve">CheckMate 8HW. </w:t>
      </w:r>
      <w:r>
        <w:rPr>
          <w:sz w:val="17"/>
          <w:szCs w:val="17"/>
        </w:rPr>
        <w:t xml:space="preserve">André T, Elez E, Lenz HJ, et al. Nivolumab plus ipilimumab versus nivolumab in microsatellite instability-high metastatic colorectal cancer (CheckMate 8HW): a randomised, open-label, phase 3 trial. Lancet. 2025;405(10476):383-395. doi:10.1016/S0140-6736(24)02848-4. PMID:39874977.</w:t>
      </w:r>
    </w:p>
    <w:p>
      <w:pPr>
        <w:spacing w:after="70"/>
        <w:ind w:left="360" w:hanging="360"/>
      </w:pPr>
      <w:r>
        <w:rPr>
          <w:b/>
          <w:bCs/>
          <w:color w:val="17365D"/>
          <w:sz w:val="17"/>
          <w:szCs w:val="17"/>
        </w:rPr>
        <w:t xml:space="preserve">CodeBreaK 300. </w:t>
      </w:r>
      <w:r>
        <w:rPr>
          <w:sz w:val="17"/>
          <w:szCs w:val="17"/>
        </w:rPr>
        <w:t xml:space="preserve">Fakih MG, Salvatore L, Esaki T, et al. Sotorasib plus panitumumab in refractory colorectal cancer with mutated KRAS G12C. N Engl J Med. 2023;389(23):2125-2139. doi:10.1056/NEJMoa2308795. PMID:37870968.</w:t>
      </w:r>
    </w:p>
    <w:p>
      <w:pPr>
        <w:spacing w:after="70"/>
        <w:ind w:left="360" w:hanging="360"/>
      </w:pPr>
      <w:r>
        <w:rPr>
          <w:b/>
          <w:bCs/>
          <w:color w:val="17365D"/>
          <w:sz w:val="17"/>
          <w:szCs w:val="17"/>
        </w:rPr>
        <w:t xml:space="preserve">FIRE-3. </w:t>
      </w:r>
      <w:r>
        <w:rPr>
          <w:sz w:val="17"/>
          <w:szCs w:val="17"/>
        </w:rPr>
        <w:t xml:space="preserve">Stintzing S, Modest DP, Rossius L, et al. FOLFIRI plus cetuximab versus FOLFIRI plus bevacizumab for metastatic colorectal cancer (FIRE-3): a post-hoc analysis of tumour dynamics in the final RAS wild-type subgroup of this randomised open-label phase 3 trial. Lancet Oncol. 2016;17(10):1426-1434. doi:10.1016/S1470-2045(16)30269-8. PMID:27575024.</w:t>
      </w:r>
    </w:p>
    <w:p>
      <w:pPr>
        <w:spacing w:after="70"/>
        <w:ind w:left="360" w:hanging="360"/>
      </w:pPr>
      <w:r>
        <w:rPr>
          <w:b/>
          <w:bCs/>
          <w:color w:val="17365D"/>
          <w:sz w:val="17"/>
          <w:szCs w:val="17"/>
        </w:rPr>
        <w:t xml:space="preserve">KEYNOTE-177. </w:t>
      </w:r>
      <w:r>
        <w:rPr>
          <w:sz w:val="17"/>
          <w:szCs w:val="17"/>
        </w:rPr>
        <w:t xml:space="preserve">André T, Shiu KK, Kim TW, et al. Pembrolizumab in microsatellite-instability-high advanced colorectal cancer. N Engl J Med. 2020;383(23):2207-2218. doi:10.1056/NEJMoa2017699. PMID:33264544.</w:t>
      </w:r>
    </w:p>
    <w:p>
      <w:pPr>
        <w:spacing w:after="70"/>
        <w:ind w:left="360" w:hanging="360"/>
      </w:pPr>
      <w:r>
        <w:rPr>
          <w:b/>
          <w:bCs/>
          <w:color w:val="17365D"/>
          <w:sz w:val="17"/>
          <w:szCs w:val="17"/>
        </w:rPr>
        <w:t xml:space="preserve">TRICE. </w:t>
      </w:r>
      <w:r>
        <w:rPr>
          <w:sz w:val="17"/>
          <w:szCs w:val="17"/>
        </w:rPr>
        <w:t xml:space="preserve">Wang DS, Ren C, Li SS, et al. Cetuximab plus FOLFOXIRI versus cetuximab plus FOLFOX as conversion regimen in RAS/BRAF wild-type patients with initially unresectable colorectal liver metastases (TRICE trial): a randomized controlled trial. PLoS Med. 2024;21(5):e1004389. doi:10.1371/journal.pmed.1004389. PMID:38728364.</w:t>
      </w:r>
    </w:p>
    <w:p>
      <w:pPr>
        <w:pStyle w:val="Heading3"/>
        <w:keepNext/>
        <w:spacing w:after="110" w:before="240"/>
      </w:pPr>
      <w:r>
        <w:rPr>
          <w:rFonts w:ascii="Cambria" w:cs="Cambria" w:eastAsia="Cambria" w:hAnsi="Cambria"/>
          <w:b/>
          <w:bCs/>
          <w:color w:val="17365D"/>
          <w:sz w:val="22"/>
          <w:szCs w:val="22"/>
        </w:rPr>
        <w:t xml:space="preserve">Transplant</w:t>
      </w:r>
    </w:p>
    <w:p>
      <w:pPr>
        <w:spacing w:after="70"/>
        <w:ind w:left="360" w:hanging="360"/>
      </w:pPr>
      <w:r>
        <w:rPr>
          <w:b/>
          <w:bCs/>
          <w:color w:val="17365D"/>
          <w:sz w:val="17"/>
          <w:szCs w:val="17"/>
        </w:rPr>
        <w:t xml:space="preserve">Grut metabolic tumour volume. </w:t>
      </w:r>
      <w:r>
        <w:rPr>
          <w:sz w:val="17"/>
          <w:szCs w:val="17"/>
        </w:rPr>
        <w:t xml:space="preserve">Grut H, Line PD, Syversveen T, et al. Metabolic tumor volume predicts long-term survival after transplantation for unresectable colorectal liver metastases: 15 years of experience from the SECA study. Ann Nucl Med. 2022;36(12):1073-1081. doi:10.1007/s12149-022-01796-8. PMID:36241941.</w:t>
      </w:r>
    </w:p>
    <w:p>
      <w:pPr>
        <w:spacing w:after="70"/>
        <w:ind w:left="360" w:hanging="360"/>
      </w:pPr>
      <w:r>
        <w:rPr>
          <w:b/>
          <w:bCs/>
          <w:color w:val="17365D"/>
          <w:sz w:val="17"/>
          <w:szCs w:val="17"/>
        </w:rPr>
        <w:t xml:space="preserve">North American LDLT. </w:t>
      </w:r>
      <w:r>
        <w:rPr>
          <w:sz w:val="17"/>
          <w:szCs w:val="17"/>
        </w:rPr>
        <w:t xml:space="preserve">Hernandez-Alejandro R, Ruffolo LI, Sasaki K, et al. Recipient and donor outcomes after living-donor liver transplant for unresectable colorectal liver metastases. JAMA Surg. 2022;157(6):524-530. doi:10.1001/jamasurg.2022.0300. PMID:35353121.</w:t>
      </w:r>
    </w:p>
    <w:p>
      <w:pPr>
        <w:spacing w:after="70"/>
        <w:ind w:left="360" w:hanging="360"/>
      </w:pPr>
      <w:r>
        <w:rPr>
          <w:b/>
          <w:bCs/>
          <w:color w:val="17365D"/>
          <w:sz w:val="17"/>
          <w:szCs w:val="17"/>
        </w:rPr>
        <w:t xml:space="preserve">Oslo cohort. </w:t>
      </w:r>
      <w:r>
        <w:rPr>
          <w:sz w:val="17"/>
          <w:szCs w:val="17"/>
        </w:rPr>
        <w:t xml:space="preserve">Dueland S, Smedman TM, Syversveen T, et al. Long-term survival, prognostic factors, and selection of patients with colorectal cancer for liver transplant: a nonrandomized controlled trial. JAMA Surg. 2023;158(9):e232932. doi:10.1001/jamasurg.2023.2932. PMID:37494056.</w:t>
      </w:r>
    </w:p>
    <w:p>
      <w:pPr>
        <w:spacing w:after="70"/>
        <w:ind w:left="360" w:hanging="360"/>
      </w:pPr>
      <w:r>
        <w:rPr>
          <w:b/>
          <w:bCs/>
          <w:color w:val="17365D"/>
          <w:sz w:val="17"/>
          <w:szCs w:val="17"/>
        </w:rPr>
        <w:t xml:space="preserve">Oslo selection criteria. </w:t>
      </w:r>
      <w:r>
        <w:rPr>
          <w:sz w:val="17"/>
          <w:szCs w:val="17"/>
        </w:rPr>
        <w:t xml:space="preserve">Dueland S, Grut H, Syversveen T, Hagness M, Line PD. Selection criteria related to long-term survival following liver transplantation for colorectal liver metastasis. Am J Transplant. 2020;20(2):530-537. doi:10.1111/ajt.15682. PMID:31674105.</w:t>
      </w:r>
    </w:p>
    <w:p>
      <w:pPr>
        <w:spacing w:after="70"/>
        <w:ind w:left="360" w:hanging="360"/>
      </w:pPr>
      <w:r>
        <w:rPr>
          <w:b/>
          <w:bCs/>
          <w:color w:val="17365D"/>
          <w:sz w:val="17"/>
          <w:szCs w:val="17"/>
        </w:rPr>
        <w:t xml:space="preserve">SECA-II. </w:t>
      </w:r>
      <w:r>
        <w:rPr>
          <w:sz w:val="17"/>
          <w:szCs w:val="17"/>
        </w:rPr>
        <w:t xml:space="preserve">Dueland S, Syversveen T, Solheim JM, et al. Survival following liver transplantation for patients with nonresectable liver-only colorectal metastases. Ann Surg. 2020;271(2):212-218. doi:10.1097/SLA.0000000000003404. PMID:31188200.</w:t>
      </w:r>
    </w:p>
    <w:p>
      <w:pPr>
        <w:spacing w:after="70"/>
        <w:ind w:left="360" w:hanging="360"/>
      </w:pPr>
      <w:r>
        <w:rPr>
          <w:b/>
          <w:bCs/>
          <w:color w:val="17365D"/>
          <w:sz w:val="17"/>
          <w:szCs w:val="17"/>
        </w:rPr>
        <w:t xml:space="preserve">SECA-II 10-year. </w:t>
      </w:r>
      <w:r>
        <w:rPr>
          <w:sz w:val="17"/>
          <w:szCs w:val="17"/>
        </w:rPr>
        <w:t xml:space="preserve">Dueland S, Smedman TM, Syversveen T, et al. Liver transplantation for nonresectable colorectal liver metastases: ten-year follow-up and assessment of curative rate in the SECA-II study. Ann Surg. 2026. doi:10.1097/SLA.0000000000007200. PMID:42572136.</w:t>
      </w:r>
    </w:p>
    <w:p>
      <w:pPr>
        <w:spacing w:after="70"/>
        <w:ind w:left="360" w:hanging="360"/>
      </w:pPr>
      <w:r>
        <w:rPr>
          <w:b/>
          <w:bCs/>
          <w:color w:val="17365D"/>
          <w:sz w:val="17"/>
          <w:szCs w:val="17"/>
        </w:rPr>
        <w:t xml:space="preserve">TransMet. </w:t>
      </w:r>
      <w:r>
        <w:rPr>
          <w:sz w:val="17"/>
          <w:szCs w:val="17"/>
        </w:rPr>
        <w:t xml:space="preserve">Adam R, Piedvache C, Chiche L, et al. Liver transplantation plus chemotherapy versus chemotherapy alone in patients with permanently unresectable colorectal liver metastases (TransMet): results from a multicentre, open-label, prospective, randomised controlled trial. Lancet. 2024;404(10458):1107-1118. doi:10.1016/S0140-6736(24)01595-2. PMID:39306468.</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45 of this pathway's 51 sources were read in full and abstracted this way. 6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#HOPE4LIVER one-year</w:t>
      </w:r>
      <w:r>
        <w:rPr>
          <w:b/>
          <w:bCs/>
          <w:color w:val="176A87"/>
          <w:sz w:val="15"/>
          <w:szCs w:val="15"/>
        </w:rPr>
        <w:t xml:space="preserve">   Case series</w:t>
      </w:r>
      <w:r>
        <w:rPr>
          <w:color w:val="5A6069"/>
          <w:sz w:val="15"/>
          <w:szCs w:val="15"/>
        </w:rPr>
        <w:t xml:space="preserve">   PMID 40201962</w:t>
      </w:r>
    </w:p>
    <w:p>
      <w:pPr>
        <w:spacing w:after="50" w:line="276"/>
      </w:pPr>
      <w:r>
        <w:rPr>
          <w:color w:val="5A6069"/>
          <w:sz w:val="17"/>
          <w:szCs w:val="17"/>
        </w:rPr>
        <w:t xml:space="preserve">The #HOPE4LIVER Single-arm Pivotal Trial for Histotripsy of Primary and Metastatic Liver Tumors: One-year Update of Clinical Outcomes</w:t>
      </w:r>
    </w:p>
    <w:p>
      <w:pPr>
        <w:spacing w:after="50"/>
      </w:pPr>
      <w:r>
        <w:rPr>
          <w:b/>
          <w:bCs/>
          <w:color w:val="176A87"/>
          <w:sz w:val="16"/>
          <w:szCs w:val="16"/>
        </w:rPr>
        <w:t xml:space="preserve">Population. </w:t>
      </w:r>
      <w:r>
        <w:rPr>
          <w:sz w:val="16"/>
          <w:szCs w:val="16"/>
        </w:rPr>
        <w:t xml:space="preserve">47 patients (52 tumours) pooled from the #HOPE4LIVER United States and European Union/England single-arm trials, treated at 14 sites between January 2021 and December 2022; 19 with HCC (17 of 19 multifocal, 16 of 19 BCLC B, C or D) and 28 with liver metastases (27 of 28 multifocal, half with extrahepatic disease)</w:t>
      </w:r>
    </w:p>
    <w:p>
      <w:pPr>
        <w:spacing w:after="70"/>
      </w:pPr>
      <w:r>
        <w:rPr>
          <w:b/>
          <w:bCs/>
          <w:color w:val="17365D"/>
          <w:sz w:val="16"/>
          <w:szCs w:val="16"/>
        </w:rPr>
        <w:t xml:space="preserve">Bottom line. </w:t>
      </w:r>
      <w:r>
        <w:rPr>
          <w:sz w:val="16"/>
          <w:szCs w:val="16"/>
        </w:rPr>
        <w:t xml:space="preserve">One-year follow-up of the histotripsy pivotal trials reports freedom from local tumour progression of 63.4 percent by the pre-specified core-laboratory read and 90 percent by a post hoc read made after all 1-year imaging was available, with overall survival of 73.3 percent in HCC and 48.6 percent in metastatic disease and only one device-related event after day 30. The 90 percent figure is a retrospective reclassification by readers who had seen later scans, the cohort is 94 percent multifocal and heterogeneous with no comparator, and subsequent treatments and extrahepatic progression were not tracked, so neither local control nor survival can be attributed to histotripsy.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heterogeneity of the population limits any conclusion about non-target disease control or survival, which the authors state</w:t>
            </w:r>
          </w:p>
          <w:p>
            <w:pPr>
              <w:pStyle w:val="ListParagraph"/>
              <w:numPr>
                <w:ilvl w:val="0"/>
                <w:numId w:val="2"/>
              </w:numPr>
              <w:spacing w:after="45"/>
            </w:pPr>
            <w:r>
              <w:rPr>
                <w:sz w:val="15"/>
                <w:szCs w:val="15"/>
              </w:rPr>
              <w:t xml:space="preserve">Patients were eligible for further treatment from day 30 and subsequent treatments were not consistently tracked, which the authors acknowledge may have affected local control as well as survival</w:t>
            </w:r>
          </w:p>
          <w:p>
            <w:pPr>
              <w:pStyle w:val="ListParagraph"/>
              <w:numPr>
                <w:ilvl w:val="0"/>
                <w:numId w:val="2"/>
              </w:numPr>
              <w:spacing w:after="45"/>
            </w:pPr>
            <w:r>
              <w:rPr>
                <w:sz w:val="15"/>
                <w:szCs w:val="15"/>
              </w:rPr>
              <w:t xml:space="preserve">Progression outside the liver was not tracked, so progression-free survival cannot be calculated</w:t>
            </w:r>
          </w:p>
          <w:p>
            <w:pPr>
              <w:pStyle w:val="ListParagraph"/>
              <w:numPr>
                <w:ilvl w:val="0"/>
                <w:numId w:val="2"/>
              </w:numPr>
              <w:spacing w:after="45"/>
            </w:pPr>
            <w:r>
              <w:rPr>
                <w:sz w:val="15"/>
                <w:szCs w:val="15"/>
              </w:rPr>
              <w:t xml:space="preserve">Follow-up was limited by the recency of the trial, and the authors note that 1-year reporting may not identify all local recurrences</w:t>
            </w:r>
          </w:p>
          <w:p>
            <w:pPr>
              <w:pStyle w:val="ListParagraph"/>
              <w:numPr>
                <w:ilvl w:val="0"/>
                <w:numId w:val="2"/>
              </w:numPr>
              <w:spacing w:after="45"/>
            </w:pPr>
            <w:r>
              <w:rPr>
                <w:sz w:val="15"/>
                <w:szCs w:val="15"/>
              </w:rPr>
              <w:t xml:space="preserve">The cohort was 95 percent White, which the authors say may limit generalisability</w:t>
            </w:r>
          </w:p>
          <w:p>
            <w:pPr>
              <w:pStyle w:val="ListParagraph"/>
              <w:numPr>
                <w:ilvl w:val="0"/>
                <w:numId w:val="2"/>
              </w:numPr>
              <w:spacing w:after="45"/>
            </w:pPr>
            <w:r>
              <w:rPr>
                <w:sz w:val="15"/>
                <w:szCs w:val="15"/>
              </w:rPr>
              <w:t xml:space="preserve">There was no comparator arm of another local treatment or of no treatment, which the authors state limits direct comparison with existing technologies or the natural history</w:t>
            </w:r>
          </w:p>
          <w:p>
            <w:pPr>
              <w:pStyle w:val="ListParagraph"/>
              <w:numPr>
                <w:ilvl w:val="0"/>
                <w:numId w:val="2"/>
              </w:numPr>
              <w:spacing w:after="45"/>
            </w:pPr>
            <w:r>
              <w:rPr>
                <w:sz w:val="15"/>
                <w:szCs w:val="15"/>
              </w:rPr>
              <w:t xml:space="preserve">The investigators had no prior experience with hepatic histotripsy, so the results capture the earliest learning curve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90 percent local-control figure used in the abstract and conclusion is the post hoc read, performed by the core laboratory after all 1-year imaging was available, and Figure 2 shows the mechanism explicitly: a nodular enhancement called viable at 30 days was later recategorised as an intact vessel and declared non-viable retrospectively, so the favourable number is produced by using the outcome to reinterpret the earlier assessment</w:t>
            </w:r>
          </w:p>
          <w:p>
            <w:pPr>
              <w:pStyle w:val="ListParagraph"/>
              <w:numPr>
                <w:ilvl w:val="0"/>
                <w:numId w:val="2"/>
              </w:numPr>
              <w:spacing w:after="45"/>
            </w:pPr>
            <w:r>
              <w:rPr>
                <w:sz w:val="15"/>
                <w:szCs w:val="15"/>
              </w:rPr>
              <w:t xml:space="preserve">Disagreement between the pre-specified and post hoc reads runs almost entirely in one direction: 8 of 48 at 30 days, 5 of 37 at 6 months and 2 of 25 at 1 year moved from enhancement present to no tumour, with essentially no movement the other way, so the reclassification is not symmetrical reader variation</w:t>
            </w:r>
          </w:p>
          <w:p>
            <w:pPr>
              <w:pStyle w:val="ListParagraph"/>
              <w:numPr>
                <w:ilvl w:val="0"/>
                <w:numId w:val="2"/>
              </w:numPr>
              <w:spacing w:after="45"/>
            </w:pPr>
            <w:r>
              <w:rPr>
                <w:sz w:val="15"/>
                <w:szCs w:val="15"/>
              </w:rPr>
              <w:t xml:space="preserve">The local-control denominators collapse over time: 52 tumours treated, 48 with a primary assessment at 30 days, 35 at 6 months and 24 at 1 year, with 23 of 30 having core-laboratory assessable images at a year, so the 91.7 percent and 96 percent figures describe fewer than half the treated tumours, and the tumours that drop out belong to patients who died</w:t>
            </w:r>
          </w:p>
          <w:p>
            <w:pPr>
              <w:pStyle w:val="ListParagraph"/>
              <w:numPr>
                <w:ilvl w:val="0"/>
                <w:numId w:val="2"/>
              </w:numPr>
              <w:spacing w:after="45"/>
            </w:pPr>
            <w:r>
              <w:rPr>
                <w:sz w:val="15"/>
                <w:szCs w:val="15"/>
              </w:rPr>
              <w:t xml:space="preserve">The censoring rule removes the early failures from the progression curve entirely: patients were censored at day 0 if enhancement was seen or images were unassessable on the 36-hour scan, so the two tumours never fully covered and the five never imaged contribute nothing to the Kaplan-Meier estimate of freedom from progression</w:t>
            </w:r>
          </w:p>
          <w:p>
            <w:pPr>
              <w:pStyle w:val="ListParagraph"/>
              <w:numPr>
                <w:ilvl w:val="0"/>
                <w:numId w:val="2"/>
              </w:numPr>
              <w:spacing w:after="45"/>
            </w:pPr>
            <w:r>
              <w:rPr>
                <w:sz w:val="15"/>
                <w:szCs w:val="15"/>
              </w:rPr>
              <w:t xml:space="preserve">BCLC stage and multifocality were assigned post hoc by the first author, who is also the trial principal investigator and a HistoSonics stockholder, rather than by the independent core laboratory, so the staging that frames every survival comparison is neither blinded nor independent</w:t>
            </w:r>
          </w:p>
          <w:p>
            <w:pPr>
              <w:pStyle w:val="ListParagraph"/>
              <w:numPr>
                <w:ilvl w:val="0"/>
                <w:numId w:val="2"/>
              </w:numPr>
              <w:spacing w:after="45"/>
            </w:pPr>
            <w:r>
              <w:rPr>
                <w:sz w:val="15"/>
                <w:szCs w:val="15"/>
              </w:rPr>
              <w:t xml:space="preserve">Survival is benchmarked against literature ranges chosen without a systematic search: 73.3 percent at 1 year in HCC against immunotherapy trials reporting 50 to 75 percent, and 48.6 percent in metastatic disease against phase 1 populations reporting 39 to 46 percent, with no matching for stage, prior therapy or disease burden in a cohort where 16 of 19 HCC patients were BCLC B or worse and 10 of 19 had prior treatment</w:t>
            </w:r>
          </w:p>
          <w:p>
            <w:pPr>
              <w:pStyle w:val="ListParagraph"/>
              <w:numPr>
                <w:ilvl w:val="0"/>
                <w:numId w:val="2"/>
              </w:numPr>
              <w:spacing w:after="45"/>
            </w:pPr>
            <w:r>
              <w:rPr>
                <w:sz w:val="15"/>
                <w:szCs w:val="15"/>
              </w:rPr>
              <w:t xml:space="preserve">Six serious adverse device effects occurred in 47 patients, among them hepatic failure, portal vein thrombosis and sepsis, so roughly one patient in eight suffered a serious device-related event, while the abstract and conclusion describe the safety profile as favourable and equivalent to existing local therapies without any comparator</w:t>
            </w:r>
          </w:p>
          <w:p>
            <w:pPr>
              <w:pStyle w:val="ListParagraph"/>
              <w:numPr>
                <w:ilvl w:val="0"/>
                <w:numId w:val="2"/>
              </w:numPr>
              <w:spacing w:after="45"/>
            </w:pPr>
            <w:r>
              <w:rPr>
                <w:sz w:val="15"/>
                <w:szCs w:val="15"/>
              </w:rPr>
              <w:t xml:space="preserve">The Results state that no deaths occurred within 30 days, but the device-related hepatic failure that caused one of the three deaths by day 90 began on day 12; the 30-day mortality statement is true only by virtue of the window</w:t>
            </w:r>
          </w:p>
          <w:p>
            <w:pPr>
              <w:pStyle w:val="ListParagraph"/>
              <w:numPr>
                <w:ilvl w:val="0"/>
                <w:numId w:val="2"/>
              </w:numPr>
              <w:spacing w:after="45"/>
            </w:pPr>
            <w:r>
              <w:rPr>
                <w:sz w:val="15"/>
                <w:szCs w:val="15"/>
              </w:rPr>
              <w:t xml:space="preserve">The median treatment zone was 3.4 cm in diameter and 11.6 cm3 in volume for a median tumour of 1.3 cm and 0.6 cm3, close to a twentyfold excess of destroyed parenchyma, which is never linked to the liver-failure death or costed against the 13 percent of patients who were Child-Pugh B</w:t>
            </w:r>
          </w:p>
          <w:p>
            <w:pPr>
              <w:pStyle w:val="ListParagraph"/>
              <w:numPr>
                <w:ilvl w:val="0"/>
                <w:numId w:val="2"/>
              </w:numPr>
              <w:spacing w:after="45"/>
            </w:pPr>
            <w:r>
              <w:rPr>
                <w:sz w:val="15"/>
                <w:szCs w:val="15"/>
              </w:rPr>
              <w:t xml:space="preserve">No tumour in either report lay in segment VII or VIII and 27 of 52 were in segment III, so after two publications the technique has still not been attempted in the locations where an acoustic window is hardest to obtain and where surgeons most want an alternative</w:t>
            </w:r>
          </w:p>
          <w:p>
            <w:pPr>
              <w:pStyle w:val="ListParagraph"/>
              <w:numPr>
                <w:ilvl w:val="0"/>
                <w:numId w:val="2"/>
              </w:numPr>
              <w:spacing w:after="45"/>
            </w:pPr>
            <w:r>
              <w:rPr>
                <w:sz w:val="15"/>
                <w:szCs w:val="15"/>
              </w:rPr>
              <w:t xml:space="preserve">Median survival of 20.7 months is quoted for the whole cohort alongside a 12-month survival of 58.6 percent, with no confidence interval, in a pooled population spanning HCC and eight different metastatic primaries, half of them with extrahepatic disease</w:t>
            </w:r>
          </w:p>
          <w:p>
            <w:pPr>
              <w:pStyle w:val="ListParagraph"/>
              <w:numPr>
                <w:ilvl w:val="0"/>
                <w:numId w:val="2"/>
              </w:numPr>
              <w:spacing w:after="45"/>
            </w:pPr>
            <w:r>
              <w:rPr>
                <w:sz w:val="15"/>
                <w:szCs w:val="15"/>
              </w:rPr>
              <w:t xml:space="preserve">Freedom from progression is labelled preliminary in the Methods and tables but the 90 percent figure appears unqualified in the abstract and in the conclusion recommending continued clinical adoption, in a manuscript whose medical writing and statistical support came from the sponsor's employees</w:t>
            </w:r>
          </w:p>
        </w:tc>
      </w:tr>
    </w:tbl>
    <w:p>
      <w:pPr>
        <w:spacing w:after="0" w:line="276"/>
      </w:pPr>
      <w:r>
        <w:rPr>
          <w:color w:val="5A6069"/>
          <w:sz w:val="14"/>
          <w:szCs w:val="14"/>
        </w:rPr>
        <w:t xml:space="preserve">Funding: HistoSonics, Inc. funded the trial and provided the system; medical writing and statistical support were provided by two HistoSonics employees and statistical analysis by NAMSA; the first author reports HistoSonics grants, consulting fees, stock or stock options and institutional equipment, and a co-author is a HistoSonics co-principal investigator and histotripsy vaccine patent holder</w:t>
      </w:r>
    </w:p>
    <w:p>
      <w:pPr>
        <w:keepNext/>
        <w:spacing w:after="50" w:before="260"/>
      </w:pPr>
      <w:r>
        <w:rPr>
          <w:rFonts w:ascii="Cambria" w:cs="Cambria" w:eastAsia="Cambria" w:hAnsi="Cambria"/>
          <w:b/>
          <w:bCs/>
          <w:color w:val="17365D"/>
          <w:sz w:val="20"/>
          <w:szCs w:val="20"/>
        </w:rPr>
        <w:t xml:space="preserve">Adam 2015 consensus</w:t>
      </w:r>
      <w:r>
        <w:rPr>
          <w:b/>
          <w:bCs/>
          <w:color w:val="176A87"/>
          <w:sz w:val="15"/>
          <w:szCs w:val="15"/>
        </w:rPr>
        <w:t xml:space="preserve">   Consensus statement</w:t>
      </w:r>
      <w:r>
        <w:rPr>
          <w:color w:val="5A6069"/>
          <w:sz w:val="15"/>
          <w:szCs w:val="15"/>
        </w:rPr>
        <w:t xml:space="preserve">   PMID 26417845</w:t>
      </w:r>
    </w:p>
    <w:p>
      <w:pPr>
        <w:spacing w:after="50" w:line="276"/>
      </w:pPr>
      <w:r>
        <w:rPr>
          <w:color w:val="5A6069"/>
          <w:sz w:val="17"/>
          <w:szCs w:val="17"/>
        </w:rPr>
        <w:t xml:space="preserve">Managing synchronous liver metastases from colorectal cancer: a multidisciplinary international consensus</w:t>
      </w:r>
    </w:p>
    <w:p>
      <w:pPr>
        <w:spacing w:after="70"/>
      </w:pPr>
      <w:r>
        <w:rPr>
          <w:b/>
          <w:bCs/>
          <w:color w:val="17365D"/>
          <w:sz w:val="16"/>
          <w:szCs w:val="16"/>
        </w:rPr>
        <w:t xml:space="preserve">Bottom line. </w:t>
      </w:r>
      <w:r>
        <w:rPr>
          <w:sz w:val="16"/>
          <w:szCs w:val="16"/>
        </w:rPr>
        <w:t xml:space="preserve">Fixes a usable vocabulary for synchronously detected colorectal liver metastases and sets out a defensible default sequence for four clinical scenarios, including that resection should not be withheld from patients merely stable after optimal chemotherapy. It does not establish that any of its sequencing recommendations improves survival: the panel concedes no strong evidence supports chemotherapy before colon resection, and the registry data it cites show survival no better, or slightly worse, with the strategies it recommends. Read it as a statement of what fifteen sponsor-convened experts would do in 2015, not as evidence about what works.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panel states outright that no strong evidence exists to support its central recommendation of chemotherapy first rather than colon resection first, and that three randomised trials addressing it were ongoing</w:t>
            </w:r>
          </w:p>
          <w:p>
            <w:pPr>
              <w:pStyle w:val="ListParagraph"/>
              <w:numPr>
                <w:ilvl w:val="0"/>
                <w:numId w:val="2"/>
              </w:numPr>
              <w:spacing w:after="45"/>
            </w:pPr>
            <w:r>
              <w:rPr>
                <w:sz w:val="15"/>
                <w:szCs w:val="15"/>
              </w:rPr>
              <w:t xml:space="preserve">The supporting LiverMetSurvey comparisons are conceded to be confounded: 5-year survival was no better with chemotherapy first than with primary surgery first (42% vs 47% in resectable disease, 31% vs 33% in unresectable), which the panel attributes to surgery-first having been reserved for patients with less widespread disease and the best prognosis</w:t>
            </w:r>
          </w:p>
          <w:p>
            <w:pPr>
              <w:pStyle w:val="ListParagraph"/>
              <w:numPr>
                <w:ilvl w:val="0"/>
                <w:numId w:val="2"/>
              </w:numPr>
              <w:spacing w:after="45"/>
            </w:pPr>
            <w:r>
              <w:rPr>
                <w:sz w:val="15"/>
                <w:szCs w:val="15"/>
              </w:rPr>
              <w:t xml:space="preserve">The meta-analysis cited as showing a survival benefit from resecting the asymptomatic primary when metastases are unresectable is described as questionable because of potential publication bias in non-randomised trials, and the randomised trials started to answer the question mostly closed early for poor accrual</w:t>
            </w:r>
          </w:p>
          <w:p>
            <w:pPr>
              <w:pStyle w:val="ListParagraph"/>
              <w:numPr>
                <w:ilvl w:val="0"/>
                <w:numId w:val="2"/>
              </w:numPr>
              <w:spacing w:after="45"/>
            </w:pPr>
            <w:r>
              <w:rPr>
                <w:sz w:val="15"/>
                <w:szCs w:val="15"/>
              </w:rPr>
              <w:t xml:space="preserve">ALPPS is reported only as increasing complications and mortality, with overall and long-term survival data still needed</w:t>
            </w:r>
          </w:p>
          <w:p>
            <w:pPr>
              <w:pStyle w:val="ListParagraph"/>
              <w:numPr>
                <w:ilvl w:val="0"/>
                <w:numId w:val="2"/>
              </w:numPr>
              <w:spacing w:after="45"/>
            </w:pPr>
            <w:r>
              <w:rPr>
                <w:sz w:val="15"/>
                <w:szCs w:val="15"/>
              </w:rPr>
              <w:t xml:space="preserve">The optimal resection margin width remains to be determined, and no biological marker has been identified that distinguishes synchronous from metachronous metastases</w:t>
            </w:r>
          </w:p>
          <w:p>
            <w:pPr>
              <w:pStyle w:val="ListParagraph"/>
              <w:numPr>
                <w:ilvl w:val="0"/>
                <w:numId w:val="2"/>
              </w:numPr>
              <w:spacing w:after="45"/>
            </w:pPr>
            <w:r>
              <w:rPr>
                <w:sz w:val="15"/>
                <w:szCs w:val="15"/>
              </w:rPr>
              <w:t xml:space="preserve">Burgundy registry survival figures are flagged as needing cautious interpretation because they cover 1976 to 2000</w:t>
            </w:r>
          </w:p>
          <w:p>
            <w:pPr>
              <w:pStyle w:val="ListParagraph"/>
              <w:numPr>
                <w:ilvl w:val="0"/>
                <w:numId w:val="2"/>
              </w:numPr>
              <w:spacing w:after="45"/>
            </w:pPr>
            <w:r>
              <w:rPr>
                <w:sz w:val="15"/>
                <w:szCs w:val="15"/>
              </w:rPr>
              <w:t xml:space="preserve">Some panel members were not present for the whole meeting and some abstained from voting on questions outside their area of expertise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systematic search is described. Meta-analyses, trials and practice studies were identified and circulated by the coordinator, with no databases, dates, search terms or selection criteria given, so the evidence base behind every graded recommendation is unreproducible.</w:t>
            </w:r>
          </w:p>
          <w:p>
            <w:pPr>
              <w:pStyle w:val="ListParagraph"/>
              <w:numPr>
                <w:ilvl w:val="0"/>
                <w:numId w:val="2"/>
              </w:numPr>
              <w:spacing w:after="45"/>
            </w:pPr>
            <w:r>
              <w:rPr>
                <w:sz w:val="15"/>
                <w:szCs w:val="15"/>
              </w:rPr>
              <w:t xml:space="preserve">Grade A in the Strength of Recommendation Taxonomy means consistent, good-quality, patient-oriented evidence, yet grade A is attached to recommendations that rest on nothing more than the panel's own vote - the nomenclature of synchronicity (question 1), the sequencing in a symptomatic primary (question 5), and that one-stage resection is riskier than staged (question 8), for which no comparative trial is cited anywhere in the text.</w:t>
            </w:r>
          </w:p>
          <w:p>
            <w:pPr>
              <w:pStyle w:val="ListParagraph"/>
              <w:numPr>
                <w:ilvl w:val="0"/>
                <w:numId w:val="2"/>
              </w:numPr>
              <w:spacing w:after="45"/>
            </w:pPr>
            <w:r>
              <w:rPr>
                <w:sz w:val="15"/>
                <w:szCs w:val="15"/>
              </w:rPr>
              <w:t xml:space="preserve">The 12-month cut-off adopted for early versus late metachronous disease is contradicted by the panel's own supporting figure: LiverMetSurvey showed no significant survival difference between metastases detected at diagnosis and those detected up to 6 months or 6 to 12 months afterwards, and a significant difference only beyond 12 months. The paper reports both and adopts the threshold regardless.</w:t>
            </w:r>
          </w:p>
          <w:p>
            <w:pPr>
              <w:pStyle w:val="ListParagraph"/>
              <w:numPr>
                <w:ilvl w:val="0"/>
                <w:numId w:val="2"/>
              </w:numPr>
              <w:spacing w:after="45"/>
            </w:pPr>
            <w:r>
              <w:rPr>
                <w:sz w:val="15"/>
                <w:szCs w:val="15"/>
              </w:rPr>
              <w:t xml:space="preserve">Voting denominators shift from question to question without explanation - 14 of 15, 10 of 11, 9 of 12, 8 of 12, 9 of 11, 2 of 11 - because members left or abstained, so 'complete agreement' in some scenarios means agreement among as few as 11 of the 15 named panellists.</w:t>
            </w:r>
          </w:p>
          <w:p>
            <w:pPr>
              <w:pStyle w:val="ListParagraph"/>
              <w:numPr>
                <w:ilvl w:val="0"/>
                <w:numId w:val="2"/>
              </w:numPr>
              <w:spacing w:after="45"/>
            </w:pPr>
            <w:r>
              <w:rPr>
                <w:sz w:val="15"/>
                <w:szCs w:val="15"/>
              </w:rPr>
              <w:t xml:space="preserve">The Delphi method, voting rules and the threshold that counts as consensus are relegated to Appendix 1; the main text gives only 'approved by all or a large majority', with no prespecified agreement percentage, no round structure and no record of how disagreement was resolved.</w:t>
            </w:r>
          </w:p>
          <w:p>
            <w:pPr>
              <w:pStyle w:val="ListParagraph"/>
              <w:numPr>
                <w:ilvl w:val="0"/>
                <w:numId w:val="2"/>
              </w:numPr>
              <w:spacing w:after="45"/>
            </w:pPr>
            <w:r>
              <w:rPr>
                <w:sz w:val="15"/>
                <w:szCs w:val="15"/>
              </w:rPr>
              <w:t xml:space="preserve">Two substantive claims are sourced to 'personal communication, Aimery de Gramont' from the GERCOR database - that response rates are higher in liver-limited disease, and that second-line response is independent of first-line response - unpublished data from a panel member that no reader can check.</w:t>
            </w:r>
          </w:p>
          <w:p>
            <w:pPr>
              <w:pStyle w:val="ListParagraph"/>
              <w:numPr>
                <w:ilvl w:val="0"/>
                <w:numId w:val="2"/>
              </w:numPr>
              <w:spacing w:after="45"/>
            </w:pPr>
            <w:r>
              <w:rPr>
                <w:sz w:val="15"/>
                <w:szCs w:val="15"/>
              </w:rPr>
              <w:t xml:space="preserve">LiverMetSurvey, the registry that supplies every supporting figure, is coordinated by the first author. Figures 2 to 5 carry no patient numbers, no confidence intervals and no p values, and the registry contains only patients who reached liver resection, so every strategy comparison is conditioned on having survived to surgery.</w:t>
            </w:r>
          </w:p>
          <w:p>
            <w:pPr>
              <w:pStyle w:val="ListParagraph"/>
              <w:numPr>
                <w:ilvl w:val="0"/>
                <w:numId w:val="2"/>
              </w:numPr>
              <w:spacing w:after="45"/>
            </w:pPr>
            <w:r>
              <w:rPr>
                <w:sz w:val="15"/>
                <w:szCs w:val="15"/>
              </w:rPr>
              <w:t xml:space="preserve">Where the registry numbers point the other way they are explained away rather than allowed to weigh: one-stage resection gave 5-year survival of 40% against 47% for liver-first and 44% for primary-first, and the reverse-approach advantage (42% vs 33% vs 28%) is described as supporting the recommendation despite not being statistically significant.</w:t>
            </w:r>
          </w:p>
          <w:p>
            <w:pPr>
              <w:pStyle w:val="ListParagraph"/>
              <w:numPr>
                <w:ilvl w:val="0"/>
                <w:numId w:val="2"/>
              </w:numPr>
              <w:spacing w:after="45"/>
            </w:pPr>
            <w:r>
              <w:rPr>
                <w:sz w:val="15"/>
                <w:szCs w:val="15"/>
              </w:rPr>
              <w:t xml:space="preserve">The meeting was funded by EXCEMED and the manuscript written with sponsor-funded medical writers, while the operative recommendations - six months of perioperative chemotherapy for everyone, at least four cycles of first-line doublet or triplet plus a biologic, response assessment every two months - all increase drug exposure. Merck Serono appears in ten of the fifteen disclosure statements.</w:t>
            </w:r>
          </w:p>
          <w:p>
            <w:pPr>
              <w:pStyle w:val="ListParagraph"/>
              <w:numPr>
                <w:ilvl w:val="0"/>
                <w:numId w:val="2"/>
              </w:numPr>
              <w:spacing w:after="45"/>
            </w:pPr>
            <w:r>
              <w:rPr>
                <w:sz w:val="15"/>
                <w:szCs w:val="15"/>
              </w:rPr>
              <w:t xml:space="preserve">The recommendation against targeted therapy after R0 resection of both sites carries grade A, but no randomised evidence is cited in that section; New EPOC, the trial that had shown cetuximab to shorten survival in exactly this population, is not discussed where the recommendation is made.</w:t>
            </w:r>
          </w:p>
          <w:p>
            <w:pPr>
              <w:pStyle w:val="ListParagraph"/>
              <w:numPr>
                <w:ilvl w:val="0"/>
                <w:numId w:val="2"/>
              </w:numPr>
              <w:spacing w:after="45"/>
            </w:pPr>
            <w:r>
              <w:rPr>
                <w:sz w:val="15"/>
                <w:szCs w:val="15"/>
              </w:rPr>
              <w:t xml:space="preserve">The six-month total duration of perioperative chemotherapy is stated three times as a recommendation with no supporting randomised comparison of durations in this population; the figure is carried over from adjuvant colon cancer practice without saying so.</w:t>
            </w:r>
          </w:p>
          <w:p>
            <w:pPr>
              <w:pStyle w:val="ListParagraph"/>
              <w:numPr>
                <w:ilvl w:val="0"/>
                <w:numId w:val="2"/>
              </w:numPr>
              <w:spacing w:after="45"/>
            </w:pPr>
            <w:r>
              <w:rPr>
                <w:sz w:val="15"/>
                <w:szCs w:val="15"/>
              </w:rPr>
              <w:t xml:space="preserve">A 1 mm margin is 'suggested as sufficient' on a single reference, two sentences after the same paragraph states that the optimal margin width remains to be determined; the qualifier is dropped when the sentence reappears as a consensus recommendation.</w:t>
            </w:r>
          </w:p>
          <w:p>
            <w:pPr>
              <w:pStyle w:val="ListParagraph"/>
              <w:numPr>
                <w:ilvl w:val="0"/>
                <w:numId w:val="2"/>
              </w:numPr>
              <w:spacing w:after="45"/>
            </w:pPr>
            <w:r>
              <w:rPr>
                <w:sz w:val="15"/>
                <w:szCs w:val="15"/>
              </w:rPr>
              <w:t xml:space="preserve">There is no limitations section and no statement of the limits of consensus methodology, no plan for updating, no external review, and no patient, methodologist, statistician or health economist on a panel of fifteen clinicians.</w:t>
            </w:r>
          </w:p>
          <w:p>
            <w:pPr>
              <w:pStyle w:val="ListParagraph"/>
              <w:numPr>
                <w:ilvl w:val="0"/>
                <w:numId w:val="2"/>
              </w:numPr>
              <w:spacing w:after="45"/>
            </w:pPr>
            <w:r>
              <w:rPr>
                <w:sz w:val="15"/>
                <w:szCs w:val="15"/>
              </w:rPr>
              <w:t xml:space="preserve">No linked editorial or comment on this consensus was found in PubMed, so no independent published critique informs this record.</w:t>
            </w:r>
          </w:p>
        </w:tc>
      </w:tr>
    </w:tbl>
    <w:p>
      <w:pPr>
        <w:spacing w:after="0" w:line="276"/>
      </w:pPr>
      <w:r>
        <w:rPr>
          <w:color w:val="5A6069"/>
          <w:sz w:val="14"/>
          <w:szCs w:val="14"/>
        </w:rPr>
        <w:t xml:space="preserve">Funding: The consensus meeting was supported by EXCEMED, Rome, Italy; editorial assistance was provided by Caudex, Oxford, supported by EXCEMED. Eleven of the fifteen panellists declare advisory roles, speaker fees or research funding from Amgen, Merck Serono, Roche, Sanofi-Aventis, Bayer, Pfizer, Lilly, Sirtex, Biocompatibles, Novartis, Bristol-Myers Squibb, Chugai, Servier, Keocyt, Boehringer, Dainippon Sumitomo or Taiho; four declare none</w:t>
      </w:r>
    </w:p>
    <w:p>
      <w:pPr>
        <w:keepNext/>
        <w:spacing w:after="50" w:before="260"/>
      </w:pPr>
      <w:r>
        <w:rPr>
          <w:rFonts w:ascii="Cambria" w:cs="Cambria" w:eastAsia="Cambria" w:hAnsi="Cambria"/>
          <w:b/>
          <w:bCs/>
          <w:color w:val="17365D"/>
          <w:sz w:val="20"/>
          <w:szCs w:val="20"/>
        </w:rPr>
        <w:t xml:space="preserve">ASCO 2023</w:t>
      </w:r>
      <w:r>
        <w:rPr>
          <w:b/>
          <w:bCs/>
          <w:color w:val="176A87"/>
          <w:sz w:val="15"/>
          <w:szCs w:val="15"/>
        </w:rPr>
        <w:t xml:space="preserve">   Guideline</w:t>
      </w:r>
      <w:r>
        <w:rPr>
          <w:color w:val="5A6069"/>
          <w:sz w:val="15"/>
          <w:szCs w:val="15"/>
        </w:rPr>
        <w:t xml:space="preserve">   PMID 36252154</w:t>
      </w:r>
    </w:p>
    <w:p>
      <w:pPr>
        <w:spacing w:after="50" w:line="276"/>
      </w:pPr>
      <w:r>
        <w:rPr>
          <w:color w:val="5A6069"/>
          <w:sz w:val="17"/>
          <w:szCs w:val="17"/>
        </w:rPr>
        <w:t xml:space="preserve">Treatment of Metastatic Colorectal Cancer: ASCO Guideline</w:t>
      </w:r>
    </w:p>
    <w:p>
      <w:pPr>
        <w:spacing w:after="70"/>
      </w:pPr>
      <w:r>
        <w:rPr>
          <w:b/>
          <w:bCs/>
          <w:color w:val="17365D"/>
          <w:sz w:val="16"/>
          <w:szCs w:val="16"/>
        </w:rPr>
        <w:t xml:space="preserve">Bottom line. </w:t>
      </w:r>
      <w:r>
        <w:rPr>
          <w:sz w:val="16"/>
          <w:szCs w:val="16"/>
        </w:rPr>
        <w:t xml:space="preserve">Gives a clear, GRADE-graded statement of first-line systemic therapy in metastatic colorectal cancer - doublet chemotherapy for most, anti-EGFR only for left-sided RAS wild-type disease, no oxaliplatin HIPEC - and confirms that surgery should be offered to anyone resectable. It answers almost none of the questions a hepatobiliary surgeon asks: resectability, future liver remnant, staged hepatectomy, conversion strategy and the timing of surgery are all declared out of scope, thermal ablation is excluded from the search protocol altogether, SBRT is recommended on 18 uncontrolled series after the only randomised trial was excluded, and the perioperative chemotherapy recommendation rests on the resected subgroup of a trial that missed its primary endpoint. Its search closed in June 2022, before COLLISION, TRANSMET, BREAKWATER and CheckMate 8HW.</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panel states that the scope was designed to address selected areas of uncertainty, so not all possible treatment options have been addressed, particularly for liver-directed therapy</w:t>
            </w:r>
          </w:p>
          <w:p>
            <w:pPr>
              <w:pStyle w:val="ListParagraph"/>
              <w:numPr>
                <w:ilvl w:val="0"/>
                <w:numId w:val="2"/>
              </w:numPr>
              <w:spacing w:after="45"/>
            </w:pPr>
            <w:r>
              <w:rPr>
                <w:sz w:val="15"/>
                <w:szCs w:val="15"/>
              </w:rPr>
              <w:t xml:space="preserve">Selection criteria for identifying appropriate surgical candidates and the timing of surgery are explicitly outside the scope of the systematic review</w:t>
            </w:r>
          </w:p>
          <w:p>
            <w:pPr>
              <w:pStyle w:val="ListParagraph"/>
              <w:numPr>
                <w:ilvl w:val="0"/>
                <w:numId w:val="2"/>
              </w:numPr>
              <w:spacing w:after="45"/>
            </w:pPr>
            <w:r>
              <w:rPr>
                <w:sz w:val="15"/>
                <w:szCs w:val="15"/>
              </w:rPr>
              <w:t xml:space="preserve">Testing for molecular subtypes was outside scope, and the guideline assumes patients will have access to the molecular testing its own sidedness, RAS, BRAF and mismatch repair recommendations require; HER2-amplified and TRK-fusion disease were also out of scope</w:t>
            </w:r>
          </w:p>
          <w:p>
            <w:pPr>
              <w:pStyle w:val="ListParagraph"/>
              <w:numPr>
                <w:ilvl w:val="0"/>
                <w:numId w:val="2"/>
              </w:numPr>
              <w:spacing w:after="45"/>
            </w:pPr>
            <w:r>
              <w:rPr>
                <w:sz w:val="15"/>
                <w:szCs w:val="15"/>
              </w:rPr>
              <w:t xml:space="preserve">The randomised phase 2 SABR-COMET trial did not meet the inclusion criteria because it included only a small proportion of colorectal patients</w:t>
            </w:r>
          </w:p>
          <w:p>
            <w:pPr>
              <w:pStyle w:val="ListParagraph"/>
              <w:numPr>
                <w:ilvl w:val="0"/>
                <w:numId w:val="2"/>
              </w:numPr>
              <w:spacing w:after="45"/>
            </w:pPr>
            <w:r>
              <w:rPr>
                <w:sz w:val="15"/>
                <w:szCs w:val="15"/>
              </w:rPr>
              <w:t xml:space="preserve">Many recommendations are graded weak on moderate or lower quality evidence, which under GRADE means most informed people would choose the recommended course and a substantial number would not</w:t>
            </w:r>
          </w:p>
          <w:p>
            <w:pPr>
              <w:pStyle w:val="ListParagraph"/>
              <w:numPr>
                <w:ilvl w:val="0"/>
                <w:numId w:val="2"/>
              </w:numPr>
              <w:spacing w:after="45"/>
            </w:pPr>
            <w:r>
              <w:rPr>
                <w:sz w:val="15"/>
                <w:szCs w:val="15"/>
              </w:rPr>
              <w:t xml:space="preserve">The search closed on 20 June 2022, and the guideline disclaimer states the information should not be relied upon as complete or accurate, is not continually updated, and may not reflect the most recent evidence</w:t>
            </w:r>
          </w:p>
          <w:p>
            <w:pPr>
              <w:pStyle w:val="ListParagraph"/>
              <w:numPr>
                <w:ilvl w:val="0"/>
                <w:numId w:val="2"/>
              </w:numPr>
              <w:spacing w:after="45"/>
            </w:pPr>
            <w:r>
              <w:rPr>
                <w:sz w:val="15"/>
                <w:szCs w:val="15"/>
              </w:rPr>
              <w:t xml:space="preserve">Cytoreductive surgery is qualified as suitable only for higher-volume or specialised centres and experienced operators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On the one liver question with randomised evidence, the guideline recommends a treatment that failed its trial. EORTC 40983's intention-to-treat progression-free survival hazard ratio was 0.79 (95% CI 0.62-1.02) with no survival benefit; the recommendation for perioperative chemotherapy is graded evidence-based with benefits outweighing harms on the strength of an exploratory analysis restricted to the 83% of patients who were resected (HR 0.73, 0.55-0.97).</w:t>
            </w:r>
          </w:p>
          <w:p>
            <w:pPr>
              <w:pStyle w:val="ListParagraph"/>
              <w:numPr>
                <w:ilvl w:val="0"/>
                <w:numId w:val="2"/>
              </w:numPr>
              <w:spacing w:after="45"/>
            </w:pPr>
            <w:r>
              <w:rPr>
                <w:sz w:val="15"/>
                <w:szCs w:val="15"/>
              </w:rPr>
              <w:t xml:space="preserve">The prescribed duration is a trial artefact. Six months of total perioperative chemotherapy is recommended because six months is what EORTC 40983 administered, in a guideline that reports the same trial's primary endpoint as non-significant two paragraphs earlier, and that elsewhere cites evidence that six or more cycles increases surgical morbidity.</w:t>
            </w:r>
          </w:p>
          <w:p>
            <w:pPr>
              <w:pStyle w:val="ListParagraph"/>
              <w:numPr>
                <w:ilvl w:val="0"/>
                <w:numId w:val="2"/>
              </w:numPr>
              <w:spacing w:after="45"/>
            </w:pPr>
            <w:r>
              <w:rPr>
                <w:sz w:val="15"/>
                <w:szCs w:val="15"/>
              </w:rPr>
              <w:t xml:space="preserve">The second supporting trial points the other way on the endpoint that matters: JCOG0603 improved disease-free survival (HR 0.67, 95% CI 0.50-0.92) with an overall survival hazard ratio of 1.25 (0.78-2.0). The guideline reports both numbers and reasons from the first.</w:t>
            </w:r>
          </w:p>
          <w:p>
            <w:pPr>
              <w:pStyle w:val="ListParagraph"/>
              <w:numPr>
                <w:ilvl w:val="0"/>
                <w:numId w:val="2"/>
              </w:numPr>
              <w:spacing w:after="45"/>
            </w:pPr>
            <w:r>
              <w:rPr>
                <w:sz w:val="15"/>
                <w:szCs w:val="15"/>
              </w:rPr>
              <w:t xml:space="preserve">For SBRT the panel excluded the only randomised trial and recommended on uncontrolled data. SABR-COMET was ruled out for having few colorectal patients, and the recommendation then rests on a pooled analysis of 18 non-randomised single-arm series published 2006 to 2017, in previously treated patients, with no comparator of any kind.</w:t>
            </w:r>
          </w:p>
          <w:p>
            <w:pPr>
              <w:pStyle w:val="ListParagraph"/>
              <w:numPr>
                <w:ilvl w:val="0"/>
                <w:numId w:val="2"/>
              </w:numPr>
              <w:spacing w:after="45"/>
            </w:pPr>
            <w:r>
              <w:rPr>
                <w:sz w:val="15"/>
                <w:szCs w:val="15"/>
              </w:rPr>
              <w:t xml:space="preserve">The SBRT evidence contains a signal against itself that is reported and not acted on: the correlation between dose and 2-year overall survival was 0.29. If radiation dose does not track survival, the survival figures quoted (67% at 1 year, 57% at 2 years) are more plausibly describing patient selection than treatment effect.</w:t>
            </w:r>
          </w:p>
          <w:p>
            <w:pPr>
              <w:pStyle w:val="ListParagraph"/>
              <w:numPr>
                <w:ilvl w:val="0"/>
                <w:numId w:val="2"/>
              </w:numPr>
              <w:spacing w:after="45"/>
            </w:pPr>
            <w:r>
              <w:rPr>
                <w:sz w:val="15"/>
                <w:szCs w:val="15"/>
              </w:rPr>
              <w:t xml:space="preserve">The SIRT section recommends against routine use and simultaneously describes SIRT as an option to explore for downstaging hepatic metastases to operability - an indication no included study tested. Neither the first-line meta-analysis nor EPOCH had conversion to resection as an endpoint.</w:t>
            </w:r>
          </w:p>
          <w:p>
            <w:pPr>
              <w:pStyle w:val="ListParagraph"/>
              <w:numPr>
                <w:ilvl w:val="0"/>
                <w:numId w:val="2"/>
              </w:numPr>
              <w:spacing w:after="45"/>
            </w:pPr>
            <w:r>
              <w:rPr>
                <w:sz w:val="15"/>
                <w:szCs w:val="15"/>
              </w:rPr>
              <w:t xml:space="preserve">Thermal ablation is absent from the guideline entirely. It is not among the interventions listed in the search protocol, so the commonest liver-directed treatment for small colorectal liver metastases is excluded by design, not for want of randomised evidence - CLOCC had been published in 2012 and 2017.</w:t>
            </w:r>
          </w:p>
          <w:p>
            <w:pPr>
              <w:pStyle w:val="ListParagraph"/>
              <w:numPr>
                <w:ilvl w:val="0"/>
                <w:numId w:val="2"/>
              </w:numPr>
              <w:spacing w:after="45"/>
            </w:pPr>
            <w:r>
              <w:rPr>
                <w:sz w:val="15"/>
                <w:szCs w:val="15"/>
              </w:rPr>
              <w:t xml:space="preserve">Several inclusion rules narrow the evidence base without justification: where more than one systematic review or trial report addressed a question, only the most recent was retained; non-English publications were excluded; and conference data were excluded unless published within two years. A guideline built on single most-recent reviews inherits each review's choices without examining them.</w:t>
            </w:r>
          </w:p>
          <w:p>
            <w:pPr>
              <w:pStyle w:val="ListParagraph"/>
              <w:numPr>
                <w:ilvl w:val="0"/>
                <w:numId w:val="2"/>
              </w:numPr>
              <w:spacing w:after="45"/>
            </w:pPr>
            <w:r>
              <w:rPr>
                <w:sz w:val="15"/>
                <w:szCs w:val="15"/>
              </w:rPr>
              <w:t xml:space="preserve">The public review consisted of a two-week open comment period that required submitting a confidentiality agreement before commenting, and the guideline does not report what comments were received or what changed in response.</w:t>
            </w:r>
          </w:p>
          <w:p>
            <w:pPr>
              <w:pStyle w:val="ListParagraph"/>
              <w:numPr>
                <w:ilvl w:val="0"/>
                <w:numId w:val="2"/>
              </w:numPr>
              <w:spacing w:after="45"/>
            </w:pPr>
            <w:r>
              <w:rPr>
                <w:sz w:val="15"/>
                <w:szCs w:val="15"/>
              </w:rPr>
              <w:t xml:space="preserve">No update interval is specified: ASCO states it will determine the need to update on the basis of formal review. A guideline whose own disclaimer says it is not continually updated also sets no date at which it expires.</w:t>
            </w:r>
          </w:p>
          <w:p>
            <w:pPr>
              <w:pStyle w:val="ListParagraph"/>
              <w:numPr>
                <w:ilvl w:val="0"/>
                <w:numId w:val="2"/>
              </w:numPr>
              <w:spacing w:after="45"/>
            </w:pPr>
            <w:r>
              <w:rPr>
                <w:sz w:val="15"/>
                <w:szCs w:val="15"/>
              </w:rPr>
              <w:t xml:space="preserve">The search closed before most of the evidence a liver surgeon now works from. COLLISION, TRANSMET, BREAKWATER, CheckMate 8HW and the CAIRO5 report all postdate 20 June 2022, and all four of the first concern exactly the patients this guideline's liver questions address.</w:t>
            </w:r>
          </w:p>
          <w:p>
            <w:pPr>
              <w:pStyle w:val="ListParagraph"/>
              <w:numPr>
                <w:ilvl w:val="0"/>
                <w:numId w:val="2"/>
              </w:numPr>
              <w:spacing w:after="45"/>
            </w:pPr>
            <w:r>
              <w:rPr>
                <w:sz w:val="15"/>
                <w:szCs w:val="15"/>
              </w:rPr>
              <w:t xml:space="preserve">The cost section discusses out-of-pocket burden at length but presents no cost-effectiveness analysis of any liver-directed recommendation; the analyses it does cite concern molecular testing and anti-EGFR selection, and report costs per quality-adjusted life year above conventionally accepted thresholds.</w:t>
            </w:r>
          </w:p>
          <w:p>
            <w:pPr>
              <w:pStyle w:val="ListParagraph"/>
              <w:numPr>
                <w:ilvl w:val="0"/>
                <w:numId w:val="2"/>
              </w:numPr>
              <w:spacing w:after="45"/>
            </w:pPr>
            <w:r>
              <w:rPr>
                <w:sz w:val="15"/>
                <w:szCs w:val="15"/>
              </w:rPr>
              <w:t xml:space="preserve">One patient representative sat on a panel of around twenty clinicians, and nothing in the document records how patient input affected any recommendation, despite shared decision making being invoked as the fallback for every weak recommendation.</w:t>
            </w:r>
          </w:p>
          <w:p>
            <w:pPr>
              <w:pStyle w:val="ListParagraph"/>
              <w:numPr>
                <w:ilvl w:val="0"/>
                <w:numId w:val="2"/>
              </w:numPr>
              <w:spacing w:after="45"/>
            </w:pPr>
            <w:r>
              <w:rPr>
                <w:sz w:val="15"/>
                <w:szCs w:val="15"/>
              </w:rPr>
              <w:t xml:space="preserve">The conflict-of-interest statement is a statement about ASCO's policy rather than about the relationships, which run to more than a hundred lines of declared industry funding at the head of the manuscript, in a guideline that recommends for and against specific drugs and devices.</w:t>
            </w:r>
          </w:p>
          <w:p>
            <w:pPr>
              <w:pStyle w:val="ListParagraph"/>
              <w:numPr>
                <w:ilvl w:val="0"/>
                <w:numId w:val="2"/>
              </w:numPr>
              <w:spacing w:after="45"/>
            </w:pPr>
            <w:r>
              <w:rPr>
                <w:sz w:val="15"/>
                <w:szCs w:val="15"/>
              </w:rPr>
              <w:t xml:space="preserve">No linked editorial or comment on this guideline was found in PubMed, so no independent published critique informs this record.</w:t>
            </w:r>
          </w:p>
        </w:tc>
      </w:tr>
    </w:tbl>
    <w:p>
      <w:pPr>
        <w:spacing w:after="0" w:line="276"/>
      </w:pPr>
      <w:r>
        <w:rPr>
          <w:color w:val="5A6069"/>
          <w:sz w:val="14"/>
          <w:szCs w:val="14"/>
        </w:rPr>
        <w:t xml:space="preserve">Funding: All funding for the administration of the project was provided by ASCO. The panel's disclosures, printed ahead of the manuscript, list consulting or advisory roles, speakers' bureaux, stock, patents and institutional research funding from the manufacturers of most of the drugs and devices considered, including Bristol Myers Squibb, Merck, Roche/Genentech, Amgen, Bayer, Pfizer, AstraZeneca, Taiho, Servier, Guerbet and InSightec; ASCO states that in accordance with its policy the majority of panel members did not disclose any relationship constituting a conflict</w:t>
      </w:r>
    </w:p>
    <w:p>
      <w:pPr>
        <w:keepNext/>
        <w:spacing w:after="50" w:before="260"/>
      </w:pPr>
      <w:r>
        <w:rPr>
          <w:rFonts w:ascii="Cambria" w:cs="Cambria" w:eastAsia="Cambria" w:hAnsi="Cambria"/>
          <w:b/>
          <w:bCs/>
          <w:color w:val="17365D"/>
          <w:sz w:val="20"/>
          <w:szCs w:val="20"/>
        </w:rPr>
        <w:t xml:space="preserve">BREAKWATER</w:t>
      </w:r>
      <w:r>
        <w:rPr>
          <w:b/>
          <w:bCs/>
          <w:color w:val="176A87"/>
          <w:sz w:val="15"/>
          <w:szCs w:val="15"/>
        </w:rPr>
        <w:t xml:space="preserve">   Randomised trial</w:t>
      </w:r>
      <w:r>
        <w:rPr>
          <w:color w:val="5A6069"/>
          <w:sz w:val="15"/>
          <w:szCs w:val="15"/>
        </w:rPr>
        <w:t xml:space="preserve">   PMID 40444708</w:t>
      </w:r>
    </w:p>
    <w:p>
      <w:pPr>
        <w:spacing w:after="50" w:line="276"/>
      </w:pPr>
      <w:r>
        <w:rPr>
          <w:color w:val="5A6069"/>
          <w:sz w:val="17"/>
          <w:szCs w:val="17"/>
        </w:rPr>
        <w:t xml:space="preserve">Encorafenib, Cetuximab and mFOLFOX6 in BRAF-mutant Colorectal Cancer</w:t>
      </w:r>
    </w:p>
    <w:p>
      <w:pPr>
        <w:spacing w:after="50"/>
      </w:pPr>
      <w:r>
        <w:rPr>
          <w:b/>
          <w:bCs/>
          <w:color w:val="176A87"/>
          <w:sz w:val="16"/>
          <w:szCs w:val="16"/>
        </w:rPr>
        <w:t xml:space="preserve">Population. </w:t>
      </w:r>
      <w:r>
        <w:rPr>
          <w:sz w:val="16"/>
          <w:szCs w:val="16"/>
        </w:rPr>
        <w:t xml:space="preserve">637 patients with previously untreated BRAF V600E-mutant metastatic colorectal cancer randomised in the phase 3 portion across 28 countries between November 2021 and December 2023: 158 to encorafenib-cetuximab, 236 to encorafenib-cetuximab plus mFOLFOX6 and 243 to investigator's choice chemotherapy, of whom 197 (81.1%) also received bevacizumab. Liver metastases were present in 62.3% and 65.8% of the two main arms. At the January 2025 cut-off 242 deaths had occurred, 81.5% of the 297 expected at final analysis</w:t>
      </w:r>
    </w:p>
    <w:p>
      <w:pPr>
        <w:spacing w:after="70"/>
      </w:pPr>
      <w:r>
        <w:rPr>
          <w:b/>
          <w:bCs/>
          <w:color w:val="17365D"/>
          <w:sz w:val="16"/>
          <w:szCs w:val="16"/>
        </w:rPr>
        <w:t xml:space="preserve">Bottom line. </w:t>
      </w:r>
      <w:r>
        <w:rPr>
          <w:sz w:val="16"/>
          <w:szCs w:val="16"/>
        </w:rPr>
        <w:t xml:space="preserve">Establishes that first-line encorafenib and cetuximab added to mFOLFOX6 roughly doubles median survival in BRAF V600E-mutant metastatic colorectal cancer, from 15.1 to 30.3 months (HR 0.49, 95% CI 0.375-0.632), with progression-free survival of 12.8 against 7.1 months and response in two-thirds of patients - bringing this subtype's prognosis close to BRAF wild-type disease. It does not establish what it costs or how it should be sequenced: survival is an interim result, control-arm follow-up is nearly seven months shorter, 72% of control patients later received a BRAF inhibitor anyway, and a regimen causing grade 3-4 toxicity in 81.5% of patients is reported without a single patient-reported outcome. Nothing in it speaks to resection, so for a liver surgeon it changes the systemic plan and the expected prognosis, not the operative decision.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paper states design features without conceding any limits. The authors note only that overall survival is an interim analysis at 242 of the 297 events expected for the final analysis, that the encorafenib-cetuximab doublet arm was closed on the basis of an external phase 2 study, that the objective response, time to response and duration of response analyses at this cut-off are descriptive, and that MSI-high or mismatch repair-deficient patients were excluded unless unable to receive checkpoint inhibitors</w:t>
            </w:r>
          </w:p>
          <w:p>
            <w:pPr>
              <w:pStyle w:val="ListParagraph"/>
              <w:numPr>
                <w:ilvl w:val="0"/>
                <w:numId w:val="2"/>
              </w:numPr>
              <w:spacing w:after="45"/>
            </w:pPr>
            <w:r>
              <w:rPr>
                <w:sz w:val="15"/>
                <w:szCs w:val="15"/>
              </w:rPr>
              <w:t xml:space="preserve">They state that hypothesis testing was one-sided while two-sided p values and confidence intervals are reported in the manuscript by convention</w:t>
            </w:r>
          </w:p>
          <w:p>
            <w:pPr>
              <w:pStyle w:val="ListParagraph"/>
              <w:numPr>
                <w:ilvl w:val="0"/>
                <w:numId w:val="2"/>
              </w:numPr>
              <w:spacing w:after="45"/>
            </w:pPr>
            <w:r>
              <w:rPr>
                <w:sz w:val="15"/>
                <w:szCs w:val="15"/>
              </w:rPr>
              <w:t xml:space="preserve">They acknowledge that the first-line encorafenib-cetuximab doublet gave shorter survival than the chemotherapy triplet and offer it only for patients unable to tolerate chemotherapy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Follow-up is grossly asymmetric between the arms being compared: median follow-up for progression-free survival was 16.8 months with encorafenib-cetuximab plus mFOLFOX6 and 9.8 months with standard care. The control arm's curve is estimated over little more than half the observation time, and no sensitivity analysis addresses the resulting difference in censoring.</w:t>
            </w:r>
          </w:p>
          <w:p>
            <w:pPr>
              <w:pStyle w:val="ListParagraph"/>
              <w:numPr>
                <w:ilvl w:val="0"/>
                <w:numId w:val="2"/>
              </w:numPr>
              <w:spacing w:after="45"/>
            </w:pPr>
            <w:r>
              <w:rPr>
                <w:sz w:val="15"/>
                <w:szCs w:val="15"/>
              </w:rPr>
              <w:t xml:space="preserve">The response figures that led to accelerated approval and that the paper repeats (65.7% versus 37.4%) are explicitly descriptive at this cut-off; the formally tested comparison was made at an earlier data cut in a response analysis set of 220 patients. Two different analyses, populations and cut-offs are presented under one endpoint.</w:t>
            </w:r>
          </w:p>
          <w:p>
            <w:pPr>
              <w:pStyle w:val="ListParagraph"/>
              <w:numPr>
                <w:ilvl w:val="0"/>
                <w:numId w:val="2"/>
              </w:numPr>
              <w:spacing w:after="45"/>
            </w:pPr>
            <w:r>
              <w:rPr>
                <w:sz w:val="15"/>
                <w:szCs w:val="15"/>
              </w:rPr>
              <w:t xml:space="preserve">The Discussion contradicts its own results on toxicity. It states that grade 3 or higher adverse events occurred in more than half the patients when Table S7 gives 81.5%, and that no substantial increase in chemotherapy dose reduction or discontinuation was needed when the same table gives 59.9% against 54.1% and 20.7% against 17.5%. The claim that the events were largely reversible is made with no supporting data.</w:t>
            </w:r>
          </w:p>
          <w:p>
            <w:pPr>
              <w:pStyle w:val="ListParagraph"/>
              <w:numPr>
                <w:ilvl w:val="0"/>
                <w:numId w:val="2"/>
              </w:numPr>
              <w:spacing w:after="45"/>
            </w:pPr>
            <w:r>
              <w:rPr>
                <w:sz w:val="15"/>
                <w:szCs w:val="15"/>
              </w:rPr>
              <w:t xml:space="preserve">Almost everything a reader needs to check is in the supplement: the safety summary, the response table, subsequent therapies, the stratification scheme and the subgroup forests are all Tables S1 to S9, leaving the main text to report conclusions rather than data.</w:t>
            </w:r>
          </w:p>
          <w:p>
            <w:pPr>
              <w:pStyle w:val="ListParagraph"/>
              <w:numPr>
                <w:ilvl w:val="0"/>
                <w:numId w:val="2"/>
              </w:numPr>
              <w:spacing w:after="45"/>
            </w:pPr>
            <w:r>
              <w:rPr>
                <w:sz w:val="15"/>
                <w:szCs w:val="15"/>
              </w:rPr>
              <w:t xml:space="preserve">The comparator is investigator's choice between mFOLFOX6, FOLFOXIRI and CAPOX with or without bevacizumab, and the main text reports only the bevacizumab proportion. How many control patients received the most active available regimen, a triplet, is not stated, so whether this is a comparison against best standard care cannot be verified.</w:t>
            </w:r>
          </w:p>
          <w:p>
            <w:pPr>
              <w:pStyle w:val="ListParagraph"/>
              <w:numPr>
                <w:ilvl w:val="0"/>
                <w:numId w:val="2"/>
              </w:numPr>
              <w:spacing w:after="45"/>
            </w:pPr>
            <w:r>
              <w:rPr>
                <w:sz w:val="15"/>
                <w:szCs w:val="15"/>
              </w:rPr>
              <w:t xml:space="preserve">Nearly three-quarters of control patients who received any further systemic therapy (100 of 139, 71.9%) went on to a BRAF inhibitor-based regimen. The trial therefore compares giving encorafenib first against giving it later, not against withholding it, and the paper reads the result as showing the importance of first-line encorafenib without analysing what happened to the crossed-over patients.</w:t>
            </w:r>
          </w:p>
          <w:p>
            <w:pPr>
              <w:pStyle w:val="ListParagraph"/>
              <w:numPr>
                <w:ilvl w:val="0"/>
                <w:numId w:val="2"/>
              </w:numPr>
              <w:spacing w:after="45"/>
            </w:pPr>
            <w:r>
              <w:rPr>
                <w:sz w:val="15"/>
                <w:szCs w:val="15"/>
              </w:rPr>
              <w:t xml:space="preserve">The encorafenib-cetuximab doublet arm was closed not on its own interim data but on the results of a different phase 2 study (ANCHOR). Its outcomes are then reported alongside the randomised arms and used to recommend the doublet for chemotherapy-intolerant patients, which is a non-randomised comparison between a closed arm and a continuing one.</w:t>
            </w:r>
          </w:p>
          <w:p>
            <w:pPr>
              <w:pStyle w:val="ListParagraph"/>
              <w:numPr>
                <w:ilvl w:val="0"/>
                <w:numId w:val="2"/>
              </w:numPr>
              <w:spacing w:after="45"/>
            </w:pPr>
            <w:r>
              <w:rPr>
                <w:sz w:val="15"/>
                <w:szCs w:val="15"/>
              </w:rPr>
              <w:t xml:space="preserve">No patient-reported outcome or quality-of-life result appears anywhere, in a regimen that produced treatment-emergent adverse events in 100% of patients, grade 3-4 events in 81.5%, dose reduction in 65.5% and permanent discontinuation in 26.7%. The trade-off the regimen demands is therefore not measurable from this report.</w:t>
            </w:r>
          </w:p>
          <w:p>
            <w:pPr>
              <w:pStyle w:val="ListParagraph"/>
              <w:numPr>
                <w:ilvl w:val="0"/>
                <w:numId w:val="2"/>
              </w:numPr>
              <w:spacing w:after="45"/>
            </w:pPr>
            <w:r>
              <w:rPr>
                <w:sz w:val="15"/>
                <w:szCs w:val="15"/>
              </w:rPr>
              <w:t xml:space="preserve">BRAF V600E status could be established by local testing on tissue or blood or by the central laboratory, with no concordance data between methods reported, in a trial whose entire population is defined by that result.</w:t>
            </w:r>
          </w:p>
          <w:p>
            <w:pPr>
              <w:pStyle w:val="ListParagraph"/>
              <w:numPr>
                <w:ilvl w:val="0"/>
                <w:numId w:val="2"/>
              </w:numPr>
              <w:spacing w:after="45"/>
            </w:pPr>
            <w:r>
              <w:rPr>
                <w:sz w:val="15"/>
                <w:szCs w:val="15"/>
              </w:rPr>
              <w:t xml:space="preserve">Eligibility was open from age 16 where locally permitted, and no separate accounting of adolescent patients, their dosing or their outcomes appears.</w:t>
            </w:r>
          </w:p>
          <w:p>
            <w:pPr>
              <w:pStyle w:val="ListParagraph"/>
              <w:numPr>
                <w:ilvl w:val="0"/>
                <w:numId w:val="2"/>
              </w:numPr>
              <w:spacing w:after="45"/>
            </w:pPr>
            <w:r>
              <w:rPr>
                <w:sz w:val="15"/>
                <w:szCs w:val="15"/>
              </w:rPr>
              <w:t xml:space="preserve">For this depot's purposes the trial contains no liver-directed endpoint at all: resection, conversion and ablation are neither protocol interventions nor outcomes, despite liver metastases in roughly two-thirds of patients, and the liver-metastasis subgroup appears only as one line of a forest plot. Whether a BRAF V600E liver metastasis responding to this regimen should then be resected is untouched.</w:t>
            </w:r>
          </w:p>
          <w:p>
            <w:pPr>
              <w:pStyle w:val="ListParagraph"/>
              <w:numPr>
                <w:ilvl w:val="0"/>
                <w:numId w:val="2"/>
              </w:numPr>
              <w:spacing w:after="45"/>
            </w:pPr>
            <w:r>
              <w:rPr>
                <w:sz w:val="15"/>
                <w:szCs w:val="15"/>
              </w:rPr>
              <w:t xml:space="preserve">The manufacturers of both targeted drugs are inside the trial - Pfizer as sponsor for encorafenib and Merck KGaA supporting it for cetuximab - and the sponsor funded the medical writing. The paper does not state who collected, held or analysed the data.</w:t>
            </w:r>
          </w:p>
          <w:p>
            <w:pPr>
              <w:pStyle w:val="ListParagraph"/>
              <w:numPr>
                <w:ilvl w:val="0"/>
                <w:numId w:val="2"/>
              </w:numPr>
              <w:spacing w:after="45"/>
            </w:pPr>
            <w:r>
              <w:rPr>
                <w:sz w:val="15"/>
                <w:szCs w:val="15"/>
              </w:rPr>
              <w:t xml:space="preserve">No linked editorial or comment on this trial was found in PubMed, so no independent published critique informs this record.</w:t>
            </w:r>
          </w:p>
        </w:tc>
      </w:tr>
    </w:tbl>
    <w:p>
      <w:pPr>
        <w:spacing w:after="0" w:line="276"/>
      </w:pPr>
      <w:r>
        <w:rPr>
          <w:color w:val="5A6069"/>
          <w:sz w:val="14"/>
          <w:szCs w:val="14"/>
        </w:rPr>
        <w:t xml:space="preserve">Funding: Sponsored by Pfizer, which makes encorafenib, with support from Ono Pharmaceutical, Merck KGaA (the maker of cetuximab) and Eli Lilly, and additional support from an NIH/NCI Cancer Center Core Grant (P30 CA008748). Medical writing support was provided by Nucleus Global and funded by Pfizer</w:t>
      </w:r>
    </w:p>
    <w:p>
      <w:pPr>
        <w:keepNext/>
        <w:spacing w:after="50" w:before="260"/>
      </w:pPr>
      <w:r>
        <w:rPr>
          <w:rFonts w:ascii="Cambria" w:cs="Cambria" w:eastAsia="Cambria" w:hAnsi="Cambria"/>
          <w:b/>
          <w:bCs/>
          <w:color w:val="17365D"/>
          <w:sz w:val="20"/>
          <w:szCs w:val="20"/>
        </w:rPr>
        <w:t xml:space="preserve">CAIRO5</w:t>
      </w:r>
      <w:r>
        <w:rPr>
          <w:b/>
          <w:bCs/>
          <w:color w:val="176A87"/>
          <w:sz w:val="15"/>
          <w:szCs w:val="15"/>
        </w:rPr>
        <w:t xml:space="preserve">   Randomised trial</w:t>
      </w:r>
      <w:r>
        <w:rPr>
          <w:color w:val="5A6069"/>
          <w:sz w:val="15"/>
          <w:szCs w:val="15"/>
        </w:rPr>
        <w:t xml:space="preserve">   PMID 37329889</w:t>
      </w:r>
    </w:p>
    <w:p>
      <w:pPr>
        <w:spacing w:after="50" w:line="276"/>
      </w:pPr>
      <w:r>
        <w:rPr>
          <w:color w:val="5A6069"/>
          <w:sz w:val="17"/>
          <w:szCs w:val="17"/>
        </w:rPr>
        <w:t xml:space="preserve">First-line systemic treatment strategies in patients with initially unresectable colorectal cancer liver metastases (CAIRO5): an open-label, multicentre, randomised, controlled, phase 3 study from the Dutch Colorectal Cancer Group</w:t>
      </w:r>
    </w:p>
    <w:p>
      <w:pPr>
        <w:spacing w:after="50"/>
      </w:pPr>
      <w:r>
        <w:rPr>
          <w:b/>
          <w:bCs/>
          <w:color w:val="176A87"/>
          <w:sz w:val="16"/>
          <w:szCs w:val="16"/>
        </w:rPr>
        <w:t xml:space="preserve">Population. </w:t>
      </w:r>
      <w:r>
        <w:rPr>
          <w:sz w:val="16"/>
          <w:szCs w:val="16"/>
        </w:rPr>
        <w:t xml:space="preserve">530 patients with previously untreated, liver-only colorectal metastases centrally judged unresectable, randomised at 46 Dutch and one Belgian centre from 584 assessed (148 group A, 146 group B, 118 group C, 118 group D); 521 in the modified intention-to-treat analysis after nine exclusions (147, 144, 114, 116). Median age 62, 327 men (62%); median 12 liver metastases across 6 segments, most synchronous and with the primary tumour still in situ. Median follow-up 51.1 months</w:t>
      </w:r>
    </w:p>
    <w:p>
      <w:pPr>
        <w:spacing w:after="70"/>
      </w:pPr>
      <w:r>
        <w:rPr>
          <w:b/>
          <w:bCs/>
          <w:color w:val="17365D"/>
          <w:sz w:val="16"/>
          <w:szCs w:val="16"/>
        </w:rPr>
        <w:t xml:space="preserve">Bottom line. </w:t>
      </w:r>
      <w:r>
        <w:rPr>
          <w:sz w:val="16"/>
          <w:szCs w:val="16"/>
        </w:rPr>
        <w:t xml:space="preserve">Establishes that for initially unresectable liver-only colorectal metastases with a right-sided or RAS/BRAF-mutant primary, FOLFOXIRI plus bevacizumab lengthens progression-free survival by a median of 1.6 months and raises complete local treatment from 37% to 51% against a doublet, and that for left-sided wild-type disease panitumumab raises response from 53% to 80% without converting a single extra patient (58% in both arms). It does not establish that either strategy prolongs life: overall survival was held back for a separate paper despite 344 deaths having occurred, the panitumumab comparison was stopped for futility and cannot exclude meaningful effects either way, and the resectability endpoint was decided by a panel that failed to reach consensus in 58% of follow-up assessments.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Overall survival was not mature at the time of this report and will be published separately; the authors state twice that definitive conclusions should await it</w:t>
            </w:r>
          </w:p>
          <w:p>
            <w:pPr>
              <w:pStyle w:val="ListParagraph"/>
              <w:numPr>
                <w:ilvl w:val="0"/>
                <w:numId w:val="2"/>
              </w:numPr>
              <w:spacing w:after="45"/>
            </w:pPr>
            <w:r>
              <w:rPr>
                <w:sz w:val="15"/>
                <w:szCs w:val="15"/>
              </w:rPr>
              <w:t xml:space="preserve">FOLFOXIRI was not investigated in patients with a left-sided RAS and BRAF wild-type tumour, so the trial does not identify one optimal induction regimen across the whole population</w:t>
            </w:r>
          </w:p>
          <w:p>
            <w:pPr>
              <w:pStyle w:val="ListParagraph"/>
              <w:numPr>
                <w:ilvl w:val="0"/>
                <w:numId w:val="2"/>
              </w:numPr>
              <w:spacing w:after="45"/>
            </w:pPr>
            <w:r>
              <w:rPr>
                <w:sz w:val="15"/>
                <w:szCs w:val="15"/>
              </w:rPr>
              <w:t xml:space="preserve">The baseline unresectability criterion - no R0 achievable with resection alone in one stage - means some patients could have been treated locally upfront by adding ablation or by a two-stage resection with or without portal vein embolisation</w:t>
            </w:r>
          </w:p>
          <w:p>
            <w:pPr>
              <w:pStyle w:val="ListParagraph"/>
              <w:numPr>
                <w:ilvl w:val="0"/>
                <w:numId w:val="2"/>
              </w:numPr>
              <w:spacing w:after="45"/>
            </w:pPr>
            <w:r>
              <w:rPr>
                <w:sz w:val="15"/>
                <w:szCs w:val="15"/>
              </w:rPr>
              <w:t xml:space="preserve">The authors note that the relevance of progression-free survival as a surrogate for overall survival has been questioned, and that reporting a conversion rate without long-term outcome may be misleading</w:t>
            </w:r>
          </w:p>
          <w:p>
            <w:pPr>
              <w:pStyle w:val="ListParagraph"/>
              <w:numPr>
                <w:ilvl w:val="0"/>
                <w:numId w:val="2"/>
              </w:numPr>
              <w:spacing w:after="45"/>
            </w:pPr>
            <w:r>
              <w:rPr>
                <w:sz w:val="15"/>
                <w:szCs w:val="15"/>
              </w:rPr>
              <w:t xml:space="preserve">Panel surgeons varied in their resectability assessments, which the authors report and interpret as an argument for panel review rather than single-surgeon judgment</w:t>
            </w:r>
          </w:p>
          <w:p>
            <w:pPr>
              <w:pStyle w:val="ListParagraph"/>
              <w:numPr>
                <w:ilvl w:val="0"/>
                <w:numId w:val="2"/>
              </w:numPr>
              <w:spacing w:after="45"/>
            </w:pPr>
            <w:r>
              <w:rPr>
                <w:sz w:val="15"/>
                <w:szCs w:val="15"/>
              </w:rPr>
              <w:t xml:space="preserve">Adjuvant chemotherapy after local treatment was given to only a small number of patients, which the authors attribute mainly to Dutch guidelines not recommending it, since its value after downsizing is unknown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resectability endpoint rests on a panel that mostly did not agree. Consensus among panel surgeons was present in 345 of 521 baseline evaluations (66%) and in only 286 of 689 follow-up evaluations (42%); where surgeons split, the panel chair cast the deciding vote. In more than half the follow-up assessments the conversion endpoint was therefore decided by one surgeon's opinion.</w:t>
            </w:r>
          </w:p>
          <w:p>
            <w:pPr>
              <w:pStyle w:val="ListParagraph"/>
              <w:numPr>
                <w:ilvl w:val="0"/>
                <w:numId w:val="2"/>
              </w:numPr>
              <w:spacing w:after="45"/>
            </w:pPr>
            <w:r>
              <w:rPr>
                <w:sz w:val="15"/>
                <w:szCs w:val="15"/>
              </w:rPr>
              <w:t xml:space="preserve">Where evaluations fell outside the scheduled panel windows, or after local treatment had been given, or once the panel had called a patient permanently unresectable, the local investigator's assessment was used instead - in a trial where investigators and patients were unmasked to allocation.</w:t>
            </w:r>
          </w:p>
          <w:p>
            <w:pPr>
              <w:pStyle w:val="ListParagraph"/>
              <w:numPr>
                <w:ilvl w:val="0"/>
                <w:numId w:val="2"/>
              </w:numPr>
              <w:spacing w:after="45"/>
            </w:pPr>
            <w:r>
              <w:rPr>
                <w:sz w:val="15"/>
                <w:szCs w:val="15"/>
              </w:rPr>
              <w:t xml:space="preserve">The negative comparison was closed early for futility and so cannot support its conclusion. Groups C and D needed 256 events and were stopped in March 2022; the resulting hazard ratio of 1.11 (95% CI 0.84-1.48) is compatible with anything from a 16% benefit to a 48% harm from panitumumab, yet the Interpretation states panitumumab showed no clinical benefit.</w:t>
            </w:r>
          </w:p>
          <w:p>
            <w:pPr>
              <w:pStyle w:val="ListParagraph"/>
              <w:numPr>
                <w:ilvl w:val="0"/>
                <w:numId w:val="2"/>
              </w:numPr>
              <w:spacing w:after="45"/>
            </w:pPr>
            <w:r>
              <w:rPr>
                <w:sz w:val="15"/>
                <w:szCs w:val="15"/>
              </w:rPr>
              <w:t xml:space="preserve">The paper states the interim efficacy boundary (p 0.006 or less) but never states the adjusted significance level at the final analysis under the Hwang-Shih-DeCani spending function, so a reader cannot check whether the primary p=0.032 cleared the boundary that actually applied.</w:t>
            </w:r>
          </w:p>
          <w:p>
            <w:pPr>
              <w:pStyle w:val="ListParagraph"/>
              <w:numPr>
                <w:ilvl w:val="0"/>
                <w:numId w:val="2"/>
              </w:numPr>
              <w:spacing w:after="45"/>
            </w:pPr>
            <w:r>
              <w:rPr>
                <w:sz w:val="15"/>
                <w:szCs w:val="15"/>
              </w:rPr>
              <w:t xml:space="preserve">The randomised comparisons were redefined mid-trial. Until protocol amendment 7.0 in February 2017 allocation depended on RAS status alone, and 14 patients with right-sided or BRAF-mutant tumours were randomised into groups C and D. They stay in the modified intention-to-treat analysis of the comparison they do not belong to, and the per-protocol analysis excluding them is relegated to the appendix.</w:t>
            </w:r>
          </w:p>
          <w:p>
            <w:pPr>
              <w:pStyle w:val="ListParagraph"/>
              <w:numPr>
                <w:ilvl w:val="0"/>
                <w:numId w:val="2"/>
              </w:numPr>
              <w:spacing w:after="45"/>
            </w:pPr>
            <w:r>
              <w:rPr>
                <w:sz w:val="15"/>
                <w:szCs w:val="15"/>
              </w:rPr>
              <w:t xml:space="preserve">The chemotherapy backbone was not randomised in either comparison: FOLFOX versus FOLFIRI was chosen by local investigator and patient preference. Centre preference was a stratification factor, which balances the arms without making the backbone comparable within them.</w:t>
            </w:r>
          </w:p>
          <w:p>
            <w:pPr>
              <w:pStyle w:val="ListParagraph"/>
              <w:numPr>
                <w:ilvl w:val="0"/>
                <w:numId w:val="2"/>
              </w:numPr>
              <w:spacing w:after="45"/>
            </w:pPr>
            <w:r>
              <w:rPr>
                <w:sz w:val="15"/>
                <w:szCs w:val="15"/>
              </w:rPr>
              <w:t xml:space="preserve">Response and resectability came apart completely in groups C and D - objective response 53% versus 80% (p&lt;0.0001) and depth of response 33% versus 49% (p&lt;0.0001) with complete local treatment identical at 58% in both arms (p=1.00) - and the paper's explanation (vessels, biliary structures, too many segments) is offered as a possibility to be analysed in future, with no supporting data. Depth of response was a post hoc endpoint, and patients without post-baseline imaging were simply classed as not evaluable and dropped from it.</w:t>
            </w:r>
          </w:p>
          <w:p>
            <w:pPr>
              <w:pStyle w:val="ListParagraph"/>
              <w:numPr>
                <w:ilvl w:val="0"/>
                <w:numId w:val="2"/>
              </w:numPr>
              <w:spacing w:after="45"/>
            </w:pPr>
            <w:r>
              <w:rPr>
                <w:sz w:val="15"/>
                <w:szCs w:val="15"/>
              </w:rPr>
              <w:t xml:space="preserve">The entry definition of unresectability excludes exactly the techniques the participating centres use - ablation and staged hepatectomy - and only a minority were judged permanently unresectable. Most patients therefore entered a conversion trial while being locally treatable under a broader contemporary definition, which the authors state and then set aside on the grounds that stratification protects the comparison. It protects internal validity and says nothing about what the reported conversion rates mean outside the trial.</w:t>
            </w:r>
          </w:p>
          <w:p>
            <w:pPr>
              <w:pStyle w:val="ListParagraph"/>
              <w:numPr>
                <w:ilvl w:val="0"/>
                <w:numId w:val="2"/>
              </w:numPr>
              <w:spacing w:after="45"/>
            </w:pPr>
            <w:r>
              <w:rPr>
                <w:sz w:val="15"/>
                <w:szCs w:val="15"/>
              </w:rPr>
              <w:t xml:space="preserve">The price of the 1.6-month median progression-free survival gain with the triplet is itemised in tables but never weighed: grade 3 or worse adverse events 59% versus 76% (p=0.0027), dose reductions in 55% of group B, serious adverse events in 52%, seven treatment-related deaths in group B, and postoperative Clavien-Dindo grade 3 or worse complications in 15% versus 27% (p=0.076) after a regimen that doubled two-stage surgery (11% versus 28%).</w:t>
            </w:r>
          </w:p>
          <w:p>
            <w:pPr>
              <w:pStyle w:val="ListParagraph"/>
              <w:numPr>
                <w:ilvl w:val="0"/>
                <w:numId w:val="2"/>
              </w:numPr>
              <w:spacing w:after="45"/>
            </w:pPr>
            <w:r>
              <w:rPr>
                <w:sz w:val="15"/>
                <w:szCs w:val="15"/>
              </w:rPr>
              <w:t xml:space="preserve">Three patients (2%) had local treatment performed against panel advice, so the conversion endpoint includes operations the adjudicating body did not endorse.</w:t>
            </w:r>
          </w:p>
          <w:p>
            <w:pPr>
              <w:pStyle w:val="ListParagraph"/>
              <w:numPr>
                <w:ilvl w:val="0"/>
                <w:numId w:val="2"/>
              </w:numPr>
              <w:spacing w:after="45"/>
            </w:pPr>
            <w:r>
              <w:rPr>
                <w:sz w:val="15"/>
                <w:szCs w:val="15"/>
              </w:rPr>
              <w:t xml:space="preserve">Adjuvant chemotherapy after local treatment is reported only as given to few patients, without arm-level numbers, in a trial whose arms converted at different rates - so post-conversion management, which bears directly on the progression-free survival endpoint, is both uncontrolled and unreported.</w:t>
            </w:r>
          </w:p>
          <w:p>
            <w:pPr>
              <w:pStyle w:val="ListParagraph"/>
              <w:numPr>
                <w:ilvl w:val="0"/>
                <w:numId w:val="2"/>
              </w:numPr>
              <w:spacing w:after="45"/>
            </w:pPr>
            <w:r>
              <w:rPr>
                <w:sz w:val="15"/>
                <w:szCs w:val="15"/>
              </w:rPr>
              <w:t xml:space="preserve">Survival data existed at analysis and were withheld: the paper prints 219 deaths (75%) in groups A and B and 125 (54%) in groups C and D, then defers the endpoint to a separate publication while recommending FOLFOXIRI-bevacizumab as the preferred regimen.</w:t>
            </w:r>
          </w:p>
          <w:p>
            <w:pPr>
              <w:pStyle w:val="ListParagraph"/>
              <w:numPr>
                <w:ilvl w:val="0"/>
                <w:numId w:val="2"/>
              </w:numPr>
              <w:spacing w:after="45"/>
            </w:pPr>
            <w:r>
              <w:rPr>
                <w:sz w:val="15"/>
                <w:szCs w:val="15"/>
              </w:rPr>
              <w:t xml:space="preserve">The trial was funded by unrestricted grants from Roche and Amgen, whose drugs are the two targeted agents being compared in groups C and D, and the comparison between them was the one closed for futility.</w:t>
            </w:r>
          </w:p>
          <w:p>
            <w:pPr>
              <w:pStyle w:val="ListParagraph"/>
              <w:numPr>
                <w:ilvl w:val="0"/>
                <w:numId w:val="2"/>
              </w:numPr>
              <w:spacing w:after="45"/>
            </w:pPr>
            <w:r>
              <w:rPr>
                <w:sz w:val="15"/>
                <w:szCs w:val="15"/>
              </w:rPr>
              <w:t xml:space="preserve">A linked Lancet Oncology comment (PMID 37329890, Imai and Baba, 2023) was identified in PubMed but its text was not available here, so its objections are not reflected in this record.</w:t>
            </w:r>
          </w:p>
        </w:tc>
      </w:tr>
    </w:tbl>
    <w:p>
      <w:pPr>
        <w:spacing w:after="0" w:line="276"/>
      </w:pPr>
      <w:r>
        <w:rPr>
          <w:color w:val="5A6069"/>
          <w:sz w:val="14"/>
          <w:szCs w:val="14"/>
        </w:rPr>
        <w:t xml:space="preserve">Funding: Unrestricted scientific grants from Roche and Amgen, the Netherlands - the manufacturers of bevacizumab and panitumumab, the two targeted agents compared in groups C and D; the funders are stated to have had no role in design, data collection, analysis, interpretation or writing. Declarations of interest are sparse: institutional advisory fees from Nordic Pharma and from Amgen for two authors and personal fees from Bristol Myers Squibb for a third, with all other authors declaring none</w:t>
      </w:r>
    </w:p>
    <w:p>
      <w:pPr>
        <w:keepNext/>
        <w:spacing w:after="50" w:before="260"/>
      </w:pPr>
      <w:r>
        <w:rPr>
          <w:rFonts w:ascii="Cambria" w:cs="Cambria" w:eastAsia="Cambria" w:hAnsi="Cambria"/>
          <w:b/>
          <w:bCs/>
          <w:color w:val="17365D"/>
          <w:sz w:val="20"/>
          <w:szCs w:val="20"/>
        </w:rPr>
        <w:t xml:space="preserve">CALGB 9481</w:t>
      </w:r>
      <w:r>
        <w:rPr>
          <w:b/>
          <w:bCs/>
          <w:color w:val="176A87"/>
          <w:sz w:val="15"/>
          <w:szCs w:val="15"/>
        </w:rPr>
        <w:t xml:space="preserve">   Randomised trial</w:t>
      </w:r>
      <w:r>
        <w:rPr>
          <w:color w:val="5A6069"/>
          <w:sz w:val="15"/>
          <w:szCs w:val="15"/>
        </w:rPr>
        <w:t xml:space="preserve">   PMID 16505413</w:t>
      </w:r>
    </w:p>
    <w:p>
      <w:pPr>
        <w:spacing w:after="50" w:line="276"/>
      </w:pPr>
      <w:r>
        <w:rPr>
          <w:color w:val="5A6069"/>
          <w:sz w:val="17"/>
          <w:szCs w:val="17"/>
        </w:rPr>
        <w:t xml:space="preserve">Hepatic arterial infusion versus systemic therapy for hepatic metastases from colorectal cancer: a randomized trial of efficacy, quality of life, and molecular markers (CALGB 9481)</w:t>
      </w:r>
    </w:p>
    <w:p>
      <w:pPr>
        <w:spacing w:after="50"/>
      </w:pPr>
      <w:r>
        <w:rPr>
          <w:b/>
          <w:bCs/>
          <w:color w:val="176A87"/>
          <w:sz w:val="16"/>
          <w:szCs w:val="16"/>
        </w:rPr>
        <w:t xml:space="preserve">Population. </w:t>
      </w:r>
      <w:r>
        <w:rPr>
          <w:sz w:val="16"/>
          <w:szCs w:val="16"/>
        </w:rPr>
        <w:t xml:space="preserve">135 patients with unresectable liver-only colorectal metastases occupying less than 70% of the liver, randomised at nine sites between January 1996 and December 2000 (68 to hepatic arterial floxuridine with leucovorin and dexamethasone through an implanted pump, 67 to systemic bolus fluorouracil and leucovorin); 59% male, 79% synchronous, 70% with more than 30% of the liver involved. Eighteen patients (nine per arm) never received protocol treatment, and the median number of cycles delivered was three with hepatic arterial infusion and four with systemic therapy</w:t>
      </w:r>
    </w:p>
    <w:p>
      <w:pPr>
        <w:spacing w:after="70"/>
      </w:pPr>
      <w:r>
        <w:rPr>
          <w:b/>
          <w:bCs/>
          <w:color w:val="17365D"/>
          <w:sz w:val="16"/>
          <w:szCs w:val="16"/>
        </w:rPr>
        <w:t xml:space="preserve">Bottom line. </w:t>
      </w:r>
      <w:r>
        <w:rPr>
          <w:sz w:val="16"/>
          <w:szCs w:val="16"/>
        </w:rPr>
        <w:t xml:space="preserve">Establishes that hepatic arterial floxuridine with dexamethasone beats bolus fluorouracil and leucovorin in unresectable liver-only colorectal metastases on survival (24.4 against 20.0 months, p=0.0034), hepatic response (47% against 24%) and systemic toxicity, at the cost of biliary injury in a third of patients and faster extrahepatic progression. It cannot establish regional therapy against modern systemic treatment: the comparator is a 1996 regimen the authors themselves call superseded, overall time to progression was identical, the trial reports no power calculation or interim plan, and the quality-of-life advantage fails the paper's own Bonferroni threshold. Its molecular marker work is single-arm and non-significant.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name as a criticism of the study that the systemic arm received bolus fluorouracil and leucovorin, which was standard when the trial opened in 1996 but has since been superseded by regimens containing irinotecan, oxaliplatin or bevacizumab</w:t>
            </w:r>
          </w:p>
          <w:p>
            <w:pPr>
              <w:pStyle w:val="ListParagraph"/>
              <w:numPr>
                <w:ilvl w:val="0"/>
                <w:numId w:val="2"/>
              </w:numPr>
              <w:spacing w:after="45"/>
            </w:pPr>
            <w:r>
              <w:rPr>
                <w:sz w:val="15"/>
                <w:szCs w:val="15"/>
              </w:rPr>
              <w:t xml:space="preserve">They note the once-daily-for-five-days fluorouracil schedule used has subsequently been shown to be more toxic than infusional fluorouracil</w:t>
            </w:r>
          </w:p>
          <w:p>
            <w:pPr>
              <w:pStyle w:val="ListParagraph"/>
              <w:numPr>
                <w:ilvl w:val="0"/>
                <w:numId w:val="2"/>
              </w:numPr>
              <w:spacing w:after="45"/>
            </w:pPr>
            <w:r>
              <w:rPr>
                <w:sz w:val="15"/>
                <w:szCs w:val="15"/>
              </w:rPr>
              <w:t xml:space="preserve">They argue the systemic arm's 20-month median survival is comparable to newer combinations because patients progressing on fluorouracil could receive the newer agents afterwards</w:t>
            </w:r>
          </w:p>
          <w:p>
            <w:pPr>
              <w:pStyle w:val="ListParagraph"/>
              <w:numPr>
                <w:ilvl w:val="0"/>
                <w:numId w:val="2"/>
              </w:numPr>
              <w:spacing w:after="45"/>
            </w:pPr>
            <w:r>
              <w:rPr>
                <w:sz w:val="15"/>
                <w:szCs w:val="15"/>
              </w:rPr>
              <w:t xml:space="preserve">They note that adding concurrent systemic therapy with newer agents to hepatic arterial infusion might have improved the regional results, and that this would be the subject of future work</w:t>
            </w:r>
          </w:p>
          <w:p>
            <w:pPr>
              <w:pStyle w:val="ListParagraph"/>
              <w:numPr>
                <w:ilvl w:val="0"/>
                <w:numId w:val="2"/>
              </w:numPr>
              <w:spacing w:after="45"/>
            </w:pPr>
            <w:r>
              <w:rPr>
                <w:sz w:val="15"/>
                <w:szCs w:val="15"/>
              </w:rPr>
              <w:t xml:space="preserve">They address, and reject, the suggestion that this was an unusually favourable cohort, citing 79% synchronous disease and 70% with more than 30% liver involvement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limitations section exists, and no sample size calculation, power statement, interim analysis plan or stopping rule for the primary endpoint appears anywhere in the methods, in a trial of 135 patients reporting a 4.4-month survival difference at p=0.0034.</w:t>
            </w:r>
          </w:p>
          <w:p>
            <w:pPr>
              <w:pStyle w:val="ListParagraph"/>
              <w:numPr>
                <w:ilvl w:val="0"/>
                <w:numId w:val="2"/>
              </w:numPr>
              <w:spacing w:after="45"/>
            </w:pPr>
            <w:r>
              <w:rPr>
                <w:sz w:val="15"/>
                <w:szCs w:val="15"/>
              </w:rPr>
              <w:t xml:space="preserve">Multiplicity was controlled for the quality-of-life endpoints and not for efficacy. Four quality-of-life outcomes were judged against a Bonferroni-adjusted threshold of 0.0125, while thirteen baseline variables were tested against three time-to-event endpoints - roughly forty comparisons - with no adjustment at all, and the sex-by-treatment interaction (p=0.016) comes from that set.</w:t>
            </w:r>
          </w:p>
          <w:p>
            <w:pPr>
              <w:pStyle w:val="ListParagraph"/>
              <w:numPr>
                <w:ilvl w:val="0"/>
                <w:numId w:val="2"/>
              </w:numPr>
              <w:spacing w:after="45"/>
            </w:pPr>
            <w:r>
              <w:rPr>
                <w:sz w:val="15"/>
                <w:szCs w:val="15"/>
              </w:rPr>
              <w:t xml:space="preserve">By the paper's own prespecified threshold the quality-of-life claim fails: physical functioning differed at 3 and 6 months with p=0.038 and p=0.024, both above the 0.0125 level the statistical plan set. The abstract and conclusion nonetheless report better physical functioning with hepatic arterial infusion.</w:t>
            </w:r>
          </w:p>
          <w:p>
            <w:pPr>
              <w:pStyle w:val="ListParagraph"/>
              <w:numPr>
                <w:ilvl w:val="0"/>
                <w:numId w:val="2"/>
              </w:numPr>
              <w:spacing w:after="45"/>
            </w:pPr>
            <w:r>
              <w:rPr>
                <w:sz w:val="15"/>
                <w:szCs w:val="15"/>
              </w:rPr>
              <w:t xml:space="preserve">The survival result sits oddly with the progression data and the paper does not reconcile them. Overall time to progression was identical (5.3 against 6.8 months, p=0.95) and extrahepatic progression was significantly faster with regional therapy (7.7 against 14.8 months, p=0.029). A survival advantage with no delay in progression and worse extrahepatic control has no mechanism offered beyond hepatic control.</w:t>
            </w:r>
          </w:p>
          <w:p>
            <w:pPr>
              <w:pStyle w:val="ListParagraph"/>
              <w:numPr>
                <w:ilvl w:val="0"/>
                <w:numId w:val="2"/>
              </w:numPr>
              <w:spacing w:after="45"/>
            </w:pPr>
            <w:r>
              <w:rPr>
                <w:sz w:val="15"/>
                <w:szCs w:val="15"/>
              </w:rPr>
              <w:t xml:space="preserve">Post-progression therapy is the strongest non-treatment predictor of survival in the paper's own table (p=0.0014) and is handled by entering it as a covariate; what each arm actually received after progression is never tabulated, in a trial whose defence of its obsolete comparator is precisely that control patients got modern drugs later.</w:t>
            </w:r>
          </w:p>
          <w:p>
            <w:pPr>
              <w:pStyle w:val="ListParagraph"/>
              <w:numPr>
                <w:ilvl w:val="0"/>
                <w:numId w:val="2"/>
              </w:numPr>
              <w:spacing w:after="45"/>
            </w:pPr>
            <w:r>
              <w:rPr>
                <w:sz w:val="15"/>
                <w:szCs w:val="15"/>
              </w:rPr>
              <w:t xml:space="preserve">Thirteen percent of randomised patients (18 of 135) never received protocol treatment, three of them regional-arm patients with catheter problems, and seven patients later found to have had extrahepatic disease at entry were kept in the analysis.</w:t>
            </w:r>
          </w:p>
          <w:p>
            <w:pPr>
              <w:pStyle w:val="ListParagraph"/>
              <w:numPr>
                <w:ilvl w:val="0"/>
                <w:numId w:val="2"/>
              </w:numPr>
              <w:spacing w:after="45"/>
            </w:pPr>
            <w:r>
              <w:rPr>
                <w:sz w:val="15"/>
                <w:szCs w:val="15"/>
              </w:rPr>
              <w:t xml:space="preserve">Treatment intensity differed between arms in a way that is reported and not analysed: a median of three cycles of regional therapy against four of systemic therapy, in a comparison framed as the same drug delivered two ways - which it is not, since the regional arm received floxuridine with dexamethasone and the systemic arm fluorouracil with leucovorin.</w:t>
            </w:r>
          </w:p>
          <w:p>
            <w:pPr>
              <w:pStyle w:val="ListParagraph"/>
              <w:numPr>
                <w:ilvl w:val="0"/>
                <w:numId w:val="2"/>
              </w:numPr>
              <w:spacing w:after="45"/>
            </w:pPr>
            <w:r>
              <w:rPr>
                <w:sz w:val="15"/>
                <w:szCs w:val="15"/>
              </w:rPr>
              <w:t xml:space="preserve">The molecular marker analyses cannot support the predictive reading they invite: thymidylate synthase in 40 and p53 in 42 biopsies, all from regional-arm patients, with no systemic-arm comparison, and the headline survival difference by thymidylate synthase level non-significant at p=0.17.</w:t>
            </w:r>
          </w:p>
          <w:p>
            <w:pPr>
              <w:pStyle w:val="ListParagraph"/>
              <w:numPr>
                <w:ilvl w:val="0"/>
                <w:numId w:val="2"/>
              </w:numPr>
              <w:spacing w:after="45"/>
            </w:pPr>
            <w:r>
              <w:rPr>
                <w:sz w:val="15"/>
                <w:szCs w:val="15"/>
              </w:rPr>
              <w:t xml:space="preserve">Biliary toxicity is the real price and is not weighed against the 4.4-month gain: bilirubin above 3 mg/dL in 18.6% against 0%, grade 3 or worse alkaline phosphatase in 33.8% and transaminase elevation in 27% of regional patients, four biliary stents, and a sex difference in biliary toxicity (men 38%, women 15%) that mirrors the sex difference in survival benefit without being linked to it.</w:t>
            </w:r>
          </w:p>
          <w:p>
            <w:pPr>
              <w:pStyle w:val="ListParagraph"/>
              <w:numPr>
                <w:ilvl w:val="0"/>
                <w:numId w:val="2"/>
              </w:numPr>
              <w:spacing w:after="45"/>
            </w:pPr>
            <w:r>
              <w:rPr>
                <w:sz w:val="15"/>
                <w:szCs w:val="15"/>
              </w:rPr>
              <w:t xml:space="preserve">Nine centres accrued 135 patients over five years, under three per site per year, and no centre-level or operator-level analysis is reported for an intervention requiring laparotomy, pump placement and continuing hepatobiliary management.</w:t>
            </w:r>
          </w:p>
          <w:p>
            <w:pPr>
              <w:pStyle w:val="ListParagraph"/>
              <w:numPr>
                <w:ilvl w:val="0"/>
                <w:numId w:val="2"/>
              </w:numPr>
              <w:spacing w:after="45"/>
            </w:pPr>
            <w:r>
              <w:rPr>
                <w:sz w:val="15"/>
                <w:szCs w:val="15"/>
              </w:rPr>
              <w:t xml:space="preserve">Cost was a stated secondary endpoint and no cost result is reported.</w:t>
            </w:r>
          </w:p>
          <w:p>
            <w:pPr>
              <w:pStyle w:val="ListParagraph"/>
              <w:numPr>
                <w:ilvl w:val="0"/>
                <w:numId w:val="2"/>
              </w:numPr>
              <w:spacing w:after="45"/>
            </w:pPr>
            <w:r>
              <w:rPr>
                <w:sz w:val="15"/>
                <w:szCs w:val="15"/>
              </w:rPr>
              <w:t xml:space="preserve">Internal inconsistencies: grade 3 or worse neutropenia is 2% in the published abstract and 0% in the Results, and biliary toxicity in men is 37% in the abstract and 38% in the Results.</w:t>
            </w:r>
          </w:p>
          <w:p>
            <w:pPr>
              <w:pStyle w:val="ListParagraph"/>
              <w:numPr>
                <w:ilvl w:val="0"/>
                <w:numId w:val="2"/>
              </w:numPr>
              <w:spacing w:after="45"/>
            </w:pPr>
            <w:r>
              <w:rPr>
                <w:sz w:val="15"/>
                <w:szCs w:val="15"/>
              </w:rPr>
              <w:t xml:space="preserve">No linked editorial or comment on this trial was found in PubMed, so no independent published critique informs this record.</w:t>
            </w:r>
          </w:p>
        </w:tc>
      </w:tr>
    </w:tbl>
    <w:p>
      <w:pPr>
        <w:spacing w:after="0" w:line="276"/>
      </w:pPr>
      <w:r>
        <w:rPr>
          <w:color w:val="5A6069"/>
          <w:sz w:val="14"/>
          <w:szCs w:val="14"/>
        </w:rPr>
        <w:t xml:space="preserve">Funding: Supported in part by National Cancer Institute grants to CALGB (CA31946), ECOG (CA23318), the CALGB Statistical Center (CA33601) and the participating centres. The disclosure table is garbled in this text extraction, but the article states that some authors or their immediate families indicated a financial interest; the pump used was a single commercial device</w:t>
      </w:r>
    </w:p>
    <w:p>
      <w:pPr>
        <w:keepNext/>
        <w:spacing w:after="50" w:before="260"/>
      </w:pPr>
      <w:r>
        <w:rPr>
          <w:rFonts w:ascii="Cambria" w:cs="Cambria" w:eastAsia="Cambria" w:hAnsi="Cambria"/>
          <w:b/>
          <w:bCs/>
          <w:color w:val="17365D"/>
          <w:sz w:val="20"/>
          <w:szCs w:val="20"/>
        </w:rPr>
        <w:t xml:space="preserve">CALGB/SWOG 80405</w:t>
      </w:r>
      <w:r>
        <w:rPr>
          <w:b/>
          <w:bCs/>
          <w:color w:val="176A87"/>
          <w:sz w:val="15"/>
          <w:szCs w:val="15"/>
        </w:rPr>
        <w:t xml:space="preserve">   Randomised trial</w:t>
      </w:r>
      <w:r>
        <w:rPr>
          <w:color w:val="5A6069"/>
          <w:sz w:val="15"/>
          <w:szCs w:val="15"/>
        </w:rPr>
        <w:t xml:space="preserve">   PMID 28632865</w:t>
      </w:r>
    </w:p>
    <w:p>
      <w:pPr>
        <w:spacing w:after="50" w:line="276"/>
      </w:pPr>
      <w:r>
        <w:rPr>
          <w:color w:val="5A6069"/>
          <w:sz w:val="17"/>
          <w:szCs w:val="17"/>
        </w:rPr>
        <w:t xml:space="preserve">Effect of First-Line Chemotherapy Combined With Cetuximab or Bevacizumab on Overall Survival in Patients With KRAS Wild-Type Advanced or Metastatic Colorectal Cancer: A Randomized Clinical Trial</w:t>
      </w:r>
    </w:p>
    <w:p>
      <w:pPr>
        <w:spacing w:after="50"/>
      </w:pPr>
      <w:r>
        <w:rPr>
          <w:b/>
          <w:bCs/>
          <w:color w:val="176A87"/>
          <w:sz w:val="16"/>
          <w:szCs w:val="16"/>
        </w:rPr>
        <w:t xml:space="preserve">Population. </w:t>
      </w:r>
      <w:r>
        <w:rPr>
          <w:sz w:val="16"/>
          <w:szCs w:val="16"/>
        </w:rPr>
        <w:t xml:space="preserve">1137 patients with centrally confirmed KRAS wild-type tumours (578 cetuximab, 559 bevacizumab) out of 2334 randomised and 3058 registered at 396 sites; median age 59, 440 women (39%), 874 deaths and 938 progressions by the December 2015 cut-off, median follow-up 47.4 months in the 263 survivors</w:t>
      </w:r>
    </w:p>
    <w:p>
      <w:pPr>
        <w:spacing w:after="70"/>
      </w:pPr>
      <w:r>
        <w:rPr>
          <w:b/>
          <w:bCs/>
          <w:color w:val="17365D"/>
          <w:sz w:val="16"/>
          <w:szCs w:val="16"/>
        </w:rPr>
        <w:t xml:space="preserve">Bottom line. </w:t>
      </w:r>
      <w:r>
        <w:rPr>
          <w:sz w:val="16"/>
          <w:szCs w:val="16"/>
        </w:rPr>
        <w:t xml:space="preserve">Establishes that in KRAS wild-type metastatic colorectal cancer, first-line cetuximab and bevacizumab added to FOLFOX or FOLFIRI give median survival around 29 to 30 months with no detectable difference, and that median survival exceeds five years in the 12% whose disease can be surgically cleared. It does not establish the two antibodies are equivalent: the trial was powered only for a 5.5-month gap, stopped for futility against that gap, and leaves a confidence interval reaching to a 23% survival advantage for cetuximab. The chemotherapy backbone was self-selected rather than randomised, primary tumour sidedness was never collected, and the surgical conversion figures that matter most to a liver surgeon are reported without denominators or arm-level counts.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imbalance in the patient-and-physician choice of mFOLFOX6 versus FOLFIRI limits any statistical comparison of the chemotherapy regimens and of their possible interaction with the antibodies</w:t>
            </w:r>
          </w:p>
          <w:p>
            <w:pPr>
              <w:pStyle w:val="ListParagraph"/>
              <w:numPr>
                <w:ilvl w:val="0"/>
                <w:numId w:val="2"/>
              </w:numPr>
              <w:spacing w:after="45"/>
            </w:pPr>
            <w:r>
              <w:rPr>
                <w:sz w:val="15"/>
                <w:szCs w:val="15"/>
              </w:rPr>
              <w:t xml:space="preserve">Only first-line treatment was mandated, patients going more than 28 days without treatment were removed from study, treatment holidays became more common during the trial, and the drugs, schedules and doses of subsequent therapy were not reliably collected, so the effect of later management cannot be inferred</w:t>
            </w:r>
          </w:p>
          <w:p>
            <w:pPr>
              <w:pStyle w:val="ListParagraph"/>
              <w:numPr>
                <w:ilvl w:val="0"/>
                <w:numId w:val="2"/>
              </w:numPr>
              <w:spacing w:after="45"/>
            </w:pPr>
            <w:r>
              <w:rPr>
                <w:sz w:val="15"/>
                <w:szCs w:val="15"/>
              </w:rPr>
              <w:t xml:space="preserve">Primary tumour site (right versus left colon) was not captured on study and had to be obtained post hoc by chart review; the authors note it has since been suggested to influence outcome as a biological surrogate</w:t>
            </w:r>
          </w:p>
          <w:p>
            <w:pPr>
              <w:pStyle w:val="ListParagraph"/>
              <w:numPr>
                <w:ilvl w:val="0"/>
                <w:numId w:val="2"/>
              </w:numPr>
              <w:spacing w:after="45"/>
            </w:pPr>
            <w:r>
              <w:rPr>
                <w:sz w:val="15"/>
                <w:szCs w:val="15"/>
              </w:rPr>
              <w:t xml:space="preserve">No adjustment was made for multiple comparisons in the secondary endpoints, which the authors state should be considered exploratory, and the subgroup analyses by expanded RAS, sex, race and chemotherapy are labelled unplanned and post hoc</w:t>
            </w:r>
          </w:p>
          <w:p>
            <w:pPr>
              <w:pStyle w:val="ListParagraph"/>
              <w:numPr>
                <w:ilvl w:val="0"/>
                <w:numId w:val="2"/>
              </w:numPr>
              <w:spacing w:after="45"/>
            </w:pPr>
            <w:r>
              <w:rPr>
                <w:sz w:val="15"/>
                <w:szCs w:val="15"/>
              </w:rPr>
              <w:t xml:space="preserve">Observed survival greatly exceeded the 22 months assumed at design, which the authors attribute to better regimens, exclusion of KRAS-mutant patients, lower tumour burden from better imaging, commercial availability of both antibodies after progression, and the 12% rendered disease free by surgery</w:t>
            </w:r>
          </w:p>
          <w:p>
            <w:pPr>
              <w:pStyle w:val="ListParagraph"/>
              <w:numPr>
                <w:ilvl w:val="0"/>
                <w:numId w:val="2"/>
              </w:numPr>
              <w:spacing w:after="45"/>
            </w:pPr>
            <w:r>
              <w:rPr>
                <w:sz w:val="15"/>
                <w:szCs w:val="15"/>
              </w:rPr>
              <w:t xml:space="preserve">The authors state their explanation for the discrepancy with FIRE-3 (routine use of bevacizumab beyond progression in the United States) is speculative, and that the FIRE-3 sequencing hypothesis is not addressed by this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conclusion of 'no significant difference' is a failure to reject, not equivalence. The trial was powered only for a hazard ratio of 0.80 and a 5.5-month survival gain, and the observed overall survival HR of 0.88 has a 95% CI of 0.77 to 1.01 - compatible with up to a 23% reduction in the hazard of death with cetuximab. The paper nowhere states what differences the data exclude.</w:t>
            </w:r>
          </w:p>
          <w:p>
            <w:pPr>
              <w:pStyle w:val="ListParagraph"/>
              <w:numPr>
                <w:ilvl w:val="0"/>
                <w:numId w:val="2"/>
              </w:numPr>
              <w:spacing w:after="45"/>
            </w:pPr>
            <w:r>
              <w:rPr>
                <w:sz w:val="15"/>
                <w:szCs w:val="15"/>
              </w:rPr>
              <w:t xml:space="preserve">The trial was released after the 11th interim analysis on the ground that neither arm could still meet the 5.5-month superiority goal, which is a futility stop against a large prespecified effect; the adjusted two-sided significance level at the final analysis was 0.06 and the observed p was 0.08, so the primary comparison stopped just short of a boundary that was itself relaxed by the interim schedule.</w:t>
            </w:r>
          </w:p>
          <w:p>
            <w:pPr>
              <w:pStyle w:val="ListParagraph"/>
              <w:numPr>
                <w:ilvl w:val="0"/>
                <w:numId w:val="2"/>
              </w:numPr>
              <w:spacing w:after="45"/>
            </w:pPr>
            <w:r>
              <w:rPr>
                <w:sz w:val="15"/>
                <w:szCs w:val="15"/>
              </w:rPr>
              <w:t xml:space="preserve">Local and central KRAS results agreed poorly: the kappa statistic was 0.52 with a 90% lower confidence bound of 0.32, against the 0.75 benchmark the statistical plan set. Yet from July 2010 eligibility could be established in any CLIA-certified laboratory. The paper reports the failed benchmark and does not revisit what it means for a trial whose eligibility is a mutation test.</w:t>
            </w:r>
          </w:p>
          <w:p>
            <w:pPr>
              <w:pStyle w:val="ListParagraph"/>
              <w:numPr>
                <w:ilvl w:val="0"/>
                <w:numId w:val="2"/>
              </w:numPr>
              <w:spacing w:after="45"/>
            </w:pPr>
            <w:r>
              <w:rPr>
                <w:sz w:val="15"/>
                <w:szCs w:val="15"/>
              </w:rPr>
              <w:t xml:space="preserve">The reported response-rate difference is internally inconsistent as printed: 4.4% with a 95% CI of 1.0% to 9.0%, an interval excluding zero, alongside p=0.13. Two incompatible methods are reported side by side and neither is reconciled.</w:t>
            </w:r>
          </w:p>
          <w:p>
            <w:pPr>
              <w:pStyle w:val="ListParagraph"/>
              <w:numPr>
                <w:ilvl w:val="0"/>
                <w:numId w:val="2"/>
              </w:numPr>
              <w:spacing w:after="45"/>
            </w:pPr>
            <w:r>
              <w:rPr>
                <w:sz w:val="15"/>
                <w:szCs w:val="15"/>
              </w:rPr>
              <w:t xml:space="preserve">Only 1137 of 2334 randomised patients (49%) appear in the analysis. The dual-antibody arm was closed and its patients removed from study, KRAS-mutant patients were excluded, and 333 of the analysed patients were registered before KRAS eligibility existed and had their status established retrospectively. The reported population is a retrospectively defined biomarker subset of a three-arm trial.</w:t>
            </w:r>
          </w:p>
          <w:p>
            <w:pPr>
              <w:pStyle w:val="ListParagraph"/>
              <w:numPr>
                <w:ilvl w:val="0"/>
                <w:numId w:val="2"/>
              </w:numPr>
              <w:spacing w:after="45"/>
            </w:pPr>
            <w:r>
              <w:rPr>
                <w:sz w:val="15"/>
                <w:szCs w:val="15"/>
              </w:rPr>
              <w:t xml:space="preserve">The stated treatment goal was imbalanced in the direction of the subgroup the paper leans on: cure was the intent in 17.1% (99 of 578) of cetuximab patients against 13.2% (74 of 559) of bevacizumab patients. Intent was recorded at randomisation but was not a stratification factor and is not adjusted for in the surgery analysis.</w:t>
            </w:r>
          </w:p>
          <w:p>
            <w:pPr>
              <w:pStyle w:val="ListParagraph"/>
              <w:numPr>
                <w:ilvl w:val="0"/>
                <w:numId w:val="2"/>
              </w:numPr>
              <w:spacing w:after="45"/>
            </w:pPr>
            <w:r>
              <w:rPr>
                <w:sz w:val="15"/>
                <w:szCs w:val="15"/>
              </w:rPr>
              <w:t xml:space="preserve">The surgical conversion result most relevant to liver metastases - 140 patients rendered disease free with median overall survival of 64.7 and 62.2 months - is reported without the number converted in each arm, without a denominator for who was ever a candidate, and without any adjustment. A median survival of over five years in patients selected by having responded enough to be operated on is a statement about selection, not about either antibody.</w:t>
            </w:r>
          </w:p>
          <w:p>
            <w:pPr>
              <w:pStyle w:val="ListParagraph"/>
              <w:numPr>
                <w:ilvl w:val="0"/>
                <w:numId w:val="2"/>
              </w:numPr>
              <w:spacing w:after="45"/>
            </w:pPr>
            <w:r>
              <w:rPr>
                <w:sz w:val="15"/>
                <w:szCs w:val="15"/>
              </w:rPr>
              <w:t xml:space="preserve">Response and progression were assessed by the treating investigator in an open-label trial with no blinding and no central radiology review, and progression-free survival was a secondary endpoint evaluated on that basis.</w:t>
            </w:r>
          </w:p>
          <w:p>
            <w:pPr>
              <w:pStyle w:val="ListParagraph"/>
              <w:numPr>
                <w:ilvl w:val="0"/>
                <w:numId w:val="2"/>
              </w:numPr>
              <w:spacing w:after="45"/>
            </w:pPr>
            <w:r>
              <w:rPr>
                <w:sz w:val="15"/>
                <w:szCs w:val="15"/>
              </w:rPr>
              <w:t xml:space="preserve">Expanded RAS testing was done only in 'a subset of specimens' after the trial closed; the main text gives no number, no proportion and no account of why some specimens were testable, yet the expanded RAS analysis is used to argue the primary result holds in the population now treated.</w:t>
            </w:r>
          </w:p>
          <w:p>
            <w:pPr>
              <w:pStyle w:val="ListParagraph"/>
              <w:numPr>
                <w:ilvl w:val="0"/>
                <w:numId w:val="2"/>
              </w:numPr>
              <w:spacing w:after="45"/>
            </w:pPr>
            <w:r>
              <w:rPr>
                <w:sz w:val="15"/>
                <w:szCs w:val="15"/>
              </w:rPr>
              <w:t xml:space="preserve">Centre was explicitly excluded from the analysis because there were too many sites (396), so a trial run largely in community practice carries no accounting for centre effect in a disease where multidisciplinary management and hepatobiliary surgical availability vary enormously between sites.</w:t>
            </w:r>
          </w:p>
          <w:p>
            <w:pPr>
              <w:pStyle w:val="ListParagraph"/>
              <w:numPr>
                <w:ilvl w:val="0"/>
                <w:numId w:val="2"/>
              </w:numPr>
              <w:spacing w:after="45"/>
            </w:pPr>
            <w:r>
              <w:rPr>
                <w:sz w:val="15"/>
                <w:szCs w:val="15"/>
              </w:rPr>
              <w:t xml:space="preserve">The only positive signal in the paper - cetuximab better with mFOLFOX6 (HR 0.83, 95% CI 0.71-0.98) but not FOLFIRI (HR 1.04, 0.79-1.35) - arises from a comparison across groups that patients and physicians self-selected into before randomisation, and the interaction test itself is not significant (HR 1.27, 95% CI 0.94-1.73, p=0.11). It is reported in the abstract-level narrative nonetheless.</w:t>
            </w:r>
          </w:p>
          <w:p>
            <w:pPr>
              <w:pStyle w:val="ListParagraph"/>
              <w:numPr>
                <w:ilvl w:val="0"/>
                <w:numId w:val="2"/>
              </w:numPr>
              <w:spacing w:after="45"/>
            </w:pPr>
            <w:r>
              <w:rPr>
                <w:sz w:val="15"/>
                <w:szCs w:val="15"/>
              </w:rPr>
              <w:t xml:space="preserve">Race was collapsed to white versus non-white for analysis because 82% of the sample was white, and ethnicity was reported only descriptively, so the trial can say nothing about either; this is a methods decision with no accompanying caveat.</w:t>
            </w:r>
          </w:p>
          <w:p>
            <w:pPr>
              <w:pStyle w:val="ListParagraph"/>
              <w:numPr>
                <w:ilvl w:val="0"/>
                <w:numId w:val="2"/>
              </w:numPr>
              <w:spacing w:after="45"/>
            </w:pPr>
            <w:r>
              <w:rPr>
                <w:sz w:val="15"/>
                <w:szCs w:val="15"/>
              </w:rPr>
              <w:t xml:space="preserve">Both drug manufacturers were inside the trial: Genentech makes bevacizumab, Eli Lilly supplied the cetuximab, and both are recorded as participating in protocol development and in the review and approval of the final manuscript of a trial comparing their products.</w:t>
            </w:r>
          </w:p>
          <w:p>
            <w:pPr>
              <w:pStyle w:val="ListParagraph"/>
              <w:numPr>
                <w:ilvl w:val="0"/>
                <w:numId w:val="2"/>
              </w:numPr>
              <w:spacing w:after="45"/>
            </w:pPr>
            <w:r>
              <w:rPr>
                <w:sz w:val="15"/>
                <w:szCs w:val="15"/>
              </w:rPr>
              <w:t xml:space="preserve">The 12% rendered disease free and the 41% still disease free at a median of 5.5 years are offered in the Discussion as an explanation for the high survival, but no CONSORT-style accounting of who was resected, when, or with what margin appears anywhere, so this depot's interest in the paper - conversion to surgery - rests on two sentences without a table.</w:t>
            </w:r>
          </w:p>
          <w:p>
            <w:pPr>
              <w:pStyle w:val="ListParagraph"/>
              <w:numPr>
                <w:ilvl w:val="0"/>
                <w:numId w:val="2"/>
              </w:numPr>
              <w:spacing w:after="45"/>
            </w:pPr>
            <w:r>
              <w:rPr>
                <w:sz w:val="15"/>
                <w:szCs w:val="15"/>
              </w:rPr>
              <w:t xml:space="preserve">Lieu and Messersmith's linked JAMA editorial (PMID 28632850, 'No difference, but not the same') argues that absence of a detected difference does not make the antibodies interchangeable; its text was identified in PubMed but not read for this record, so its reasoning is not reflected here beyond its title claim.</w:t>
            </w:r>
          </w:p>
        </w:tc>
      </w:tr>
    </w:tbl>
    <w:p>
      <w:pPr>
        <w:spacing w:after="0" w:line="276"/>
      </w:pPr>
      <w:r>
        <w:rPr>
          <w:color w:val="5A6069"/>
          <w:sz w:val="14"/>
          <w:szCs w:val="14"/>
        </w:rPr>
        <w:t xml:space="preserve">Funding: National Cancer Institute grants to the Alliance for Clinical Trials in Oncology and participating centres (U10CA180821, U10CA180882 and others), supported in part by Eli Lilly, Genentech, Pfizer and Sanofi. The NCI, Eli Lilly, Genentech and Pfizer participated in protocol development and in review and approval of the final manuscript, and Eli Lilly provided the cetuximab. Most senior authors declare grants, personal fees or advisory roles with Genentech/Roche, Merck KGaA, Bristol-Myers Squibb, Lilly, Amgen, Bayer and others</w:t>
      </w:r>
    </w:p>
    <w:p>
      <w:pPr>
        <w:keepNext/>
        <w:spacing w:after="50" w:before="260"/>
      </w:pPr>
      <w:r>
        <w:rPr>
          <w:rFonts w:ascii="Cambria" w:cs="Cambria" w:eastAsia="Cambria" w:hAnsi="Cambria"/>
          <w:b/>
          <w:bCs/>
          <w:color w:val="17365D"/>
          <w:sz w:val="20"/>
          <w:szCs w:val="20"/>
        </w:rPr>
        <w:t xml:space="preserve">CheckMate 8HW</w:t>
      </w:r>
      <w:r>
        <w:rPr>
          <w:b/>
          <w:bCs/>
          <w:color w:val="176A87"/>
          <w:sz w:val="15"/>
          <w:szCs w:val="15"/>
        </w:rPr>
        <w:t xml:space="preserve">   Randomised trial</w:t>
      </w:r>
      <w:r>
        <w:rPr>
          <w:color w:val="5A6069"/>
          <w:sz w:val="15"/>
          <w:szCs w:val="15"/>
        </w:rPr>
        <w:t xml:space="preserve">   PMID 39874977</w:t>
      </w:r>
    </w:p>
    <w:p>
      <w:pPr>
        <w:spacing w:after="50" w:line="276"/>
      </w:pPr>
      <w:r>
        <w:rPr>
          <w:color w:val="5A6069"/>
          <w:sz w:val="17"/>
          <w:szCs w:val="17"/>
        </w:rPr>
        <w:t xml:space="preserve">Nivolumab plus ipilimumab versus nivolumab in microsatellite instability-high metastatic colorectal cancer (CheckMate 8HW): a randomised, open-label, phase 3 trial</w:t>
      </w:r>
    </w:p>
    <w:p>
      <w:pPr>
        <w:spacing w:after="50"/>
      </w:pPr>
      <w:r>
        <w:rPr>
          <w:b/>
          <w:bCs/>
          <w:color w:val="176A87"/>
          <w:sz w:val="16"/>
          <w:szCs w:val="16"/>
        </w:rPr>
        <w:t xml:space="preserve">Population. </w:t>
      </w:r>
      <w:r>
        <w:rPr>
          <w:sz w:val="16"/>
          <w:szCs w:val="16"/>
        </w:rPr>
        <w:t xml:space="preserve">839 patients with locally determined MSI-high or mismatch repair-deficient unresectable or metastatic colorectal cancer randomised at 128 hospitals in 23 countries (354 nivolumab plus ipilimumab, 353 nivolumab, 132 chemotherapy) from 1147 assessed for eligibility; the primary efficacy population is the 582 with centrally confirmed status (296 and 286), and 57% of each immunotherapy group was previously untreated. Median follow-up 47.0 months</w:t>
      </w:r>
    </w:p>
    <w:p>
      <w:pPr>
        <w:spacing w:after="70"/>
      </w:pPr>
      <w:r>
        <w:rPr>
          <w:b/>
          <w:bCs/>
          <w:color w:val="17365D"/>
          <w:sz w:val="16"/>
          <w:szCs w:val="16"/>
        </w:rPr>
        <w:t xml:space="preserve">Bottom line. </w:t>
      </w:r>
      <w:r>
        <w:rPr>
          <w:sz w:val="16"/>
          <w:szCs w:val="16"/>
        </w:rPr>
        <w:t xml:space="preserve">Shows that in MSI-high or mismatch repair-deficient metastatic colorectal cancer, adding ipilimumab to nivolumab lengthens centrally reviewed progression-free survival across all treatment lines (HR 0.62, 95% CI 0.48-0.81) and raises response from 58% to 71%, at the cost of roughly doubled grade 3-4 toxicity and discontinuation. It does not show this holds first line, where the same comparison failed its prespecified boundary at this interim and remains masked, nor that patients live longer, since overall survival is withheld even as the paper prints 29% against 42% deaths. Nothing in it addresses liver-directed treatment, so its bearing on colorectal liver metastases is confined to what to give before any local therapy is considered.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open label, so biases in reporting of treatment assessments are conceivable; the authors argue the high concordance between blinded central review and investigator assessment of progression-free survival (88% in the combination group and 89% with nivolumab) suggests the design did not affect efficacy assessment</w:t>
            </w:r>
          </w:p>
          <w:p>
            <w:pPr>
              <w:pStyle w:val="ListParagraph"/>
              <w:numPr>
                <w:ilvl w:val="0"/>
                <w:numId w:val="2"/>
              </w:numPr>
              <w:spacing w:after="45"/>
            </w:pPr>
            <w:r>
              <w:rPr>
                <w:sz w:val="15"/>
                <w:szCs w:val="15"/>
              </w:rPr>
              <w:t xml:space="preserve">Because of the shorter minimum follow-up at this interim analysis, secondary endpoints including duration of response remain immature</w:t>
            </w:r>
          </w:p>
          <w:p>
            <w:pPr>
              <w:pStyle w:val="ListParagraph"/>
              <w:numPr>
                <w:ilvl w:val="0"/>
                <w:numId w:val="2"/>
              </w:numPr>
              <w:spacing w:after="45"/>
            </w:pPr>
            <w:r>
              <w:rPr>
                <w:sz w:val="15"/>
                <w:szCs w:val="15"/>
              </w:rPr>
              <w:t xml:space="preserve">Patient numbers in some prespecified subgroups were low, limiting interpretation</w:t>
            </w:r>
          </w:p>
          <w:p>
            <w:pPr>
              <w:pStyle w:val="ListParagraph"/>
              <w:numPr>
                <w:ilvl w:val="0"/>
                <w:numId w:val="2"/>
              </w:numPr>
              <w:spacing w:after="45"/>
            </w:pPr>
            <w:r>
              <w:rPr>
                <w:sz w:val="15"/>
                <w:szCs w:val="15"/>
              </w:rPr>
              <w:t xml:space="preserve">Subgroup analyses of progression-free survival and response by line of treatment would have been of interest but treatment lines remain masked under the hierarchical testing plan</w:t>
            </w:r>
          </w:p>
          <w:p>
            <w:pPr>
              <w:pStyle w:val="ListParagraph"/>
              <w:numPr>
                <w:ilvl w:val="0"/>
                <w:numId w:val="2"/>
              </w:numPr>
              <w:spacing w:after="45"/>
            </w:pPr>
            <w:r>
              <w:rPr>
                <w:sz w:val="15"/>
                <w:szCs w:val="15"/>
              </w:rPr>
              <w:t xml:space="preserve">Overall survival data remain masked and will be valuable to contextualise the results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comparison that would license the headline recommendation was negative. The Outcomes section states that progression-free survival for nivolumab plus ipilimumab versus nivolumab in the first-line setting did not meet the prespecified statistical criteria at this interim analysis and remains masked. The Interpretation, abstract and Discussion nonetheless propose the combination as a potential new standard of care, supported only by the separate comparison against chemotherapy.</w:t>
            </w:r>
          </w:p>
          <w:p>
            <w:pPr>
              <w:pStyle w:val="ListParagraph"/>
              <w:numPr>
                <w:ilvl w:val="0"/>
                <w:numId w:val="2"/>
              </w:numPr>
              <w:spacing w:after="45"/>
            </w:pPr>
            <w:r>
              <w:rPr>
                <w:sz w:val="15"/>
                <w:szCs w:val="15"/>
              </w:rPr>
              <w:t xml:space="preserve">Overall survival is withheld under the testing plan, but the paper prints all-cause deaths of 103 of 352 (29%) with the combination against 149 of 351 (42%) with nivolumab in the safety section. The reader is handed a 13-percentage-point difference in deaths as a descriptive line while the analysis of that endpoint is masked.</w:t>
            </w:r>
          </w:p>
          <w:p>
            <w:pPr>
              <w:pStyle w:val="ListParagraph"/>
              <w:numPr>
                <w:ilvl w:val="0"/>
                <w:numId w:val="2"/>
              </w:numPr>
              <w:spacing w:after="45"/>
            </w:pPr>
            <w:r>
              <w:rPr>
                <w:sz w:val="15"/>
                <w:szCs w:val="15"/>
              </w:rPr>
              <w:t xml:space="preserve">The alpha against which p=0.0003 is judged was recycled. The 0.05 overall error was split 0.044 to the chemotherapy comparison and 0.006 to this one; once the chemotherapy comparison succeeded, 0.024 was passed across for a total of 0.03, and the group-sequential split between this interim and the final analysis is only in the appendix. The nominal p value in the abstract is not the test that was performed.</w:t>
            </w:r>
          </w:p>
          <w:p>
            <w:pPr>
              <w:pStyle w:val="ListParagraph"/>
              <w:numPr>
                <w:ilvl w:val="0"/>
                <w:numId w:val="2"/>
              </w:numPr>
              <w:spacing w:after="45"/>
            </w:pPr>
            <w:r>
              <w:rPr>
                <w:sz w:val="15"/>
                <w:szCs w:val="15"/>
              </w:rPr>
              <w:t xml:space="preserve">The primary efficacy population is 582 of 707 randomised immunotherapy patients (82%), because enrolment used local MSI or mismatch repair testing and 125 (18%) failed central confirmation for microsatellite stability, mismatch repair proficiency or unstated other reasons. A trial that depends on a biomarker enrolled a fifth of its patients without it.</w:t>
            </w:r>
          </w:p>
          <w:p>
            <w:pPr>
              <w:pStyle w:val="ListParagraph"/>
              <w:numPr>
                <w:ilvl w:val="0"/>
                <w:numId w:val="2"/>
              </w:numPr>
              <w:spacing w:after="45"/>
            </w:pPr>
            <w:r>
              <w:rPr>
                <w:sz w:val="15"/>
                <w:szCs w:val="15"/>
              </w:rPr>
              <w:t xml:space="preserve">The two populations give very different comparator results and this is not explained. Median progression-free survival in the nivolumab arm is 39.3 months in the centrally confirmed population but 18.4 months in all randomised patients, an 18-month swing, while the combination arm barely moves (not reached vs 54.1 months). The all-randomised analysis is described as consistent; what it actually shows is that the patients central testing excluded did far worse on nivolumab alone.</w:t>
            </w:r>
          </w:p>
          <w:p>
            <w:pPr>
              <w:pStyle w:val="ListParagraph"/>
              <w:numPr>
                <w:ilvl w:val="0"/>
                <w:numId w:val="2"/>
              </w:numPr>
              <w:spacing w:after="45"/>
            </w:pPr>
            <w:r>
              <w:rPr>
                <w:sz w:val="15"/>
                <w:szCs w:val="15"/>
              </w:rPr>
              <w:t xml:space="preserve">Sex was unevenly distributed - female 192 of 354 (54%) in the combination arm against 163 of 353 (46%) with nivolumab - and the baseline table is described as similar. The hazard ratio was estimated from a stratified Cox model with randomised group as the single covariate, so no baseline characteristic is adjusted for.</w:t>
            </w:r>
          </w:p>
          <w:p>
            <w:pPr>
              <w:pStyle w:val="ListParagraph"/>
              <w:numPr>
                <w:ilvl w:val="0"/>
                <w:numId w:val="2"/>
              </w:numPr>
              <w:spacing w:after="45"/>
            </w:pPr>
            <w:r>
              <w:rPr>
                <w:sz w:val="15"/>
                <w:szCs w:val="15"/>
              </w:rPr>
              <w:t xml:space="preserve">The defence against open-label bias is 88% and 89% concordance between central and investigator reads of the same scans. Concordance between two unmasked assessors does not address the mechanisms that matter in an unblinded trial: when imaging was ordered, when a borderline scan was called progression, and when a patient on single-agent therapy was taken off study.</w:t>
            </w:r>
          </w:p>
          <w:p>
            <w:pPr>
              <w:pStyle w:val="ListParagraph"/>
              <w:numPr>
                <w:ilvl w:val="0"/>
                <w:numId w:val="2"/>
              </w:numPr>
              <w:spacing w:after="45"/>
            </w:pPr>
            <w:r>
              <w:rPr>
                <w:sz w:val="15"/>
                <w:szCs w:val="15"/>
              </w:rPr>
              <w:t xml:space="preserve">The toxicity cost of the second drug is substantial and is not formally compared: grade 3-4 treatment-related events 78 of 352 (22%) against 50 of 351 (14%), discontinuation of any drug for treatment-related toxicity 48 (14%) against 21 (6%), and two of the three treatment-related deaths (myocarditis and pneumonitis) in the combination arm. No p value, risk difference or number-needed-to-harm appears for any of these.</w:t>
            </w:r>
          </w:p>
          <w:p>
            <w:pPr>
              <w:pStyle w:val="ListParagraph"/>
              <w:numPr>
                <w:ilvl w:val="0"/>
                <w:numId w:val="2"/>
              </w:numPr>
              <w:spacing w:after="45"/>
            </w:pPr>
            <w:r>
              <w:rPr>
                <w:sz w:val="15"/>
                <w:szCs w:val="15"/>
              </w:rPr>
              <w:t xml:space="preserve">The quality-of-life argument is exploratory and non-comparative: scores were assessed only in centrally confirmed treated patients with available questionnaire data, against a within-group 10-point threshold, with no completion rates in the main text. The conclusion that the efficacy gain was 'not at the expense of diminished health-related quality of life' rests on the absence of a within-arm change, not on a between-arm test.</w:t>
            </w:r>
          </w:p>
          <w:p>
            <w:pPr>
              <w:pStyle w:val="ListParagraph"/>
              <w:numPr>
                <w:ilvl w:val="0"/>
                <w:numId w:val="2"/>
              </w:numPr>
              <w:spacing w:after="45"/>
            </w:pPr>
            <w:r>
              <w:rPr>
                <w:sz w:val="15"/>
                <w:szCs w:val="15"/>
              </w:rPr>
              <w:t xml:space="preserve">Of 1147 patients assessed, 308 were ineligible and 239 of those 'no longer met study criteria' with no further breakdown, so the step between a patient with MSI-high disease in clinic and a patient in this trial is unquantified.</w:t>
            </w:r>
          </w:p>
          <w:p>
            <w:pPr>
              <w:pStyle w:val="ListParagraph"/>
              <w:numPr>
                <w:ilvl w:val="0"/>
                <w:numId w:val="2"/>
              </w:numPr>
              <w:spacing w:after="45"/>
            </w:pPr>
            <w:r>
              <w:rPr>
                <w:sz w:val="15"/>
                <w:szCs w:val="15"/>
              </w:rPr>
              <w:t xml:space="preserve">PD-L1 testing is described in the methods and its results appear nowhere in the main text, alongside the acknowledged under-populated subgroups, so the paper offers no basis for identifying who needs two drugs rather than one.</w:t>
            </w:r>
          </w:p>
          <w:p>
            <w:pPr>
              <w:pStyle w:val="ListParagraph"/>
              <w:numPr>
                <w:ilvl w:val="0"/>
                <w:numId w:val="2"/>
              </w:numPr>
              <w:spacing w:after="45"/>
            </w:pPr>
            <w:r>
              <w:rPr>
                <w:sz w:val="15"/>
                <w:szCs w:val="15"/>
              </w:rPr>
              <w:t xml:space="preserve">Duration of response was not reached in either arm and is conceded immature, so the response difference (71% vs 58%) and the progression-free survival difference are both statements about curves that have not yet separated into a durable-benefit claim.</w:t>
            </w:r>
          </w:p>
          <w:p>
            <w:pPr>
              <w:pStyle w:val="ListParagraph"/>
              <w:numPr>
                <w:ilvl w:val="0"/>
                <w:numId w:val="2"/>
              </w:numPr>
              <w:spacing w:after="45"/>
            </w:pPr>
            <w:r>
              <w:rPr>
                <w:sz w:val="15"/>
                <w:szCs w:val="15"/>
              </w:rPr>
              <w:t xml:space="preserve">For this depot's purposes the trial reports no local therapy at all: patients had unresectable or metastatic disease, resection and ablation were not endpoints, and nothing here addresses whether an MSI-high liver metastasis responding to checkpoint blockade should then be resected.</w:t>
            </w:r>
          </w:p>
          <w:p>
            <w:pPr>
              <w:pStyle w:val="ListParagraph"/>
              <w:numPr>
                <w:ilvl w:val="0"/>
                <w:numId w:val="2"/>
              </w:numPr>
              <w:spacing w:after="45"/>
            </w:pPr>
            <w:r>
              <w:rPr>
                <w:sz w:val="15"/>
                <w:szCs w:val="15"/>
              </w:rPr>
              <w:t xml:space="preserve">A linked Lancet Comment (PMID 39874978, Haldar and Kopetz, 2025;405:354-6) was identified in PubMed but its text was not available here, so its objections are not reflected in this record.</w:t>
            </w:r>
          </w:p>
        </w:tc>
      </w:tr>
    </w:tbl>
    <w:p>
      <w:pPr>
        <w:spacing w:after="0" w:line="276"/>
      </w:pPr>
      <w:r>
        <w:rPr>
          <w:color w:val="5A6069"/>
          <w:sz w:val="14"/>
          <w:szCs w:val="14"/>
        </w:rPr>
        <w:t xml:space="preserve">Funding: Bristol Myers Squibb and Ono Pharmaceutical. The sponsor funded the trial, provided the trial agents, collaborated with the academic authors on design and on the collection, analysis and interpretation of the data, and funded the medical writing including the first draft; the five contributors listed as responsible for data analysis are sponsor-affiliated. Nearly every academic author declares consulting, honoraria or institutional research funding from Bristol Myers Squibb, and one declares patents and royalties with the sponsor</w:t>
      </w:r>
    </w:p>
    <w:p>
      <w:pPr>
        <w:keepNext/>
        <w:spacing w:after="50" w:before="260"/>
      </w:pPr>
      <w:r>
        <w:rPr>
          <w:rFonts w:ascii="Cambria" w:cs="Cambria" w:eastAsia="Cambria" w:hAnsi="Cambria"/>
          <w:b/>
          <w:bCs/>
          <w:color w:val="17365D"/>
          <w:sz w:val="20"/>
          <w:szCs w:val="20"/>
        </w:rPr>
        <w:t xml:space="preserve">Chinese 2024 consensus</w:t>
      </w:r>
      <w:r>
        <w:rPr>
          <w:b/>
          <w:bCs/>
          <w:color w:val="176A87"/>
          <w:sz w:val="15"/>
          <w:szCs w:val="15"/>
        </w:rPr>
        <w:t xml:space="preserve">   Consensus statement</w:t>
      </w:r>
      <w:r>
        <w:rPr>
          <w:color w:val="5A6069"/>
          <w:sz w:val="15"/>
          <w:szCs w:val="15"/>
        </w:rPr>
        <w:t xml:space="preserve">   PMID 40640089</w:t>
      </w:r>
    </w:p>
    <w:p>
      <w:pPr>
        <w:spacing w:after="50" w:line="276"/>
      </w:pPr>
      <w:r>
        <w:rPr>
          <w:color w:val="5A6069"/>
          <w:sz w:val="17"/>
          <w:szCs w:val="17"/>
        </w:rPr>
        <w:t xml:space="preserve">Diagnosis and treatment of colorectal liver metastases: Chinese expert consensus-based multidisciplinary team (2024 edition)</w:t>
      </w:r>
    </w:p>
    <w:p>
      <w:pPr>
        <w:spacing w:after="70"/>
      </w:pPr>
      <w:r>
        <w:rPr>
          <w:b/>
          <w:bCs/>
          <w:color w:val="17365D"/>
          <w:sz w:val="16"/>
          <w:szCs w:val="16"/>
        </w:rPr>
        <w:t xml:space="preserve">Bottom line. </w:t>
      </w:r>
      <w:r>
        <w:rPr>
          <w:sz w:val="16"/>
          <w:szCs w:val="16"/>
        </w:rPr>
        <w:t xml:space="preserve">Sets out, in four pages, what a Chinese multidisciplinary consensus panel recommends across the whole colorectal liver metastasis pathway, organised usefully around whether no evidence of disease is achievable, potentially achievable or not - with liver MRI before any local treatment, universal molecular testing, and locoregional therapy after systemic failure. It is not an auditable guideline: no consensus method, search strategy or agreement threshold is described, the evidence base and the grade definitions are held in an online supplement, and the grading system does not map onto the Western guidelines a tumour board reads alongside it. For a liver surgeon the gaps matter most: no definition of an adequate remnant, no criteria for staged hepatectomy or ALPPS, and no mention of transplantation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are stated anywhere in the paper. The only concession is the recommendation itself that adjuvant therapy after resection may improve disease-free survival but lacks overall survival evidence and should be used with caution (Grade III, Class 2B)</w:t>
            </w:r>
          </w:p>
          <w:p>
            <w:pPr>
              <w:pStyle w:val="ListParagraph"/>
              <w:numPr>
                <w:ilvl w:val="0"/>
                <w:numId w:val="2"/>
              </w:numPr>
              <w:spacing w:after="45"/>
            </w:pPr>
            <w:r>
              <w:rPr>
                <w:sz w:val="15"/>
                <w:szCs w:val="15"/>
              </w:rPr>
              <w:t xml:space="preserve">The authors state that the 2017 consensus could no longer meet clinical needs and that this edition summarises the latest domestic and international progress and gathers expert opinion</w:t>
            </w:r>
          </w:p>
          <w:p>
            <w:pPr>
              <w:pStyle w:val="ListParagraph"/>
              <w:numPr>
                <w:ilvl w:val="0"/>
                <w:numId w:val="2"/>
              </w:numPr>
              <w:spacing w:after="45"/>
            </w:pPr>
            <w:r>
              <w:rPr>
                <w:sz w:val="15"/>
                <w:szCs w:val="15"/>
              </w:rPr>
              <w:t xml:space="preserve">They state that the full-length consensus, the evidence categories and the recommendation grade definitions are all in an online supplement rather than in the published article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No consensus methodology is described at all: no panel composition beyond the author list, no Delphi or voting process, no agreement threshold, no literature search, no dates, no inclusion criteria and no record of disagreement. A document of 31 graded recommendations gives the reader no way to know how any of them was arrived at.</w:t>
            </w:r>
          </w:p>
          <w:p>
            <w:pPr>
              <w:pStyle w:val="ListParagraph"/>
              <w:numPr>
                <w:ilvl w:val="0"/>
                <w:numId w:val="2"/>
              </w:numPr>
              <w:spacing w:after="45"/>
            </w:pPr>
            <w:r>
              <w:rPr>
                <w:sz w:val="15"/>
                <w:szCs w:val="15"/>
              </w:rPr>
              <w:t xml:space="preserve">The evidence base cannot be audited from the published paper. The full text, the grade definitions and the supplementary tables are all deferred to an online supplement, so every Grade and Class in the four published pages is an unverifiable label.</w:t>
            </w:r>
          </w:p>
          <w:p>
            <w:pPr>
              <w:pStyle w:val="ListParagraph"/>
              <w:numPr>
                <w:ilvl w:val="0"/>
                <w:numId w:val="2"/>
              </w:numPr>
              <w:spacing w:after="45"/>
            </w:pPr>
            <w:r>
              <w:rPr>
                <w:sz w:val="15"/>
                <w:szCs w:val="15"/>
              </w:rPr>
              <w:t xml:space="preserve">Grading uses the Chinese Society of Clinical Oncology recommendation grade and evidence class rather than GRADE, so the grades cannot be set beside the ESMO, ASCO or NCCN statements a tumour board reads alongside them; a Class 2B here is not a GRADE low-quality recommendation.</w:t>
            </w:r>
          </w:p>
          <w:p>
            <w:pPr>
              <w:pStyle w:val="ListParagraph"/>
              <w:numPr>
                <w:ilvl w:val="0"/>
                <w:numId w:val="2"/>
              </w:numPr>
              <w:spacing w:after="45"/>
            </w:pPr>
            <w:r>
              <w:rPr>
                <w:sz w:val="15"/>
                <w:szCs w:val="15"/>
              </w:rPr>
              <w:t xml:space="preserve">The most prescriptive surgical steers carry the weakest grades. Preferring simultaneous resection for synchronous disease and requiring intraoperative ultrasound in every surgical patient are both Grade III, Class 2B - that is, expert opinion - and the randomised and registry evidence on the timing of colorectal and liver resection, including the higher mortality of combined major hepatectomy, is not reconciled anywhere.</w:t>
            </w:r>
          </w:p>
          <w:p>
            <w:pPr>
              <w:pStyle w:val="ListParagraph"/>
              <w:numPr>
                <w:ilvl w:val="0"/>
                <w:numId w:val="2"/>
              </w:numPr>
              <w:spacing w:after="45"/>
            </w:pPr>
            <w:r>
              <w:rPr>
                <w:sz w:val="15"/>
                <w:szCs w:val="15"/>
              </w:rPr>
              <w:t xml:space="preserve">Liver transplantation for unresectable colorectal liver metastases is absent entirely, in a 2025 document published after TransMet, so the question of what to do with a patient whose disease is permanently unresectable but confined to the liver has no answer here.</w:t>
            </w:r>
          </w:p>
          <w:p>
            <w:pPr>
              <w:pStyle w:val="ListParagraph"/>
              <w:numPr>
                <w:ilvl w:val="0"/>
                <w:numId w:val="2"/>
              </w:numPr>
              <w:spacing w:after="45"/>
            </w:pPr>
            <w:r>
              <w:rPr>
                <w:sz w:val="15"/>
                <w:szCs w:val="15"/>
              </w:rPr>
              <w:t xml:space="preserve">The technical thresholds a hepatobiliary surgeon needs are unspecified: adequate residual liver volume is never defined, and two-stage hepatectomy, portal vein embolisation and ALPPS receive no criteria, no volume target and no recommendation.</w:t>
            </w:r>
          </w:p>
          <w:p>
            <w:pPr>
              <w:pStyle w:val="ListParagraph"/>
              <w:numPr>
                <w:ilvl w:val="0"/>
                <w:numId w:val="2"/>
              </w:numPr>
              <w:spacing w:after="45"/>
            </w:pPr>
            <w:r>
              <w:rPr>
                <w:sz w:val="15"/>
                <w:szCs w:val="15"/>
              </w:rPr>
              <w:t xml:space="preserve">Advising caution about adjuvant therapy after resection (Grade III, Class 2B) while recommending neoadjuvant chemotherapy for four or more metastases or a clinical risk score above 2 (Grade II, Class 1B) leaves the perioperative question unresolved: regimen, total duration, and the choice between perioperative and postoperative delivery are not addressed, and EORTC 40983 - the only adequately powered trial in the question - is not reconciled with either recommendation.</w:t>
            </w:r>
          </w:p>
          <w:p>
            <w:pPr>
              <w:pStyle w:val="ListParagraph"/>
              <w:numPr>
                <w:ilvl w:val="0"/>
                <w:numId w:val="2"/>
              </w:numPr>
              <w:spacing w:after="45"/>
            </w:pPr>
            <w:r>
              <w:rPr>
                <w:sz w:val="15"/>
                <w:szCs w:val="15"/>
              </w:rPr>
              <w:t xml:space="preserve">Molecular testing is recommended across five tiers down to POLE/POLD1, tumour mutational burden and PD-L1 at Grade III, Class 2B, with no statement of what action follows a positive result at the weaker tiers, so the testing recommendations outrun the treatment recommendations.</w:t>
            </w:r>
          </w:p>
          <w:p>
            <w:pPr>
              <w:pStyle w:val="ListParagraph"/>
              <w:numPr>
                <w:ilvl w:val="0"/>
                <w:numId w:val="2"/>
              </w:numPr>
              <w:spacing w:after="45"/>
            </w:pPr>
            <w:r>
              <w:rPr>
                <w:sz w:val="15"/>
                <w:szCs w:val="15"/>
              </w:rPr>
              <w:t xml:space="preserve">The headline local-therapy recommendations are given without the data that would let a reader weigh them: chemoembolisation and hepatic infusion chemotherapy are recommended after systemic failure at Grade I, Class 2A, and the combination of interventional and systemic therapy is said to beat either alone, with no effect size, no trial cited in the published text and no mention that the randomised radioembolization trials were negative for survival.</w:t>
            </w:r>
          </w:p>
          <w:p>
            <w:pPr>
              <w:pStyle w:val="ListParagraph"/>
              <w:numPr>
                <w:ilvl w:val="0"/>
                <w:numId w:val="2"/>
              </w:numPr>
              <w:spacing w:after="45"/>
            </w:pPr>
            <w:r>
              <w:rPr>
                <w:sz w:val="15"/>
                <w:szCs w:val="15"/>
              </w:rPr>
              <w:t xml:space="preserve">Stereotactic radiotherapy is recommended for selected patients at Grade II, Class 2A with no dose, no lesion size limit and no acknowledgement that randomised evidence in colorectal liver metastases does not exist.</w:t>
            </w:r>
          </w:p>
          <w:p>
            <w:pPr>
              <w:pStyle w:val="ListParagraph"/>
              <w:numPr>
                <w:ilvl w:val="0"/>
                <w:numId w:val="2"/>
              </w:numPr>
              <w:spacing w:after="45"/>
            </w:pPr>
            <w:r>
              <w:rPr>
                <w:sz w:val="15"/>
                <w:szCs w:val="15"/>
              </w:rPr>
              <w:t xml:space="preserve">The surgical benchmark offered - 48.2% five-year survival after resection of primary and metastases - is the authors' own institutional figure from a single reference, used to frame a national consensus.</w:t>
            </w:r>
          </w:p>
          <w:p>
            <w:pPr>
              <w:pStyle w:val="ListParagraph"/>
              <w:numPr>
                <w:ilvl w:val="0"/>
                <w:numId w:val="2"/>
              </w:numPr>
              <w:spacing w:after="45"/>
            </w:pPr>
            <w:r>
              <w:rPr>
                <w:sz w:val="15"/>
                <w:szCs w:val="15"/>
              </w:rPr>
              <w:t xml:space="preserve">No patient representative, methodologist or statistician is identified among the authors or the 23 acknowledged reviewers, there is no plan or date for updating, and no external review is described.</w:t>
            </w:r>
          </w:p>
          <w:p>
            <w:pPr>
              <w:pStyle w:val="ListParagraph"/>
              <w:numPr>
                <w:ilvl w:val="0"/>
                <w:numId w:val="2"/>
              </w:numPr>
              <w:spacing w:after="45"/>
            </w:pPr>
            <w:r>
              <w:rPr>
                <w:sz w:val="15"/>
                <w:szCs w:val="15"/>
              </w:rPr>
              <w:t xml:space="preserve">The title says 2024 edition while the article was published online on 10 July 2025, so the evidence cut-off is unstated and at least a year behind the publication date.</w:t>
            </w:r>
          </w:p>
          <w:p>
            <w:pPr>
              <w:pStyle w:val="ListParagraph"/>
              <w:numPr>
                <w:ilvl w:val="0"/>
                <w:numId w:val="2"/>
              </w:numPr>
              <w:spacing w:after="45"/>
            </w:pPr>
            <w:r>
              <w:rPr>
                <w:sz w:val="15"/>
                <w:szCs w:val="15"/>
              </w:rPr>
              <w:t xml:space="preserve">No linked editorial or comment on this consensus was found in PubMed, so no independent published critique informs this record.</w:t>
            </w:r>
          </w:p>
        </w:tc>
      </w:tr>
    </w:tbl>
    <w:p>
      <w:pPr>
        <w:spacing w:after="0" w:line="276"/>
      </w:pPr>
      <w:r>
        <w:rPr>
          <w:color w:val="5A6069"/>
          <w:sz w:val="14"/>
          <w:szCs w:val="14"/>
        </w:rPr>
        <w:t xml:space="preserve">Funding: No funding statement appears. Conflicts of interest are declared as 'None' for all authors. The consensus was issued by five branches of the China International Exchange and Promotive Association for Medical and Health Care and led from the Chinese Academy of Medical Sciences Cancer Hospital, with 23 further professors acknowledged as content reviewers</w:t>
      </w:r>
    </w:p>
    <w:p>
      <w:pPr>
        <w:keepNext/>
        <w:spacing w:after="50" w:before="260"/>
      </w:pPr>
      <w:r>
        <w:rPr>
          <w:rFonts w:ascii="Cambria" w:cs="Cambria" w:eastAsia="Cambria" w:hAnsi="Cambria"/>
          <w:b/>
          <w:bCs/>
          <w:color w:val="17365D"/>
          <w:sz w:val="20"/>
          <w:szCs w:val="20"/>
        </w:rPr>
        <w:t xml:space="preserve">CodeBreaK 300</w:t>
      </w:r>
      <w:r>
        <w:rPr>
          <w:b/>
          <w:bCs/>
          <w:color w:val="176A87"/>
          <w:sz w:val="15"/>
          <w:szCs w:val="15"/>
        </w:rPr>
        <w:t xml:space="preserve">   Randomised trial</w:t>
      </w:r>
      <w:r>
        <w:rPr>
          <w:color w:val="5A6069"/>
          <w:sz w:val="15"/>
          <w:szCs w:val="15"/>
        </w:rPr>
        <w:t xml:space="preserve">   PMID 37870968</w:t>
      </w:r>
    </w:p>
    <w:p>
      <w:pPr>
        <w:spacing w:after="50" w:line="276"/>
      </w:pPr>
      <w:r>
        <w:rPr>
          <w:color w:val="5A6069"/>
          <w:sz w:val="17"/>
          <w:szCs w:val="17"/>
        </w:rPr>
        <w:t xml:space="preserve">Sotorasib plus Panitumumab in Refractory Colorectal Cancer with Mutated KRAS G12C</w:t>
      </w:r>
    </w:p>
    <w:p>
      <w:pPr>
        <w:spacing w:after="50"/>
      </w:pPr>
      <w:r>
        <w:rPr>
          <w:b/>
          <w:bCs/>
          <w:color w:val="176A87"/>
          <w:sz w:val="16"/>
          <w:szCs w:val="16"/>
        </w:rPr>
        <w:t xml:space="preserve">Population. </w:t>
      </w:r>
      <w:r>
        <w:rPr>
          <w:sz w:val="16"/>
          <w:szCs w:val="16"/>
        </w:rPr>
        <w:t xml:space="preserve">160 patients with chemorefractory KRAS G12C-mutated metastatic colorectal cancer randomised 1:1:1 at 76 sites in 12 countries (53 to 960-mg sotorasib plus panitumumab, 53 to 240-mg, 54 to investigator's choice of trifluridine-tipiracil or regorafenib), from 219 screened; 55 of 160 (34.4%) had died at the data cut-off and median follow-up was 7.8 months</w:t>
      </w:r>
    </w:p>
    <w:p>
      <w:pPr>
        <w:spacing w:after="70"/>
      </w:pPr>
      <w:r>
        <w:rPr>
          <w:b/>
          <w:bCs/>
          <w:color w:val="17365D"/>
          <w:sz w:val="16"/>
          <w:szCs w:val="16"/>
        </w:rPr>
        <w:t xml:space="preserve">Bottom line. </w:t>
      </w:r>
      <w:r>
        <w:rPr>
          <w:sz w:val="16"/>
          <w:szCs w:val="16"/>
        </w:rPr>
        <w:t xml:space="preserve">Shows that in chemorefractory KRAS G12C-mutant colorectal cancer, sotorasib 960 mg plus panitumumab roughly doubles centrally reviewed progression-free survival over trifluridine-tipiracil or regorafenib monotherapy (5.6 vs 2.0 months) and produces responses where the control arm produces none, with tolerable and familiar toxicity. It does not show patients live longer: the trial was designed without the power to test survival, spent an alpha of 0.0001 on it, and its authors concede the planned final analysis will not be adequately powered either. The 240-mg comparison missed its own prespecified boundary (p=0.036 against 0.03125) yet is reported as significant, responses lasted a median 4.4 months, and the comparator was already outdated by publication.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neither designed nor powered to detect a difference in overall survival, because of the low prevalence of KRAS G12C in colorectal cancer; the authors state overall survival data are maturing and longer follow-up is needed</w:t>
            </w:r>
          </w:p>
          <w:p>
            <w:pPr>
              <w:pStyle w:val="ListParagraph"/>
              <w:numPr>
                <w:ilvl w:val="0"/>
                <w:numId w:val="2"/>
              </w:numPr>
              <w:spacing w:after="45"/>
            </w:pPr>
            <w:r>
              <w:rPr>
                <w:sz w:val="15"/>
                <w:szCs w:val="15"/>
              </w:rPr>
              <w:t xml:space="preserve">The authors state that even the planned final overall survival analysis, at about 80 deaths, will not provide sufficient power to detect the hypothesised survival difference under the trial's sample size</w:t>
            </w:r>
          </w:p>
          <w:p>
            <w:pPr>
              <w:pStyle w:val="ListParagraph"/>
              <w:numPr>
                <w:ilvl w:val="0"/>
                <w:numId w:val="2"/>
              </w:numPr>
              <w:spacing w:after="45"/>
            </w:pPr>
            <w:r>
              <w:rPr>
                <w:sz w:val="15"/>
                <w:szCs w:val="15"/>
              </w:rPr>
              <w:t xml:space="preserve">The trial was not powered to compare the 960-mg and 240-mg sotorasib groups with each other, although the paper concludes in favour of the 960-mg dose</w:t>
            </w:r>
          </w:p>
          <w:p>
            <w:pPr>
              <w:pStyle w:val="ListParagraph"/>
              <w:numPr>
                <w:ilvl w:val="0"/>
                <w:numId w:val="2"/>
              </w:numPr>
              <w:spacing w:after="45"/>
            </w:pPr>
            <w:r>
              <w:rPr>
                <w:sz w:val="15"/>
                <w:szCs w:val="15"/>
              </w:rPr>
              <w:t xml:space="preserve">Objective response was not formally assessed, as it sat last in the hierarchical testing sequence behind overall survival</w:t>
            </w:r>
          </w:p>
          <w:p>
            <w:pPr>
              <w:pStyle w:val="ListParagraph"/>
              <w:numPr>
                <w:ilvl w:val="0"/>
                <w:numId w:val="2"/>
              </w:numPr>
              <w:spacing w:after="45"/>
            </w:pPr>
            <w:r>
              <w:rPr>
                <w:sz w:val="15"/>
                <w:szCs w:val="15"/>
              </w:rPr>
              <w:t xml:space="preserve">The population was composed primarily of White and Asian patients, with one Black patient enrolled</w:t>
            </w:r>
          </w:p>
          <w:p>
            <w:pPr>
              <w:pStyle w:val="ListParagraph"/>
              <w:numPr>
                <w:ilvl w:val="0"/>
                <w:numId w:val="2"/>
              </w:numPr>
              <w:spacing w:after="45"/>
            </w:pPr>
            <w:r>
              <w:rPr>
                <w:sz w:val="15"/>
                <w:szCs w:val="15"/>
              </w:rPr>
              <w:t xml:space="preserve">The authors acknowledge the control regimens have been superseded: SUNLIGHT (trifluridine-tipiracil plus bevacizumab) and FRESCO-2 (fruquintinib) have since shown survival benefit over the monotherapies used as standard care here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240-mg comparison does not meet the trial's own significance boundary. Table 2 states the boundary for 240-mg sotorasib-panitumumab versus standard care as 0.03125, and the observed p value is 0.036. The Discussion nonetheless reports that sotorasib at 960 mg or 240 mg resulted in significantly longer progression-free survival, and the dose-comparison argument is built on top of a comparison that formally failed.</w:t>
            </w:r>
          </w:p>
          <w:p>
            <w:pPr>
              <w:pStyle w:val="ListParagraph"/>
              <w:numPr>
                <w:ilvl w:val="0"/>
                <w:numId w:val="2"/>
              </w:numPr>
              <w:spacing w:after="45"/>
            </w:pPr>
            <w:r>
              <w:rPr>
                <w:sz w:val="15"/>
                <w:szCs w:val="15"/>
              </w:rPr>
              <w:t xml:space="preserve">At this interim the alpha available for overall survival was 0.0001, so the reported survival hazard ratios (0.77, 95% CI 0.40-1.45 and 0.91, 0.48-1.71) are uninterpretable as evidence either way, and by the same hierarchical plan the response rate - 26.4% versus 0%, the number the abstract leads with - could not be formally tested at all.</w:t>
            </w:r>
          </w:p>
          <w:p>
            <w:pPr>
              <w:pStyle w:val="ListParagraph"/>
              <w:numPr>
                <w:ilvl w:val="0"/>
                <w:numId w:val="2"/>
              </w:numPr>
              <w:spacing w:after="45"/>
            </w:pPr>
            <w:r>
              <w:rPr>
                <w:sz w:val="15"/>
                <w:szCs w:val="15"/>
              </w:rPr>
              <w:t xml:space="preserve">Missing tumour assessments are concentrated in the control arm: 11 of 54 (20.4%) standard-care patients were never assessed, against 2 of 53 (3.8%) and 1 of 53 (1.9%) in the sotorasib arms. In an open-label trial whose primary endpoint is centrally reviewed progression, differential early dropout shortens apparent control-arm progression-free survival, and no sensitivity analysis for informative censoring is reported.</w:t>
            </w:r>
          </w:p>
          <w:p>
            <w:pPr>
              <w:pStyle w:val="ListParagraph"/>
              <w:numPr>
                <w:ilvl w:val="0"/>
                <w:numId w:val="2"/>
              </w:numPr>
              <w:spacing w:after="45"/>
            </w:pPr>
            <w:r>
              <w:rPr>
                <w:sz w:val="15"/>
                <w:szCs w:val="15"/>
              </w:rPr>
              <w:t xml:space="preserve">Median duration of response in the only arm with responses was 4.4 months (95% CI 3.6 to not reached) and was not estimable in the others. The brevity of the benefit is in Table 2 and absent from the conclusions and abstract.</w:t>
            </w:r>
          </w:p>
          <w:p>
            <w:pPr>
              <w:pStyle w:val="ListParagraph"/>
              <w:numPr>
                <w:ilvl w:val="0"/>
                <w:numId w:val="2"/>
              </w:numPr>
              <w:spacing w:after="45"/>
            </w:pPr>
            <w:r>
              <w:rPr>
                <w:sz w:val="15"/>
                <w:szCs w:val="15"/>
              </w:rPr>
              <w:t xml:space="preserve">The trial was powered assuming a hazard ratio of 0.4 for progression or death and observed 0.48 with a 95% CI of 0.30 to 0.78 on roughly 90 events in 160 patients at 7.8 months median follow-up, so the point estimate is the smaller end of what was planned for and the medians rest on short follow-up with few patients at risk beyond six months.</w:t>
            </w:r>
          </w:p>
          <w:p>
            <w:pPr>
              <w:pStyle w:val="ListParagraph"/>
              <w:numPr>
                <w:ilvl w:val="0"/>
                <w:numId w:val="2"/>
              </w:numPr>
              <w:spacing w:after="45"/>
            </w:pPr>
            <w:r>
              <w:rPr>
                <w:sz w:val="15"/>
                <w:szCs w:val="15"/>
              </w:rPr>
              <w:t xml:space="preserve">Right-sided primaries were unevenly distributed - 45.3% of the 960-mg arm against 29.6% of the standard-care arm - and sidedness was not a stratification factor, in a disease where it is strongly prognostic and predictive of EGFR-antibody benefit. The paper reports sidedness only as a subgroup of the experimental arm.</w:t>
            </w:r>
          </w:p>
          <w:p>
            <w:pPr>
              <w:pStyle w:val="ListParagraph"/>
              <w:numPr>
                <w:ilvl w:val="0"/>
                <w:numId w:val="2"/>
              </w:numPr>
              <w:spacing w:after="45"/>
            </w:pPr>
            <w:r>
              <w:rPr>
                <w:sz w:val="15"/>
                <w:szCs w:val="15"/>
              </w:rPr>
              <w:t xml:space="preserve">No crossover from standard care to sotorasib is described and no post-progression therapy is reported for either arm, which makes the survival endpoint the trial says it will eventually test uninterpretable before it is run.</w:t>
            </w:r>
          </w:p>
          <w:p>
            <w:pPr>
              <w:pStyle w:val="ListParagraph"/>
              <w:numPr>
                <w:ilvl w:val="0"/>
                <w:numId w:val="2"/>
              </w:numPr>
              <w:spacing w:after="45"/>
            </w:pPr>
            <w:r>
              <w:rPr>
                <w:sz w:val="15"/>
                <w:szCs w:val="15"/>
              </w:rPr>
              <w:t xml:space="preserve">No patient-reported outcome or quality-of-life result appears anywhere, yet the Discussion argues the response rate matters because of the 'greater potential to relieve tumour-related symptoms' in late-line disease. The claim is made without the data that would support it.</w:t>
            </w:r>
          </w:p>
          <w:p>
            <w:pPr>
              <w:pStyle w:val="ListParagraph"/>
              <w:numPr>
                <w:ilvl w:val="0"/>
                <w:numId w:val="2"/>
              </w:numPr>
              <w:spacing w:after="45"/>
            </w:pPr>
            <w:r>
              <w:rPr>
                <w:sz w:val="15"/>
                <w:szCs w:val="15"/>
              </w:rPr>
              <w:t xml:space="preserve">Every stage of the trial ran through the manufacturer of the experimental drug: Amgen designed it, its employees analysed the data and performed the pharmacokinetic and safety analyses, its funded writers produced the first draft, and it took part in the decision to publish. Four authors are Amgen employees. The authors' attestation of data accuracy does not substitute for independent analysis.</w:t>
            </w:r>
          </w:p>
          <w:p>
            <w:pPr>
              <w:pStyle w:val="ListParagraph"/>
              <w:numPr>
                <w:ilvl w:val="0"/>
                <w:numId w:val="2"/>
              </w:numPr>
              <w:spacing w:after="45"/>
            </w:pPr>
            <w:r>
              <w:rPr>
                <w:sz w:val="15"/>
                <w:szCs w:val="15"/>
              </w:rPr>
              <w:t xml:space="preserve">Of 219 patients screened, 59 were not randomised and the paper gives no breakdown of why, on top of the prospective central molecular selection that reduces the eligible population to the 3 to 4% of colorectal cancers carrying KRAS G12C, so the trial population is remote from a general clinic and the paper quantifies neither step.</w:t>
            </w:r>
          </w:p>
          <w:p>
            <w:pPr>
              <w:pStyle w:val="ListParagraph"/>
              <w:numPr>
                <w:ilvl w:val="0"/>
                <w:numId w:val="2"/>
              </w:numPr>
              <w:spacing w:after="45"/>
            </w:pPr>
            <w:r>
              <w:rPr>
                <w:sz w:val="15"/>
                <w:szCs w:val="15"/>
              </w:rPr>
              <w:t xml:space="preserve">For this depot's purposes the paper contains no local-therapy outcome at all: no resection, ablation or conversion is reported, and the liver-metastasis subgroup hazard ratio of 0.35 (95% CI 0.20-0.61) comes from an unpowered subgroup forest with no multiplicity control, in patients with progression-free survival measured in months.</w:t>
            </w:r>
          </w:p>
          <w:p>
            <w:pPr>
              <w:pStyle w:val="ListParagraph"/>
              <w:numPr>
                <w:ilvl w:val="0"/>
                <w:numId w:val="2"/>
              </w:numPr>
              <w:spacing w:after="45"/>
            </w:pPr>
            <w:r>
              <w:rPr>
                <w:sz w:val="15"/>
                <w:szCs w:val="15"/>
              </w:rPr>
              <w:t xml:space="preserve">A linked correspondence (PMID 38986067, Fojo, N Engl J Med 2024;391:186-7) with an authors' reply (PMID 38986068) was identified in PubMed but its text was not available here, so its objections are not reflected in this record.</w:t>
            </w:r>
          </w:p>
        </w:tc>
      </w:tr>
    </w:tbl>
    <w:p>
      <w:pPr>
        <w:spacing w:after="0" w:line="276"/>
      </w:pPr>
      <w:r>
        <w:rPr>
          <w:color w:val="5A6069"/>
          <w:sz w:val="14"/>
          <w:szCs w:val="14"/>
        </w:rPr>
        <w:t xml:space="preserve">Funding: Funded by Amgen, which makes sotorasib. Amgen designed the trial, oversaw data collection, analysed the data through its own statisticians, performed the pharmacokinetic and safety analyses, funded the medical writers who produced the first draft, and was involved in the decision to submit; four co-authors are Amgen employees</w:t>
      </w:r>
    </w:p>
    <w:p>
      <w:pPr>
        <w:keepNext/>
        <w:spacing w:after="50" w:before="260"/>
      </w:pPr>
      <w:r>
        <w:rPr>
          <w:rFonts w:ascii="Cambria" w:cs="Cambria" w:eastAsia="Cambria" w:hAnsi="Cambria"/>
          <w:b/>
          <w:bCs/>
          <w:color w:val="17365D"/>
          <w:sz w:val="20"/>
          <w:szCs w:val="20"/>
        </w:rPr>
        <w:t xml:space="preserve">COLLISION</w:t>
      </w:r>
      <w:r>
        <w:rPr>
          <w:b/>
          <w:bCs/>
          <w:color w:val="176A87"/>
          <w:sz w:val="15"/>
          <w:szCs w:val="15"/>
        </w:rPr>
        <w:t xml:space="preserve">   Randomised trial</w:t>
      </w:r>
      <w:r>
        <w:rPr>
          <w:color w:val="5A6069"/>
          <w:sz w:val="15"/>
          <w:szCs w:val="15"/>
        </w:rPr>
        <w:t xml:space="preserve">   PMID 39848272</w:t>
      </w:r>
    </w:p>
    <w:p>
      <w:pPr>
        <w:spacing w:after="50" w:line="276"/>
      </w:pPr>
      <w:r>
        <w:rPr>
          <w:color w:val="5A6069"/>
          <w:sz w:val="17"/>
          <w:szCs w:val="17"/>
        </w:rPr>
        <w:t xml:space="preserve">Thermal ablation versus surgical resection of small-size colorectal liver metastases (COLLISION): an international, randomised, controlled, phase 3 non-inferiority trial</w:t>
      </w:r>
    </w:p>
    <w:p>
      <w:pPr>
        <w:spacing w:after="50"/>
      </w:pPr>
      <w:r>
        <w:rPr>
          <w:b/>
          <w:bCs/>
          <w:color w:val="176A87"/>
          <w:sz w:val="16"/>
          <w:szCs w:val="16"/>
        </w:rPr>
        <w:t xml:space="preserve">Population. </w:t>
      </w:r>
      <w:r>
        <w:rPr>
          <w:sz w:val="16"/>
          <w:szCs w:val="16"/>
        </w:rPr>
        <w:t xml:space="preserve">300 patients randomly assigned (148 thermal ablation, 148 resection after four post-randomisation exclusions for non-colorectal pathology), drawn from 448 assessed by the central review panel and 342 enrolled; 48% of the planned sample size of 618</w:t>
      </w:r>
    </w:p>
    <w:p>
      <w:pPr>
        <w:spacing w:after="70"/>
      </w:pPr>
      <w:r>
        <w:rPr>
          <w:b/>
          <w:bCs/>
          <w:color w:val="17365D"/>
          <w:sz w:val="16"/>
          <w:szCs w:val="16"/>
        </w:rPr>
        <w:t xml:space="preserve">Bottom line. </w:t>
      </w:r>
      <w:r>
        <w:rPr>
          <w:sz w:val="16"/>
          <w:szCs w:val="16"/>
        </w:rPr>
        <w:t xml:space="preserve">Shows that in centrally vetted patients with one to ten colorectal liver metastases of 3 cm or less, thermal ablation carries far less morbidity than resection (adverse events 19% vs 46%, no treatment-related deaths vs three, median stay 1 vs 4 days) with no detectable survival difference at 28.9 months of follow-up. It does not establish non-inferiority of overall survival: accrual stopped at 48% of the planned 618 patients on a projected conditional power of 90.5%, and the observed HR of 1.05 has a 95% CI (0.69-1.58) whose upper bound crosses the 1.30 margin. Because roughly a third of each arm also received the other modality for non-target lesions, what the trial compared is two mixed local-treatment strategies rather than ablation against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Early cessation of accrual on the predefined stopping criteria makes it more difficult to draw definitive conclusions on non-inferiority for overall survival, specifically in the under-represented intermediate (n=91) and high (n=21) disease burden subgroups</w:t>
            </w:r>
          </w:p>
          <w:p>
            <w:pPr>
              <w:pStyle w:val="ListParagraph"/>
              <w:numPr>
                <w:ilvl w:val="0"/>
                <w:numId w:val="2"/>
              </w:numPr>
              <w:spacing w:after="45"/>
            </w:pPr>
            <w:r>
              <w:rPr>
                <w:sz w:val="15"/>
                <w:szCs w:val="15"/>
              </w:rPr>
              <w:t xml:space="preserve">Whether a subset of patients might have benefited more from surgical resection than from thermal ablation remains unclear</w:t>
            </w:r>
          </w:p>
          <w:p>
            <w:pPr>
              <w:pStyle w:val="ListParagraph"/>
              <w:numPr>
                <w:ilvl w:val="0"/>
                <w:numId w:val="2"/>
              </w:numPr>
              <w:spacing w:after="45"/>
            </w:pPr>
            <w:r>
              <w:rPr>
                <w:sz w:val="15"/>
                <w:szCs w:val="15"/>
              </w:rPr>
              <w:t xml:space="preserve">Including patients with both few and many metastases, and allowing resection of non-ablatable lesions and ablation of non-resectable lesions, might have influenced outcomes in some subgroups, potentially obscured by the broad inclusion criteria</w:t>
            </w:r>
          </w:p>
          <w:p>
            <w:pPr>
              <w:pStyle w:val="ListParagraph"/>
              <w:numPr>
                <w:ilvl w:val="0"/>
                <w:numId w:val="2"/>
              </w:numPr>
              <w:spacing w:after="45"/>
            </w:pPr>
            <w:r>
              <w:rPr>
                <w:sz w:val="15"/>
                <w:szCs w:val="15"/>
              </w:rPr>
              <w:t xml:space="preserve">The study was not powered to compare ablation approaches (percutaneous 57%, laparoscopic 7%, open 37%) or ablation alone against ablation plus resection (27 patients, 18%), either of which could have influenced overall outcomes</w:t>
            </w:r>
          </w:p>
          <w:p>
            <w:pPr>
              <w:pStyle w:val="ListParagraph"/>
              <w:numPr>
                <w:ilvl w:val="0"/>
                <w:numId w:val="2"/>
              </w:numPr>
              <w:spacing w:after="45"/>
            </w:pPr>
            <w:r>
              <w:rPr>
                <w:sz w:val="15"/>
                <w:szCs w:val="15"/>
              </w:rPr>
              <w:t xml:space="preserve">The April 2021 amendment excluding solitary deep-seated metastases requiring major hepatectomy likely reduced the number of eligible candidates and potentially affected outcomes in the control group</w:t>
            </w:r>
          </w:p>
          <w:p>
            <w:pPr>
              <w:pStyle w:val="ListParagraph"/>
              <w:numPr>
                <w:ilvl w:val="0"/>
                <w:numId w:val="2"/>
              </w:numPr>
              <w:spacing w:after="45"/>
            </w:pPr>
            <w:r>
              <w:rPr>
                <w:sz w:val="15"/>
                <w:szCs w:val="15"/>
              </w:rPr>
              <w:t xml:space="preserve">Procedures were done in dedicated high-volume centres by experienced operators, so the results cannot be automatically generalised to centres with less experience</w:t>
            </w:r>
          </w:p>
          <w:p>
            <w:pPr>
              <w:pStyle w:val="ListParagraph"/>
              <w:numPr>
                <w:ilvl w:val="0"/>
                <w:numId w:val="2"/>
              </w:numPr>
              <w:spacing w:after="45"/>
            </w:pPr>
            <w:r>
              <w:rPr>
                <w:sz w:val="15"/>
                <w:szCs w:val="15"/>
              </w:rPr>
              <w:t xml:space="preserve">Induction chemotherapy, although evenly distributed between groups (20% vs 24%), might have affected oncological outcomes, particularly in comparison with other geographical regions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claims a high likelihood of non-inferiority on a projected conditional power of 90.5% rather than on the data: the observed overall survival HR is 1.05 with a 95% CI of 0.69-1.58, and the upper bound exceeds the prespecified non-inferiority limit of 1.30, so by the trial's own criterion non-inferiority was not demonstrated. The paper nowhere states this.</w:t>
            </w:r>
          </w:p>
          <w:p>
            <w:pPr>
              <w:pStyle w:val="ListParagraph"/>
              <w:numPr>
                <w:ilvl w:val="0"/>
                <w:numId w:val="2"/>
              </w:numPr>
              <w:spacing w:after="45"/>
            </w:pPr>
            <w:r>
              <w:rPr>
                <w:sz w:val="15"/>
                <w:szCs w:val="15"/>
              </w:rPr>
              <w:t xml:space="preserve">The conditional power figure is explicitly calculated assuming six more years of recruitment at the observed accrual rate; a projection about a trial that was then stopped is presented in the abstract and Interpretation as the trial's finding.</w:t>
            </w:r>
          </w:p>
          <w:p>
            <w:pPr>
              <w:pStyle w:val="ListParagraph"/>
              <w:numPr>
                <w:ilvl w:val="0"/>
                <w:numId w:val="2"/>
              </w:numPr>
              <w:spacing w:after="45"/>
            </w:pPr>
            <w:r>
              <w:rPr>
                <w:sz w:val="15"/>
                <w:szCs w:val="15"/>
              </w:rPr>
              <w:t xml:space="preserve">The two arms were heavily cross-contaminated. Only 90 of 148 control patients (61%) had resection alone and 118 of 148 (80%) ablation alone: 27 ablation-arm patients (18%) also had a lesion resected and 52 resection-arm patients (35%) also had a lesion ablated. What was compared is two mixed local-treatment strategies, not ablation against resection.</w:t>
            </w:r>
          </w:p>
          <w:p>
            <w:pPr>
              <w:pStyle w:val="ListParagraph"/>
              <w:numPr>
                <w:ilvl w:val="0"/>
                <w:numId w:val="2"/>
              </w:numPr>
              <w:spacing w:after="45"/>
            </w:pPr>
            <w:r>
              <w:rPr>
                <w:sz w:val="15"/>
                <w:szCs w:val="15"/>
              </w:rPr>
              <w:t xml:space="preserve">Thirty-six percent of ablations were open and only 57% percutaneous, with general anaesthesia in 76% of the ablation arm, so the headline safety and length-of-stay advantages cannot be attributed to the ablation modality itself; the per-approach sensitivity analysis sits in the appendix and the trial admits it was not powered for it.</w:t>
            </w:r>
          </w:p>
          <w:p>
            <w:pPr>
              <w:pStyle w:val="ListParagraph"/>
              <w:numPr>
                <w:ilvl w:val="0"/>
                <w:numId w:val="2"/>
              </w:numPr>
              <w:spacing w:after="45"/>
            </w:pPr>
            <w:r>
              <w:rPr>
                <w:sz w:val="15"/>
                <w:szCs w:val="15"/>
              </w:rPr>
              <w:t xml:space="preserve">The superior per-tumour local control (HR 0.09, 95% CI 0.01-0.74) is generated by differential retreatment, not differential tumour control. Raw local progression was almost identical (ablation 18 of 148 patients and 25 of 349 target tumours; resection 21 of 148 and 24 of 304), but 16 of 18 progressing ablation patients were retreated versus 7 of 22 in the resection arm, with 15 resection patients carrying 17 untreated progressed tumours. The endpoint is defined as recurrence not retreated, so it measures how willing clinicians were to re-treat.</w:t>
            </w:r>
          </w:p>
          <w:p>
            <w:pPr>
              <w:pStyle w:val="ListParagraph"/>
              <w:numPr>
                <w:ilvl w:val="0"/>
                <w:numId w:val="2"/>
              </w:numPr>
              <w:spacing w:after="45"/>
            </w:pPr>
            <w:r>
              <w:rPr>
                <w:sz w:val="15"/>
                <w:szCs w:val="15"/>
              </w:rPr>
              <w:t xml:space="preserve">Per-tumour analyses treat 349 and 304 tumours as independent observations without any clustering by patient, which overstates precision; the per-tumour local control estimate rests on very few events and has a CI spanning an order of magnitude (0.01-0.74).</w:t>
            </w:r>
          </w:p>
          <w:p>
            <w:pPr>
              <w:pStyle w:val="ListParagraph"/>
              <w:numPr>
                <w:ilvl w:val="0"/>
                <w:numId w:val="2"/>
              </w:numPr>
              <w:spacing w:after="45"/>
            </w:pPr>
            <w:r>
              <w:rPr>
                <w:sz w:val="15"/>
                <w:szCs w:val="15"/>
              </w:rPr>
              <w:t xml:space="preserve">Baseline imbalances are tabulated but adjustment was only for centre and disease burden. The ablation arm was less fit (ASA 3 in 46 of 148, 31%, vs 27 of 148, 18%; Charlson intermediate 26, 18%, vs 4, 3%) while the resection arm was more node-positive (N0 in 33, 22%, vs 55, 37%). No multivariable model reconciles the two directions.</w:t>
            </w:r>
          </w:p>
          <w:p>
            <w:pPr>
              <w:pStyle w:val="ListParagraph"/>
              <w:numPr>
                <w:ilvl w:val="0"/>
                <w:numId w:val="2"/>
              </w:numPr>
              <w:spacing w:after="45"/>
            </w:pPr>
            <w:r>
              <w:rPr>
                <w:sz w:val="15"/>
                <w:szCs w:val="15"/>
              </w:rPr>
              <w:t xml:space="preserve">Molecular data are missing for most patients (RAS missing in 101 and 97, BRAF in 102 and 97, MSI in 50 and 4), yet the figure 3 forest plot reports RAS, BRAF and MSI subgroup hazard ratios as though the whole cohort contributed.</w:t>
            </w:r>
          </w:p>
          <w:p>
            <w:pPr>
              <w:pStyle w:val="ListParagraph"/>
              <w:numPr>
                <w:ilvl w:val="0"/>
                <w:numId w:val="2"/>
              </w:numPr>
              <w:spacing w:after="45"/>
            </w:pPr>
            <w:r>
              <w:rPr>
                <w:sz w:val="15"/>
                <w:szCs w:val="15"/>
              </w:rPr>
              <w:t xml:space="preserve">Figure 3 presents 35 univariate subgroup hazard ratios with no correction for multiplicity, and at least two are internally impossible as printed (male sex 0.14, 95% CI 0.70-1.87; left-sided primary 1.31, 95% CI 1.66-2.60), so the subgroup panel used to claim consistency cannot be checked as published.</w:t>
            </w:r>
          </w:p>
          <w:p>
            <w:pPr>
              <w:pStyle w:val="ListParagraph"/>
              <w:numPr>
                <w:ilvl w:val="0"/>
                <w:numId w:val="2"/>
              </w:numPr>
              <w:spacing w:after="45"/>
            </w:pPr>
            <w:r>
              <w:rPr>
                <w:sz w:val="15"/>
                <w:szCs w:val="15"/>
              </w:rPr>
              <w:t xml:space="preserve">The margin comparison sets pathology R1 (&lt;1 mm) against imaging-based A1 (&lt;5 mm) - different thresholds measured by different methods - and uses denominators of 274 resected and 322 ablated tumours rather than the 304 and 349 target tumours randomised, with the missing tumours unexplained.</w:t>
            </w:r>
          </w:p>
          <w:p>
            <w:pPr>
              <w:pStyle w:val="ListParagraph"/>
              <w:numPr>
                <w:ilvl w:val="0"/>
                <w:numId w:val="2"/>
              </w:numPr>
              <w:spacing w:after="45"/>
            </w:pPr>
            <w:r>
              <w:rPr>
                <w:sz w:val="15"/>
                <w:szCs w:val="15"/>
              </w:rPr>
              <w:t xml:space="preserve">Of 448 patients assessed, 40 were rejected by the panel, 12 later failed eligibility, 54 declined and 42 were excluded intraoperatively before randomisation; none of these 148 are described, so the trial population is a doubly vetted dual-eligible subset whose relation to the patients a surgeon actually sees is not quantified.</w:t>
            </w:r>
          </w:p>
          <w:p>
            <w:pPr>
              <w:pStyle w:val="ListParagraph"/>
              <w:numPr>
                <w:ilvl w:val="0"/>
                <w:numId w:val="2"/>
              </w:numPr>
              <w:spacing w:after="45"/>
            </w:pPr>
            <w:r>
              <w:rPr>
                <w:sz w:val="15"/>
                <w:szCs w:val="15"/>
              </w:rPr>
              <w:t xml:space="preserve">The trial was unmasked and the local tumour progression endpoint rests on local radiology reports, with central review used only to resolve discrepancies or ambiguities, in a trial whose funder makes the ablation devices.</w:t>
            </w:r>
          </w:p>
          <w:p>
            <w:pPr>
              <w:pStyle w:val="ListParagraph"/>
              <w:numPr>
                <w:ilvl w:val="0"/>
                <w:numId w:val="2"/>
              </w:numPr>
              <w:spacing w:after="45"/>
            </w:pPr>
            <w:r>
              <w:rPr>
                <w:sz w:val="15"/>
                <w:szCs w:val="15"/>
              </w:rPr>
              <w:t xml:space="preserve">A linked Lancet Oncology Comment on this trial (PMID 39848271, Stoffler and colleagues, 2025;26:149-50) was identified in PubMed but its text was not available here, so any objection it raises is not reflected in this record.</w:t>
            </w:r>
          </w:p>
        </w:tc>
      </w:tr>
    </w:tbl>
    <w:p>
      <w:pPr>
        <w:spacing w:after="0" w:line="276"/>
      </w:pPr>
      <w:r>
        <w:rPr>
          <w:color w:val="5A6069"/>
          <w:sz w:val="14"/>
          <w:szCs w:val="14"/>
        </w:rPr>
        <w:t xml:space="preserve">Funding: Medtronic-Covidien, a manufacturer of ablation devices; the funder is stated to have had no role in design, data collection, analysis, interpretation or writing. The senior author declares trial funding from Medtronic Covidien plus institutional grants from Medtronic Covidien, Angiodynamics, Johnson &amp; Johnson and Immunophotonics, consulting fees from Angiodynamics and lecture payments from Medtronic Covidien, Johnson &amp; Johnson and Philips Medical; the joint first author declares a Medtronic Covidien institutional grant, and many co-authors declare device-industry grants, proctoring or lecture fees</w:t>
      </w:r>
    </w:p>
    <w:p>
      <w:pPr>
        <w:keepNext/>
        <w:spacing w:after="50" w:before="260"/>
      </w:pPr>
      <w:r>
        <w:rPr>
          <w:rFonts w:ascii="Cambria" w:cs="Cambria" w:eastAsia="Cambria" w:hAnsi="Cambria"/>
          <w:b/>
          <w:bCs/>
          <w:color w:val="17365D"/>
          <w:sz w:val="20"/>
          <w:szCs w:val="20"/>
        </w:rPr>
        <w:t xml:space="preserve">DEBIRI</w:t>
      </w:r>
      <w:r>
        <w:rPr>
          <w:b/>
          <w:bCs/>
          <w:color w:val="176A87"/>
          <w:sz w:val="15"/>
          <w:szCs w:val="15"/>
        </w:rPr>
        <w:t xml:space="preserve">   Randomised trial</w:t>
      </w:r>
      <w:r>
        <w:rPr>
          <w:color w:val="5A6069"/>
          <w:sz w:val="15"/>
          <w:szCs w:val="15"/>
        </w:rPr>
        <w:t xml:space="preserve">   PMID 22493375</w:t>
      </w:r>
    </w:p>
    <w:p>
      <w:pPr>
        <w:spacing w:after="50" w:line="276"/>
      </w:pPr>
      <w:r>
        <w:rPr>
          <w:color w:val="5A6069"/>
          <w:sz w:val="17"/>
          <w:szCs w:val="17"/>
        </w:rPr>
        <w:t xml:space="preserve">Intra-arterial infusion of irinotecan-loaded drug-eluting beads (DEBIRI) versus intravenous therapy (FOLFIRI) for hepatic metastases from colorectal cancer: final results of a phase III study</w:t>
      </w:r>
    </w:p>
    <w:p>
      <w:pPr>
        <w:spacing w:after="50"/>
      </w:pPr>
      <w:r>
        <w:rPr>
          <w:b/>
          <w:bCs/>
          <w:color w:val="176A87"/>
          <w:sz w:val="16"/>
          <w:szCs w:val="16"/>
        </w:rPr>
        <w:t xml:space="preserve">Population. </w:t>
      </w:r>
      <w:r>
        <w:rPr>
          <w:sz w:val="16"/>
          <w:szCs w:val="16"/>
        </w:rPr>
        <w:t xml:space="preserve">74 patients randomised of 144 evaluated at two Italian centres from December 2006, all with metachronous unresectable liver-only colorectal metastases occupying less than 50% of the liver after two or three previous lines of chemotherapy (36 to irinotecan-loaded drug-eluting bead chemoembolization, 38 to FOLFIRI); 35 per arm were treated, and liver involvement was 25% or less in 52 of 74. Seventy chemoembolization procedures were delivered against 277 FOLFIRI cycles. Median follow-up 50 months</w:t>
      </w:r>
    </w:p>
    <w:p>
      <w:pPr>
        <w:spacing w:after="70"/>
      </w:pPr>
      <w:r>
        <w:rPr>
          <w:b/>
          <w:bCs/>
          <w:color w:val="17365D"/>
          <w:sz w:val="16"/>
          <w:szCs w:val="16"/>
        </w:rPr>
        <w:t xml:space="preserve">Bottom line. </w:t>
      </w:r>
      <w:r>
        <w:rPr>
          <w:sz w:val="16"/>
          <w:szCs w:val="16"/>
        </w:rPr>
        <w:t xml:space="preserve">Reports the largest survival advantage for any liver-directed therapy in this depot - median overall survival 22 against 15 months, hepatic response 68.6% against 20%, and quality of life preserved for 8 against 3 months - from irinotecan-loaded bead chemoembolization against FOLFIRI in heavily pretreated liver-only disease. The result should not be relied on: 74 patients at two centres, powered for a 40% survival difference, open label with investigators free to score response by RECIST or EASL, a comparator the authors concede was obsolete and capped at four months while the experimental arm could be retreated, p values that differ between abstract and results, and no funding or conflict statement anywhere. The authors' own framing is that the trial exists to size a larger one, and no larger trial has reproduced 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name as a criticism of the study that the systemic comparator was FOLFIRI, because the trial was planned in 2005 when FOLFIRI was standard second- or third-line therapy and biological agents were not widespread; they acknowledge that adding oxaliplatin, bevacizumab, cetuximab or panitumumab increases survival over FOLFIRI alone</w:t>
            </w:r>
          </w:p>
          <w:p>
            <w:pPr>
              <w:pStyle w:val="ListParagraph"/>
              <w:numPr>
                <w:ilvl w:val="0"/>
                <w:numId w:val="2"/>
              </w:numPr>
              <w:spacing w:after="45"/>
            </w:pPr>
            <w:r>
              <w:rPr>
                <w:sz w:val="15"/>
                <w:szCs w:val="15"/>
              </w:rPr>
              <w:t xml:space="preserve">They state that concurrent systemic therapy with newer agents in the chemoembolization arm might have improved its results further</w:t>
            </w:r>
          </w:p>
          <w:p>
            <w:pPr>
              <w:pStyle w:val="ListParagraph"/>
              <w:numPr>
                <w:ilvl w:val="0"/>
                <w:numId w:val="2"/>
              </w:numPr>
              <w:spacing w:after="45"/>
            </w:pPr>
            <w:r>
              <w:rPr>
                <w:sz w:val="15"/>
                <w:szCs w:val="15"/>
              </w:rPr>
              <w:t xml:space="preserve">They state the study serves to establish the expected difference between the two options in order to plan future large randomised studies</w:t>
            </w:r>
          </w:p>
          <w:p>
            <w:pPr>
              <w:pStyle w:val="ListParagraph"/>
              <w:numPr>
                <w:ilvl w:val="0"/>
                <w:numId w:val="2"/>
              </w:numPr>
              <w:spacing w:after="45"/>
            </w:pPr>
            <w:r>
              <w:rPr>
                <w:sz w:val="15"/>
                <w:szCs w:val="15"/>
              </w:rPr>
              <w:t xml:space="preserve">They report that time to extrahepatic progression was similar in both groups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is internally inconsistent in places that bear on its conclusions: the extrahepatic progression p value is 0.064 in the abstract and 0.64 in the Results, the quality-of-life p value is 0.00002 in the abstract and 0.0002 in the Results, and enrolment closes in December 2008 in the Methods but October 2008 in the Results.</w:t>
            </w:r>
          </w:p>
          <w:p>
            <w:pPr>
              <w:pStyle w:val="ListParagraph"/>
              <w:numPr>
                <w:ilvl w:val="0"/>
                <w:numId w:val="2"/>
              </w:numPr>
              <w:spacing w:after="45"/>
            </w:pPr>
            <w:r>
              <w:rPr>
                <w:sz w:val="15"/>
                <w:szCs w:val="15"/>
              </w:rPr>
              <w:t xml:space="preserve">The design was powered to detect a 40% increase in median survival at two years in a two-centre trial, and 74 randomised patients produced a reported 7-month median survival gain with p=0.031. An effect of that size from a sample of this size, in a journal of this profile, with no independent verification, is the definition of a result requiring replication - and the authors say as much.</w:t>
            </w:r>
          </w:p>
          <w:p>
            <w:pPr>
              <w:pStyle w:val="ListParagraph"/>
              <w:numPr>
                <w:ilvl w:val="0"/>
                <w:numId w:val="2"/>
              </w:numPr>
              <w:spacing w:after="45"/>
            </w:pPr>
            <w:r>
              <w:rPr>
                <w:sz w:val="15"/>
                <w:szCs w:val="15"/>
              </w:rPr>
              <w:t xml:space="preserve">The two arms differ in intensity and duration as well as route: 70 procedures (two per patient, a month apart) against 277 FOLFIRI cycles capped at eight over four months, after which systemic patients had no protocol therapy while chemoembolization patients could be retreated. The comparison is of two treatment programmes, not of two delivery routes for irinotecan.</w:t>
            </w:r>
          </w:p>
          <w:p>
            <w:pPr>
              <w:pStyle w:val="ListParagraph"/>
              <w:numPr>
                <w:ilvl w:val="0"/>
                <w:numId w:val="2"/>
              </w:numPr>
              <w:spacing w:after="45"/>
            </w:pPr>
            <w:r>
              <w:rPr>
                <w:sz w:val="15"/>
                <w:szCs w:val="15"/>
              </w:rPr>
              <w:t xml:space="preserve">Six stratification factors are listed for a 74-patient trial - liver involvement, prior irinotecan, weight loss, CEA, KRAS status and p53 immunohistochemistry - which in a sample this small cannot balance and is not accompanied by any adjusted analysis.</w:t>
            </w:r>
          </w:p>
          <w:p>
            <w:pPr>
              <w:pStyle w:val="ListParagraph"/>
              <w:numPr>
                <w:ilvl w:val="0"/>
                <w:numId w:val="2"/>
              </w:numPr>
              <w:spacing w:after="45"/>
            </w:pPr>
            <w:r>
              <w:rPr>
                <w:sz w:val="15"/>
                <w:szCs w:val="15"/>
              </w:rPr>
              <w:t xml:space="preserve">The trial was open label, and response was scored by either RECIST or EASL criteria at investigator discretion - two different response definitions applied within one trial, in the arm where an embolic effect changes enhancement.</w:t>
            </w:r>
          </w:p>
          <w:p>
            <w:pPr>
              <w:pStyle w:val="ListParagraph"/>
              <w:numPr>
                <w:ilvl w:val="0"/>
                <w:numId w:val="2"/>
              </w:numPr>
              <w:spacing w:after="45"/>
            </w:pPr>
            <w:r>
              <w:rPr>
                <w:sz w:val="15"/>
                <w:szCs w:val="15"/>
              </w:rPr>
              <w:t xml:space="preserve">Quality of life was measured by a symptom scale while chemoembolization patients received prophylactic morphine, steroids, antiemetics and antibiotics around each procedure, so the reported eight months against three months of preserved quality of life compares a premedicated arm with an unmedicated one.</w:t>
            </w:r>
          </w:p>
          <w:p>
            <w:pPr>
              <w:pStyle w:val="ListParagraph"/>
              <w:numPr>
                <w:ilvl w:val="0"/>
                <w:numId w:val="2"/>
              </w:numPr>
              <w:spacing w:after="45"/>
            </w:pPr>
            <w:r>
              <w:rPr>
                <w:sz w:val="15"/>
                <w:szCs w:val="15"/>
              </w:rPr>
              <w:t xml:space="preserve">Grade 2 to 3 pain occurred in 30% of chemoembolization cycles and liver enzyme elevation above three times normal in 58%, with bilirubin rises in 18%; this hepatic cost is reported and then set aside in favour of the systemic toxicity comparison, which naturally favours a locoregional treatment.</w:t>
            </w:r>
          </w:p>
          <w:p>
            <w:pPr>
              <w:pStyle w:val="ListParagraph"/>
              <w:numPr>
                <w:ilvl w:val="0"/>
                <w:numId w:val="2"/>
              </w:numPr>
              <w:spacing w:after="45"/>
            </w:pPr>
            <w:r>
              <w:rPr>
                <w:sz w:val="15"/>
                <w:szCs w:val="15"/>
              </w:rPr>
              <w:t xml:space="preserve">The KRAS finding - 26 against 14 months and a major response in 14 of 14 wild-type patients - comes from a subgroup of a 35-patient arm with no multiplicity control, and would be remarkable if true for a treatment whose mechanism is local drug delivery and embolisation.</w:t>
            </w:r>
          </w:p>
          <w:p>
            <w:pPr>
              <w:pStyle w:val="ListParagraph"/>
              <w:numPr>
                <w:ilvl w:val="0"/>
                <w:numId w:val="2"/>
              </w:numPr>
              <w:spacing w:after="45"/>
            </w:pPr>
            <w:r>
              <w:rPr>
                <w:sz w:val="15"/>
                <w:szCs w:val="15"/>
              </w:rPr>
              <w:t xml:space="preserve">The suggestion that chemoembolization also delays extrahepatic progression, offered as evidence of systemic activity, rests on a non-significant difference (13 against 9 months) whose p value is printed two different ways, and contradicts the biology of an intrahepatic embolic therapy.</w:t>
            </w:r>
          </w:p>
          <w:p>
            <w:pPr>
              <w:pStyle w:val="ListParagraph"/>
              <w:numPr>
                <w:ilvl w:val="0"/>
                <w:numId w:val="2"/>
              </w:numPr>
              <w:spacing w:after="45"/>
            </w:pPr>
            <w:r>
              <w:rPr>
                <w:sz w:val="15"/>
                <w:szCs w:val="15"/>
              </w:rPr>
              <w:t xml:space="preserve">Post-progression therapy is invoked to defend the survival result - both arms are said to have had access to new drugs at progression and the difference to remain attributable to treatment - with no table of subsequent therapy by arm and no analysis supporting that attribution.</w:t>
            </w:r>
          </w:p>
          <w:p>
            <w:pPr>
              <w:pStyle w:val="ListParagraph"/>
              <w:numPr>
                <w:ilvl w:val="0"/>
                <w:numId w:val="2"/>
              </w:numPr>
              <w:spacing w:after="45"/>
            </w:pPr>
            <w:r>
              <w:rPr>
                <w:sz w:val="15"/>
                <w:szCs w:val="15"/>
              </w:rPr>
              <w:t xml:space="preserve">No funding or conflict-of-interest statement appears anywhere, in a trial of a commercially manufactured device, which makes the sponsorship of this result unverifiable.</w:t>
            </w:r>
          </w:p>
          <w:p>
            <w:pPr>
              <w:pStyle w:val="ListParagraph"/>
              <w:numPr>
                <w:ilvl w:val="0"/>
                <w:numId w:val="2"/>
              </w:numPr>
              <w:spacing w:after="45"/>
            </w:pPr>
            <w:r>
              <w:rPr>
                <w:sz w:val="15"/>
                <w:szCs w:val="15"/>
              </w:rPr>
              <w:t xml:space="preserve">The cost comparison (8,000 against 20,000 euro) is presented without any formal cost-effectiveness analysis, discounting, or accounting for the salvage therapy each arm went on to receive.</w:t>
            </w:r>
          </w:p>
          <w:p>
            <w:pPr>
              <w:pStyle w:val="ListParagraph"/>
              <w:numPr>
                <w:ilvl w:val="0"/>
                <w:numId w:val="2"/>
              </w:numPr>
              <w:spacing w:after="45"/>
            </w:pPr>
            <w:r>
              <w:rPr>
                <w:sz w:val="15"/>
                <w:szCs w:val="15"/>
              </w:rPr>
              <w:t xml:space="preserve">No linked editorial or comment on this trial was found in PubMed, and no subsequent randomised work has reproduced a survival advantage of this magnitude for chemoembolization in this setting.</w:t>
            </w:r>
          </w:p>
        </w:tc>
      </w:tr>
    </w:tbl>
    <w:p>
      <w:pPr>
        <w:spacing w:after="0" w:line="276"/>
      </w:pPr>
      <w:r>
        <w:rPr>
          <w:color w:val="5A6069"/>
          <w:sz w:val="14"/>
          <w:szCs w:val="14"/>
        </w:rPr>
        <w:t xml:space="preserve">Funding: No funding, sponsorship or conflict-of-interest statement appears anywhere in the paper, in a trial of a commercial drug-eluting bead device</w:t>
      </w:r>
    </w:p>
    <w:p>
      <w:pPr>
        <w:keepNext/>
        <w:spacing w:after="50" w:before="260"/>
      </w:pPr>
      <w:r>
        <w:rPr>
          <w:rFonts w:ascii="Cambria" w:cs="Cambria" w:eastAsia="Cambria" w:hAnsi="Cambria"/>
          <w:b/>
          <w:bCs/>
          <w:color w:val="17365D"/>
          <w:sz w:val="20"/>
          <w:szCs w:val="20"/>
        </w:rPr>
        <w:t xml:space="preserve">Dutch HAI phase II</w:t>
      </w:r>
      <w:r>
        <w:rPr>
          <w:b/>
          <w:bCs/>
          <w:color w:val="176A87"/>
          <w:sz w:val="15"/>
          <w:szCs w:val="15"/>
        </w:rPr>
        <w:t xml:space="preserve">   cohort</w:t>
      </w:r>
      <w:r>
        <w:rPr>
          <w:color w:val="5A6069"/>
          <w:sz w:val="15"/>
          <w:szCs w:val="15"/>
        </w:rPr>
        <w:t xml:space="preserve">   PMID 38608150</w:t>
      </w:r>
    </w:p>
    <w:p>
      <w:pPr>
        <w:spacing w:after="50" w:line="276"/>
      </w:pPr>
      <w:r>
        <w:rPr>
          <w:color w:val="5A6069"/>
          <w:sz w:val="17"/>
          <w:szCs w:val="17"/>
        </w:rPr>
        <w:t xml:space="preserve">Hepatic arterial infusion pump chemotherapy combined with systemic chemotherapy for borderline resectable and unresectable colorectal liver metastases: phase II feasibility study</w:t>
      </w:r>
    </w:p>
    <w:p>
      <w:pPr>
        <w:spacing w:after="50"/>
      </w:pPr>
      <w:r>
        <w:rPr>
          <w:b/>
          <w:bCs/>
          <w:color w:val="176A87"/>
          <w:sz w:val="16"/>
          <w:szCs w:val="16"/>
        </w:rPr>
        <w:t xml:space="preserve">Population. </w:t>
      </w:r>
      <w:r>
        <w:rPr>
          <w:sz w:val="16"/>
          <w:szCs w:val="16"/>
        </w:rPr>
        <w:t xml:space="preserve">31 patients with liver-only borderline resectable (6) or unresectable (25) colorectal liver metastases enrolled at two Dutch tertiary centres between September 2020 and November 2022; median 13 metastases (IQR 6-23), all bilobar, Fong score 3 or more in 27 of 31, 84% synchronous, primary tumour in situ in 77%. The pump was implanted in 30 of 31, and 29 were evaluable for response</w:t>
      </w:r>
    </w:p>
    <w:p>
      <w:pPr>
        <w:spacing w:after="70"/>
      </w:pPr>
      <w:r>
        <w:rPr>
          <w:b/>
          <w:bCs/>
          <w:color w:val="17365D"/>
          <w:sz w:val="16"/>
          <w:szCs w:val="16"/>
        </w:rPr>
        <w:t xml:space="preserve">Bottom line. </w:t>
      </w:r>
      <w:r>
        <w:rPr>
          <w:sz w:val="16"/>
          <w:szCs w:val="16"/>
        </w:rPr>
        <w:t xml:space="preserve">Shows that hepatic arterial floxuridine with concomitant FOLFOX or FOLFIRI can be delivered outside the United States: pumps were implanted in 30 of 31 patients, 90% completed two combined cycles against a 70% threshold, device complications were 16% and no hepatic artery thrombosis or biliary sclerosis occurred within six months. It establishes nothing about benefit - there is no control arm, the primary endpoint is deliverability, and conversion, pathology and survival data are explicitly immature. The costs it does document are real: 45% grade 3 or worse events in the first two cycles rising to 66% by six months, and a protocol-wide dose reduction after the first nine patients for liver toxicity. It is the feasibility step before the PUMP-IT and EA2222 randomised trials, and should be read as that.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the sample size does not allow conclusions on survival: the study was sized to establish feasibility and was not powered for oncological benefit</w:t>
            </w:r>
          </w:p>
          <w:p>
            <w:pPr>
              <w:pStyle w:val="ListParagraph"/>
              <w:numPr>
                <w:ilvl w:val="0"/>
                <w:numId w:val="2"/>
              </w:numPr>
              <w:spacing w:after="45"/>
            </w:pPr>
            <w:r>
              <w:rPr>
                <w:sz w:val="15"/>
                <w:szCs w:val="15"/>
              </w:rPr>
              <w:t xml:space="preserve">They state that long-term data on biliary sclerosis and on the safety of conversion surgery after pump plus systemic chemotherapy must be awaited, despite a good short-term safety profile</w:t>
            </w:r>
          </w:p>
          <w:p>
            <w:pPr>
              <w:pStyle w:val="ListParagraph"/>
              <w:numPr>
                <w:ilvl w:val="0"/>
                <w:numId w:val="2"/>
              </w:numPr>
              <w:spacing w:after="45"/>
            </w:pPr>
            <w:r>
              <w:rPr>
                <w:sz w:val="15"/>
                <w:szCs w:val="15"/>
              </w:rPr>
              <w:t xml:space="preserve">They state that data on conversion-to-resection rates, pathological response and survival are not yet mature</w:t>
            </w:r>
          </w:p>
          <w:p>
            <w:pPr>
              <w:pStyle w:val="ListParagraph"/>
              <w:numPr>
                <w:ilvl w:val="0"/>
                <w:numId w:val="2"/>
              </w:numPr>
              <w:spacing w:after="45"/>
            </w:pPr>
            <w:r>
              <w:rPr>
                <w:sz w:val="15"/>
                <w:szCs w:val="15"/>
              </w:rPr>
              <w:t xml:space="preserve">They note that systemic starting doses had to be cut to Memorial Sloan Kettering levels after the first nine patients because of early liver toxicity</w:t>
            </w:r>
          </w:p>
          <w:p>
            <w:pPr>
              <w:pStyle w:val="ListParagraph"/>
              <w:numPr>
                <w:ilvl w:val="0"/>
                <w:numId w:val="2"/>
              </w:numPr>
              <w:spacing w:after="45"/>
            </w:pPr>
            <w:r>
              <w:rPr>
                <w:sz w:val="15"/>
                <w:szCs w:val="15"/>
              </w:rPr>
              <w:t xml:space="preserve">They note there is no consensus definition of borderline resectable disease, and that the successor PUMP-IT trial will use a central panel as CAIRO5 did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endpoint is whether the treatment can be given, not whether it helps, and the threshold was set where it could hardly fail: 70% of patients completing two cycles. Ninety percent did. Nothing follows about conversion, pathological response or survival, and the paper says so.</w:t>
            </w:r>
          </w:p>
          <w:p>
            <w:pPr>
              <w:pStyle w:val="ListParagraph"/>
              <w:numPr>
                <w:ilvl w:val="0"/>
                <w:numId w:val="2"/>
              </w:numPr>
              <w:spacing w:after="45"/>
            </w:pPr>
            <w:r>
              <w:rPr>
                <w:sz w:val="15"/>
                <w:szCs w:val="15"/>
              </w:rPr>
              <w:t xml:space="preserve">There is no control arm in a setting where the comparator is unusually well quantified. CAIRO5 achieved complete local treatment in 37% to 58% of initially unresectable patients with systemic therapy alone, and this study reports a disease control rate rather than a conversion rate, so the two cannot be set side by side - although the 9 of 29 patients who reached conversion surgery or its first stage within six months is the figure a reader will want to compare and it is not presented as an endpoint.</w:t>
            </w:r>
          </w:p>
          <w:p>
            <w:pPr>
              <w:pStyle w:val="ListParagraph"/>
              <w:numPr>
                <w:ilvl w:val="0"/>
                <w:numId w:val="2"/>
              </w:numPr>
              <w:spacing w:after="45"/>
            </w:pPr>
            <w:r>
              <w:rPr>
                <w:sz w:val="15"/>
                <w:szCs w:val="15"/>
              </w:rPr>
              <w:t xml:space="preserve">Toxicity is heavy and escalates with exposure: 14 of 31 patients (45%) had a grade 3 or worse event in the first two cycles, and grade 3 or worse chemotherapy toxicity reached 19 of 29 (66%) by six months. A feasibility study that meets its threshold while two-thirds of patients sustain severe toxicity has demonstrated deliverability, not tolerability.</w:t>
            </w:r>
          </w:p>
          <w:p>
            <w:pPr>
              <w:pStyle w:val="ListParagraph"/>
              <w:numPr>
                <w:ilvl w:val="0"/>
                <w:numId w:val="2"/>
              </w:numPr>
              <w:spacing w:after="45"/>
            </w:pPr>
            <w:r>
              <w:rPr>
                <w:sz w:val="15"/>
                <w:szCs w:val="15"/>
              </w:rPr>
              <w:t xml:space="preserve">The protocol changed partway through. Systemic irinotecan and fluorouracil doses were reduced to Memorial Sloan Kettering levels after the first nine patients because of hepatic injury, so the regimen reported is not the regimen the first third of the cohort received, and the toxicity figures pool both.</w:t>
            </w:r>
          </w:p>
          <w:p>
            <w:pPr>
              <w:pStyle w:val="ListParagraph"/>
              <w:numPr>
                <w:ilvl w:val="0"/>
                <w:numId w:val="2"/>
              </w:numPr>
              <w:spacing w:after="45"/>
            </w:pPr>
            <w:r>
              <w:rPr>
                <w:sz w:val="15"/>
                <w:szCs w:val="15"/>
              </w:rPr>
              <w:t xml:space="preserve">Resectability - the variable that defines the population and would define any benefit - was judged by the two participating local multidisciplinary teams, not by a central panel, and the authors concede there is no consensus on what borderline resectable means. CAIRO5, in the same country, found panel surgeons failed to reach consensus in 58% of follow-up assessments.</w:t>
            </w:r>
          </w:p>
          <w:p>
            <w:pPr>
              <w:pStyle w:val="ListParagraph"/>
              <w:numPr>
                <w:ilvl w:val="0"/>
                <w:numId w:val="2"/>
              </w:numPr>
              <w:spacing w:after="45"/>
            </w:pPr>
            <w:r>
              <w:rPr>
                <w:sz w:val="15"/>
                <w:szCs w:val="15"/>
              </w:rPr>
              <w:t xml:space="preserve">Response at the primary evaluation was assessed at a median of seven weeks from pump start in 29 patients, with 5 (17%) already progressing; the 83% disease control rate includes 48% stable disease, which in a conversion setting is not an outcome a surgeon can act on.</w:t>
            </w:r>
          </w:p>
          <w:p>
            <w:pPr>
              <w:pStyle w:val="ListParagraph"/>
              <w:numPr>
                <w:ilvl w:val="0"/>
                <w:numId w:val="2"/>
              </w:numPr>
              <w:spacing w:after="45"/>
            </w:pPr>
            <w:r>
              <w:rPr>
                <w:sz w:val="15"/>
                <w:szCs w:val="15"/>
              </w:rPr>
              <w:t xml:space="preserve">Mismatch repair-deficient tumours were excluded and prior systemic therapy was allowed only without progression, so the cohort is filtered for chemosensitivity before the regional treatment is added - the same selection that makes single-arm conversion series look favourable.</w:t>
            </w:r>
          </w:p>
          <w:p>
            <w:pPr>
              <w:pStyle w:val="ListParagraph"/>
              <w:numPr>
                <w:ilvl w:val="0"/>
                <w:numId w:val="2"/>
              </w:numPr>
              <w:spacing w:after="45"/>
            </w:pPr>
            <w:r>
              <w:rPr>
                <w:sz w:val="15"/>
                <w:szCs w:val="15"/>
              </w:rPr>
              <w:t xml:space="preserve">The surgical burden is reported as medians without a complication-by-procedure breakdown: the primary tumour was resected at the same laparotomy in 22 of 30 patients with primary anastomosis in 19, and grade 3 or worse surgical or device complications occurred in 5 (16%), but which complications followed which combination of procedures is not given.</w:t>
            </w:r>
          </w:p>
          <w:p>
            <w:pPr>
              <w:pStyle w:val="ListParagraph"/>
              <w:numPr>
                <w:ilvl w:val="0"/>
                <w:numId w:val="2"/>
              </w:numPr>
              <w:spacing w:after="45"/>
            </w:pPr>
            <w:r>
              <w:rPr>
                <w:sz w:val="15"/>
                <w:szCs w:val="15"/>
              </w:rPr>
              <w:t xml:space="preserve">Absence of hepatic artery thrombosis, bleeding or biliary sclerosis is reported at six months, which is earlier than biliary sclerosis characteristically appears, and the authors acknowledge this; the paper's safety claim therefore does not cover the toxicity that has historically limited the technique.</w:t>
            </w:r>
          </w:p>
          <w:p>
            <w:pPr>
              <w:pStyle w:val="ListParagraph"/>
              <w:numPr>
                <w:ilvl w:val="0"/>
                <w:numId w:val="2"/>
              </w:numPr>
              <w:spacing w:after="45"/>
            </w:pPr>
            <w:r>
              <w:rPr>
                <w:sz w:val="15"/>
                <w:szCs w:val="15"/>
              </w:rPr>
              <w:t xml:space="preserve">The device manufacturer supplied the pumps and the study had no other funding, and the proctoring team from the institution whose results the study was designed to reproduce are co-authors - so the evaluation of transferability was conducted with the originators and the device company inside it.</w:t>
            </w:r>
          </w:p>
          <w:p>
            <w:pPr>
              <w:pStyle w:val="ListParagraph"/>
              <w:numPr>
                <w:ilvl w:val="0"/>
                <w:numId w:val="2"/>
              </w:numPr>
              <w:spacing w:after="45"/>
            </w:pPr>
            <w:r>
              <w:rPr>
                <w:sz w:val="15"/>
                <w:szCs w:val="15"/>
              </w:rPr>
              <w:t xml:space="preserve">Thirty-one patients at two centres cannot establish that the technique travels; the relevant historical warning, a 26-centre German intra-arterial trial stopped early for complications, is cited in the companion PUMP protocol and the difference here is intensive proctoring, which is itself the thing that limits generalisation.</w:t>
            </w:r>
          </w:p>
          <w:p>
            <w:pPr>
              <w:pStyle w:val="ListParagraph"/>
              <w:numPr>
                <w:ilvl w:val="0"/>
                <w:numId w:val="2"/>
              </w:numPr>
              <w:spacing w:after="45"/>
            </w:pPr>
            <w:r>
              <w:rPr>
                <w:sz w:val="15"/>
                <w:szCs w:val="15"/>
              </w:rPr>
              <w:t xml:space="preserve">PubMed indexes this study with a Randomized Controlled Trial publication type, which is incorrect - the study is single-arm - so a reader relying on database metadata will overstate its design.</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The research received no specific grant from a funding agency; Tricumed Medizintechnik GmbH provided the pumps for the study. The authors state no conflicts of interest related to the work. The two centres were proctored by the Memorial Sloan Kettering team, three of whose members are co-authors</w:t>
      </w:r>
    </w:p>
    <w:p>
      <w:pPr>
        <w:keepNext/>
        <w:spacing w:after="50" w:before="260"/>
      </w:pPr>
      <w:r>
        <w:rPr>
          <w:rFonts w:ascii="Cambria" w:cs="Cambria" w:eastAsia="Cambria" w:hAnsi="Cambria"/>
          <w:b/>
          <w:bCs/>
          <w:color w:val="17365D"/>
          <w:sz w:val="20"/>
          <w:szCs w:val="20"/>
        </w:rPr>
        <w:t xml:space="preserve">EORTC 40004 (CLOCC)</w:t>
      </w:r>
      <w:r>
        <w:rPr>
          <w:b/>
          <w:bCs/>
          <w:color w:val="176A87"/>
          <w:sz w:val="15"/>
          <w:szCs w:val="15"/>
        </w:rPr>
        <w:t xml:space="preserve">   Randomised trial</w:t>
      </w:r>
      <w:r>
        <w:rPr>
          <w:color w:val="5A6069"/>
          <w:sz w:val="15"/>
          <w:szCs w:val="15"/>
        </w:rPr>
        <w:t xml:space="preserve">   PMID 28376151</w:t>
      </w:r>
    </w:p>
    <w:p>
      <w:pPr>
        <w:spacing w:after="50" w:line="276"/>
      </w:pPr>
      <w:r>
        <w:rPr>
          <w:color w:val="5A6069"/>
          <w:sz w:val="17"/>
          <w:szCs w:val="17"/>
        </w:rPr>
        <w:t xml:space="preserve">Local Treatment of Unresectable Colorectal Liver Metastases: Results of a Randomized Phase II Trial</w:t>
      </w:r>
    </w:p>
    <w:p>
      <w:pPr>
        <w:spacing w:after="50"/>
      </w:pPr>
      <w:r>
        <w:rPr>
          <w:b/>
          <w:bCs/>
          <w:color w:val="176A87"/>
          <w:sz w:val="16"/>
          <w:szCs w:val="16"/>
        </w:rPr>
        <w:t xml:space="preserve">Population. </w:t>
      </w:r>
      <w:r>
        <w:rPr>
          <w:sz w:val="16"/>
          <w:szCs w:val="16"/>
        </w:rPr>
        <w:t xml:space="preserve">119 patients aged 18 to 80 with liver-only, locally unresectable colorectal metastases and fewer than 10 lesions, randomised at 22 European centres from 2002 until premature closure in 2007 (60 to combined local plus systemic treatment, 59 to systemic treatment alone); 57 received local treatment - radiofrequency ablation alone in 30, ablation plus resection in 26, resection alone in 1 - with 170 lesions ablated, 89.5% at laparotomy. 92 of 119 patients (77.3%) had died at a median follow-up of 9.7 years</w:t>
      </w:r>
    </w:p>
    <w:p>
      <w:pPr>
        <w:spacing w:after="70"/>
      </w:pPr>
      <w:r>
        <w:rPr>
          <w:b/>
          <w:bCs/>
          <w:color w:val="17365D"/>
          <w:sz w:val="16"/>
          <w:szCs w:val="16"/>
        </w:rPr>
        <w:t xml:space="preserve">Bottom line. </w:t>
      </w:r>
      <w:r>
        <w:rPr>
          <w:sz w:val="16"/>
          <w:szCs w:val="16"/>
        </w:rPr>
        <w:t xml:space="preserve">Provides the only randomised evidence that clearing all liver disease in unresectable, liver-only colorectal metastases adds survival to systemic therapy: 8-year survival 35.9% against 8.9%, HR 0.58 (95% CI 0.38-0.88), with hepatic progression at five years cut from 88.2% to 62.1% and no change in extrahepatic progression. It does not establish this as a trial of ablation or as a trial powered for survival: the design was randomised phase 2 with a single-arm 30-month primary endpoint, accrual failed at 119 patients because surgeons would not randomise, almost half the experimental arm needed resection as well, 89.5% of ablations were done at laparotomy, and the survival curves are indistinguishable for the first three years. Its control arm is six months of FOLFOX4 without modern biologics or molecular selection.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This is a phase 2 trial with a sample size below the phase 3 design originally planned, which the authors say would have offered better protection against imbalance between arms and better reassurance on external validity</w:t>
            </w:r>
          </w:p>
          <w:p>
            <w:pPr>
              <w:pStyle w:val="ListParagraph"/>
              <w:numPr>
                <w:ilvl w:val="0"/>
                <w:numId w:val="2"/>
              </w:numPr>
              <w:spacing w:after="45"/>
            </w:pPr>
            <w:r>
              <w:rPr>
                <w:sz w:val="15"/>
                <w:szCs w:val="15"/>
              </w:rPr>
              <w:t xml:space="preserve">Overall survival was a secondary endpoint of the phase 2 trial, whose primary endpoint was a 30-month survival rate above 38% in the combined arm</w:t>
            </w:r>
          </w:p>
          <w:p>
            <w:pPr>
              <w:pStyle w:val="ListParagraph"/>
              <w:numPr>
                <w:ilvl w:val="0"/>
                <w:numId w:val="2"/>
              </w:numPr>
              <w:spacing w:after="45"/>
            </w:pPr>
            <w:r>
              <w:rPr>
                <w:sz w:val="15"/>
                <w:szCs w:val="15"/>
              </w:rPr>
              <w:t xml:space="preserve">The trial was closed prematurely for poor accrual, driven by physician treatment preferences</w:t>
            </w:r>
          </w:p>
          <w:p>
            <w:pPr>
              <w:pStyle w:val="ListParagraph"/>
              <w:numPr>
                <w:ilvl w:val="0"/>
                <w:numId w:val="2"/>
              </w:numPr>
              <w:spacing w:after="45"/>
            </w:pPr>
            <w:r>
              <w:rPr>
                <w:sz w:val="15"/>
                <w:szCs w:val="15"/>
              </w:rPr>
              <w:t xml:space="preserve">The authors state that with this sample size small baseline imbalances - in the number of lesions and in synchronicity - could not be excluded, and they report sensitivity analyses adjusting for both</w:t>
            </w:r>
          </w:p>
          <w:p>
            <w:pPr>
              <w:pStyle w:val="ListParagraph"/>
              <w:numPr>
                <w:ilvl w:val="0"/>
                <w:numId w:val="2"/>
              </w:numPr>
              <w:spacing w:after="45"/>
            </w:pPr>
            <w:r>
              <w:rPr>
                <w:sz w:val="15"/>
                <w:szCs w:val="15"/>
              </w:rPr>
              <w:t xml:space="preserve">Complete tumour clearance required ablation combined with resection in 45.6% of the combined arm, and two patients were not completely treated (one positive margin, one lesion adjacent to the stomach)</w:t>
            </w:r>
          </w:p>
          <w:p>
            <w:pPr>
              <w:pStyle w:val="ListParagraph"/>
              <w:numPr>
                <w:ilvl w:val="0"/>
                <w:numId w:val="2"/>
              </w:numPr>
              <w:spacing w:after="45"/>
            </w:pPr>
            <w:r>
              <w:rPr>
                <w:sz w:val="15"/>
                <w:szCs w:val="15"/>
              </w:rPr>
              <w:t xml:space="preserve">The authors emphasise that the result depends on assessment by specialised multidisciplinary teams and experienced liver surgeons, with over 90% of patients enrolled in tertiary referral centres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survival comparison this paper is cited for was never the trial's question. The prespecified primary endpoint was a single-arm threshold - 30-month survival above 38% in the combined arm - so the between-arm hazard ratio of 0.58 (95% CI 0.38-0.88, p=0.01) is an unprotected secondary comparison at an analysis time chosen after the fact, with no multiplicity control.</w:t>
            </w:r>
          </w:p>
          <w:p>
            <w:pPr>
              <w:pStyle w:val="ListParagraph"/>
              <w:numPr>
                <w:ilvl w:val="0"/>
                <w:numId w:val="2"/>
              </w:numPr>
              <w:spacing w:after="45"/>
            </w:pPr>
            <w:r>
              <w:rPr>
                <w:sz w:val="15"/>
                <w:szCs w:val="15"/>
              </w:rPr>
              <w:t xml:space="preserve">The curves are superimposed for three years and diverge only where the numbers at risk collapse: median survival 45.6 against 40.5 months, 3-year survival 56.9% against 55.2%, and the headline separation appears at 5 and 8 years (43.1% vs 30.3%, 35.9% vs 8.9%) with roughly a dozen patients at risk per arm. A single hazard ratio is reported for curves that plainly do not satisfy proportional hazards, and no test of that assumption appears.</w:t>
            </w:r>
          </w:p>
          <w:p>
            <w:pPr>
              <w:pStyle w:val="ListParagraph"/>
              <w:numPr>
                <w:ilvl w:val="0"/>
                <w:numId w:val="2"/>
              </w:numPr>
              <w:spacing w:after="45"/>
            </w:pPr>
            <w:r>
              <w:rPr>
                <w:sz w:val="15"/>
                <w:szCs w:val="15"/>
              </w:rPr>
              <w:t xml:space="preserve">Accrual was 119 patients across 22 centres in five years, about one patient per centre per year, and recruitment failed because surgeons preferred one treatment. The enrolled population is therefore the narrow slice over which individual surgeons held genuine equipoise, and the paper offers no screening log to show what that slice looks like.</w:t>
            </w:r>
          </w:p>
          <w:p>
            <w:pPr>
              <w:pStyle w:val="ListParagraph"/>
              <w:numPr>
                <w:ilvl w:val="0"/>
                <w:numId w:val="2"/>
              </w:numPr>
              <w:spacing w:after="45"/>
            </w:pPr>
            <w:r>
              <w:rPr>
                <w:sz w:val="15"/>
                <w:szCs w:val="15"/>
              </w:rPr>
              <w:t xml:space="preserve">The intervention is complete liver clearance, not ablation. Only 30 of 57 treated patients had ablation alone; 26 also had a resection and one had resection alone, almost all through a laparotomy (89.5%). Any attribution of the survival gain to ablation, or any transfer to today's percutaneous practice, goes beyond what was randomised.</w:t>
            </w:r>
          </w:p>
          <w:p>
            <w:pPr>
              <w:pStyle w:val="ListParagraph"/>
              <w:numPr>
                <w:ilvl w:val="0"/>
                <w:numId w:val="2"/>
              </w:numPr>
              <w:spacing w:after="45"/>
            </w:pPr>
            <w:r>
              <w:rPr>
                <w:sz w:val="15"/>
                <w:szCs w:val="15"/>
              </w:rPr>
              <w:t xml:space="preserve">The quality of the ablations is reported and then left unexamined: 58.9% of ablated lesions had a margin under 1 cm and 8.9% no margin at all, with local failure as first progression in 9 of 56 patients and 11 of 170 lesions. No analysis relates margin to local failure, in a trial whose entire claim is that local control changes survival.</w:t>
            </w:r>
          </w:p>
          <w:p>
            <w:pPr>
              <w:pStyle w:val="ListParagraph"/>
              <w:numPr>
                <w:ilvl w:val="0"/>
                <w:numId w:val="2"/>
              </w:numPr>
              <w:spacing w:after="45"/>
            </w:pPr>
            <w:r>
              <w:rPr>
                <w:sz w:val="15"/>
                <w:szCs w:val="15"/>
              </w:rPr>
              <w:t xml:space="preserve">The experimental arm received less systemic therapy and more harm from the procedure: 6 of 60 patients never received systemic treatment at all, three because of postoperative complications, and one patient died of sepsis and multiorgan failure after ablation and surgery. Both facts are single sentences, and no morbidity table appears for an operation performed in 57 patients.</w:t>
            </w:r>
          </w:p>
          <w:p>
            <w:pPr>
              <w:pStyle w:val="ListParagraph"/>
              <w:numPr>
                <w:ilvl w:val="0"/>
                <w:numId w:val="2"/>
              </w:numPr>
              <w:spacing w:after="45"/>
            </w:pPr>
            <w:r>
              <w:rPr>
                <w:sz w:val="15"/>
                <w:szCs w:val="15"/>
              </w:rPr>
              <w:t xml:space="preserve">Baseline imbalance ran in the experimental arm's favour - median 4 versus 5 lesions and solitary metastases in 25.0% versus 11.9% - and the correction offered is univariate sensitivity analysis adjusting for lesion number dichotomised at four and for synchronicity, in 119 patients. That is not adjustment, it is reassurance.</w:t>
            </w:r>
          </w:p>
          <w:p>
            <w:pPr>
              <w:pStyle w:val="ListParagraph"/>
              <w:numPr>
                <w:ilvl w:val="0"/>
                <w:numId w:val="2"/>
              </w:numPr>
              <w:spacing w:after="45"/>
            </w:pPr>
            <w:r>
              <w:rPr>
                <w:sz w:val="15"/>
                <w:szCs w:val="15"/>
              </w:rPr>
              <w:t xml:space="preserve">Clearing the liver changed where patients failed: extrahepatic disease as the only first progression occurred in 25.0% of the combined arm against 13.6% of the systemic arm, while cumulative extrahepatic progression was identical at five years (60.4% vs 60.2%). The possibility that local treatment delays or displaces systemic control is not discussed.</w:t>
            </w:r>
          </w:p>
          <w:p>
            <w:pPr>
              <w:pStyle w:val="ListParagraph"/>
              <w:numPr>
                <w:ilvl w:val="0"/>
                <w:numId w:val="2"/>
              </w:numPr>
              <w:spacing w:after="45"/>
            </w:pPr>
            <w:r>
              <w:rPr>
                <w:sz w:val="15"/>
                <w:szCs w:val="15"/>
              </w:rPr>
              <w:t xml:space="preserve">The control arm is six months of FOLFOX4, with bevacizumab permitted only from October 2005 and no anti-EGFR antibody, no RAS or BRAF selection, and no maintenance. The authors defend it by noting the control arm's survival resembles modern series, which if anything argues that the trial's advantage would shrink against contemporary systemic therapy.</w:t>
            </w:r>
          </w:p>
          <w:p>
            <w:pPr>
              <w:pStyle w:val="ListParagraph"/>
              <w:numPr>
                <w:ilvl w:val="0"/>
                <w:numId w:val="2"/>
              </w:numPr>
              <w:spacing w:after="45"/>
            </w:pPr>
            <w:r>
              <w:rPr>
                <w:sz w:val="15"/>
                <w:szCs w:val="15"/>
              </w:rPr>
              <w:t xml:space="preserve">Unresectability was decided by each local multidisciplinary team with no central review, and included isolated lesions at the origin of the hepatic veins - lesions that many units would now resect or ablate percutaneously. The claim that these criteria still apply in the current era is asserted, not tested, about a trial that opened in 2002.</w:t>
            </w:r>
          </w:p>
          <w:p>
            <w:pPr>
              <w:pStyle w:val="ListParagraph"/>
              <w:numPr>
                <w:ilvl w:val="0"/>
                <w:numId w:val="2"/>
              </w:numPr>
              <w:spacing w:after="45"/>
            </w:pPr>
            <w:r>
              <w:rPr>
                <w:sz w:val="15"/>
                <w:szCs w:val="15"/>
              </w:rPr>
              <w:t xml:space="preserve">Salvage treatment differed systematically between arms - more systemic therapy in the control arm, more surgery and ablation in the combined arm - and the defence that survival after progression did not differ (19.5 vs 21.0 months, HR 0.86, 95% CI 0.56-1.31) comes from a supplementary analysis with an interval wide enough to hide a substantial effect either way.</w:t>
            </w:r>
          </w:p>
          <w:p>
            <w:pPr>
              <w:pStyle w:val="ListParagraph"/>
              <w:numPr>
                <w:ilvl w:val="0"/>
                <w:numId w:val="2"/>
              </w:numPr>
              <w:spacing w:after="45"/>
            </w:pPr>
            <w:r>
              <w:rPr>
                <w:sz w:val="15"/>
                <w:szCs w:val="15"/>
              </w:rPr>
              <w:t xml:space="preserve">The 36% eight-year survival in the combined arm is set beside the 40% of EPOC, a trial of one to four resectable metastases with a median of one lesion, with no matching and no acknowledgement that the populations are not comparable.</w:t>
            </w:r>
          </w:p>
          <w:p>
            <w:pPr>
              <w:pStyle w:val="ListParagraph"/>
              <w:numPr>
                <w:ilvl w:val="0"/>
                <w:numId w:val="2"/>
              </w:numPr>
              <w:spacing w:after="45"/>
            </w:pPr>
            <w:r>
              <w:rPr>
                <w:sz w:val="15"/>
                <w:szCs w:val="15"/>
              </w:rPr>
              <w:t xml:space="preserve">Three ablation device manufacturers supplied the needles used in the experimental arm free of charge. The EORTC's independence of analysis is stated, and the device contribution is not mentioned again.</w:t>
            </w:r>
          </w:p>
          <w:p>
            <w:pPr>
              <w:pStyle w:val="ListParagraph"/>
              <w:numPr>
                <w:ilvl w:val="0"/>
                <w:numId w:val="2"/>
              </w:numPr>
              <w:spacing w:after="45"/>
            </w:pPr>
            <w:r>
              <w:rPr>
                <w:sz w:val="15"/>
                <w:szCs w:val="15"/>
              </w:rPr>
              <w:t xml:space="preserve">No quality-of-life or patient-reported outcome is reported, in a trial comparing a laparotomy plus chemotherapy against chemotherapy alone.</w:t>
            </w:r>
          </w:p>
          <w:p>
            <w:pPr>
              <w:pStyle w:val="ListParagraph"/>
              <w:numPr>
                <w:ilvl w:val="0"/>
                <w:numId w:val="2"/>
              </w:numPr>
              <w:spacing w:after="45"/>
            </w:pPr>
            <w:r>
              <w:rPr>
                <w:sz w:val="15"/>
                <w:szCs w:val="15"/>
              </w:rPr>
              <w:t xml:space="preserve">No linked editorial or comment on this report was found in PubMed, so no independent published critique informs this record.</w:t>
            </w:r>
          </w:p>
        </w:tc>
      </w:tr>
    </w:tbl>
    <w:p>
      <w:pPr>
        <w:spacing w:after="0" w:line="276"/>
      </w:pPr>
      <w:r>
        <w:rPr>
          <w:color w:val="5A6069"/>
          <w:sz w:val="14"/>
          <w:szCs w:val="14"/>
        </w:rPr>
        <w:t xml:space="preserve">Funding: Sponsored by the EORTC, with grants from Cancer Research UK (C837/A3488), ALM-CAO, the Dutch Cancer Foundation, the US National Cancer Institute (5U10 CA11488-32 to -40), a KWF donation through the EORTC Charitable Trust, and an unrestricted scientific grant from Sanofi-Aventis. Radionics, Radiotherapeutics and Rita provided radiofrequency ablation needles free of charge. Trial management and analysis were done at the EORTC Data Center independently of commercial interest, and no author declares a conflict of interest</w:t>
      </w:r>
    </w:p>
    <w:p>
      <w:pPr>
        <w:keepNext/>
        <w:spacing w:after="50" w:before="260"/>
      </w:pPr>
      <w:r>
        <w:rPr>
          <w:rFonts w:ascii="Cambria" w:cs="Cambria" w:eastAsia="Cambria" w:hAnsi="Cambria"/>
          <w:b/>
          <w:bCs/>
          <w:color w:val="17365D"/>
          <w:sz w:val="20"/>
          <w:szCs w:val="20"/>
        </w:rPr>
        <w:t xml:space="preserve">EORTC 40983</w:t>
      </w:r>
      <w:r>
        <w:rPr>
          <w:b/>
          <w:bCs/>
          <w:color w:val="176A87"/>
          <w:sz w:val="15"/>
          <w:szCs w:val="15"/>
        </w:rPr>
        <w:t xml:space="preserve">   Randomised trial</w:t>
      </w:r>
      <w:r>
        <w:rPr>
          <w:color w:val="5A6069"/>
          <w:sz w:val="15"/>
          <w:szCs w:val="15"/>
        </w:rPr>
        <w:t xml:space="preserve">   PMID 18358928</w:t>
      </w:r>
    </w:p>
    <w:p>
      <w:pPr>
        <w:spacing w:after="50" w:line="276"/>
      </w:pPr>
      <w:r>
        <w:rPr>
          <w:color w:val="5A6069"/>
          <w:sz w:val="17"/>
          <w:szCs w:val="17"/>
        </w:rPr>
        <w:t xml:space="preserve">Perioperative chemotherapy with FOLFOX4 and surgery versus surgery alone for resectable liver metastases from colorectal cancer (EORTC Intergroup trial 40983): a randomised controlled trial</w:t>
      </w:r>
    </w:p>
    <w:p>
      <w:pPr>
        <w:spacing w:after="50"/>
      </w:pPr>
      <w:r>
        <w:rPr>
          <w:b/>
          <w:bCs/>
          <w:color w:val="176A87"/>
          <w:sz w:val="16"/>
          <w:szCs w:val="16"/>
        </w:rPr>
        <w:t xml:space="preserve">Population. </w:t>
      </w:r>
      <w:r>
        <w:rPr>
          <w:sz w:val="16"/>
          <w:szCs w:val="16"/>
        </w:rPr>
        <w:t xml:space="preserve">364 patients aged 18 to 80 with one to four potentially resectable colorectal liver metastases and no detectable extrahepatic disease, recruited at 78 hospitals in 11 countries between October 2000 and July 2004 and assigned 1:1 to perioperative FOLFOX4 (182) or surgery alone (182); 52% had a single metastasis and 65% metachronous disease, 303 were resected (151 and 152), and 139 patients had died at this report</w:t>
      </w:r>
    </w:p>
    <w:p>
      <w:pPr>
        <w:spacing w:after="70"/>
      </w:pPr>
      <w:r>
        <w:rPr>
          <w:b/>
          <w:bCs/>
          <w:color w:val="17365D"/>
          <w:sz w:val="16"/>
          <w:szCs w:val="16"/>
        </w:rPr>
        <w:t xml:space="preserve">Bottom line. </w:t>
      </w:r>
      <w:r>
        <w:rPr>
          <w:sz w:val="16"/>
          <w:szCs w:val="16"/>
        </w:rPr>
        <w:t xml:space="preserve">Establishes that six cycles of FOLFOX4 before and six after hepatectomy for one to four resectable colorectal liver metastases is deliverable, with a 7.3-point gain in three-year progression-free survival that did not reach significance as randomised (HR 0.79, p=0.058) and reached it only among eligible (p=0.041) and resected (p=0.025) patients. It does not show the regimen converts anyone - resection rates were 83% against 84% - and it does not show survival benefit, which the same trial later reported as absent at 8.5 years. The analysis was released early on a stopping boundary added mid-trial under acknowledged external pressure, only 44% of patients completed the postoperative half, and complications rose from 16% to 25%.</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sensitivity analyses in eligible and in resected patients, which are the analyses that reached significance, were not protocol-specified, although the authors state they were decided before data analysis</w:t>
            </w:r>
          </w:p>
          <w:p>
            <w:pPr>
              <w:pStyle w:val="ListParagraph"/>
              <w:numPr>
                <w:ilvl w:val="0"/>
                <w:numId w:val="2"/>
              </w:numPr>
              <w:spacing w:after="45"/>
            </w:pPr>
            <w:r>
              <w:rPr>
                <w:sz w:val="15"/>
                <w:szCs w:val="15"/>
              </w:rPr>
              <w:t xml:space="preserve">Counting unresected patients as events, as the protocol required, inevitably dilutes the observed treatment difference in any analysis that includes them; all such events were assigned to week 10 to avoid bias from the different timing of surgery between arms</w:t>
            </w:r>
          </w:p>
          <w:p>
            <w:pPr>
              <w:pStyle w:val="ListParagraph"/>
              <w:numPr>
                <w:ilvl w:val="0"/>
                <w:numId w:val="2"/>
              </w:numPr>
              <w:spacing w:after="45"/>
            </w:pPr>
            <w:r>
              <w:rPr>
                <w:sz w:val="15"/>
                <w:szCs w:val="15"/>
              </w:rPr>
              <w:t xml:space="preserve">The authors note a possible selection bias: fewer chemotherapy-arm patients failed resection because of extensive disease but more failed because of refusal or poor condition</w:t>
            </w:r>
          </w:p>
          <w:p>
            <w:pPr>
              <w:pStyle w:val="ListParagraph"/>
              <w:numPr>
                <w:ilvl w:val="0"/>
                <w:numId w:val="2"/>
              </w:numPr>
              <w:spacing w:after="45"/>
            </w:pPr>
            <w:r>
              <w:rPr>
                <w:sz w:val="15"/>
                <w:szCs w:val="15"/>
              </w:rPr>
              <w:t xml:space="preserve">The trial was not designed to separate preoperative from postoperative chemotherapy, and previous trials had shown a trend favouring postoperative treatment only</w:t>
            </w:r>
          </w:p>
          <w:p>
            <w:pPr>
              <w:pStyle w:val="ListParagraph"/>
              <w:numPr>
                <w:ilvl w:val="0"/>
                <w:numId w:val="2"/>
              </w:numPr>
              <w:spacing w:after="45"/>
            </w:pPr>
            <w:r>
              <w:rPr>
                <w:sz w:val="15"/>
                <w:szCs w:val="15"/>
              </w:rPr>
              <w:t xml:space="preserve">Whether oxaliplatin-induced vascular liver lesions compromise the safety of subsequent surgery is stated to be unknown; the authors note the risk rises with more than six preoperative cycles and that they gave only six</w:t>
            </w:r>
          </w:p>
          <w:p>
            <w:pPr>
              <w:pStyle w:val="ListParagraph"/>
              <w:numPr>
                <w:ilvl w:val="0"/>
                <w:numId w:val="2"/>
              </w:numPr>
              <w:spacing w:after="45"/>
            </w:pPr>
            <w:r>
              <w:rPr>
                <w:sz w:val="15"/>
                <w:szCs w:val="15"/>
              </w:rPr>
              <w:t xml:space="preserve">Inference about overall survival is explicitly deferred to longer follow-up</w:t>
            </w:r>
          </w:p>
          <w:p>
            <w:pPr>
              <w:pStyle w:val="ListParagraph"/>
              <w:numPr>
                <w:ilvl w:val="0"/>
                <w:numId w:val="2"/>
              </w:numPr>
              <w:spacing w:after="45"/>
            </w:pPr>
            <w:r>
              <w:rPr>
                <w:sz w:val="15"/>
                <w:szCs w:val="15"/>
              </w:rPr>
              <w:t xml:space="preserve">The primary endpoint analysis was released early: a stopping boundary for efficacy was added at 6.5 years because events had not accumulated as expected and, in the authors' words, the pressure from the medical community to have the results disclosed was very strong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missed its primary endpoint as randomised: progression-free survival HR 0.79 (95.66% CI 0.62-1.02), p=0.058. Significance is obtained only after excluding patients found ineligible (p=0.041) or restricting to those resected (p=0.025), and the Interpretation then states the regimen reduces the risk of progression-free survival events in eligible and resected patients - a conclusion phrased in terms of the two sensitivity populations.</w:t>
            </w:r>
          </w:p>
          <w:p>
            <w:pPr>
              <w:pStyle w:val="ListParagraph"/>
              <w:numPr>
                <w:ilvl w:val="0"/>
                <w:numId w:val="2"/>
              </w:numPr>
              <w:spacing w:after="45"/>
            </w:pPr>
            <w:r>
              <w:rPr>
                <w:sz w:val="15"/>
                <w:szCs w:val="15"/>
              </w:rPr>
              <w:t xml:space="preserve">The resected-patient analysis conditions on an event that occurred after randomisation and was influenced by the allocated treatment, which the authors acknowledge indirectly by noting the reasons for non-resection differed between arms. It is not a randomised comparison.</w:t>
            </w:r>
          </w:p>
          <w:p>
            <w:pPr>
              <w:pStyle w:val="ListParagraph"/>
              <w:numPr>
                <w:ilvl w:val="0"/>
                <w:numId w:val="2"/>
              </w:numPr>
              <w:spacing w:after="45"/>
            </w:pPr>
            <w:r>
              <w:rPr>
                <w:sz w:val="15"/>
                <w:szCs w:val="15"/>
              </w:rPr>
              <w:t xml:space="preserve">The headline analysis was triggered by a stopping rule invented mid-trial. The protocol required 278 events; at 6.5 years they had not accrued, a boundary was added using a gamma-family alpha spending function, an interim analysis at 235 events was shown only to the data monitoring committee, and the data were updated and released for an ASCO deadline at 254 events. All confidence intervals in the paper are therefore 95.66% rather than 95%.</w:t>
            </w:r>
          </w:p>
          <w:p>
            <w:pPr>
              <w:pStyle w:val="ListParagraph"/>
              <w:numPr>
                <w:ilvl w:val="0"/>
                <w:numId w:val="2"/>
              </w:numPr>
              <w:spacing w:after="45"/>
            </w:pPr>
            <w:r>
              <w:rPr>
                <w:sz w:val="15"/>
                <w:szCs w:val="15"/>
              </w:rPr>
              <w:t xml:space="preserve">What the trial tested is not what its title claims. Of 182 patients allocated perioperative chemotherapy, 143 of 171 completed six preoperative cycles but only 115 (63%) started postoperative chemotherapy and 80 (44%) completed it. The comparison delivered is six preoperative cycles plus whatever could be given afterwards.</w:t>
            </w:r>
          </w:p>
          <w:p>
            <w:pPr>
              <w:pStyle w:val="ListParagraph"/>
              <w:numPr>
                <w:ilvl w:val="0"/>
                <w:numId w:val="2"/>
              </w:numPr>
              <w:spacing w:after="45"/>
            </w:pPr>
            <w:r>
              <w:rPr>
                <w:sz w:val="15"/>
                <w:szCs w:val="15"/>
              </w:rPr>
              <w:t xml:space="preserve">Chemotherapy produced no increase in resection: 83% against 84%. In a trial of neoadjuvant treatment for resectable disease this is the most important negative result and it appears without comment on what the preoperative component was for, beyond progression-free survival.</w:t>
            </w:r>
          </w:p>
          <w:p>
            <w:pPr>
              <w:pStyle w:val="ListParagraph"/>
              <w:numPr>
                <w:ilvl w:val="0"/>
                <w:numId w:val="2"/>
              </w:numPr>
              <w:spacing w:after="45"/>
            </w:pPr>
            <w:r>
              <w:rPr>
                <w:sz w:val="15"/>
                <w:szCs w:val="15"/>
              </w:rPr>
              <w:t xml:space="preserve">More chemotherapy-arm patients were never operated on at all (22, 12%, against 8, 4%). Since non-resection was counted as an event at week 10, the arm that lost more patients to non-operation was penalised at a fixed early timepoint rather than at the time the decision was made - a convention that cuts both ways and is never examined in a sensitivity analysis.</w:t>
            </w:r>
          </w:p>
          <w:p>
            <w:pPr>
              <w:pStyle w:val="ListParagraph"/>
              <w:numPr>
                <w:ilvl w:val="0"/>
                <w:numId w:val="2"/>
              </w:numPr>
              <w:spacing w:after="45"/>
            </w:pPr>
            <w:r>
              <w:rPr>
                <w:sz w:val="15"/>
                <w:szCs w:val="15"/>
              </w:rPr>
              <w:t xml:space="preserve">The surgical cost is real and is argued away rather than weighed: reversible complications rose from 16% to 25% (p=0.04), driven by biliary fistula (8% vs 4%), intra-abdominal infection (7% vs 2%) and hepatic failure (7% vs 5%), one resection was abandoned for macroscopic chemotherapy liver injury, and the authors state they believe this moderate increase does not compromise the potential benefits.</w:t>
            </w:r>
          </w:p>
          <w:p>
            <w:pPr>
              <w:pStyle w:val="ListParagraph"/>
              <w:numPr>
                <w:ilvl w:val="0"/>
                <w:numId w:val="2"/>
              </w:numPr>
              <w:spacing w:after="45"/>
            </w:pPr>
            <w:r>
              <w:rPr>
                <w:sz w:val="15"/>
                <w:szCs w:val="15"/>
              </w:rPr>
              <w:t xml:space="preserve">Progression on preoperative chemotherapy in 12 patients (7%), four of whom became unresectable from new lesions, is reinterpreted as a biological marker of poor prognosis with the assertion that immediate surgery would not have benefited them - a counterfactual claim about four patients, made without data.</w:t>
            </w:r>
          </w:p>
          <w:p>
            <w:pPr>
              <w:pStyle w:val="ListParagraph"/>
              <w:numPr>
                <w:ilvl w:val="0"/>
                <w:numId w:val="2"/>
              </w:numPr>
              <w:spacing w:after="45"/>
            </w:pPr>
            <w:r>
              <w:rPr>
                <w:sz w:val="15"/>
                <w:szCs w:val="15"/>
              </w:rPr>
              <w:t xml:space="preserve">The population is the most favourable end of the disease: one to four metastases, no extrahepatic disease, half with a single lesion. The Discussion suggests the findings would probably hold in higher-risk patients, which the trial cannot support.</w:t>
            </w:r>
          </w:p>
          <w:p>
            <w:pPr>
              <w:pStyle w:val="ListParagraph"/>
              <w:numPr>
                <w:ilvl w:val="0"/>
                <w:numId w:val="2"/>
              </w:numPr>
              <w:spacing w:after="45"/>
            </w:pPr>
            <w:r>
              <w:rPr>
                <w:sz w:val="15"/>
                <w:szCs w:val="15"/>
              </w:rPr>
              <w:t xml:space="preserve">Progression-free survival was assessed on imaging in an unblinded trial, with no independent central radiology review described, and the authors note that the gap between imaging and surgical findings is the principal reason patients turned out unresectable.</w:t>
            </w:r>
          </w:p>
          <w:p>
            <w:pPr>
              <w:pStyle w:val="ListParagraph"/>
              <w:numPr>
                <w:ilvl w:val="0"/>
                <w:numId w:val="2"/>
              </w:numPr>
              <w:spacing w:after="45"/>
            </w:pPr>
            <w:r>
              <w:rPr>
                <w:sz w:val="15"/>
                <w:szCs w:val="15"/>
              </w:rPr>
              <w:t xml:space="preserve">No quality-of-life result is reported, in a trial adding twelve cycles of oxaliplatin-based chemotherapy around a major hepatectomy in patients who are candidates for cure.</w:t>
            </w:r>
          </w:p>
          <w:p>
            <w:pPr>
              <w:pStyle w:val="ListParagraph"/>
              <w:numPr>
                <w:ilvl w:val="0"/>
                <w:numId w:val="2"/>
              </w:numPr>
              <w:spacing w:after="45"/>
            </w:pPr>
            <w:r>
              <w:rPr>
                <w:sz w:val="15"/>
                <w:szCs w:val="15"/>
              </w:rPr>
              <w:t xml:space="preserve">Overall survival data existed - 139 deaths, 64 against 75 - and inference was deferred; the 2013 long-term report of this trial (also in this depot) found no survival difference, so the endpoint released early under community pressure was the only one that ever favoured the regimen.</w:t>
            </w:r>
          </w:p>
          <w:p>
            <w:pPr>
              <w:pStyle w:val="ListParagraph"/>
              <w:numPr>
                <w:ilvl w:val="0"/>
                <w:numId w:val="2"/>
              </w:numPr>
              <w:spacing w:after="45"/>
            </w:pPr>
            <w:r>
              <w:rPr>
                <w:sz w:val="15"/>
                <w:szCs w:val="15"/>
              </w:rPr>
              <w:t xml:space="preserve">The manufacturer of the trial drug supplied it free, funded an educational grant, had two named staff responsible for the trial at the company, and eight authors declare relationships with it, in a trial whose positive result exists only in non-prespecified populations.</w:t>
            </w:r>
          </w:p>
          <w:p>
            <w:pPr>
              <w:pStyle w:val="ListParagraph"/>
              <w:numPr>
                <w:ilvl w:val="0"/>
                <w:numId w:val="2"/>
              </w:numPr>
              <w:spacing w:after="45"/>
            </w:pPr>
            <w:r>
              <w:rPr>
                <w:sz w:val="15"/>
                <w:szCs w:val="15"/>
              </w:rPr>
              <w:t xml:space="preserve">Two linked items were identified in PubMed - Kopetz and Vauthey's Comment (PMID 18358910, Lancet 2008;371:963-5) and correspondence from Snoeren, Voest and van Hillegersberg with the authors' reply (PMID 18640447, Lancet 2008;372:202-3) - but their texts were not read for this record.</w:t>
            </w:r>
          </w:p>
        </w:tc>
      </w:tr>
    </w:tbl>
    <w:p>
      <w:pPr>
        <w:spacing w:after="0" w:line="276"/>
      </w:pPr>
      <w:r>
        <w:rPr>
          <w:color w:val="5A6069"/>
          <w:sz w:val="14"/>
          <w:szCs w:val="14"/>
        </w:rPr>
        <w:t xml:space="preserve">Funding: Sponsored by the EORTC, with grants from the Swedish Cancer Society, Cancer Research UK, the Ligue Nationale Contre le Cancer and the US National Cancer Institute, and support from Sanofi-Aventis, which supplied oxaliplatin free of charge and gave an educational grant; two named Sanofi-Aventis staff are acknowledged as responsible for the trial at the company. Design, management, analysis and interpretation were done at EORTC headquarters independently of commercial interest. Eight authors declare consultancy, advisory, lecture or research relationships with Sanofi-Aventis</w:t>
      </w:r>
    </w:p>
    <w:p>
      <w:pPr>
        <w:keepNext/>
        <w:spacing w:after="50" w:before="260"/>
      </w:pPr>
      <w:r>
        <w:rPr>
          <w:rFonts w:ascii="Cambria" w:cs="Cambria" w:eastAsia="Cambria" w:hAnsi="Cambria"/>
          <w:b/>
          <w:bCs/>
          <w:color w:val="17365D"/>
          <w:sz w:val="20"/>
          <w:szCs w:val="20"/>
        </w:rPr>
        <w:t xml:space="preserve">EORTC 40983 long-term</w:t>
      </w:r>
      <w:r>
        <w:rPr>
          <w:b/>
          <w:bCs/>
          <w:color w:val="176A87"/>
          <w:sz w:val="15"/>
          <w:szCs w:val="15"/>
        </w:rPr>
        <w:t xml:space="preserve">   Randomised trial</w:t>
      </w:r>
      <w:r>
        <w:rPr>
          <w:color w:val="5A6069"/>
          <w:sz w:val="15"/>
          <w:szCs w:val="15"/>
        </w:rPr>
        <w:t xml:space="preserve">   PMID 24120480</w:t>
      </w:r>
    </w:p>
    <w:p>
      <w:pPr>
        <w:spacing w:after="50" w:line="276"/>
      </w:pPr>
      <w:r>
        <w:rPr>
          <w:color w:val="5A6069"/>
          <w:sz w:val="17"/>
          <w:szCs w:val="17"/>
        </w:rPr>
        <w:t xml:space="preserve">Perioperative FOLFOX4 chemotherapy and surgery versus surgery alone for resectable liver metastases from colorectal cancer (EORTC 40983): long-term results of a randomised, controlled, phase 3 trial</w:t>
      </w:r>
    </w:p>
    <w:p>
      <w:pPr>
        <w:spacing w:after="50"/>
      </w:pPr>
      <w:r>
        <w:rPr>
          <w:b/>
          <w:bCs/>
          <w:color w:val="176A87"/>
          <w:sz w:val="16"/>
          <w:szCs w:val="16"/>
        </w:rPr>
        <w:t xml:space="preserve">Population. </w:t>
      </w:r>
      <w:r>
        <w:rPr>
          <w:sz w:val="16"/>
          <w:szCs w:val="16"/>
        </w:rPr>
        <w:t xml:space="preserve">364 patients aged 18 to 80 with one to four resectable colorectal liver metastases and no detectable extrahepatic disease, randomised at 78 hospitals in Europe, Australia and Hong Kong between October 2000 and July 2004 (182 per group); 171 per group were eligible and 152 per group were resected; 188 of 364 (52%) had a single metastasis. At a median follow-up of 8.5 years there were 221 deaths and 29 patients lost to follow-up</w:t>
      </w:r>
    </w:p>
    <w:p>
      <w:pPr>
        <w:spacing w:after="70"/>
      </w:pPr>
      <w:r>
        <w:rPr>
          <w:b/>
          <w:bCs/>
          <w:color w:val="17365D"/>
          <w:sz w:val="16"/>
          <w:szCs w:val="16"/>
        </w:rPr>
        <w:t xml:space="preserve">Bottom line. </w:t>
      </w:r>
      <w:r>
        <w:rPr>
          <w:sz w:val="16"/>
          <w:szCs w:val="16"/>
        </w:rPr>
        <w:t xml:space="preserve">Establishes that adding six cycles of FOLFOX4 before and six after hepatectomy for one to four resectable colorectal liver metastases does not prolong life: at 8.5 years median survival was 61.3 versus 54.3 months, HR 0.88 (95% CI 0.68-1.14, p=0.34), with a 3.4% absolute difference at five years whose interval spans 7 points of harm to 14 of benefit. It does not establish the progression-free survival benefit that the authors use to keep recommending the regimen - that reaches significance only after excluding patients found ineligible after randomisation, and its original report was released early on a stopping boundary added mid-trial under acknowledged external pressure. The surgery-only arm lived a median 73.3 months after resection, which is the most useful number in the paper.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designed to detect a progression-free survival benefit and was not powered upfront for overall survival, which was a secondary endpoint</w:t>
            </w:r>
          </w:p>
          <w:p>
            <w:pPr>
              <w:pStyle w:val="ListParagraph"/>
              <w:numPr>
                <w:ilvl w:val="0"/>
                <w:numId w:val="2"/>
              </w:numPr>
              <w:spacing w:after="45"/>
            </w:pPr>
            <w:r>
              <w:rPr>
                <w:sz w:val="15"/>
                <w:szCs w:val="15"/>
              </w:rPr>
              <w:t xml:space="preserve">The surgery-only group did much better than assumed - 3-year progression-free survival 28.1% against the 21% predicted at design, and median overall survival 73.3 months among resected patients - which the authors say made a treatment benefit harder to show</w:t>
            </w:r>
          </w:p>
          <w:p>
            <w:pPr>
              <w:pStyle w:val="ListParagraph"/>
              <w:numPr>
                <w:ilvl w:val="0"/>
                <w:numId w:val="2"/>
              </w:numPr>
              <w:spacing w:after="45"/>
            </w:pPr>
            <w:r>
              <w:rPr>
                <w:sz w:val="15"/>
                <w:szCs w:val="15"/>
              </w:rPr>
              <w:t xml:space="preserve">Chemotherapy at first progression was given more often in the surgery-only group (77% versus 59%, p=0.0029); the authors state the reason is unclear and that data on treatments for second and later progressions were not obtained systematically</w:t>
            </w:r>
          </w:p>
          <w:p>
            <w:pPr>
              <w:pStyle w:val="ListParagraph"/>
              <w:numPr>
                <w:ilvl w:val="0"/>
                <w:numId w:val="2"/>
              </w:numPr>
              <w:spacing w:after="45"/>
            </w:pPr>
            <w:r>
              <w:rPr>
                <w:sz w:val="15"/>
                <w:szCs w:val="15"/>
              </w:rPr>
              <w:t xml:space="preserve">More patients in the chemotherapy group died of causes other than progression, protocol treatment or surgery (15 versus 10), which the authors suggest could have contributed to the absence of a survival difference</w:t>
            </w:r>
          </w:p>
          <w:p>
            <w:pPr>
              <w:pStyle w:val="ListParagraph"/>
              <w:numPr>
                <w:ilvl w:val="0"/>
                <w:numId w:val="2"/>
              </w:numPr>
              <w:spacing w:after="45"/>
            </w:pPr>
            <w:r>
              <w:rPr>
                <w:sz w:val="15"/>
                <w:szCs w:val="15"/>
              </w:rPr>
              <w:t xml:space="preserve">The 8.5-year analysis timepoint was not prespecified in the protocol but was a compromise based on the number of deaths reachable with the accrued sample size</w:t>
            </w:r>
          </w:p>
          <w:p>
            <w:pPr>
              <w:pStyle w:val="ListParagraph"/>
              <w:numPr>
                <w:ilvl w:val="0"/>
                <w:numId w:val="2"/>
              </w:numPr>
              <w:spacing w:after="45"/>
            </w:pPr>
            <w:r>
              <w:rPr>
                <w:sz w:val="15"/>
                <w:szCs w:val="15"/>
              </w:rPr>
              <w:t xml:space="preserve">The authors note that trials of this size cannot answer the survival question in this disease and that future progress will probably have to rely on surrogate endpoints such as progression-free survival or pathological response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not-powered-for-survival defence does not fit the authors' own arithmetic. Their post hoc calculation states that at least 194 deaths were needed for 80% power to detect a 10-point gain in 3-year survival; 221 deaths were observed. The trial therefore had the power it says it lacked for a difference of that size, and found an absolute 5-year difference of 3.4% with a 95% CI of -7.1 to 13.8.</w:t>
            </w:r>
          </w:p>
          <w:p>
            <w:pPr>
              <w:pStyle w:val="ListParagraph"/>
              <w:numPr>
                <w:ilvl w:val="0"/>
                <w:numId w:val="2"/>
              </w:numPr>
              <w:spacing w:after="45"/>
            </w:pPr>
            <w:r>
              <w:rPr>
                <w:sz w:val="15"/>
                <w:szCs w:val="15"/>
              </w:rPr>
              <w:t xml:space="preserve">The progression-free survival result that the whole recommendation rests on was released early under non-statistical pressure. The protocol required 278 events; at 6.5 years the events had not accumulated, so a stopping boundary for efficacy was implemented after the fact, an interim analysis at 235 events was shown only to the data monitoring committee, and the results were released for ASCO 2007 because - in the paper's own words - the pressure from the medical community to disclose was very strong.</w:t>
            </w:r>
          </w:p>
          <w:p>
            <w:pPr>
              <w:pStyle w:val="ListParagraph"/>
              <w:numPr>
                <w:ilvl w:val="0"/>
                <w:numId w:val="2"/>
              </w:numPr>
              <w:spacing w:after="45"/>
            </w:pPr>
            <w:r>
              <w:rPr>
                <w:sz w:val="15"/>
                <w:szCs w:val="15"/>
              </w:rPr>
              <w:t xml:space="preserve">Statistical significance for progression-free survival exists only in a sensitivity population. In all randomised patients the updated hazard ratio is 0.81 (95% CI 0.64-1.02, p=0.068); it reaches 0.78 (0.61-0.99, p=0.035) only after excluding the 22 patients found ineligible after randomisation. The Interpretation nonetheless states that FOLFOX4 should remain the reference treatment.</w:t>
            </w:r>
          </w:p>
          <w:p>
            <w:pPr>
              <w:pStyle w:val="ListParagraph"/>
              <w:numPr>
                <w:ilvl w:val="0"/>
                <w:numId w:val="2"/>
              </w:numPr>
              <w:spacing w:after="45"/>
            </w:pPr>
            <w:r>
              <w:rPr>
                <w:sz w:val="15"/>
                <w:szCs w:val="15"/>
              </w:rPr>
              <w:t xml:space="preserve">The case for the regimen is made by analogy rather than from the data: the 3.4% to 4.1% absolute survival difference is set beside MOSAIC's 4.2% at six years, a result that was statistically significant in 1347 patients. The paper argues that because a similar-sized difference was decisive in a trial five times larger, a non-significant difference here should be treated as real.</w:t>
            </w:r>
          </w:p>
          <w:p>
            <w:pPr>
              <w:pStyle w:val="ListParagraph"/>
              <w:numPr>
                <w:ilvl w:val="0"/>
                <w:numId w:val="2"/>
              </w:numPr>
              <w:spacing w:after="45"/>
            </w:pPr>
            <w:r>
              <w:rPr>
                <w:sz w:val="15"/>
                <w:szCs w:val="15"/>
              </w:rPr>
              <w:t xml:space="preserve">The conclusions are explicitly stated as belief rather than inference - the Research in Context panel says that although the results were not statistically significant, the authors believe perioperative FOLFOX4 should be the reference treatment, and the Discussion says they believe patients are likelier to receive chemotherapy if it is given before surgery. Neither claim is tested anywhere in the paper.</w:t>
            </w:r>
          </w:p>
          <w:p>
            <w:pPr>
              <w:pStyle w:val="ListParagraph"/>
              <w:numPr>
                <w:ilvl w:val="0"/>
                <w:numId w:val="2"/>
              </w:numPr>
              <w:spacing w:after="45"/>
            </w:pPr>
            <w:r>
              <w:rPr>
                <w:sz w:val="15"/>
                <w:szCs w:val="15"/>
              </w:rPr>
              <w:t xml:space="preserve">The excess non-cancer deaths with chemotherapy are used to explain the null result rather than examined as possible harm. The cause-of-death table shows 4 cerebrovascular accidents against 0 and 4 cardiac deaths against 2 in the chemotherapy arm, with 15 versus 10 other deaths in total, in a trial of a vascular-toxic drug.</w:t>
            </w:r>
          </w:p>
          <w:p>
            <w:pPr>
              <w:pStyle w:val="ListParagraph"/>
              <w:numPr>
                <w:ilvl w:val="0"/>
                <w:numId w:val="2"/>
              </w:numPr>
              <w:spacing w:after="45"/>
            </w:pPr>
            <w:r>
              <w:rPr>
                <w:sz w:val="15"/>
                <w:szCs w:val="15"/>
              </w:rPr>
              <w:t xml:space="preserve">The competing-risk and cancer-specific survival analyses said to show a trend favouring chemotherapy are reported in one sentence as not statistically significant, with the figures confined to the appendix, so the strongest version of the authors' case cannot be checked by a reader of the paper.</w:t>
            </w:r>
          </w:p>
          <w:p>
            <w:pPr>
              <w:pStyle w:val="ListParagraph"/>
              <w:numPr>
                <w:ilvl w:val="0"/>
                <w:numId w:val="2"/>
              </w:numPr>
              <w:spacing w:after="45"/>
            </w:pPr>
            <w:r>
              <w:rPr>
                <w:sz w:val="15"/>
                <w:szCs w:val="15"/>
              </w:rPr>
              <w:t xml:space="preserve">Post-progression management - the determinant of overall survival in this disease - was recorded only for first-line therapy at progression. Repeat surgery (40% versus 46%), radiotherapy (2% versus 9%) and symptomatic treatment (6% versus 11%) all differ between arms, and everything after the first progression is unrecorded.</w:t>
            </w:r>
          </w:p>
          <w:p>
            <w:pPr>
              <w:pStyle w:val="ListParagraph"/>
              <w:numPr>
                <w:ilvl w:val="0"/>
                <w:numId w:val="2"/>
              </w:numPr>
              <w:spacing w:after="45"/>
            </w:pPr>
            <w:r>
              <w:rPr>
                <w:sz w:val="15"/>
                <w:szCs w:val="15"/>
              </w:rPr>
              <w:t xml:space="preserve">The systematic review supporting the Research in Context panel searched PubMed only to December 1999 and Embase only to December 1999, in a paper published in 2013, so the evidence context offered alongside the long-term result is 14 years out of date and identified three trials.</w:t>
            </w:r>
          </w:p>
          <w:p>
            <w:pPr>
              <w:pStyle w:val="ListParagraph"/>
              <w:numPr>
                <w:ilvl w:val="0"/>
                <w:numId w:val="2"/>
              </w:numPr>
              <w:spacing w:after="45"/>
            </w:pPr>
            <w:r>
              <w:rPr>
                <w:sz w:val="15"/>
                <w:szCs w:val="15"/>
              </w:rPr>
              <w:t xml:space="preserve">Eligibility was narrow and favourable in ways that bound the result: one to four metastases, no extrahepatic disease, age 80 or under, and 52% with a solitary lesion. There is no central radiology review described, resectability was judged by local multidisciplinary teams, and the trial predates RAS and BRAF selection entirely, so neither the population nor the regimen choice maps onto current practice.</w:t>
            </w:r>
          </w:p>
          <w:p>
            <w:pPr>
              <w:pStyle w:val="ListParagraph"/>
              <w:numPr>
                <w:ilvl w:val="0"/>
                <w:numId w:val="2"/>
              </w:numPr>
              <w:spacing w:after="45"/>
            </w:pPr>
            <w:r>
              <w:rPr>
                <w:sz w:val="15"/>
                <w:szCs w:val="15"/>
              </w:rPr>
              <w:t xml:space="preserve">Twenty-two randomised patients (11 per arm) were found ineligible and 60 (30 per arm) were never resected, yet the paper's favoured analyses move between randomised, eligible and resected populations - with median survival of 61.3, unreported and 77.5 months respectively in the chemotherapy arm - without a single prespecified hierarchy saying which answers the question.</w:t>
            </w:r>
          </w:p>
          <w:p>
            <w:pPr>
              <w:pStyle w:val="ListParagraph"/>
              <w:numPr>
                <w:ilvl w:val="0"/>
                <w:numId w:val="2"/>
              </w:numPr>
              <w:spacing w:after="45"/>
            </w:pPr>
            <w:r>
              <w:rPr>
                <w:sz w:val="15"/>
                <w:szCs w:val="15"/>
              </w:rPr>
              <w:t xml:space="preserve">The maker of the trial drug supplied it free and gave an educational grant, and six authors declare relationships with that company, in a trial whose null primary-population result is nonetheless presented as supporting continued use of that drug.</w:t>
            </w:r>
          </w:p>
          <w:p>
            <w:pPr>
              <w:pStyle w:val="ListParagraph"/>
              <w:numPr>
                <w:ilvl w:val="0"/>
                <w:numId w:val="2"/>
              </w:numPr>
              <w:spacing w:after="45"/>
            </w:pPr>
            <w:r>
              <w:rPr>
                <w:sz w:val="15"/>
                <w:szCs w:val="15"/>
              </w:rPr>
              <w:t xml:space="preserve">A linked Lancet Oncology comment by Fong (PMID 24120479, 'Chemotherapy and resection for colorectal metastases', 2013) was identified in PubMed but its text was not available here, so its objections are not reflected in this record.</w:t>
            </w:r>
          </w:p>
        </w:tc>
      </w:tr>
    </w:tbl>
    <w:p>
      <w:pPr>
        <w:spacing w:after="0" w:line="276"/>
      </w:pPr>
      <w:r>
        <w:rPr>
          <w:color w:val="5A6069"/>
          <w:sz w:val="14"/>
          <w:szCs w:val="14"/>
        </w:rPr>
        <w:t xml:space="preserve">Funding: Sponsored by the EORTC, with an educational grant from Sanofi-Aventis and grants from the Norwegian and Swedish Cancer Societies, Cancer Research UK, the Ligue Nationale Contre le Cancer and the US National Cancer Institute; Sanofi-Aventis also supplied oxaliplatin free of charge. EORTC headquarters states that design, management, analysis and interpretation were done independently of any commercial interest. Six co-authors declare consulting, advisory or research relationships with Sanofi-Aventis, the maker of oxaliplatin</w:t>
      </w:r>
    </w:p>
    <w:p>
      <w:pPr>
        <w:keepNext/>
        <w:spacing w:after="50" w:before="260"/>
      </w:pPr>
      <w:r>
        <w:rPr>
          <w:rFonts w:ascii="Cambria" w:cs="Cambria" w:eastAsia="Cambria" w:hAnsi="Cambria"/>
          <w:b/>
          <w:bCs/>
          <w:color w:val="17365D"/>
          <w:sz w:val="20"/>
          <w:szCs w:val="20"/>
        </w:rPr>
        <w:t xml:space="preserve">EPOCH</w:t>
      </w:r>
      <w:r>
        <w:rPr>
          <w:b/>
          <w:bCs/>
          <w:color w:val="176A87"/>
          <w:sz w:val="15"/>
          <w:szCs w:val="15"/>
        </w:rPr>
        <w:t xml:space="preserve">   Randomised trial</w:t>
      </w:r>
      <w:r>
        <w:rPr>
          <w:color w:val="5A6069"/>
          <w:sz w:val="15"/>
          <w:szCs w:val="15"/>
        </w:rPr>
        <w:t xml:space="preserve">   PMID 34541864</w:t>
      </w:r>
    </w:p>
    <w:p>
      <w:pPr>
        <w:spacing w:after="50" w:line="276"/>
      </w:pPr>
      <w:r>
        <w:rPr>
          <w:color w:val="5A6069"/>
          <w:sz w:val="17"/>
          <w:szCs w:val="17"/>
        </w:rPr>
        <w:t xml:space="preserve">Radioembolization With Chemotherapy for Colorectal Liver Metastases: A Randomized, Open-Label, International, Multicenter, Phase III Trial</w:t>
      </w:r>
    </w:p>
    <w:p>
      <w:pPr>
        <w:spacing w:after="50"/>
      </w:pPr>
      <w:r>
        <w:rPr>
          <w:b/>
          <w:bCs/>
          <w:color w:val="176A87"/>
          <w:sz w:val="16"/>
          <w:szCs w:val="16"/>
        </w:rPr>
        <w:t xml:space="preserve">Population. </w:t>
      </w:r>
      <w:r>
        <w:rPr>
          <w:sz w:val="16"/>
          <w:szCs w:val="16"/>
        </w:rPr>
        <w:t xml:space="preserve">428 patients with unresectable unilobar or bilobar colorectal liver metastases progressing after oxaliplatin- or irinotecan-based first-line therapy, randomised 1:1 at 95 centres in North America, Europe and Asia between May 2012 and August 2020 from 539 assessed (215 radioembolization plus second-line chemotherapy, 213 chemotherapy alone); 82% had bilobar disease, 39% more than ten lesions, 47% a KRAS mutation, and BRAF and NRAS were never tested. Twenty-eight of 215 allocated to radioembolization (13%) never received it, and the analysis used 267 progression events against the 287 originally planned</w:t>
      </w:r>
    </w:p>
    <w:p>
      <w:pPr>
        <w:spacing w:after="70"/>
      </w:pPr>
      <w:r>
        <w:rPr>
          <w:b/>
          <w:bCs/>
          <w:color w:val="17365D"/>
          <w:sz w:val="16"/>
          <w:szCs w:val="16"/>
        </w:rPr>
        <w:t xml:space="preserve">Bottom line. </w:t>
      </w:r>
      <w:r>
        <w:rPr>
          <w:sz w:val="16"/>
          <w:szCs w:val="16"/>
        </w:rPr>
        <w:t xml:space="preserve">Establishes that adding yttrium-90 glass microsphere radioembolization to second-line chemotherapy in unresectable colorectal liver metastases delays progression - progression-free survival 8.0 against 7.2 months (HR 0.69) and hepatic progression-free survival 9.1 against 7.2 (HR 0.59) - and raises response from 21% to 34%. It shows no survival benefit, with overall survival numerically worse (14.0 against 14.4 months, HR 1.07), at the cost of grade 3 or worse toxicity in 68% against 49% and three deaths from radiation liver disease, hepatic failure and portal hypertension. Both primary endpoints were tested one-sided with either sufficing, patients were censored when they received subsequent therapy, the plan was amended mid-trial, half the cohort was KRAS wild-type but almost none received an EGFR inhibitor, and the device manufacturer collaborated on design and analysis.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the trial was not designed or powered for overall survival, and that higher rates of subsequent local therapy including radioembolization in the control arm confound that endpoint</w:t>
            </w:r>
          </w:p>
          <w:p>
            <w:pPr>
              <w:pStyle w:val="ListParagraph"/>
              <w:numPr>
                <w:ilvl w:val="0"/>
                <w:numId w:val="2"/>
              </w:numPr>
              <w:spacing w:after="45"/>
            </w:pPr>
            <w:r>
              <w:rPr>
                <w:sz w:val="15"/>
                <w:szCs w:val="15"/>
              </w:rPr>
              <w:t xml:space="preserve">They state that 28 of 215 patients assigned to radioembolization did not receive it, and that the trial ran for eight years in a changing treatment landscape</w:t>
            </w:r>
          </w:p>
          <w:p>
            <w:pPr>
              <w:pStyle w:val="ListParagraph"/>
              <w:numPr>
                <w:ilvl w:val="0"/>
                <w:numId w:val="2"/>
              </w:numPr>
              <w:spacing w:after="45"/>
            </w:pPr>
            <w:r>
              <w:rPr>
                <w:sz w:val="15"/>
                <w:szCs w:val="15"/>
              </w:rPr>
              <w:t xml:space="preserve">They state BRAF and NRAS status was not assessed, that only 17% received an EGFR inhibitor first line and 5% second line, and that because the progression-free survival hazard ratio in KRAS wild-type tumours was 0.79 it is uncertain whether radioembolization would add anything to chemotherapy plus EGFR inhibition</w:t>
            </w:r>
          </w:p>
          <w:p>
            <w:pPr>
              <w:pStyle w:val="ListParagraph"/>
              <w:numPr>
                <w:ilvl w:val="0"/>
                <w:numId w:val="2"/>
              </w:numPr>
              <w:spacing w:after="45"/>
            </w:pPr>
            <w:r>
              <w:rPr>
                <w:sz w:val="15"/>
                <w:szCs w:val="15"/>
              </w:rPr>
              <w:t xml:space="preserve">They acknowledge unavoidable imbalance in adverse-event reporting between an arm receiving an extra procedure and one not</w:t>
            </w:r>
          </w:p>
          <w:p>
            <w:pPr>
              <w:pStyle w:val="ListParagraph"/>
              <w:numPr>
                <w:ilvl w:val="0"/>
                <w:numId w:val="2"/>
              </w:numPr>
              <w:spacing w:after="45"/>
            </w:pPr>
            <w:r>
              <w:rPr>
                <w:sz w:val="15"/>
                <w:szCs w:val="15"/>
              </w:rPr>
              <w:t xml:space="preserve">They note that the meta-analytic threshold at which a progression-free survival hazard ratio implies survival benefit (below 0.77) has been established only in the first-line setting, and no such data exist for second line</w:t>
            </w:r>
          </w:p>
          <w:p>
            <w:pPr>
              <w:pStyle w:val="ListParagraph"/>
              <w:numPr>
                <w:ilvl w:val="0"/>
                <w:numId w:val="2"/>
              </w:numPr>
              <w:spacing w:after="45"/>
            </w:pPr>
            <w:r>
              <w:rPr>
                <w:sz w:val="15"/>
                <w:szCs w:val="15"/>
              </w:rPr>
              <w:t xml:space="preserve">The statistical analysis plan was amended after FDA agreement, with an additional censoring rule and a cut-off-date criterion, so the final analysis used 267 events rather than the planned number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is positive on surrogates and flat on survival. Median progression-free survival gained 0.8 months (8.0 against 7.2) and median overall survival was numerically worse with radioembolization (14.0 against 14.4 months, HR 1.07, 95% CI 0.86-1.32). The clinical case therefore rests on about two months of hepatic progression-free survival.</w:t>
            </w:r>
          </w:p>
          <w:p>
            <w:pPr>
              <w:pStyle w:val="ListParagraph"/>
              <w:numPr>
                <w:ilvl w:val="0"/>
                <w:numId w:val="2"/>
              </w:numPr>
              <w:spacing w:after="45"/>
            </w:pPr>
            <w:r>
              <w:rPr>
                <w:sz w:val="15"/>
                <w:szCs w:val="15"/>
              </w:rPr>
              <w:t xml:space="preserve">The endpoints were censored in a way that removes the information most relevant to them: patients who received subsequent therapy before their last tumour assessment were censored at that assessment. Since control patients went on to further local therapy including radioembolization more often, the arm with more subsequent treatment is preferentially censored out of the progression analysis.</w:t>
            </w:r>
          </w:p>
          <w:p>
            <w:pPr>
              <w:pStyle w:val="ListParagraph"/>
              <w:numPr>
                <w:ilvl w:val="0"/>
                <w:numId w:val="2"/>
              </w:numPr>
              <w:spacing w:after="45"/>
            </w:pPr>
            <w:r>
              <w:rPr>
                <w:sz w:val="15"/>
                <w:szCs w:val="15"/>
              </w:rPr>
              <w:t xml:space="preserve">The analysis plan was changed during the trial with an added censoring rule and a new cut-off criterion agreed with the regulator, and the final analysis rests on fewer events than planned. A device trial whose statistical plan is amended mid-course, with the sponsor collaborating on analysis, invites exactly the scrutiny the paper does not supply.</w:t>
            </w:r>
          </w:p>
          <w:p>
            <w:pPr>
              <w:pStyle w:val="ListParagraph"/>
              <w:numPr>
                <w:ilvl w:val="0"/>
                <w:numId w:val="2"/>
              </w:numPr>
              <w:spacing w:after="45"/>
            </w:pPr>
            <w:r>
              <w:rPr>
                <w:sz w:val="15"/>
                <w:szCs w:val="15"/>
              </w:rPr>
              <w:t xml:space="preserve">Testing was one-sided throughout (1-sided p=0.0013 and p&lt;0.0001), and the trial was declared positive if either co-primary endpoint reached significance - a design that nearly guarantees a positive label for a liver-directed treatment whose second endpoint is progression in the liver.</w:t>
            </w:r>
          </w:p>
          <w:p>
            <w:pPr>
              <w:pStyle w:val="ListParagraph"/>
              <w:numPr>
                <w:ilvl w:val="0"/>
                <w:numId w:val="2"/>
              </w:numPr>
              <w:spacing w:after="45"/>
            </w:pPr>
            <w:r>
              <w:rPr>
                <w:sz w:val="15"/>
                <w:szCs w:val="15"/>
              </w:rPr>
              <w:t xml:space="preserve">Hepatic progression-free survival is the endpoint a liver-directed therapy must move, and the same pattern seen in SIRFLOX and FOXFIRE - better hepatic control, no survival gain - recurs here. The paper does not report where first progression occurred in each arm, which is the analysis that showed in the resin-microsphere trials that failure simply relocated.</w:t>
            </w:r>
          </w:p>
          <w:p>
            <w:pPr>
              <w:pStyle w:val="ListParagraph"/>
              <w:numPr>
                <w:ilvl w:val="0"/>
                <w:numId w:val="2"/>
              </w:numPr>
              <w:spacing w:after="45"/>
            </w:pPr>
            <w:r>
              <w:rPr>
                <w:sz w:val="15"/>
                <w:szCs w:val="15"/>
              </w:rPr>
              <w:t xml:space="preserve">Toxicity is substantially worse and is partly explained away: grade 3 or worse adverse events 68.4% against 49.3%, with three grade 5 events deemed possibly related - radiation-induced liver disease, hepatic failure and portal hypertension at three, three and five months. For a patient who might later need resection, ablation or further liver-directed treatment, that is a loss of hepatic reserve, and no analysis of subsequent liver-directed therapy feasibility is reported.</w:t>
            </w:r>
          </w:p>
          <w:p>
            <w:pPr>
              <w:pStyle w:val="ListParagraph"/>
              <w:numPr>
                <w:ilvl w:val="0"/>
                <w:numId w:val="2"/>
              </w:numPr>
              <w:spacing w:after="45"/>
            </w:pPr>
            <w:r>
              <w:rPr>
                <w:sz w:val="15"/>
                <w:szCs w:val="15"/>
              </w:rPr>
              <w:t xml:space="preserve">The control arm was not contemporary standard of care for the half of patients without a KRAS mutation: NRAS and BRAF were never tested, and EGFR inhibitors reached 17% first line and 5% second line. The authors concede the benefit in wild-type disease is uncertain, which means the trial's applicability is confined to KRAS-mutant patients - a subgroup conclusion.</w:t>
            </w:r>
          </w:p>
          <w:p>
            <w:pPr>
              <w:pStyle w:val="ListParagraph"/>
              <w:numPr>
                <w:ilvl w:val="0"/>
                <w:numId w:val="2"/>
              </w:numPr>
              <w:spacing w:after="45"/>
            </w:pPr>
            <w:r>
              <w:rPr>
                <w:sz w:val="15"/>
                <w:szCs w:val="15"/>
              </w:rPr>
              <w:t xml:space="preserve">Thirteen percent of the radioembolization arm never received the intervention, which dilutes the intention-to-treat estimate, and the per-protocol survival analysis (15.2 against 14.3 months, HR 0.96) remains null.</w:t>
            </w:r>
          </w:p>
          <w:p>
            <w:pPr>
              <w:pStyle w:val="ListParagraph"/>
              <w:numPr>
                <w:ilvl w:val="0"/>
                <w:numId w:val="2"/>
              </w:numPr>
              <w:spacing w:after="45"/>
            </w:pPr>
            <w:r>
              <w:rPr>
                <w:sz w:val="15"/>
                <w:szCs w:val="15"/>
              </w:rPr>
              <w:t xml:space="preserve">The sidedness result contradicts the other randomised radioembolization evidence: here left-sided primaries benefited (HR 0.65) and right-sided did not, while the pooled resin-microsphere analysis found its only favourable survival signal in right-sided tumours. Neither finding survives the other.</w:t>
            </w:r>
          </w:p>
          <w:p>
            <w:pPr>
              <w:pStyle w:val="ListParagraph"/>
              <w:numPr>
                <w:ilvl w:val="0"/>
                <w:numId w:val="2"/>
              </w:numPr>
              <w:spacing w:after="45"/>
            </w:pPr>
            <w:r>
              <w:rPr>
                <w:sz w:val="15"/>
                <w:szCs w:val="15"/>
              </w:rPr>
              <w:t xml:space="preserve">The subgroup list reported as prespecified contains six positive strata including one with a hazard ratio of 0.33 for three or fewer lesions, in a trial where 39% of patients had more than ten; no interaction tests or multiplicity adjustment are reported, and the stated absence of post hoc analyses does not address the number of prespecified ones.</w:t>
            </w:r>
          </w:p>
          <w:p>
            <w:pPr>
              <w:pStyle w:val="ListParagraph"/>
              <w:numPr>
                <w:ilvl w:val="0"/>
                <w:numId w:val="2"/>
              </w:numPr>
              <w:spacing w:after="45"/>
            </w:pPr>
            <w:r>
              <w:rPr>
                <w:sz w:val="15"/>
                <w:szCs w:val="15"/>
              </w:rPr>
              <w:t xml:space="preserve">Dosimetry was single-compartment at 120 Gy throughout an eight-year trial, predating personalised and segmental dosing, so the intervention tested is already superseded while its toxicity profile is the one reported.</w:t>
            </w:r>
          </w:p>
          <w:p>
            <w:pPr>
              <w:pStyle w:val="ListParagraph"/>
              <w:numPr>
                <w:ilvl w:val="0"/>
                <w:numId w:val="2"/>
              </w:numPr>
              <w:spacing w:after="45"/>
            </w:pPr>
            <w:r>
              <w:rPr>
                <w:sz w:val="15"/>
                <w:szCs w:val="15"/>
              </w:rPr>
              <w:t xml:space="preserve">No quality-of-life or patient-reported outcome is reported, in a trial whose benefit is two months of hepatic progression-free survival bought with a 19-point increase in grade 3 or worse toxicity.</w:t>
            </w:r>
          </w:p>
          <w:p>
            <w:pPr>
              <w:pStyle w:val="ListParagraph"/>
              <w:numPr>
                <w:ilvl w:val="0"/>
                <w:numId w:val="2"/>
              </w:numPr>
              <w:spacing w:after="45"/>
            </w:pPr>
            <w:r>
              <w:rPr>
                <w:sz w:val="15"/>
                <w:szCs w:val="15"/>
              </w:rPr>
              <w:t xml:space="preserve">A linked editorial (PMID 34541862, Lentz and Messersmith, J Clin Oncol 2021;39:3887-9) was identified in PubMed but its text was not read for this record.</w:t>
            </w:r>
          </w:p>
        </w:tc>
      </w:tr>
    </w:tbl>
    <w:p>
      <w:pPr>
        <w:spacing w:after="0" w:line="276"/>
      </w:pPr>
      <w:r>
        <w:rPr>
          <w:color w:val="5A6069"/>
          <w:sz w:val="14"/>
          <w:szCs w:val="14"/>
        </w:rPr>
        <w:t xml:space="preserve">Funding: Boston Scientific Corporation sponsored the trial, supplied the device, and collaborated with the steering committee on design and on the collection, analysis and interpretation of data; a company employee is a co-author and is credited with financial and administrative support and with conception and design. Patient-level data are available only on application to the sponsor</w:t>
      </w:r>
    </w:p>
    <w:p>
      <w:pPr>
        <w:keepNext/>
        <w:spacing w:after="50" w:before="260"/>
      </w:pPr>
      <w:r>
        <w:rPr>
          <w:rFonts w:ascii="Cambria" w:cs="Cambria" w:eastAsia="Cambria" w:hAnsi="Cambria"/>
          <w:b/>
          <w:bCs/>
          <w:color w:val="17365D"/>
          <w:sz w:val="20"/>
          <w:szCs w:val="20"/>
        </w:rPr>
        <w:t xml:space="preserve">ESMO 2026</w:t>
      </w:r>
      <w:r>
        <w:rPr>
          <w:b/>
          <w:bCs/>
          <w:color w:val="176A87"/>
          <w:sz w:val="15"/>
          <w:szCs w:val="15"/>
        </w:rPr>
        <w:t xml:space="preserve">   Guideline</w:t>
      </w:r>
      <w:r>
        <w:rPr>
          <w:color w:val="5A6069"/>
          <w:sz w:val="15"/>
          <w:szCs w:val="15"/>
        </w:rPr>
        <w:t xml:space="preserve">   PMID 41990853</w:t>
      </w:r>
    </w:p>
    <w:p>
      <w:pPr>
        <w:spacing w:after="50" w:line="276"/>
      </w:pPr>
      <w:r>
        <w:rPr>
          <w:color w:val="5A6069"/>
          <w:sz w:val="17"/>
          <w:szCs w:val="17"/>
        </w:rPr>
        <w:t xml:space="preserve">Metastatic colorectal cancer: ESMO Clinical Practice Guideline for diagnosis, treatment and follow-up</w:t>
      </w:r>
    </w:p>
    <w:p>
      <w:pPr>
        <w:spacing w:after="70"/>
      </w:pPr>
      <w:r>
        <w:rPr>
          <w:b/>
          <w:bCs/>
          <w:color w:val="17365D"/>
          <w:sz w:val="16"/>
          <w:szCs w:val="16"/>
        </w:rPr>
        <w:t xml:space="preserve">Bottom line. </w:t>
      </w:r>
      <w:r>
        <w:rPr>
          <w:sz w:val="16"/>
          <w:szCs w:val="16"/>
        </w:rPr>
        <w:t xml:space="preserve">The current European statement of what to do across the whole metastatic colorectal cancer pathway, and the first major guideline to recommend liver transplantation as a curative-intent option for highly selected permanently unresectable liver-only disease [II, A], alongside thermal ablation over resection for lesions under 3 cm [II, B], repeated resectability assessment every two to three months, and a fully molecular first-line algorithm. It is an expert-opinion document, not a systematic one: the authors selected the literature themselves, the evidence behind the locoregional and transplantation sections sits in supplementary material, and the transplant filter is materially looser than the IHPBA consensus on response duration, MSI status and PET tumour volume. It also offers no definition of resectability or of an adequate remnant, and no route to adjuvant hepatic arterial infusion.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 states that recommendations rest on current scientific evidence and the authors' collective expert opinion, and that the relevant literature was selected by the expert authors - there was no systematic review</w:t>
            </w:r>
          </w:p>
          <w:p>
            <w:pPr>
              <w:pStyle w:val="ListParagraph"/>
              <w:numPr>
                <w:ilvl w:val="0"/>
                <w:numId w:val="2"/>
              </w:numPr>
              <w:spacing w:after="45"/>
            </w:pPr>
            <w:r>
              <w:rPr>
                <w:sz w:val="15"/>
                <w:szCs w:val="15"/>
              </w:rPr>
              <w:t xml:space="preserve">It states that statements without grading were considered justified standard clinical practice by the authors</w:t>
            </w:r>
          </w:p>
          <w:p>
            <w:pPr>
              <w:pStyle w:val="ListParagraph"/>
              <w:numPr>
                <w:ilvl w:val="0"/>
                <w:numId w:val="2"/>
              </w:numPr>
              <w:spacing w:after="45"/>
            </w:pPr>
            <w:r>
              <w:rPr>
                <w:sz w:val="15"/>
                <w:szCs w:val="15"/>
              </w:rPr>
              <w:t xml:space="preserve">ESCAT scores were defined by the authors themselves, assisted where needed by the ESMO Precision Oncology Task Force</w:t>
            </w:r>
          </w:p>
          <w:p>
            <w:pPr>
              <w:pStyle w:val="ListParagraph"/>
              <w:numPr>
                <w:ilvl w:val="0"/>
                <w:numId w:val="2"/>
              </w:numPr>
              <w:spacing w:after="45"/>
            </w:pPr>
            <w:r>
              <w:rPr>
                <w:sz w:val="15"/>
                <w:szCs w:val="15"/>
              </w:rPr>
              <w:t xml:space="preserve">ESMO-MCBS scores are stated to be correct only at the time of publication, with readers directed to online scorecards for current values, and regulatory approval status is reported as at the time of writing</w:t>
            </w:r>
          </w:p>
          <w:p>
            <w:pPr>
              <w:pStyle w:val="ListParagraph"/>
              <w:numPr>
                <w:ilvl w:val="0"/>
                <w:numId w:val="2"/>
              </w:numPr>
              <w:spacing w:after="45"/>
            </w:pPr>
            <w:r>
              <w:rPr>
                <w:sz w:val="15"/>
                <w:szCs w:val="15"/>
              </w:rPr>
              <w:t xml:space="preserve">The evidence and reasoning behind the epidemiology, pathology, staging, locoregional treatment and follow-up sections are held in online supplementary material rather than in the article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reasoning behind the recommendations most relevant to a liver surgeon cannot be checked from the paper. Oligometastatic disease, locoregional treatment of metastatic sites and liver transplantation are each handled in two or three sentences with the substance deferred to Supplementary Material Section 4, so the published text gives the conclusions without the evidence.</w:t>
            </w:r>
          </w:p>
          <w:p>
            <w:pPr>
              <w:pStyle w:val="ListParagraph"/>
              <w:numPr>
                <w:ilvl w:val="0"/>
                <w:numId w:val="2"/>
              </w:numPr>
              <w:spacing w:after="45"/>
            </w:pPr>
            <w:r>
              <w:rPr>
                <w:sz w:val="15"/>
                <w:szCs w:val="15"/>
              </w:rPr>
              <w:t xml:space="preserve">The transplantation criteria are looser than the surgical community's on exactly the two points that are contested. ESMO accepts sustained disease control of more than three months up to third line; the IHPBA consensus requires six months of response and at least a year from diagnosis of unresectable disease. ESMO sets no MSI or mismatch repair exclusion and no PET tumour-volume ceiling, both of which IHPBA makes absolute.</w:t>
            </w:r>
          </w:p>
          <w:p>
            <w:pPr>
              <w:pStyle w:val="ListParagraph"/>
              <w:numPr>
                <w:ilvl w:val="0"/>
                <w:numId w:val="2"/>
              </w:numPr>
              <w:spacing w:after="45"/>
            </w:pPr>
            <w:r>
              <w:rPr>
                <w:sz w:val="15"/>
                <w:szCs w:val="15"/>
              </w:rPr>
              <w:t xml:space="preserve">The [II, A] transplantation recommendation rests essentially on one randomised trial whose result depended on a negotiated national agreement to graft low-MELD patients within two months of chemotherapy. The guideline notes that organ policy prioritisation must be met and says nothing about what to do in systems that grant no exception points, which is the operative barrier everywhere outside the trial's countries.</w:t>
            </w:r>
          </w:p>
          <w:p>
            <w:pPr>
              <w:pStyle w:val="ListParagraph"/>
              <w:numPr>
                <w:ilvl w:val="0"/>
                <w:numId w:val="2"/>
              </w:numPr>
              <w:spacing w:after="45"/>
            </w:pPr>
            <w:r>
              <w:rPr>
                <w:sz w:val="15"/>
                <w:szCs w:val="15"/>
              </w:rPr>
              <w:t xml:space="preserve">Recommending thermal ablation over liver resection for metastases under 3 cm [II, B] is stated without qualification for lesion position, proximity to vessels or biliary structures, achievable margin, or the ability to repeat treatment - the variables that COLLISION's own data show determine whether ablation works, and in a trial whose arms were a third contaminated with the other modality.</w:t>
            </w:r>
          </w:p>
          <w:p>
            <w:pPr>
              <w:pStyle w:val="ListParagraph"/>
              <w:numPr>
                <w:ilvl w:val="0"/>
                <w:numId w:val="2"/>
              </w:numPr>
              <w:spacing w:after="45"/>
            </w:pPr>
            <w:r>
              <w:rPr>
                <w:sz w:val="15"/>
                <w:szCs w:val="15"/>
              </w:rPr>
              <w:t xml:space="preserve">Hepatic arterial infusion is grouped with chemoembolisation and radioembolisation as [III, C] intensification or salvage in liver-dominant disease. That lumps a technique with randomised adjuvant data after complete resection together with two that failed to show survival benefit in randomised trials, and leaves no route to adjuvant hepatic arterial infusion at all.</w:t>
            </w:r>
          </w:p>
          <w:p>
            <w:pPr>
              <w:pStyle w:val="ListParagraph"/>
              <w:numPr>
                <w:ilvl w:val="0"/>
                <w:numId w:val="2"/>
              </w:numPr>
              <w:spacing w:after="45"/>
            </w:pPr>
            <w:r>
              <w:rPr>
                <w:sz w:val="15"/>
                <w:szCs w:val="15"/>
              </w:rPr>
              <w:t xml:space="preserve">The guideline tells the reader that prognostic scores must not be used to withhold curative-intent strategies, then lists the same factors - number of organs, number of lesions, prognostic scores, time to metastases, BRAF and mismatch repair status, CEA, nodal status - as the [IV, B] basis for deciding who gets upfront local treatment. The instruction and the algorithm pull in opposite directions and the resolution is left to the multidisciplinary team.</w:t>
            </w:r>
          </w:p>
          <w:p>
            <w:pPr>
              <w:pStyle w:val="ListParagraph"/>
              <w:numPr>
                <w:ilvl w:val="0"/>
                <w:numId w:val="2"/>
              </w:numPr>
              <w:spacing w:after="45"/>
            </w:pPr>
            <w:r>
              <w:rPr>
                <w:sz w:val="15"/>
                <w:szCs w:val="15"/>
              </w:rPr>
              <w:t xml:space="preserve">Resectability assessment is mandated at baseline, every two to three months and again in later lines [IV, A], but no definition of resectability or of an adequate future liver remnant is given, and the CAIRO5 experience - panel surgeons failing to reach consensus in 58% of follow-up assessments - shows that an unqualified instruction to reassess does not produce a reproducible answer.</w:t>
            </w:r>
          </w:p>
          <w:p>
            <w:pPr>
              <w:pStyle w:val="ListParagraph"/>
              <w:numPr>
                <w:ilvl w:val="0"/>
                <w:numId w:val="2"/>
              </w:numPr>
              <w:spacing w:after="45"/>
            </w:pPr>
            <w:r>
              <w:rPr>
                <w:sz w:val="15"/>
                <w:szCs w:val="15"/>
              </w:rPr>
              <w:t xml:space="preserve">Several recommended regimens are approved by the FDA but not the EMA at the time of writing, so a European reader following the guideline is directed to treatments unavailable to them, and the guideline reports the status rather than reconciling it.</w:t>
            </w:r>
          </w:p>
          <w:p>
            <w:pPr>
              <w:pStyle w:val="ListParagraph"/>
              <w:numPr>
                <w:ilvl w:val="0"/>
                <w:numId w:val="2"/>
              </w:numPr>
              <w:spacing w:after="45"/>
            </w:pPr>
            <w:r>
              <w:rPr>
                <w:sz w:val="15"/>
                <w:szCs w:val="15"/>
              </w:rPr>
              <w:t xml:space="preserve">Grades cannot be read across to other guidelines. ESMO's level-of-evidence and grade-of-recommendation system is defined only in a supplementary table, and a reader comparing this document with ASCO's GRADE-based statement or the IHPBA consensus has no mapping between them.</w:t>
            </w:r>
          </w:p>
          <w:p>
            <w:pPr>
              <w:pStyle w:val="ListParagraph"/>
              <w:numPr>
                <w:ilvl w:val="0"/>
                <w:numId w:val="2"/>
              </w:numPr>
              <w:spacing w:after="45"/>
            </w:pPr>
            <w:r>
              <w:rPr>
                <w:sz w:val="15"/>
                <w:szCs w:val="15"/>
              </w:rPr>
              <w:t xml:space="preserve">No patient representative, methodologist or statistician is identified among the authors, no external review beyond the ESMO Guidelines Committee is described, and no fixed update interval is given - updating is deferred to the website's Express Update and Living Guideline mechanism.</w:t>
            </w:r>
          </w:p>
          <w:p>
            <w:pPr>
              <w:pStyle w:val="ListParagraph"/>
              <w:numPr>
                <w:ilvl w:val="0"/>
                <w:numId w:val="2"/>
              </w:numPr>
              <w:spacing w:after="45"/>
            </w:pPr>
            <w:r>
              <w:rPr>
                <w:sz w:val="15"/>
                <w:szCs w:val="15"/>
              </w:rPr>
              <w:t xml:space="preserve">The disclosure burden is extensive and the guideline's own method is expert selection of literature by those same authors, which is the combination that guideline methodology exists to constrain.</w:t>
            </w:r>
          </w:p>
          <w:p>
            <w:pPr>
              <w:pStyle w:val="ListParagraph"/>
              <w:numPr>
                <w:ilvl w:val="0"/>
                <w:numId w:val="2"/>
              </w:numPr>
              <w:spacing w:after="45"/>
            </w:pPr>
            <w:r>
              <w:rPr>
                <w:sz w:val="15"/>
                <w:szCs w:val="15"/>
              </w:rPr>
              <w:t xml:space="preserve">No linked editorial or comment on this guideline was found in PubMed, so no independent published critique informs this record.</w:t>
            </w:r>
          </w:p>
        </w:tc>
      </w:tr>
    </w:tbl>
    <w:p>
      <w:pPr>
        <w:spacing w:after="0" w:line="276"/>
      </w:pPr>
      <w:r>
        <w:rPr>
          <w:color w:val="5A6069"/>
          <w:sz w:val="14"/>
          <w:szCs w:val="14"/>
        </w:rPr>
        <w:t xml:space="preserve">Funding: No external funding was received; production costs were covered by ESMO from central funds, and ESMO funded the medical writing and editing support provided by its own staff and by Kstorfin Medical Communications. The disclosure section runs to several pages of advisory board, speaker, expert testimony and institutional research funding relationships with the manufacturers of nearly every drug recommended, including Amgen, Merck, Merck Serono, MSD, Roche/Genentech, Bristol Myers Squibb, Pierre Fabre, Servier, Bayer, Takeda, Pfizer and Revolution Medicines</w:t>
      </w:r>
    </w:p>
    <w:p>
      <w:pPr>
        <w:keepNext/>
        <w:spacing w:after="50" w:before="260"/>
      </w:pPr>
      <w:r>
        <w:rPr>
          <w:rFonts w:ascii="Cambria" w:cs="Cambria" w:eastAsia="Cambria" w:hAnsi="Cambria"/>
          <w:b/>
          <w:bCs/>
          <w:color w:val="17365D"/>
          <w:sz w:val="20"/>
          <w:szCs w:val="20"/>
        </w:rPr>
        <w:t xml:space="preserve">FIRE-3</w:t>
      </w:r>
      <w:r>
        <w:rPr>
          <w:b/>
          <w:bCs/>
          <w:color w:val="176A87"/>
          <w:sz w:val="15"/>
          <w:szCs w:val="15"/>
        </w:rPr>
        <w:t xml:space="preserve">   Randomised trial</w:t>
      </w:r>
      <w:r>
        <w:rPr>
          <w:color w:val="5A6069"/>
          <w:sz w:val="15"/>
          <w:szCs w:val="15"/>
        </w:rPr>
        <w:t xml:space="preserve">   PMID 27575024</w:t>
      </w:r>
    </w:p>
    <w:p>
      <w:pPr>
        <w:spacing w:after="50" w:line="276"/>
      </w:pPr>
      <w:r>
        <w:rPr>
          <w:color w:val="5A6069"/>
          <w:sz w:val="17"/>
          <w:szCs w:val="17"/>
        </w:rPr>
        <w:t xml:space="preserve">FOLFIRI plus cetuximab versus FOLFIRI plus bevacizumab for metastatic colorectal cancer (FIRE-3): a post-hoc analysis of tumour dynamics in the final RAS wild-type subgroup of this randomised open-label phase 3 trial</w:t>
      </w:r>
    </w:p>
    <w:p>
      <w:pPr>
        <w:spacing w:after="50"/>
      </w:pPr>
      <w:r>
        <w:rPr>
          <w:b/>
          <w:bCs/>
          <w:color w:val="176A87"/>
          <w:sz w:val="16"/>
          <w:szCs w:val="16"/>
        </w:rPr>
        <w:t xml:space="preserve">Population. </w:t>
      </w:r>
      <w:r>
        <w:rPr>
          <w:sz w:val="16"/>
          <w:szCs w:val="16"/>
        </w:rPr>
        <w:t xml:space="preserve">400 patients in the final extended RAS wild-type subgroup of FIRE-3 (of 592 randomised between 2007 and 2012, with 75 of 475 retested samples found RAS-mutant), of whom 330 had assessable serial CT scans for blinded central review (157 FOLFIRI plus cetuximab, 173 FOLFIRI plus bevacizumab); 188 RAS-mutant patients were analysed separately</w:t>
      </w:r>
    </w:p>
    <w:p>
      <w:pPr>
        <w:spacing w:after="70"/>
      </w:pPr>
      <w:r>
        <w:rPr>
          <w:b/>
          <w:bCs/>
          <w:color w:val="17365D"/>
          <w:sz w:val="16"/>
          <w:szCs w:val="16"/>
        </w:rPr>
        <w:t xml:space="preserve">Bottom line. </w:t>
      </w:r>
      <w:r>
        <w:rPr>
          <w:sz w:val="16"/>
          <w:szCs w:val="16"/>
        </w:rPr>
        <w:t xml:space="preserve">Explains the FIRE-3 paradox in its own terms: with blinded central review, FOLFIRI plus cetuximab produced more early tumour shrinkage (68.2% against 49.1%), deeper response (-48.9% against -32.3%) and a lower residual tumour burden than FOLFIRI plus bevacizumab, while investigator-assessed response and progression-free survival were identical and survival was 8.1 months longer. It does not establish that shrinkage is the mechanism or a usable surrogate: everything measured here was added post hoc after the survival result was known, the central review raised response in one arm only, survival was identical between arms among patients who did shrink, the two surrogates correlate at 0.96, and CALGB/SWOG 80405 found no survival difference at all. For a liver surgeon the paper withholds the number that matters - secondary resection, a FIRE-3 endpoint, is not reported.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all subgroup analyses are inherently limited, and that prospective data from well controlled studies are needed to confirm the observations</w:t>
            </w:r>
          </w:p>
          <w:p>
            <w:pPr>
              <w:pStyle w:val="ListParagraph"/>
              <w:numPr>
                <w:ilvl w:val="0"/>
                <w:numId w:val="2"/>
              </w:numPr>
              <w:spacing w:after="45"/>
            </w:pPr>
            <w:r>
              <w:rPr>
                <w:sz w:val="15"/>
                <w:szCs w:val="15"/>
              </w:rPr>
              <w:t xml:space="preserve">They note that early tumour shrinkage is a less clear marker than depth of response because early treatment discontinuation for toxicity can prevent a patient from reaching maximum shrinkage, and that minor or slow responders fall into the no-shrinkage group and may still benefit from continuing therapy</w:t>
            </w:r>
          </w:p>
          <w:p>
            <w:pPr>
              <w:pStyle w:val="ListParagraph"/>
              <w:numPr>
                <w:ilvl w:val="0"/>
                <w:numId w:val="2"/>
              </w:numPr>
              <w:spacing w:after="45"/>
            </w:pPr>
            <w:r>
              <w:rPr>
                <w:sz w:val="15"/>
                <w:szCs w:val="15"/>
              </w:rPr>
              <w:t xml:space="preserve">They note that early tumour shrinkage was measured at 6 weeks here against 8 weeks in CRYSTAL and OPUS, complicating cross-trial comparison of the magnitude of effect</w:t>
            </w:r>
          </w:p>
          <w:p>
            <w:pPr>
              <w:pStyle w:val="ListParagraph"/>
              <w:numPr>
                <w:ilvl w:val="0"/>
                <w:numId w:val="2"/>
              </w:numPr>
              <w:spacing w:after="45"/>
            </w:pPr>
            <w:r>
              <w:rPr>
                <w:sz w:val="15"/>
                <w:szCs w:val="15"/>
              </w:rPr>
              <w:t xml:space="preserve">They note that depth of response is retrospective in nature because its definition includes progression on first-line therapy, and occurs about 3.5 months after starting treatment</w:t>
            </w:r>
          </w:p>
          <w:p>
            <w:pPr>
              <w:pStyle w:val="ListParagraph"/>
              <w:numPr>
                <w:ilvl w:val="0"/>
                <w:numId w:val="2"/>
              </w:numPr>
              <w:spacing w:after="45"/>
            </w:pPr>
            <w:r>
              <w:rPr>
                <w:sz w:val="15"/>
                <w:szCs w:val="15"/>
              </w:rPr>
              <w:t xml:space="preserve">Patients whose imaging modality changed from CT to MRI, or whose baseline imaging predated randomisation by more than 28 days, and those without assessable scans, were excluded - leaving 330 of 400</w:t>
            </w:r>
          </w:p>
          <w:p>
            <w:pPr>
              <w:pStyle w:val="ListParagraph"/>
              <w:numPr>
                <w:ilvl w:val="0"/>
                <w:numId w:val="2"/>
              </w:numPr>
              <w:spacing w:after="45"/>
            </w:pPr>
            <w:r>
              <w:rPr>
                <w:sz w:val="15"/>
                <w:szCs w:val="15"/>
              </w:rPr>
              <w:t xml:space="preserve">Early tumour shrinkage and depth of response are reported as correlating almost perfectly (correlation index 0.96)</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Every load-bearing measurement is post hoc. The trial's prespecified primary endpoint was investigator-assessed response, which was negative (65.3% against 58.7%, p=0.18), as was progression-free survival (10.3 against 10.2 months, p=0.77). Early tumour shrinkage, depth of response, duration of response and time to response were all added afterwards, and the central radiological review was commissioned after the survival difference was already known.</w:t>
            </w:r>
          </w:p>
          <w:p>
            <w:pPr>
              <w:pStyle w:val="ListParagraph"/>
              <w:numPr>
                <w:ilvl w:val="0"/>
                <w:numId w:val="2"/>
              </w:numPr>
              <w:spacing w:after="45"/>
            </w:pPr>
            <w:r>
              <w:rPr>
                <w:sz w:val="15"/>
                <w:szCs w:val="15"/>
              </w:rPr>
              <w:t xml:space="preserve">The central review changed the result in one arm and not the other. Investigator-assessed response was 65.3% with cetuximab and central review made it 72.0%, while progression-free survival on central review moved numerically in favour of bevacizumab (8.4 against 9.7 months, HR 1.08). An ascertainment pattern that raises response only in the arm with better survival cannot be distinguished here from a real difference.</w:t>
            </w:r>
          </w:p>
          <w:p>
            <w:pPr>
              <w:pStyle w:val="ListParagraph"/>
              <w:numPr>
                <w:ilvl w:val="0"/>
                <w:numId w:val="2"/>
              </w:numPr>
              <w:spacing w:after="45"/>
            </w:pPr>
            <w:r>
              <w:rPr>
                <w:sz w:val="15"/>
                <w:szCs w:val="15"/>
              </w:rPr>
              <w:t xml:space="preserve">The analysis defeats its own surrogacy argument: among patients who achieved early tumour shrinkage, survival did not differ between the arms (HR 0.87, p=0.48). If shrinkage were the mechanism of the survival difference, equalising it should not equalise survival between regimens unless shrinkage is simply a marker of tumour biology - which the authors themselves then propose when they call it a general hallmark of treatment sensitivity.</w:t>
            </w:r>
          </w:p>
          <w:p>
            <w:pPr>
              <w:pStyle w:val="ListParagraph"/>
              <w:numPr>
                <w:ilvl w:val="0"/>
                <w:numId w:val="2"/>
              </w:numPr>
              <w:spacing w:after="45"/>
            </w:pPr>
            <w:r>
              <w:rPr>
                <w:sz w:val="15"/>
                <w:szCs w:val="15"/>
              </w:rPr>
              <w:t xml:space="preserve">Early tumour shrinkage and depth of response correlate at 0.96, so they are not two confirmatory findings but one measurement reported twice, and both are reported alongside multiple time-to-event and burden analyses with no multiplicity control in a post-hoc framework.</w:t>
            </w:r>
          </w:p>
          <w:p>
            <w:pPr>
              <w:pStyle w:val="ListParagraph"/>
              <w:numPr>
                <w:ilvl w:val="0"/>
                <w:numId w:val="2"/>
              </w:numPr>
              <w:spacing w:after="45"/>
            </w:pPr>
            <w:r>
              <w:rPr>
                <w:sz w:val="15"/>
                <w:szCs w:val="15"/>
              </w:rPr>
              <w:t xml:space="preserve">The two surrogates predicted survival in both arms with almost identical hazard ratios (0.52 on cetuximab, 0.49 on bevacizumab), which is what a prognostic marker does. Nothing in the paper establishes that acting on shrinkage - switching or intensifying treatment in a non-shrinker - improves anything, and the authors concede slow responders sit in that group.</w:t>
            </w:r>
          </w:p>
          <w:p>
            <w:pPr>
              <w:pStyle w:val="ListParagraph"/>
              <w:numPr>
                <w:ilvl w:val="0"/>
                <w:numId w:val="2"/>
              </w:numPr>
              <w:spacing w:after="45"/>
            </w:pPr>
            <w:r>
              <w:rPr>
                <w:sz w:val="15"/>
                <w:szCs w:val="15"/>
              </w:rPr>
              <w:t xml:space="preserve">Duration of response (4.7 against 4.6 months) and time to response (5.2 against 5.4 months) were identical, so the proposed mechanism reduces to depth of shrinkage alone; the paper's tumour-burden observation at last progression-free assessment (35.0 against 54.0 mm) is measured at a timepoint that differs between patients and is not adjusted for the time to that assessment.</w:t>
            </w:r>
          </w:p>
          <w:p>
            <w:pPr>
              <w:pStyle w:val="ListParagraph"/>
              <w:numPr>
                <w:ilvl w:val="0"/>
                <w:numId w:val="2"/>
              </w:numPr>
              <w:spacing w:after="45"/>
            </w:pPr>
            <w:r>
              <w:rPr>
                <w:sz w:val="15"/>
                <w:szCs w:val="15"/>
              </w:rPr>
              <w:t xml:space="preserve">The cross-trial picture is inconsistent and the paper does not engage with it: CALGB/SWOG 80405 compared the same two antibodies in 1137 KRAS wild-type patients and found no survival difference. This analysis's framework would predict one.</w:t>
            </w:r>
          </w:p>
          <w:p>
            <w:pPr>
              <w:pStyle w:val="ListParagraph"/>
              <w:numPr>
                <w:ilvl w:val="0"/>
                <w:numId w:val="2"/>
              </w:numPr>
              <w:spacing w:after="45"/>
            </w:pPr>
            <w:r>
              <w:rPr>
                <w:sz w:val="15"/>
                <w:szCs w:val="15"/>
              </w:rPr>
              <w:t xml:space="preserve">Primary tumour sidedness - which has since become the main determinant of first-line anti-EGFR selection and which would reorganise this entire comparison - is not reported anywhere.</w:t>
            </w:r>
          </w:p>
          <w:p>
            <w:pPr>
              <w:pStyle w:val="ListParagraph"/>
              <w:numPr>
                <w:ilvl w:val="0"/>
                <w:numId w:val="2"/>
              </w:numPr>
              <w:spacing w:after="45"/>
            </w:pPr>
            <w:r>
              <w:rPr>
                <w:sz w:val="15"/>
                <w:szCs w:val="15"/>
              </w:rPr>
              <w:t xml:space="preserve">Secondary resection of liver metastases was a FIRE-3 secondary endpoint and the reason a hepatobiliary reader opens this paper, and it is not reported in this analysis at all. A paper arguing that deeper shrinkage is what matters never says how many patients became operable.</w:t>
            </w:r>
          </w:p>
          <w:p>
            <w:pPr>
              <w:pStyle w:val="ListParagraph"/>
              <w:numPr>
                <w:ilvl w:val="0"/>
                <w:numId w:val="2"/>
              </w:numPr>
              <w:spacing w:after="45"/>
            </w:pPr>
            <w:r>
              <w:rPr>
                <w:sz w:val="15"/>
                <w:szCs w:val="15"/>
              </w:rPr>
              <w:t xml:space="preserve">The RAS wild-type population is itself a retrospectively defined subgroup: eligibility was by KRAS exon 2 from October 2008, and 75 of 475 retested samples proved RAS-mutant and were moved out, so the population in which the survival difference is reported was constituted after the trial ended.</w:t>
            </w:r>
          </w:p>
          <w:p>
            <w:pPr>
              <w:pStyle w:val="ListParagraph"/>
              <w:numPr>
                <w:ilvl w:val="0"/>
                <w:numId w:val="2"/>
              </w:numPr>
              <w:spacing w:after="45"/>
            </w:pPr>
            <w:r>
              <w:rPr>
                <w:sz w:val="15"/>
                <w:szCs w:val="15"/>
              </w:rPr>
              <w:t xml:space="preserve">The reported response confidence interval differs between text (64.3-74.8) and table 2 (64.3-78.8) for the same estimate.</w:t>
            </w:r>
          </w:p>
          <w:p>
            <w:pPr>
              <w:pStyle w:val="ListParagraph"/>
              <w:numPr>
                <w:ilvl w:val="0"/>
                <w:numId w:val="2"/>
              </w:numPr>
              <w:spacing w:after="45"/>
            </w:pPr>
            <w:r>
              <w:rPr>
                <w:sz w:val="15"/>
                <w:szCs w:val="15"/>
              </w:rPr>
              <w:t xml:space="preserve">A linked Lancet Oncology Comment (PMID 27733257, Davidson and Chau, 'Colorectal cancer trial endpoints: time for dynamic thinking?', 2016;17:1345-7) was identified in PubMed but its text was not read for this record.</w:t>
            </w:r>
          </w:p>
        </w:tc>
      </w:tr>
    </w:tbl>
    <w:p>
      <w:pPr>
        <w:spacing w:after="0" w:line="276"/>
      </w:pPr>
      <w:r>
        <w:rPr>
          <w:color w:val="5A6069"/>
          <w:sz w:val="14"/>
          <w:szCs w:val="14"/>
        </w:rPr>
        <w:t xml:space="preserve">Funding: Sponsored by the Klinikum der Universitat Munchen with financial support from Merck Serono (Merck KGaA) and Pfizer; the funders are stated to have had no role in design, collection, analysis, interpretation or writing, and no access to raw data, but medical writing was funded by Merck KGaA. Nearly all senior authors declare personal fees, honoraria, advisory roles or institutional research funding from Merck, Roche, Amgen, Sanofi, Bayer or Sirtex</w:t>
      </w:r>
    </w:p>
    <w:p>
      <w:pPr>
        <w:keepNext/>
        <w:spacing w:after="50" w:before="260"/>
      </w:pPr>
      <w:r>
        <w:rPr>
          <w:rFonts w:ascii="Cambria" w:cs="Cambria" w:eastAsia="Cambria" w:hAnsi="Cambria"/>
          <w:b/>
          <w:bCs/>
          <w:color w:val="17365D"/>
          <w:sz w:val="20"/>
          <w:szCs w:val="20"/>
        </w:rPr>
        <w:t xml:space="preserve">Fong CRS</w:t>
      </w:r>
      <w:r>
        <w:rPr>
          <w:b/>
          <w:bCs/>
          <w:color w:val="176A87"/>
          <w:sz w:val="15"/>
          <w:szCs w:val="15"/>
        </w:rPr>
        <w:t xml:space="preserve">   cohort</w:t>
      </w:r>
      <w:r>
        <w:rPr>
          <w:color w:val="5A6069"/>
          <w:sz w:val="15"/>
          <w:szCs w:val="15"/>
        </w:rPr>
        <w:t xml:space="preserve">   PMID 10493478</w:t>
      </w:r>
    </w:p>
    <w:p>
      <w:pPr>
        <w:spacing w:after="50" w:line="276"/>
      </w:pPr>
      <w:r>
        <w:rPr>
          <w:color w:val="5A6069"/>
          <w:sz w:val="17"/>
          <w:szCs w:val="17"/>
        </w:rPr>
        <w:t xml:space="preserve">Clinical score for predicting recurrence after hepatic resection for metastatic colorectal cancer: analysis of 1001 consecutive cases</w:t>
      </w:r>
    </w:p>
    <w:p>
      <w:pPr>
        <w:spacing w:after="50"/>
      </w:pPr>
      <w:r>
        <w:rPr>
          <w:b/>
          <w:bCs/>
          <w:color w:val="176A87"/>
          <w:sz w:val="16"/>
          <w:szCs w:val="16"/>
        </w:rPr>
        <w:t xml:space="preserve">Population. </w:t>
      </w:r>
      <w:r>
        <w:rPr>
          <w:sz w:val="16"/>
          <w:szCs w:val="16"/>
        </w:rPr>
        <w:t xml:space="preserve">1001 consecutive patients undergoing hepatic resection for metastatic colorectal cancer at Memorial Sloan-Kettering over 13 years (237 extended hepatectomies, 394 lobectomies, 370 resections of less than a lobe); 581 men and 420 women, median age 61, median 2 tumours and median size 4.2 cm; 123 had no preoperative CEA and 88 had extrahepatic disease</w:t>
      </w:r>
    </w:p>
    <w:p>
      <w:pPr>
        <w:spacing w:after="70"/>
      </w:pPr>
      <w:r>
        <w:rPr>
          <w:b/>
          <w:bCs/>
          <w:color w:val="17365D"/>
          <w:sz w:val="16"/>
          <w:szCs w:val="16"/>
        </w:rPr>
        <w:t xml:space="preserve">Bottom line. </w:t>
      </w:r>
      <w:r>
        <w:rPr>
          <w:sz w:val="16"/>
          <w:szCs w:val="16"/>
        </w:rPr>
        <w:t xml:space="preserve">Establishes that resection of colorectal liver metastases at a high-volume centre yields 37% 5-year and 22% 10-year survival at 2.8% operative mortality, and that five factors knowable before operation separate that outcome from 60% to 14% at five years. It does not validate the score: it was derived and assessed in the same 1001 patients, its extreme strata hold 52 and 14 people, and survival is higher at a score of 4 than at 3. The two most influential predictors of death, a positive margin and extrahepatic disease, are deliberately excluded because they cannot be known preoperatively, so the score ranks patients a surgeon has already chosen rather than choosing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in the discussion that positive margin, one of the two most influential predictors, is not a usable preoperative selection criterion, and that extrahepatic disease, the other, must be regarded as a relative contraindication - so the two strongest factors are left out of the score</w:t>
            </w:r>
          </w:p>
          <w:p>
            <w:pPr>
              <w:pStyle w:val="ListParagraph"/>
              <w:numPr>
                <w:ilvl w:val="0"/>
                <w:numId w:val="2"/>
              </w:numPr>
              <w:spacing w:after="45"/>
            </w:pPr>
            <w:r>
              <w:rPr>
                <w:sz w:val="15"/>
                <w:szCs w:val="15"/>
              </w:rPr>
              <w:t xml:space="preserve">They concede that more sophisticated markers (tumour ploidy, oncogene and tumour suppressor expression) may stratify outcome further, and were excluded only because they are not widely available outside academic centres</w:t>
            </w:r>
          </w:p>
          <w:p>
            <w:pPr>
              <w:pStyle w:val="ListParagraph"/>
              <w:numPr>
                <w:ilvl w:val="0"/>
                <w:numId w:val="2"/>
              </w:numPr>
              <w:spacing w:after="45"/>
            </w:pPr>
            <w:r>
              <w:rPr>
                <w:sz w:val="15"/>
                <w:szCs w:val="15"/>
              </w:rPr>
              <w:t xml:space="preserve">The one-point-per-factor weighting was chosen for simplicity even though the relative risk of death differed across the five criteria</w:t>
            </w:r>
          </w:p>
          <w:p>
            <w:pPr>
              <w:pStyle w:val="ListParagraph"/>
              <w:numPr>
                <w:ilvl w:val="0"/>
                <w:numId w:val="2"/>
              </w:numPr>
              <w:spacing w:after="45"/>
            </w:pPr>
            <w:r>
              <w:rPr>
                <w:sz w:val="15"/>
                <w:szCs w:val="15"/>
              </w:rPr>
              <w:t xml:space="preserve">The survival advantage of resections of less than a lobe over a lobe or more is conceded to be partly explained by the higher perioperative mortality of the larger operations (4.1% vs 0.5%); the apparent effect of blood loss disappeared entirely once perioperative deaths were excluded (p=0.3)</w:t>
            </w:r>
          </w:p>
          <w:p>
            <w:pPr>
              <w:pStyle w:val="ListParagraph"/>
              <w:numPr>
                <w:ilvl w:val="0"/>
                <w:numId w:val="2"/>
              </w:numPr>
              <w:spacing w:after="45"/>
            </w:pPr>
            <w:r>
              <w:rPr>
                <w:sz w:val="15"/>
                <w:szCs w:val="15"/>
              </w:rPr>
              <w:t xml:space="preserve">Part of the fall in hospital stay from 13 days in 1986 to 8 days in 1998 is attributed to the administrative change of no longer admitting patients the day before resection</w:t>
            </w:r>
          </w:p>
          <w:p>
            <w:pPr>
              <w:pStyle w:val="ListParagraph"/>
              <w:numPr>
                <w:ilvl w:val="0"/>
                <w:numId w:val="2"/>
              </w:numPr>
              <w:spacing w:after="45"/>
            </w:pPr>
            <w:r>
              <w:rPr>
                <w:sz w:val="15"/>
                <w:szCs w:val="15"/>
              </w:rPr>
              <w:t xml:space="preserve">Bilaterality was dropped from the score because it was not significant and, as Blumgart states in the discussion, cannot be separated from tumour number and size</w:t>
            </w:r>
          </w:p>
          <w:p>
            <w:pPr>
              <w:pStyle w:val="ListParagraph"/>
              <w:numPr>
                <w:ilvl w:val="0"/>
                <w:numId w:val="2"/>
              </w:numPr>
              <w:spacing w:after="45"/>
            </w:pPr>
            <w:r>
              <w:rPr>
                <w:sz w:val="15"/>
                <w:szCs w:val="15"/>
              </w:rPr>
              <w:t xml:space="preserve">Blumgart states in the printed discussion that a score of 5 would not cause them to refuse resection to any patient, and that he does not know what to do with high-score patients; the published abstract names six criteria where the paper uses five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score was derived and assessed in the same 1001 patients with no split sample, bootstrap, calibration check or independent cohort. The discussion calls this 'attempts to validate this system using the largest single-institution experience', which describes derivation, not validation.</w:t>
            </w:r>
          </w:p>
          <w:p>
            <w:pPr>
              <w:pStyle w:val="ListParagraph"/>
              <w:numPr>
                <w:ilvl w:val="0"/>
                <w:numId w:val="2"/>
              </w:numPr>
              <w:spacing w:after="45"/>
            </w:pPr>
            <w:r>
              <w:rPr>
                <w:sz w:val="15"/>
                <w:szCs w:val="15"/>
              </w:rPr>
              <w:t xml:space="preserve">The score is not monotonic in the stratum it is used to triage: 5-year survival is 20% at score 3 but 25% at score 4, and median survival 20 months against 22 months (Table 5). The paper reports the figures and does not mention that the ordering fails.</w:t>
            </w:r>
          </w:p>
          <w:p>
            <w:pPr>
              <w:pStyle w:val="ListParagraph"/>
              <w:numPr>
                <w:ilvl w:val="0"/>
                <w:numId w:val="2"/>
              </w:numPr>
              <w:spacing w:after="45"/>
            </w:pPr>
            <w:r>
              <w:rPr>
                <w:sz w:val="15"/>
                <w:szCs w:val="15"/>
              </w:rPr>
              <w:t xml:space="preserve">The strata that anchor both ends hold 52 patients (score 0) and 14 patients (score 5). No confidence interval is given for any survival estimate anywhere in the paper, and the headline claim that no patient with a score of 5 survived 5 years is a statement about 14 people.</w:t>
            </w:r>
          </w:p>
          <w:p>
            <w:pPr>
              <w:pStyle w:val="ListParagraph"/>
              <w:numPr>
                <w:ilvl w:val="0"/>
                <w:numId w:val="2"/>
              </w:numPr>
              <w:spacing w:after="45"/>
            </w:pPr>
            <w:r>
              <w:rPr>
                <w:sz w:val="15"/>
                <w:szCs w:val="15"/>
              </w:rPr>
              <w:t xml:space="preserve">The comparison that justifies the score over tumour number alone is an r-squared computed across six group means (0.92) against one computed across three (0.80), with no test of the difference, no confidence interval, and groups ranging from 14 to 350 patients.</w:t>
            </w:r>
          </w:p>
          <w:p>
            <w:pPr>
              <w:pStyle w:val="ListParagraph"/>
              <w:numPr>
                <w:ilvl w:val="0"/>
                <w:numId w:val="2"/>
              </w:numPr>
              <w:spacing w:after="45"/>
            </w:pPr>
            <w:r>
              <w:rPr>
                <w:sz w:val="15"/>
                <w:szCs w:val="15"/>
              </w:rPr>
              <w:t xml:space="preserve">123 of 1001 patients (12%) had no preoperative CEA, one of the five score components, and the paper never states how they were scored or whether they were dropped from Figure 3 and Table 5.</w:t>
            </w:r>
          </w:p>
          <w:p>
            <w:pPr>
              <w:pStyle w:val="ListParagraph"/>
              <w:numPr>
                <w:ilvl w:val="0"/>
                <w:numId w:val="2"/>
              </w:numPr>
              <w:spacing w:after="45"/>
            </w:pPr>
            <w:r>
              <w:rPr>
                <w:sz w:val="15"/>
                <w:szCs w:val="15"/>
              </w:rPr>
              <w:t xml:space="preserve">The statistical method is given as one sentence - proportional hazards regression in True Epistat - with no statement of whether the model was stepwise or full, no test of the proportional hazards assumption, no collinearity diagnostics and no account of missing data. Iwatsuki raised exactly this in the printed discussion and the reply ('thank you for telling me what we should have done') did not answer it.</w:t>
            </w:r>
          </w:p>
          <w:p>
            <w:pPr>
              <w:pStyle w:val="ListParagraph"/>
              <w:numPr>
                <w:ilvl w:val="0"/>
                <w:numId w:val="2"/>
              </w:numPr>
              <w:spacing w:after="45"/>
            </w:pPr>
            <w:r>
              <w:rPr>
                <w:sz w:val="15"/>
                <w:szCs w:val="15"/>
              </w:rPr>
              <w:t xml:space="preserve">CEA above 200 ng/mL tracks tumour burden and a node-positive primary tracks the disease-free interval, so awarding each a separate point counts the same risk twice; only bilaterality was tested for redundancy and discarded, and the remaining four were not.</w:t>
            </w:r>
          </w:p>
          <w:p>
            <w:pPr>
              <w:pStyle w:val="ListParagraph"/>
              <w:numPr>
                <w:ilvl w:val="0"/>
                <w:numId w:val="2"/>
              </w:numPr>
              <w:spacing w:after="45"/>
            </w:pPr>
            <w:r>
              <w:rPr>
                <w:sz w:val="15"/>
                <w:szCs w:val="15"/>
              </w:rPr>
              <w:t xml:space="preserve">The four thresholds (&gt;1 tumour, &gt;5 cm, &gt;200 ng/mL, &lt;12 months) are used as though derived, but no cut-point analysis is shown. The 200 ng/mL CEA cut differs by nearly an order of magnitude from the 30 ng/mL in Nordlinger's score, which the paper cites approvingly two paragraphs earlier, with no reason given for the difference.</w:t>
            </w:r>
          </w:p>
          <w:p>
            <w:pPr>
              <w:pStyle w:val="ListParagraph"/>
              <w:numPr>
                <w:ilvl w:val="0"/>
                <w:numId w:val="2"/>
              </w:numPr>
              <w:spacing w:after="45"/>
            </w:pPr>
            <w:r>
              <w:rPr>
                <w:sz w:val="15"/>
                <w:szCs w:val="15"/>
              </w:rPr>
              <w:t xml:space="preserve">The cohort is the resected subset. Blumgart states in the discussion that 79% of patients taken to the operating room were resected, rising above 90% once staging laparoscopy was added, and nobody turned down before exploration is counted at all, so the score describes prognosis conditional on having been selected and resected at this institution.</w:t>
            </w:r>
          </w:p>
          <w:p>
            <w:pPr>
              <w:pStyle w:val="ListParagraph"/>
              <w:numPr>
                <w:ilvl w:val="0"/>
                <w:numId w:val="2"/>
              </w:numPr>
              <w:spacing w:after="45"/>
            </w:pPr>
            <w:r>
              <w:rPr>
                <w:sz w:val="15"/>
                <w:szCs w:val="15"/>
              </w:rPr>
              <w:t xml:space="preserve">Practice changed substantially within the series - trisegmentectomies rose from 13% to 31% of annual cases, intraoperative ultrasound became standard only in the last 6 of the 13 years - but no analysis by era is presented and the model is fitted across the whole period as if homogeneous.</w:t>
            </w:r>
          </w:p>
          <w:p>
            <w:pPr>
              <w:pStyle w:val="ListParagraph"/>
              <w:numPr>
                <w:ilvl w:val="0"/>
                <w:numId w:val="2"/>
              </w:numPr>
              <w:spacing w:after="45"/>
            </w:pPr>
            <w:r>
              <w:rPr>
                <w:sz w:val="15"/>
                <w:szCs w:val="15"/>
              </w:rPr>
              <w:t xml:space="preserve">Median follow-up of survivors was 32 months, shorter than the endpoints claimed. The 5-year (37%) and 10-year (22%) figures are actuarial with no numbers at risk printed on any curve; the only actual count given is 136 five-year survivors among the 551 patients resected before 1994.</w:t>
            </w:r>
          </w:p>
          <w:p>
            <w:pPr>
              <w:pStyle w:val="ListParagraph"/>
              <w:numPr>
                <w:ilvl w:val="0"/>
                <w:numId w:val="2"/>
              </w:numPr>
              <w:spacing w:after="45"/>
            </w:pPr>
            <w:r>
              <w:rPr>
                <w:sz w:val="15"/>
                <w:szCs w:val="15"/>
              </w:rPr>
              <w:t xml:space="preserve">88 patients with extrahepatic disease were resected and left in the denominator while extrahepatic disease is simultaneously declared a contraindication to resection, and 97 patients had an arterial infusion pump placed during an era when an MSKCC adjuvant hepatic arterial infusion trial was running (cited in abstract form as reference 20). Adjuvant therapy is recorded nowhere and adjusted for nowhere.</w:t>
            </w:r>
          </w:p>
          <w:p>
            <w:pPr>
              <w:pStyle w:val="ListParagraph"/>
              <w:numPr>
                <w:ilvl w:val="0"/>
                <w:numId w:val="2"/>
              </w:numPr>
              <w:spacing w:after="45"/>
            </w:pPr>
            <w:r>
              <w:rPr>
                <w:sz w:val="15"/>
                <w:szCs w:val="15"/>
              </w:rPr>
              <w:t xml:space="preserve">The 3 cm subgroup result offered as the benchmark any ablation trial must beat (median 56 months, 5-year survival 47% at score 0-2, n=236) is a post hoc subgroup of a selected surgical cohort, matched for nothing, and is the only place in the paper where resection is compared with ablation.</w:t>
            </w:r>
          </w:p>
          <w:p>
            <w:pPr>
              <w:pStyle w:val="ListParagraph"/>
              <w:numPr>
                <w:ilvl w:val="0"/>
                <w:numId w:val="2"/>
              </w:numPr>
              <w:spacing w:after="45"/>
            </w:pPr>
            <w:r>
              <w:rPr>
                <w:sz w:val="15"/>
                <w:szCs w:val="15"/>
              </w:rPr>
              <w:t xml:space="preserve">No separate editorial or comment on this paper was found in PubMed; the only independent published critique is the discussion printed with the article (Pitt, Beazley, Terblanche, Iwatsuki, Wanebo, Bismuth).</w:t>
            </w:r>
          </w:p>
        </w:tc>
      </w:tr>
    </w:tbl>
    <w:p>
      <w:pPr>
        <w:spacing w:after="0" w:line="276"/>
      </w:pPr>
      <w:r>
        <w:rPr>
          <w:color w:val="5A6069"/>
          <w:sz w:val="14"/>
          <w:szCs w:val="14"/>
        </w:rPr>
        <w:t xml:space="preserve">Funding: Supported in part by NIH grants RO1CA76416, RO1CA72632 and RO1CA61524 to the first author; no conflict-of-interest or industry disclosure statement appears</w:t>
      </w:r>
    </w:p>
    <w:p>
      <w:pPr>
        <w:keepNext/>
        <w:spacing w:after="50" w:before="260"/>
      </w:pPr>
      <w:r>
        <w:rPr>
          <w:rFonts w:ascii="Cambria" w:cs="Cambria" w:eastAsia="Cambria" w:hAnsi="Cambria"/>
          <w:b/>
          <w:bCs/>
          <w:color w:val="17365D"/>
          <w:sz w:val="20"/>
          <w:szCs w:val="20"/>
        </w:rPr>
        <w:t xml:space="preserve">FOXFIRE / SIRFLOX / FOXFIRE-Global</w:t>
      </w:r>
      <w:r>
        <w:rPr>
          <w:b/>
          <w:bCs/>
          <w:color w:val="176A87"/>
          <w:sz w:val="15"/>
          <w:szCs w:val="15"/>
        </w:rPr>
        <w:t xml:space="preserve">   Meta-analysis</w:t>
      </w:r>
      <w:r>
        <w:rPr>
          <w:color w:val="5A6069"/>
          <w:sz w:val="15"/>
          <w:szCs w:val="15"/>
        </w:rPr>
        <w:t xml:space="preserve">   PMID 28781171</w:t>
      </w:r>
    </w:p>
    <w:p>
      <w:pPr>
        <w:spacing w:after="50" w:line="276"/>
      </w:pPr>
      <w:r>
        <w:rPr>
          <w:color w:val="5A6069"/>
          <w:sz w:val="17"/>
          <w:szCs w:val="17"/>
        </w:rPr>
        <w:t xml:space="preserve">First-line selective internal radiotherapy plus chemotherapy versus chemotherapy alone in patients with liver metastases from colorectal cancer (FOXFIRE, SIRFLOX, and FOXFIRE-Global): a combined analysis of three multicentre, randomised, phase 3 trials</w:t>
      </w:r>
    </w:p>
    <w:p>
      <w:pPr>
        <w:spacing w:after="50"/>
      </w:pPr>
      <w:r>
        <w:rPr>
          <w:b/>
          <w:bCs/>
          <w:color w:val="176A87"/>
          <w:sz w:val="16"/>
          <w:szCs w:val="16"/>
        </w:rPr>
        <w:t xml:space="preserve">Population. </w:t>
      </w:r>
      <w:r>
        <w:rPr>
          <w:sz w:val="16"/>
          <w:szCs w:val="16"/>
        </w:rPr>
        <w:t xml:space="preserve">1103 chemotherapy-naive patients with liver-only or liver-dominant unresectable colorectal metastases randomised 1:1 across 14 countries from 2006 to 2014 in three trials (364 FOXFIRE, 530 SIRFLOX, 209 FOXFIRE-Global; 554 FOLFOX plus SIRT, 549 FOLFOX alone); 844 deaths at a median follow-up of 43.3 months, 122 patients (11%) retrospectively found ineligible, and safety assessed in an as-treated population of 507 and 571</w:t>
      </w:r>
    </w:p>
    <w:p>
      <w:pPr>
        <w:spacing w:after="70"/>
      </w:pPr>
      <w:r>
        <w:rPr>
          <w:b/>
          <w:bCs/>
          <w:color w:val="17365D"/>
          <w:sz w:val="16"/>
          <w:szCs w:val="16"/>
        </w:rPr>
        <w:t xml:space="preserve">Bottom line. </w:t>
      </w:r>
      <w:r>
        <w:rPr>
          <w:sz w:val="16"/>
          <w:szCs w:val="16"/>
        </w:rPr>
        <w:t xml:space="preserve">Settles the first-line question: across 1103 randomised patients, adding yttrium-90 resin microspheres to FOLFOX does not prolong survival (22.6 against 23.3 months, HR 1.04, 95% CI 0.90-1.19), does not prolong progression-free survival, and does not convert a single extra patient to resection (17% against 16%), while raising grade 3 or worse toxicity and treatment-related deaths. It also shows why the SIRFLOX hepatic-progression result was not a benefit: first progression moved out of the liver as fast as it left it (subdistribution HR 0.51 in the liver, 1.76 outside). It cannot rule out benefit in selected patients: the control arm received more full-dose oxaliplatin and more bevacizumab, 12% of controls crossed over, and the one favourable subgroup - right-sided primaries - is post hoc, unmolecular and based on 179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Management of metastatic colorectal cancer changed substantially over the 8-year recruitment period, with bevacizumab and EGFR inhibitors becoming first-line standards and liver interventions including surgery and ablation becoming more common; the authors argue there is no reason to think this differed between groups</w:t>
            </w:r>
          </w:p>
          <w:p>
            <w:pPr>
              <w:pStyle w:val="ListParagraph"/>
              <w:numPr>
                <w:ilvl w:val="0"/>
                <w:numId w:val="2"/>
              </w:numPr>
              <w:spacing w:after="45"/>
            </w:pPr>
            <w:r>
              <w:rPr>
                <w:sz w:val="15"/>
                <w:szCs w:val="15"/>
              </w:rPr>
              <w:t xml:space="preserve">Some patients were found not to have met the entry criteria after randomisation, with sensitivity analyses excluding them reported as robust</w:t>
            </w:r>
          </w:p>
          <w:p>
            <w:pPr>
              <w:pStyle w:val="ListParagraph"/>
              <w:numPr>
                <w:ilvl w:val="0"/>
                <w:numId w:val="2"/>
              </w:numPr>
              <w:spacing w:after="45"/>
            </w:pPr>
            <w:r>
              <w:rPr>
                <w:sz w:val="15"/>
                <w:szCs w:val="15"/>
              </w:rPr>
              <w:t xml:space="preserve">The three trials were not identically designed, which the authors say is accounted for by the statistical methods used</w:t>
            </w:r>
          </w:p>
          <w:p>
            <w:pPr>
              <w:pStyle w:val="ListParagraph"/>
              <w:numPr>
                <w:ilvl w:val="0"/>
                <w:numId w:val="2"/>
              </w:numPr>
              <w:spacing w:after="45"/>
            </w:pPr>
            <w:r>
              <w:rPr>
                <w:sz w:val="15"/>
                <w:szCs w:val="15"/>
              </w:rPr>
              <w:t xml:space="preserve">Crossover was anticipated: 12% of patients randomised to FOLFOX alone later received SIRT and 8% assigned SIRT never received it, and the authors state the difference in exposure to post-trial treatments might have affected the primary endpoint</w:t>
            </w:r>
          </w:p>
          <w:p>
            <w:pPr>
              <w:pStyle w:val="ListParagraph"/>
              <w:numPr>
                <w:ilvl w:val="0"/>
                <w:numId w:val="2"/>
              </w:numPr>
              <w:spacing w:after="45"/>
            </w:pPr>
            <w:r>
              <w:rPr>
                <w:sz w:val="15"/>
                <w:szCs w:val="15"/>
              </w:rPr>
              <w:t xml:space="preserve">They speculate that better liver control may have biased physicians towards less intensive subsequent treatment, and that reduced later use of irinotecan may reflect prolonged myelosuppression after SIRT</w:t>
            </w:r>
          </w:p>
          <w:p>
            <w:pPr>
              <w:pStyle w:val="ListParagraph"/>
              <w:numPr>
                <w:ilvl w:val="0"/>
                <w:numId w:val="2"/>
              </w:numPr>
              <w:spacing w:after="45"/>
            </w:pPr>
            <w:r>
              <w:rPr>
                <w:sz w:val="15"/>
                <w:szCs w:val="15"/>
              </w:rPr>
              <w:t xml:space="preserve">Molecular subtypes were not available, and the right-sided primary finding is called exploratory with further analyses underway</w:t>
            </w:r>
          </w:p>
          <w:p>
            <w:pPr>
              <w:pStyle w:val="ListParagraph"/>
              <w:numPr>
                <w:ilvl w:val="0"/>
                <w:numId w:val="2"/>
              </w:numPr>
              <w:spacing w:after="45"/>
            </w:pPr>
            <w:r>
              <w:rPr>
                <w:sz w:val="15"/>
                <w:szCs w:val="15"/>
              </w:rPr>
              <w:t xml:space="preserve">The authors state that early use of SIRT with first-line oxaliplatin-based chemotherapy cannot be recommended in unselected patients, and call for study of SIRT in selected populations and as consolidation after chemotherapy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control arm was better treated in two ways that both bias against SIRT, and only one is acknowledged. Full-dose oxaliplatin was given in 59% of SIRT-arm cycles against 68% of control cycles, by protocol design; and bevacizumab was given to 197 of 554 SIRT patients (36%) against 256 of 549 controls (47%), an 11-point imbalance in a drug of proven benefit, despite planned biologic use having been made a stratification factor in May 2011. The bevacizumab imbalance is printed in the results and never discussed.</w:t>
            </w:r>
          </w:p>
          <w:p>
            <w:pPr>
              <w:pStyle w:val="ListParagraph"/>
              <w:numPr>
                <w:ilvl w:val="0"/>
                <w:numId w:val="2"/>
              </w:numPr>
              <w:spacing w:after="45"/>
            </w:pPr>
            <w:r>
              <w:rPr>
                <w:sz w:val="15"/>
                <w:szCs w:val="15"/>
              </w:rPr>
              <w:t xml:space="preserve">The paper states plainly that dose reduction data were not readily available, so the degree of chemotherapy attenuation in each arm cannot be quantified beyond the first 12 cycles, in an analysis whose central claim is that an added treatment confers no benefit.</w:t>
            </w:r>
          </w:p>
          <w:p>
            <w:pPr>
              <w:pStyle w:val="ListParagraph"/>
              <w:numPr>
                <w:ilvl w:val="0"/>
                <w:numId w:val="2"/>
              </w:numPr>
              <w:spacing w:after="45"/>
            </w:pPr>
            <w:r>
              <w:rPr>
                <w:sz w:val="15"/>
                <w:szCs w:val="15"/>
              </w:rPr>
              <w:t xml:space="preserve">The device manufacturer was inside the data. Sirtex employees were involved in all stages of two of the three trials and in the process of combining the three datasets, and the sponsor reviewed the manuscript. A pooled analysis conducted partly by the manufacturer of the device being tested needs independent replication of the merge, and none is described.</w:t>
            </w:r>
          </w:p>
          <w:p>
            <w:pPr>
              <w:pStyle w:val="ListParagraph"/>
              <w:numPr>
                <w:ilvl w:val="0"/>
                <w:numId w:val="2"/>
              </w:numPr>
              <w:spacing w:after="45"/>
            </w:pPr>
            <w:r>
              <w:rPr>
                <w:sz w:val="15"/>
                <w:szCs w:val="15"/>
              </w:rPr>
              <w:t xml:space="preserve">The only subgroup favouring SIRT is post hoc and built on partial data: primary tumour site was a post-hoc subgroup, side was known for just 718 of 1103 patients (65%), and the right-sided group numbers 179. No interaction test is reported in the text, no molecular data exist, and the authors nonetheless call for further studies in that subgroup - which is the reading the linked Comment then amplifies.</w:t>
            </w:r>
          </w:p>
          <w:p>
            <w:pPr>
              <w:pStyle w:val="ListParagraph"/>
              <w:numPr>
                <w:ilvl w:val="0"/>
                <w:numId w:val="2"/>
              </w:numPr>
              <w:spacing w:after="45"/>
            </w:pPr>
            <w:r>
              <w:rPr>
                <w:sz w:val="15"/>
                <w:szCs w:val="15"/>
              </w:rPr>
              <w:t xml:space="preserve">Liver control and extrahepatic failure move in opposite directions by almost identical magnitudes: subdistribution hazard ratio 0.51 (95% CI 0.43-0.62) for first progression in the liver and 1.76 (1.47-2.11) for non-liver progression or death. A treatment that relocates the first progression event without changing survival or progression-free survival has not controlled the disease, and the first figure is nonetheless reported as improved liver-specific control.</w:t>
            </w:r>
          </w:p>
          <w:p>
            <w:pPr>
              <w:pStyle w:val="ListParagraph"/>
              <w:numPr>
                <w:ilvl w:val="0"/>
                <w:numId w:val="2"/>
              </w:numPr>
              <w:spacing w:after="45"/>
            </w:pPr>
            <w:r>
              <w:rPr>
                <w:sz w:val="15"/>
                <w:szCs w:val="15"/>
              </w:rPr>
              <w:t xml:space="preserve">Response rose substantially (72% versus 63%, OR 1.52; liver response OR 1.78) and resection did not move at all (94 of 554, 17%, versus 88 of 549, 16%; OR 1.07). Across 1103 patients this is the most powerful demonstration available that radiological response in the liver is not resectability, and the paper offers it as a single sentence.</w:t>
            </w:r>
          </w:p>
          <w:p>
            <w:pPr>
              <w:pStyle w:val="ListParagraph"/>
              <w:numPr>
                <w:ilvl w:val="0"/>
                <w:numId w:val="2"/>
              </w:numPr>
              <w:spacing w:after="45"/>
            </w:pPr>
            <w:r>
              <w:rPr>
                <w:sz w:val="15"/>
                <w:szCs w:val="15"/>
              </w:rPr>
              <w:t xml:space="preserve">The toxicity comparison uses as-treated groups of 507 and 571 while efficacy uses randomised groups of 554 and 549, so the 47 patients assigned SIRT who never received it are counted as chemotherapy-alone for harms. The control arm's safety denominator therefore exceeds its randomised size, and the resulting excess toxicity with SIRT (OR 1.42, 95% CI 1.09-1.85) is if anything understated.</w:t>
            </w:r>
          </w:p>
          <w:p>
            <w:pPr>
              <w:pStyle w:val="ListParagraph"/>
              <w:numPr>
                <w:ilvl w:val="0"/>
                <w:numId w:val="2"/>
              </w:numPr>
              <w:spacing w:after="45"/>
            </w:pPr>
            <w:r>
              <w:rPr>
                <w:sz w:val="15"/>
                <w:szCs w:val="15"/>
              </w:rPr>
              <w:t xml:space="preserve">Post-trial therapy differed systematically and no analysis adjusts for it. Fewer SIRT patients went on to irinotecan, fluoropyrimidine, anti-VEGF or anti-EGFR therapy, and 66 of 549 controls (12%) crossed over to SIRT. The authors list both and offer no sensitivity analysis of the primary endpoint accounting for either.</w:t>
            </w:r>
          </w:p>
          <w:p>
            <w:pPr>
              <w:pStyle w:val="ListParagraph"/>
              <w:numPr>
                <w:ilvl w:val="0"/>
                <w:numId w:val="2"/>
              </w:numPr>
              <w:spacing w:after="45"/>
            </w:pPr>
            <w:r>
              <w:rPr>
                <w:sz w:val="15"/>
                <w:szCs w:val="15"/>
              </w:rPr>
              <w:t xml:space="preserve">Eight treatment-related deaths occurred with SIRT against three with chemotherapy alone - three from radiation-induced liver disease, one from off-target microsphere delivery, two surgical, one liver failure, one pneumonitis - and the Discussion summarises this as increased toxicity that did not translate into inferior overall survival.</w:t>
            </w:r>
          </w:p>
          <w:p>
            <w:pPr>
              <w:pStyle w:val="ListParagraph"/>
              <w:numPr>
                <w:ilvl w:val="0"/>
                <w:numId w:val="2"/>
              </w:numPr>
              <w:spacing w:after="45"/>
            </w:pPr>
            <w:r>
              <w:rPr>
                <w:sz w:val="15"/>
                <w:szCs w:val="15"/>
              </w:rPr>
              <w:t xml:space="preserve">Quality of life is reported only for the first 24 months as unadjusted EQ-5D-3L utility scores with no completion rates in the main text, and the one timepoint that differed (2-3 months, when SIRT toxicity peaks) is set aside as not clinically meaningful against a threshold borrowed from a cross-cancer suggestion.</w:t>
            </w:r>
          </w:p>
          <w:p>
            <w:pPr>
              <w:pStyle w:val="ListParagraph"/>
              <w:numPr>
                <w:ilvl w:val="0"/>
                <w:numId w:val="2"/>
              </w:numPr>
              <w:spacing w:after="45"/>
            </w:pPr>
            <w:r>
              <w:rPr>
                <w:sz w:val="15"/>
                <w:szCs w:val="15"/>
              </w:rPr>
              <w:t xml:space="preserve">Eligibility differed between the pooled trials in ways that matter for a liver-directed therapy - FOXFIRE allowed up to five lung metastases amenable to future local therapy, the other two allowed nodules by size - and biological agents entered FOXFIRE only from December 2014, so the trials contributing to the pooled estimate delivered different background therapy in different years.</w:t>
            </w:r>
          </w:p>
          <w:p>
            <w:pPr>
              <w:pStyle w:val="ListParagraph"/>
              <w:numPr>
                <w:ilvl w:val="0"/>
                <w:numId w:val="2"/>
              </w:numPr>
              <w:spacing w:after="45"/>
            </w:pPr>
            <w:r>
              <w:rPr>
                <w:sz w:val="15"/>
                <w:szCs w:val="15"/>
              </w:rPr>
              <w:t xml:space="preserve">The analysis cannot address the question a liver surgeon asks. Roughly half the patients had an intact primary tumour, 87% had synchronous disease, all were deemed unresectable at entry, and recruitment ran through the years in which ablation became routine, so the pooled result bears on first-line consolidation strategy and not on conversion or on resectable disease.</w:t>
            </w:r>
          </w:p>
          <w:p>
            <w:pPr>
              <w:pStyle w:val="ListParagraph"/>
              <w:numPr>
                <w:ilvl w:val="0"/>
                <w:numId w:val="2"/>
              </w:numPr>
              <w:spacing w:after="45"/>
            </w:pPr>
            <w:r>
              <w:rPr>
                <w:sz w:val="15"/>
                <w:szCs w:val="15"/>
              </w:rPr>
              <w:t xml:space="preserve">A linked Lancet Oncology Comment (PMID 28781172, Schmoll, 2017;18:1138-9) asking whether SIRT is only for right-sided tumours was identified in PubMed but its text was not read for this record.</w:t>
            </w:r>
          </w:p>
        </w:tc>
      </w:tr>
    </w:tbl>
    <w:p>
      <w:pPr>
        <w:spacing w:after="0" w:line="276"/>
      </w:pPr>
      <w:r>
        <w:rPr>
          <w:color w:val="5A6069"/>
          <w:sz w:val="14"/>
          <w:szCs w:val="14"/>
        </w:rPr>
        <w:t xml:space="preserve">Funding: Bobby Moore Fund of Cancer Research UK and Sirtex Medical, the manufacturer of the yttrium-90 resin microspheres. The sponsor had no role in FOXFIRE's design, data collection or analysis, but Sirtex employees were involved in all stages of SIRFLOX and FOXFIRE-Global and in the process of combining the three trial datasets, and the sponsor reviewed the manuscript and provided comments. Most senior authors declare grants, personal fees or non-financial support from Sirtex Medical</w:t>
      </w:r>
    </w:p>
    <w:p>
      <w:pPr>
        <w:keepNext/>
        <w:spacing w:after="50" w:before="260"/>
      </w:pPr>
      <w:r>
        <w:rPr>
          <w:rFonts w:ascii="Cambria" w:cs="Cambria" w:eastAsia="Cambria" w:hAnsi="Cambria"/>
          <w:b/>
          <w:bCs/>
          <w:color w:val="17365D"/>
          <w:sz w:val="20"/>
          <w:szCs w:val="20"/>
        </w:rPr>
        <w:t xml:space="preserve">Grut metabolic tumour volume</w:t>
      </w:r>
      <w:r>
        <w:rPr>
          <w:b/>
          <w:bCs/>
          <w:color w:val="176A87"/>
          <w:sz w:val="15"/>
          <w:szCs w:val="15"/>
        </w:rPr>
        <w:t xml:space="preserve">   cohort</w:t>
      </w:r>
      <w:r>
        <w:rPr>
          <w:color w:val="5A6069"/>
          <w:sz w:val="15"/>
          <w:szCs w:val="15"/>
        </w:rPr>
        <w:t xml:space="preserve">   PMID 36241941</w:t>
      </w:r>
    </w:p>
    <w:p>
      <w:pPr>
        <w:spacing w:after="50" w:line="276"/>
      </w:pPr>
      <w:r>
        <w:rPr>
          <w:color w:val="5A6069"/>
          <w:sz w:val="17"/>
          <w:szCs w:val="17"/>
        </w:rPr>
        <w:t xml:space="preserve">Metabolic tumor volume predicts long-term survival after transplantation for unresectable colorectal liver metastases: 15 years of experience from the SECA study</w:t>
      </w:r>
    </w:p>
    <w:p>
      <w:pPr>
        <w:spacing w:after="50"/>
      </w:pPr>
      <w:r>
        <w:rPr>
          <w:b/>
          <w:bCs/>
          <w:color w:val="176A87"/>
          <w:sz w:val="16"/>
          <w:szCs w:val="16"/>
        </w:rPr>
        <w:t xml:space="preserve">Population. </w:t>
      </w:r>
      <w:r>
        <w:rPr>
          <w:sz w:val="16"/>
          <w:szCs w:val="16"/>
        </w:rPr>
        <w:t xml:space="preserve">All 40 patients transplanted for unresectable colorectal liver metastases at Oslo University Hospital in SECA-1 (n=23) and SECA-2 (n=17) between 2006 and 2018 with an evaluable preoperative 18F-FDG PET/CT; 26 had a total metabolic tumour volume below 70 cm3 and 14 above, and 20 were scanned within 90 days of transplantation</w:t>
      </w:r>
    </w:p>
    <w:p>
      <w:pPr>
        <w:spacing w:after="70"/>
      </w:pPr>
      <w:r>
        <w:rPr>
          <w:b/>
          <w:bCs/>
          <w:color w:val="17365D"/>
          <w:sz w:val="16"/>
          <w:szCs w:val="16"/>
        </w:rPr>
        <w:t xml:space="preserve">Bottom line. </w:t>
      </w:r>
      <w:r>
        <w:rPr>
          <w:sz w:val="16"/>
          <w:szCs w:val="16"/>
        </w:rPr>
        <w:t xml:space="preserve">Shows that across the whole 40-patient Oslo transplant experience, total metabolic tumour volume on preoperative PET separates survivors sharply - 5-year overall survival 76% against 21% and 10-year 50% against 7% below and above 70 cm3 - and that the signal exists only when the scan is recent, which supports rescanning candidates who wait more than three months. It does not establish the threshold or the measure: the 70 cm3 cut was fitted by ROC in these same patients, it has never been tested elsewhere, it tracks CEA, lesion number, lesion size, Fong score and progression on chemotherapy so closely that no independent information is demonstrated, and SECA-1 and SECA-2 were pooled despite differing eligibility and a 23-point survival gap. With no comparator arm, it cannot say what a high-volume patient should be offered instead.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was retrospective and the total number of patients is relatively low (n=40), which the authors answer by noting it is the largest material on liver transplantation for colorectal liver metastases worldwide with a very long observation time</w:t>
            </w:r>
          </w:p>
          <w:p>
            <w:pPr>
              <w:pStyle w:val="ListParagraph"/>
              <w:numPr>
                <w:ilvl w:val="0"/>
                <w:numId w:val="2"/>
              </w:numPr>
              <w:spacing w:after="45"/>
            </w:pPr>
            <w:r>
              <w:rPr>
                <w:sz w:val="15"/>
                <w:szCs w:val="15"/>
              </w:rPr>
              <w:t xml:space="preserve">Variability in the interval between the PET/CT and transplantation could be a source of bias; the authors argue it was probably not critical because the interval did not differ between the high and low metabolic tumour volume groups</w:t>
            </w:r>
          </w:p>
          <w:p>
            <w:pPr>
              <w:pStyle w:val="ListParagraph"/>
              <w:numPr>
                <w:ilvl w:val="0"/>
                <w:numId w:val="2"/>
              </w:numPr>
              <w:spacing w:after="45"/>
            </w:pPr>
            <w:r>
              <w:rPr>
                <w:sz w:val="15"/>
                <w:szCs w:val="15"/>
              </w:rPr>
              <w:t xml:space="preserve">The PET followed a standard clinical protocol without respiratory gating for liver metastases or for detection of lesions at the liver hilum</w:t>
            </w:r>
          </w:p>
          <w:p>
            <w:pPr>
              <w:pStyle w:val="ListParagraph"/>
              <w:numPr>
                <w:ilvl w:val="0"/>
                <w:numId w:val="2"/>
              </w:numPr>
              <w:spacing w:after="45"/>
            </w:pPr>
            <w:r>
              <w:rPr>
                <w:sz w:val="15"/>
                <w:szCs w:val="15"/>
              </w:rPr>
              <w:t xml:space="preserve">SECA-1 and SECA-2 eligibility differed - SECA-2 excluded patients with progressive disease and those within a year of diagnosis - so SECA-2 patients may have had more favourable biology, with 5-year survival of 60% against 83%; the authors state the cohorts were pooled and not compared</w:t>
            </w:r>
          </w:p>
          <w:p>
            <w:pPr>
              <w:pStyle w:val="ListParagraph"/>
              <w:numPr>
                <w:ilvl w:val="0"/>
                <w:numId w:val="2"/>
              </w:numPr>
              <w:spacing w:after="45"/>
            </w:pPr>
            <w:r>
              <w:rPr>
                <w:sz w:val="15"/>
                <w:szCs w:val="15"/>
              </w:rPr>
              <w:t xml:space="preserve">They note that very small or microscopic residual disease is undetectable by any imaging modality, which is why the recurrence rate after transplantation is high and surveillance matters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70 cm3 threshold was derived by ROC analysis in the same 40 patients in which it is then tested, with no bootstrap, cross-validation or external cohort. Its apparent discrimination is fitted to the outcome it is said to predict.</w:t>
            </w:r>
          </w:p>
          <w:p>
            <w:pPr>
              <w:pStyle w:val="ListParagraph"/>
              <w:numPr>
                <w:ilvl w:val="0"/>
                <w:numId w:val="2"/>
              </w:numPr>
              <w:spacing w:after="45"/>
            </w:pPr>
            <w:r>
              <w:rPr>
                <w:sz w:val="15"/>
                <w:szCs w:val="15"/>
              </w:rPr>
              <w:t xml:space="preserve">The same ROC procedure produced cut-offs for SUVmax, SUVmean, SUVpeak and tumour-to-background ratio, which are then discarded for failing to separate survival. One fitting exercise is used to validate the parameters that worked and to dismiss those that did not, in the same 40 patients.</w:t>
            </w:r>
          </w:p>
          <w:p>
            <w:pPr>
              <w:pStyle w:val="ListParagraph"/>
              <w:numPr>
                <w:ilvl w:val="0"/>
                <w:numId w:val="2"/>
              </w:numPr>
              <w:spacing w:after="45"/>
            </w:pPr>
            <w:r>
              <w:rPr>
                <w:sz w:val="15"/>
                <w:szCs w:val="15"/>
              </w:rPr>
              <w:t xml:space="preserve">The defence of the scan-to-transplant interval does not address the paper's own result. The prognostic effect was significant only among the 20 patients scanned within 90 days (p&lt;0.001) and not among the 20 scanned earlier (p=0.093). Showing that the interval did not differ between metabolic tumour volume groups is not the relevant test, and the recommendation to rescan after three months rests on a split of 20 patients against 20.</w:t>
            </w:r>
          </w:p>
          <w:p>
            <w:pPr>
              <w:pStyle w:val="ListParagraph"/>
              <w:numPr>
                <w:ilvl w:val="0"/>
                <w:numId w:val="2"/>
              </w:numPr>
              <w:spacing w:after="45"/>
            </w:pPr>
            <w:r>
              <w:rPr>
                <w:sz w:val="15"/>
                <w:szCs w:val="15"/>
              </w:rPr>
              <w:t xml:space="preserve">Metabolic tumour volume is collinear with every conventional adverse feature and no multivariable analysis is offered: median CEA 95 against 3 ug/L, 11 against 6 metastases, largest lesion 83 against 29 mm, Fong score 4 against 2, progressive disease at transplant 79% against 19%, and two or three lines of chemotherapy 93% against 31%, all p below 0.016. Nothing here distinguishes a PET measurement from 'large-volume disease progressing on multiple lines of chemotherapy', which needs no PET to recognise.</w:t>
            </w:r>
          </w:p>
          <w:p>
            <w:pPr>
              <w:pStyle w:val="ListParagraph"/>
              <w:numPr>
                <w:ilvl w:val="0"/>
                <w:numId w:val="2"/>
              </w:numPr>
              <w:spacing w:after="45"/>
            </w:pPr>
            <w:r>
              <w:rPr>
                <w:sz w:val="15"/>
                <w:szCs w:val="15"/>
              </w:rPr>
              <w:t xml:space="preserve">Trial membership confounds the comparison and is not adjusted for. SECA-1 admitted patients progressing on chemotherapy and within a year of diagnosis and gave 60% five-year survival; SECA-2 excluded them and gave 83%. Pooling the two while conceding both the eligibility difference and the 23-point survival difference leaves the metabolic tumour volume effect entangled with which study a patient entered.</w:t>
            </w:r>
          </w:p>
          <w:p>
            <w:pPr>
              <w:pStyle w:val="ListParagraph"/>
              <w:numPr>
                <w:ilvl w:val="0"/>
                <w:numId w:val="2"/>
              </w:numPr>
              <w:spacing w:after="45"/>
            </w:pPr>
            <w:r>
              <w:rPr>
                <w:sz w:val="15"/>
                <w:szCs w:val="15"/>
              </w:rPr>
              <w:t xml:space="preserve">The explanation given for better post-recurrence survival in the low-volume group - resectable pulmonary relapse - is contradicted by the paper's own data: the first site of recurrence did not differ significantly (lung in 11 of 26 against 6 of 14, p=0.233). The authors call it the most plausible explanation regardless.</w:t>
            </w:r>
          </w:p>
          <w:p>
            <w:pPr>
              <w:pStyle w:val="ListParagraph"/>
              <w:numPr>
                <w:ilvl w:val="0"/>
                <w:numId w:val="2"/>
              </w:numPr>
              <w:spacing w:after="45"/>
            </w:pPr>
            <w:r>
              <w:rPr>
                <w:sz w:val="15"/>
                <w:szCs w:val="15"/>
              </w:rPr>
              <w:t xml:space="preserve">The measure being promoted as a selection criterion does not identify cure. All 14 high-volume and 19 of 26 low-volume patients recurred, and five-year disease-free survival was 21% against 0%, so even the favourable group is mostly recurrent disease managed afterwards.</w:t>
            </w:r>
          </w:p>
          <w:p>
            <w:pPr>
              <w:pStyle w:val="ListParagraph"/>
              <w:numPr>
                <w:ilvl w:val="0"/>
                <w:numId w:val="2"/>
              </w:numPr>
              <w:spacing w:after="45"/>
            </w:pPr>
            <w:r>
              <w:rPr>
                <w:sz w:val="15"/>
                <w:szCs w:val="15"/>
              </w:rPr>
              <w:t xml:space="preserve">There is no comparator of any kind - no resection, no chemotherapy, no listed-but-not-transplanted group - so the paper can say that high metabolic tumour volume predicts worse outcome after transplantation but nothing about whether such a patient would do better or worse with any alternative.</w:t>
            </w:r>
          </w:p>
          <w:p>
            <w:pPr>
              <w:pStyle w:val="ListParagraph"/>
              <w:numPr>
                <w:ilvl w:val="0"/>
                <w:numId w:val="2"/>
              </w:numPr>
              <w:spacing w:after="45"/>
            </w:pPr>
            <w:r>
              <w:rPr>
                <w:sz w:val="15"/>
                <w:szCs w:val="15"/>
              </w:rPr>
              <w:t xml:space="preserve">Six PET parameters are each tested against overall, disease-free and post-recurrence survival in 40 patients with no adjustment for multiplicity, and the conclusion retains the two that reached significance.</w:t>
            </w:r>
          </w:p>
          <w:p>
            <w:pPr>
              <w:pStyle w:val="ListParagraph"/>
              <w:numPr>
                <w:ilvl w:val="0"/>
                <w:numId w:val="2"/>
              </w:numPr>
              <w:spacing w:after="45"/>
            </w:pPr>
            <w:r>
              <w:rPr>
                <w:sz w:val="15"/>
                <w:szCs w:val="15"/>
              </w:rPr>
              <w:t xml:space="preserve">Reproducibility is unaddressed in a paper recommending implementation elsewhere: one scanner, one centre, a fixed 40% SUVmax threshold, no respiratory gating, and no inter-reader, test-retest or cross-scanner agreement data for a liver volume measurement that is known to be sensitive to all of these.</w:t>
            </w:r>
          </w:p>
          <w:p>
            <w:pPr>
              <w:pStyle w:val="ListParagraph"/>
              <w:numPr>
                <w:ilvl w:val="0"/>
                <w:numId w:val="2"/>
              </w:numPr>
              <w:spacing w:after="45"/>
            </w:pPr>
            <w:r>
              <w:rPr>
                <w:sz w:val="15"/>
                <w:szCs w:val="15"/>
              </w:rPr>
              <w:t xml:space="preserve">The cohort was pre-filtered by the same test. Every patient had to be PET-negative for extrahepatic disease to be transplanted - in SECA-1 the PET excluded about a third of candidates - so metabolic tumour volume is evaluated only among patients the modality had already selected.</w:t>
            </w:r>
          </w:p>
          <w:p>
            <w:pPr>
              <w:pStyle w:val="ListParagraph"/>
              <w:numPr>
                <w:ilvl w:val="0"/>
                <w:numId w:val="2"/>
              </w:numPr>
              <w:spacing w:after="45"/>
            </w:pPr>
            <w:r>
              <w:rPr>
                <w:sz w:val="15"/>
                <w:szCs w:val="15"/>
              </w:rPr>
              <w:t xml:space="preserve">No survival estimate in the paper carries a confidence interval, and Table 1's percentages do not reconcile with its counts (18 N0 patients reported as 55%), so the baseline table cannot be cross-footed.</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Open access funding and support from Vestre Viken Hospital Trust, Oslo University Hospital and the Norwegian Cancer Society. The authors declare no conflicts of interest</w:t>
      </w:r>
    </w:p>
    <w:p>
      <w:pPr>
        <w:keepNext/>
        <w:spacing w:after="50" w:before="260"/>
      </w:pPr>
      <w:r>
        <w:rPr>
          <w:rFonts w:ascii="Cambria" w:cs="Cambria" w:eastAsia="Cambria" w:hAnsi="Cambria"/>
          <w:b/>
          <w:bCs/>
          <w:color w:val="17365D"/>
          <w:sz w:val="20"/>
          <w:szCs w:val="20"/>
        </w:rPr>
        <w:t xml:space="preserve">Hendlisz Y90</w:t>
      </w:r>
      <w:r>
        <w:rPr>
          <w:b/>
          <w:bCs/>
          <w:color w:val="176A87"/>
          <w:sz w:val="15"/>
          <w:szCs w:val="15"/>
        </w:rPr>
        <w:t xml:space="preserve">   Randomised trial</w:t>
      </w:r>
      <w:r>
        <w:rPr>
          <w:color w:val="5A6069"/>
          <w:sz w:val="15"/>
          <w:szCs w:val="15"/>
        </w:rPr>
        <w:t xml:space="preserve">   PMID 20567019</w:t>
      </w:r>
    </w:p>
    <w:p>
      <w:pPr>
        <w:spacing w:after="50" w:line="276"/>
      </w:pPr>
      <w:r>
        <w:rPr>
          <w:color w:val="5A6069"/>
          <w:sz w:val="17"/>
          <w:szCs w:val="17"/>
        </w:rPr>
        <w:t xml:space="preserve">Phase III trial comparing protracted intravenous fluorouracil infusion alone or with yttrium-90 resin microspheres radioembolization for liver-limited metastatic colorectal cancer refractory to standard chemotherapy</w:t>
      </w:r>
    </w:p>
    <w:p>
      <w:pPr>
        <w:spacing w:after="50"/>
      </w:pPr>
      <w:r>
        <w:rPr>
          <w:b/>
          <w:bCs/>
          <w:color w:val="176A87"/>
          <w:sz w:val="16"/>
          <w:szCs w:val="16"/>
        </w:rPr>
        <w:t xml:space="preserve">Population. </w:t>
      </w:r>
      <w:r>
        <w:rPr>
          <w:sz w:val="16"/>
          <w:szCs w:val="16"/>
        </w:rPr>
        <w:t xml:space="preserve">46 patients with unresectable liver-only colorectal metastases refractory to or intolerant of fluorouracil, oxaliplatin and irinotecan, randomised at three Belgian centres between December 2004 and November 2007 against a planned 58; 44 were analysed (23 fluorouracil alone, 21 radioembolization plus fluorouracil) and 43 assessed for toxicity. Median sum of target diameters 216 mm in the control arm and 176.5 mm in the experimental arm; only 12 patients had received prior anti-EGFR therapy. Median follow-up 24.8 months</w:t>
      </w:r>
    </w:p>
    <w:p>
      <w:pPr>
        <w:spacing w:after="70"/>
      </w:pPr>
      <w:r>
        <w:rPr>
          <w:b/>
          <w:bCs/>
          <w:color w:val="17365D"/>
          <w:sz w:val="16"/>
          <w:szCs w:val="16"/>
        </w:rPr>
        <w:t xml:space="preserve">Bottom line. </w:t>
      </w:r>
      <w:r>
        <w:rPr>
          <w:sz w:val="16"/>
          <w:szCs w:val="16"/>
        </w:rPr>
        <w:t xml:space="preserve">The first randomised evidence for yttrium-90 radioembolization in chemotherapy-refractory liver-only colorectal metastases: a single hepatic arterial injection added to fluorouracil lengthened time to liver progression from 2.1 to 5.5 months (HR 0.38) and raised disease control from 35% to 86%, with no added toxicity. It shows no survival benefit (10.0 against 7.3 months, HR 0.92) and cannot: accrual stopped at 46 of 58 planned patients and 70% of controls received further therapy, 10 of them crossing over to radioembolization. The primary endpoint was progression in the organ being treated, in an arm where every patient progressed there first, and the comparator was fluorouracil monotherapy in fluorouracil-refractory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Accrual was lower and follow-up longer than planned, so the trial closed with 46 of the intended 58 patients; the design assumed 90% power for a time to liver progression of 6 weeks in the control arm</w:t>
            </w:r>
          </w:p>
          <w:p>
            <w:pPr>
              <w:pStyle w:val="ListParagraph"/>
              <w:numPr>
                <w:ilvl w:val="0"/>
                <w:numId w:val="2"/>
              </w:numPr>
              <w:spacing w:after="45"/>
            </w:pPr>
            <w:r>
              <w:rPr>
                <w:sz w:val="15"/>
                <w:szCs w:val="15"/>
              </w:rPr>
              <w:t xml:space="preserve">The authors attribute the absence of a survival difference to rapid crossover: 70% of control patients received further therapy, including 10 who received radioembolization at similar activity</w:t>
            </w:r>
          </w:p>
          <w:p>
            <w:pPr>
              <w:pStyle w:val="ListParagraph"/>
              <w:numPr>
                <w:ilvl w:val="0"/>
                <w:numId w:val="2"/>
              </w:numPr>
              <w:spacing w:after="45"/>
            </w:pPr>
            <w:r>
              <w:rPr>
                <w:sz w:val="15"/>
                <w:szCs w:val="15"/>
              </w:rPr>
              <w:t xml:space="preserve">They state that the RECIST response rate of 9.5% was disappointingly low and that CT-based RECIST is known to be difficult for assessing response after radioembolization</w:t>
            </w:r>
          </w:p>
          <w:p>
            <w:pPr>
              <w:pStyle w:val="ListParagraph"/>
              <w:numPr>
                <w:ilvl w:val="0"/>
                <w:numId w:val="2"/>
              </w:numPr>
              <w:spacing w:after="45"/>
            </w:pPr>
            <w:r>
              <w:rPr>
                <w:sz w:val="15"/>
                <w:szCs w:val="15"/>
              </w:rPr>
              <w:t xml:space="preserve">They note that more grade 3 toxicity in the fluorouracil arm was probably due to lower efficacy and more rapidly progressive disease, since the events were indistinguishable from progression, and that fluorouracil dose intensity was non-significantly higher in that arm</w:t>
            </w:r>
          </w:p>
          <w:p>
            <w:pPr>
              <w:pStyle w:val="ListParagraph"/>
              <w:numPr>
                <w:ilvl w:val="0"/>
                <w:numId w:val="2"/>
              </w:numPr>
              <w:spacing w:after="45"/>
            </w:pPr>
            <w:r>
              <w:rPr>
                <w:sz w:val="15"/>
                <w:szCs w:val="15"/>
              </w:rPr>
              <w:t xml:space="preserve">They state that a proper assessment of the effect on survival would require randomised comparison against best supportive care, which they consider unrealistic to complete</w:t>
            </w:r>
          </w:p>
          <w:p>
            <w:pPr>
              <w:pStyle w:val="ListParagraph"/>
              <w:numPr>
                <w:ilvl w:val="0"/>
                <w:numId w:val="2"/>
              </w:numPr>
              <w:spacing w:after="45"/>
            </w:pPr>
            <w:r>
              <w:rPr>
                <w:sz w:val="15"/>
                <w:szCs w:val="15"/>
              </w:rPr>
              <w:t xml:space="preserve">They note the whole-cohort median survival of 8.7 months exceeds what is usually reported for refractory disease, which may reflect patient selection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the one a liver-directed treatment cannot fail to move, and the control arm's own data show why: every control patient progressed first in the liver, so time to liver progression and time to any progression are the same curve in that arm. The trial measures where progression was detected, not whether the disease was controlled.</w:t>
            </w:r>
          </w:p>
          <w:p>
            <w:pPr>
              <w:pStyle w:val="ListParagraph"/>
              <w:numPr>
                <w:ilvl w:val="0"/>
                <w:numId w:val="2"/>
              </w:numPr>
              <w:spacing w:after="45"/>
            </w:pPr>
            <w:r>
              <w:rPr>
                <w:sz w:val="15"/>
                <w:szCs w:val="15"/>
              </w:rPr>
              <w:t xml:space="preserve">The only hard outcome is uninterpretable by the trial's own account. Survival was 10.0 against 7.3 months (HR 0.92, 95% CI 0.47-1.78), and the explanation offered is that 70% of controls received further therapy including 10 who crossed over to the same treatment. That is a design decision, not a confounder discovered afterwards.</w:t>
            </w:r>
          </w:p>
          <w:p>
            <w:pPr>
              <w:pStyle w:val="ListParagraph"/>
              <w:numPr>
                <w:ilvl w:val="0"/>
                <w:numId w:val="2"/>
              </w:numPr>
              <w:spacing w:after="45"/>
            </w:pPr>
            <w:r>
              <w:rPr>
                <w:sz w:val="15"/>
                <w:szCs w:val="15"/>
              </w:rPr>
              <w:t xml:space="preserve">Forty-four analysed patients cannot support any survival conclusion in either direction; the confidence interval spans a 53% reduction to a 78% increase in the hazard of death.</w:t>
            </w:r>
          </w:p>
          <w:p>
            <w:pPr>
              <w:pStyle w:val="ListParagraph"/>
              <w:numPr>
                <w:ilvl w:val="0"/>
                <w:numId w:val="2"/>
              </w:numPr>
              <w:spacing w:after="45"/>
            </w:pPr>
            <w:r>
              <w:rPr>
                <w:sz w:val="15"/>
                <w:szCs w:val="15"/>
              </w:rPr>
              <w:t xml:space="preserve">The comparator is protracted intravenous fluorouracil monotherapy in patients already refractory to fluorouracil, which is close to no active treatment, and the authors use the resulting toxicity difference (6 against 1 grade 3-4 events) as a safety argument for radioembolization while simultaneously attributing those events to disease progression.</w:t>
            </w:r>
          </w:p>
          <w:p>
            <w:pPr>
              <w:pStyle w:val="ListParagraph"/>
              <w:numPr>
                <w:ilvl w:val="0"/>
                <w:numId w:val="2"/>
              </w:numPr>
              <w:spacing w:after="45"/>
            </w:pPr>
            <w:r>
              <w:rPr>
                <w:sz w:val="15"/>
                <w:szCs w:val="15"/>
              </w:rPr>
              <w:t xml:space="preserve">Response was assessed by local radiology in an unblinded trial, and the paper's response to its own low RECIST response rate is to argue that RECIST is the wrong measure and that FDG-PET should be preferred - while conceding PET was not cross-calibrated between the three centres.</w:t>
            </w:r>
          </w:p>
          <w:p>
            <w:pPr>
              <w:pStyle w:val="ListParagraph"/>
              <w:numPr>
                <w:ilvl w:val="0"/>
                <w:numId w:val="2"/>
              </w:numPr>
              <w:spacing w:after="45"/>
            </w:pPr>
            <w:r>
              <w:rPr>
                <w:sz w:val="15"/>
                <w:szCs w:val="15"/>
              </w:rPr>
              <w:t xml:space="preserve">The disease-control figure that carries the clinical message (86% against 35%, p=0.001) is the sum of partial response and stable disease, and in a refractory population stable disease on a single unblinded CT is a weak endpoint.</w:t>
            </w:r>
          </w:p>
          <w:p>
            <w:pPr>
              <w:pStyle w:val="ListParagraph"/>
              <w:numPr>
                <w:ilvl w:val="0"/>
                <w:numId w:val="2"/>
              </w:numPr>
              <w:spacing w:after="45"/>
            </w:pPr>
            <w:r>
              <w:rPr>
                <w:sz w:val="15"/>
                <w:szCs w:val="15"/>
              </w:rPr>
              <w:t xml:space="preserve">Two randomised patients were excluded from efficacy - one for bone metastases, one for technical failure of microsphere administration - and the technical failure is precisely the kind of event an intention-to-treat analysis should retain in a trial of a procedure.</w:t>
            </w:r>
          </w:p>
          <w:p>
            <w:pPr>
              <w:pStyle w:val="ListParagraph"/>
              <w:numPr>
                <w:ilvl w:val="0"/>
                <w:numId w:val="2"/>
              </w:numPr>
              <w:spacing w:after="45"/>
            </w:pPr>
            <w:r>
              <w:rPr>
                <w:sz w:val="15"/>
                <w:szCs w:val="15"/>
              </w:rPr>
              <w:t xml:space="preserve">Baseline tumour burden differed substantially (median summed diameter 216 against 176.5 mm) in a 44-patient trial with no adjustment reported for it.</w:t>
            </w:r>
          </w:p>
          <w:p>
            <w:pPr>
              <w:pStyle w:val="ListParagraph"/>
              <w:numPr>
                <w:ilvl w:val="0"/>
                <w:numId w:val="2"/>
              </w:numPr>
              <w:spacing w:after="45"/>
            </w:pPr>
            <w:r>
              <w:rPr>
                <w:sz w:val="15"/>
                <w:szCs w:val="15"/>
              </w:rPr>
              <w:t xml:space="preserve">The single downsizing to resection is reported as a conversion and the same patient progressed extrahepatically 1.5 months after the operation; it is offered in support of future conversion studies without that outcome being weighed.</w:t>
            </w:r>
          </w:p>
          <w:p>
            <w:pPr>
              <w:pStyle w:val="ListParagraph"/>
              <w:numPr>
                <w:ilvl w:val="0"/>
                <w:numId w:val="2"/>
              </w:numPr>
              <w:spacing w:after="45"/>
            </w:pPr>
            <w:r>
              <w:rPr>
                <w:sz w:val="15"/>
                <w:szCs w:val="15"/>
              </w:rPr>
              <w:t xml:space="preserve">The trial predates and excludes most modern therapy: anti-EGFR and anti-VEGF agents were largely unavailable in Belgium during recruitment and only 12 of 44 patients had received an anti-EGFR antibody, so this refractory population is less pretreated than a refractory population today.</w:t>
            </w:r>
          </w:p>
          <w:p>
            <w:pPr>
              <w:pStyle w:val="ListParagraph"/>
              <w:numPr>
                <w:ilvl w:val="0"/>
                <w:numId w:val="2"/>
              </w:numPr>
              <w:spacing w:after="45"/>
            </w:pPr>
            <w:r>
              <w:rPr>
                <w:sz w:val="15"/>
                <w:szCs w:val="15"/>
              </w:rPr>
              <w:t xml:space="preserve">The conclusion that radioembolization should be considered a valid therapeutic option rests on a surrogate endpoint in 44 patients with no survival signal, and the device manufacturer funded the trial and supplied the microspheres.</w:t>
            </w:r>
          </w:p>
          <w:p>
            <w:pPr>
              <w:pStyle w:val="ListParagraph"/>
              <w:numPr>
                <w:ilvl w:val="0"/>
                <w:numId w:val="2"/>
              </w:numPr>
              <w:spacing w:after="45"/>
            </w:pPr>
            <w:r>
              <w:rPr>
                <w:sz w:val="15"/>
                <w:szCs w:val="15"/>
              </w:rPr>
              <w:t xml:space="preserve">No quality-of-life or patient-reported outcome is reported, in a trial whose claimed benefit is tumour growth control without a survival difference.</w:t>
            </w:r>
          </w:p>
          <w:p>
            <w:pPr>
              <w:pStyle w:val="ListParagraph"/>
              <w:numPr>
                <w:ilvl w:val="0"/>
                <w:numId w:val="2"/>
              </w:numPr>
              <w:spacing w:after="45"/>
            </w:pPr>
            <w:r>
              <w:rPr>
                <w:sz w:val="15"/>
                <w:szCs w:val="15"/>
              </w:rPr>
              <w:t xml:space="preserve">No linked editorial or comment on this trial was found in PubMed, so no independent published critique informs this record.</w:t>
            </w:r>
          </w:p>
        </w:tc>
      </w:tr>
    </w:tbl>
    <w:p>
      <w:pPr>
        <w:spacing w:after="0" w:line="276"/>
      </w:pPr>
      <w:r>
        <w:rPr>
          <w:color w:val="5A6069"/>
          <w:sz w:val="14"/>
          <w:szCs w:val="14"/>
        </w:rPr>
        <w:t xml:space="preserve">Funding: Supported by Sirtex Medical Limited, which supplied the yttrium-90 resin microspheres; one author declares honoraria from Sirtex Medical. No other interests are declared</w:t>
      </w:r>
    </w:p>
    <w:p>
      <w:pPr>
        <w:keepNext/>
        <w:spacing w:after="50" w:before="260"/>
      </w:pPr>
      <w:r>
        <w:rPr>
          <w:rFonts w:ascii="Cambria" w:cs="Cambria" w:eastAsia="Cambria" w:hAnsi="Cambria"/>
          <w:b/>
          <w:bCs/>
          <w:color w:val="17365D"/>
          <w:sz w:val="20"/>
          <w:szCs w:val="20"/>
        </w:rPr>
        <w:t xml:space="preserve">IHPBA 2021</w:t>
      </w:r>
      <w:r>
        <w:rPr>
          <w:b/>
          <w:bCs/>
          <w:color w:val="176A87"/>
          <w:sz w:val="15"/>
          <w:szCs w:val="15"/>
        </w:rPr>
        <w:t xml:space="preserve">   Consensus statement</w:t>
      </w:r>
      <w:r>
        <w:rPr>
          <w:color w:val="5A6069"/>
          <w:sz w:val="15"/>
          <w:szCs w:val="15"/>
        </w:rPr>
        <w:t xml:space="preserve">   PMID 34506756</w:t>
      </w:r>
    </w:p>
    <w:p>
      <w:pPr>
        <w:spacing w:after="50" w:line="276"/>
      </w:pPr>
      <w:r>
        <w:rPr>
          <w:color w:val="5A6069"/>
          <w:sz w:val="17"/>
          <w:szCs w:val="17"/>
        </w:rPr>
        <w:t xml:space="preserve">Liver transplantation for non-resectable colorectal liver metastases: the International Hepato-Pancreato-Biliary Association consensus guidelines</w:t>
      </w:r>
    </w:p>
    <w:p>
      <w:pPr>
        <w:spacing w:after="50"/>
      </w:pPr>
      <w:r>
        <w:rPr>
          <w:b/>
          <w:bCs/>
          <w:color w:val="176A87"/>
          <w:sz w:val="16"/>
          <w:szCs w:val="16"/>
        </w:rPr>
        <w:t xml:space="preserve">Population. </w:t>
      </w:r>
      <w:r>
        <w:rPr>
          <w:sz w:val="16"/>
          <w:szCs w:val="16"/>
        </w:rPr>
        <w:t xml:space="preserve">No patients: this is a Delphi consensus. 24 experts were invited, in three subgroups: the Scientific Committee, an Expert Panel of 7, and 8 Transplant Centre Representatives who were leaders of medium-sized to large-sized transplant programmes. Round 1: 30 statements reviewed by 8 of 8 Transplant Centre Representatives, 21 reached consensus, 9 were modified and 2 added. Round 2: 32 statements reviewed by 7 of 7 Expert Panel members, 17 reached consensus, 10 were modified and 5 removed. Round 3: 44 statements voted on at the consensus meeting, with 13 of 16 Scientific Committee and Expert Panel members participating and 3 members submitting votes by email; 40 items reached consensus and 4 were modified. The published guideline contains 44 statements across five domains.</w:t>
      </w:r>
    </w:p>
    <w:p>
      <w:pPr>
        <w:spacing w:after="70"/>
      </w:pPr>
      <w:r>
        <w:rPr>
          <w:b/>
          <w:bCs/>
          <w:color w:val="17365D"/>
          <w:sz w:val="16"/>
          <w:szCs w:val="16"/>
        </w:rPr>
        <w:t xml:space="preserve">Bottom line. </w:t>
      </w:r>
      <w:r>
        <w:rPr>
          <w:sz w:val="16"/>
          <w:szCs w:val="16"/>
        </w:rPr>
        <w:t xml:space="preserve">The IHPBA's 44 Delphi statements turn liver transplantation for non-resectable colorectal liver metastases into an operable pathway: resect the primary, exclude BRAF V600E, MSI-high and extrahepatic disease, give at least 6 months of bridging chemotherapy with no progression and wait at least a year from diagnosis, then transplant with CNI minimisation and an mTOR inhibitor, resect isolated lung recurrence and do not give adjuvant chemotherapy. It is the right framework for a centre starting this work and the right basis for a registry, but it is consensus, not evidence: it carries no agreement percentages, no evidence grades, and its survival benchmark and PET cutoffs come from the panel's own two uncontrolled series of 21 and 15 patients. Nothing in it tells a patient entering the pathway what their chance of reaching transplantation is, because every number quoted is counted from the day of transplant.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panel concedes that the NORDIC VII comparison showing 56% versus 9% five-year survival does not include modern chemotherapy, and that transplantation will need to be compared with modern systemic and locoregional options within prospective and ideally randomised controlled trials</w:t>
            </w:r>
          </w:p>
          <w:p>
            <w:pPr>
              <w:pStyle w:val="ListParagraph"/>
              <w:numPr>
                <w:ilvl w:val="0"/>
                <w:numId w:val="2"/>
              </w:numPr>
              <w:spacing w:after="45"/>
            </w:pPr>
            <w:r>
              <w:rPr>
                <w:sz w:val="15"/>
                <w:szCs w:val="15"/>
              </w:rPr>
              <w:t xml:space="preserve">It states it found little evidence to recommend any specific immunosuppression strategy, with data mostly extrapolated from the literature on recurrent hepatocellular carcinoma after transplantation</w:t>
            </w:r>
          </w:p>
          <w:p>
            <w:pPr>
              <w:pStyle w:val="ListParagraph"/>
              <w:numPr>
                <w:ilvl w:val="0"/>
                <w:numId w:val="2"/>
              </w:numPr>
              <w:spacing w:after="45"/>
            </w:pPr>
            <w:r>
              <w:rPr>
                <w:sz w:val="15"/>
                <w:szCs w:val="15"/>
              </w:rPr>
              <w:t xml:space="preserve">It states there is little evidence to recommend routine adjuvant chemotherapy after transplantation, little evidence to support routine intraoperative nodal sampling, and little evidence to support transplantation for resectable disease</w:t>
            </w:r>
          </w:p>
          <w:p>
            <w:pPr>
              <w:pStyle w:val="ListParagraph"/>
              <w:numPr>
                <w:ilvl w:val="0"/>
                <w:numId w:val="2"/>
              </w:numPr>
              <w:spacing w:after="45"/>
            </w:pPr>
            <w:r>
              <w:rPr>
                <w:sz w:val="15"/>
                <w:szCs w:val="15"/>
              </w:rPr>
              <w:t xml:space="preserve">It concedes that the long-term oncological outcomes of the RAPID technique are unclear, with specific concern about leaving tumour in situ in the presence of circulating hypertrophic growth factors during immunosuppression</w:t>
            </w:r>
          </w:p>
          <w:p>
            <w:pPr>
              <w:pStyle w:val="ListParagraph"/>
              <w:numPr>
                <w:ilvl w:val="0"/>
                <w:numId w:val="2"/>
              </w:numPr>
              <w:spacing w:after="45"/>
            </w:pPr>
            <w:r>
              <w:rPr>
                <w:sz w:val="15"/>
                <w:szCs w:val="15"/>
              </w:rPr>
              <w:t xml:space="preserve">It acknowledges that the prognostic value of RAS mutation in patients undergoing transplantation has not yet been clearly proven, and that cell-free DNA and other biomarkers require further validation in this setting before use</w:t>
            </w:r>
          </w:p>
          <w:p>
            <w:pPr>
              <w:pStyle w:val="ListParagraph"/>
              <w:numPr>
                <w:ilvl w:val="0"/>
                <w:numId w:val="2"/>
              </w:numPr>
              <w:spacing w:after="45"/>
            </w:pPr>
            <w:r>
              <w:rPr>
                <w:sz w:val="15"/>
                <w:szCs w:val="15"/>
              </w:rPr>
              <w:t xml:space="preserve">It acknowledges that adding a malignant indication to the waiting list creates an unresolved tension between utility and justice, because these patients have preserved liver function and will not be prioritised under a MELD-based sickest-first system</w:t>
            </w:r>
          </w:p>
          <w:p>
            <w:pPr>
              <w:pStyle w:val="ListParagraph"/>
              <w:numPr>
                <w:ilvl w:val="0"/>
                <w:numId w:val="2"/>
              </w:numPr>
              <w:spacing w:after="45"/>
            </w:pPr>
            <w:r>
              <w:rPr>
                <w:sz w:val="15"/>
                <w:szCs w:val="15"/>
              </w:rPr>
              <w:t xml:space="preserve">It accepts that patients must be counselled that the whole treatment course might not lead to transplantation, and that re-transplantation may not be offered in some countries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Three members of the panel, Hagness, Dueland and Line, ran SECA-I and SECA-II, the 21-patient and 15-patient single-arm series that supply the 60% and 83% survival figures on which the entire guideline rests; the declaration of interests records only pharmaceutical honoraria for three other authors and declares no interest for the investigators grading their own trials.</w:t>
            </w:r>
          </w:p>
          <w:p>
            <w:pPr>
              <w:pStyle w:val="ListParagraph"/>
              <w:numPr>
                <w:ilvl w:val="0"/>
                <w:numId w:val="2"/>
              </w:numPr>
              <w:spacing w:after="45"/>
            </w:pPr>
            <w:r>
              <w:rPr>
                <w:sz w:val="15"/>
                <w:szCs w:val="15"/>
              </w:rPr>
              <w:t xml:space="preserve">The statement count does not reconcile with the panel's own Delphi flow diagram: round 1 ended with 32 statements, round 2 left 17 that reached consensus plus 10 modified after 5 were removed, which is 27, yet 44 statements were put to the final vote and the origin of the additional 17 is never stated.</w:t>
            </w:r>
          </w:p>
          <w:p>
            <w:pPr>
              <w:pStyle w:val="ListParagraph"/>
              <w:numPr>
                <w:ilvl w:val="0"/>
                <w:numId w:val="2"/>
              </w:numPr>
              <w:spacing w:after="45"/>
            </w:pPr>
            <w:r>
              <w:rPr>
                <w:sz w:val="15"/>
                <w:szCs w:val="15"/>
              </w:rPr>
              <w:t xml:space="preserve">Four of the 44 statements failed to reach the 70% threshold at the final vote and were recorded as modified; no revote is described, so the published guideline contains statements that never achieved the level of agreement the guideline itself defines as consensus.</w:t>
            </w:r>
          </w:p>
          <w:p>
            <w:pPr>
              <w:pStyle w:val="ListParagraph"/>
              <w:numPr>
                <w:ilvl w:val="0"/>
                <w:numId w:val="2"/>
              </w:numPr>
              <w:spacing w:after="45"/>
            </w:pPr>
            <w:r>
              <w:rPr>
                <w:sz w:val="15"/>
                <w:szCs w:val="15"/>
              </w:rPr>
              <w:t xml:space="preserve">No agreement percentage, vote count, level of evidence or strength of recommendation is printed for any of the 44 statements, so a reader cannot separate a statement backed by randomised data from one backed by a 15-patient uncontrolled series.</w:t>
            </w:r>
          </w:p>
          <w:p>
            <w:pPr>
              <w:pStyle w:val="ListParagraph"/>
              <w:numPr>
                <w:ilvl w:val="0"/>
                <w:numId w:val="2"/>
              </w:numPr>
              <w:spacing w:after="45"/>
            </w:pPr>
            <w:r>
              <w:rPr>
                <w:sz w:val="15"/>
                <w:szCs w:val="15"/>
              </w:rPr>
              <w:t xml:space="preserve">The eight Transplant Centre Representatives, recruited specifically to judge whether the statements could be operationalised, voted only in round 1 and took no part in the final vote, which was attended by 13 of 16 of the remaining members with three voting by email.</w:t>
            </w:r>
          </w:p>
          <w:p>
            <w:pPr>
              <w:pStyle w:val="ListParagraph"/>
              <w:numPr>
                <w:ilvl w:val="0"/>
                <w:numId w:val="2"/>
              </w:numPr>
              <w:spacing w:after="45"/>
            </w:pPr>
            <w:r>
              <w:rPr>
                <w:sz w:val="15"/>
                <w:szCs w:val="15"/>
              </w:rPr>
              <w:t xml:space="preserve">The hard numbers that will actually decide eligibility, metabolic tumour volume above 70 cm3 and total lesion glycolysis above 260 g, come from the same Oslo PET series that supplied the survival data, with no external validation reported, and they sit directly alongside statement 8, which says there is no clear evidence to exclude patients on tumour burden.</w:t>
            </w:r>
          </w:p>
          <w:p>
            <w:pPr>
              <w:pStyle w:val="ListParagraph"/>
              <w:numPr>
                <w:ilvl w:val="0"/>
                <w:numId w:val="2"/>
              </w:numPr>
              <w:spacing w:after="45"/>
            </w:pPr>
            <w:r>
              <w:rPr>
                <w:sz w:val="15"/>
                <w:szCs w:val="15"/>
              </w:rPr>
              <w:t xml:space="preserve">Statement 43 sets the ethical bar at a 5-year survival of more than 50%, which is exactly the figure the cited 2020 pooled analysis already reports for the existing uncontrolled literature, so the guideline's own justification threshold is satisfied by construction before any new data are collected.</w:t>
            </w:r>
          </w:p>
          <w:p>
            <w:pPr>
              <w:pStyle w:val="ListParagraph"/>
              <w:numPr>
                <w:ilvl w:val="0"/>
                <w:numId w:val="2"/>
              </w:numPr>
              <w:spacing w:after="45"/>
            </w:pPr>
            <w:r>
              <w:rPr>
                <w:sz w:val="15"/>
                <w:szCs w:val="15"/>
              </w:rPr>
              <w:t xml:space="preserve">Every survival figure quoted is measured from transplantation. The guideline nowhere estimates how many patients who enter the pathway at diagnosis of non-resectable disease are ever transplanted, and the algorithm in figure 2 stops at the label transplantable CLM, with no node for listing, waiting time, waitlist dropout, graft allocation or the patients who progress while waiting.</w:t>
            </w:r>
          </w:p>
          <w:p>
            <w:pPr>
              <w:pStyle w:val="ListParagraph"/>
              <w:numPr>
                <w:ilvl w:val="0"/>
                <w:numId w:val="2"/>
              </w:numPr>
              <w:spacing w:after="45"/>
            </w:pPr>
            <w:r>
              <w:rPr>
                <w:sz w:val="15"/>
                <w:szCs w:val="15"/>
              </w:rPr>
              <w:t xml:space="preserve">The 9% comparator used to justify the indication is attributed to the group's own cost-effectiveness analysis rather than to the NORDIC VII trial itself, and the figure chosen as the standard of care is first-line chemotherapy survival from an era the panel elsewhere says is obsolete.</w:t>
            </w:r>
          </w:p>
          <w:p>
            <w:pPr>
              <w:pStyle w:val="ListParagraph"/>
              <w:numPr>
                <w:ilvl w:val="0"/>
                <w:numId w:val="2"/>
              </w:numPr>
              <w:spacing w:after="45"/>
            </w:pPr>
            <w:r>
              <w:rPr>
                <w:sz w:val="15"/>
                <w:szCs w:val="15"/>
              </w:rPr>
              <w:t xml:space="preserve">The MSI-high and mismatch repair deficient group, the one molecular subset with the best response to modern systemic therapy, is excluded on the argument that immunotherapy cannot be given after transplantation; no post-transplant outcome data in these patients is cited, so the exclusion rests on the alternative being good rather than on transplantation being bad for them.</w:t>
            </w:r>
          </w:p>
          <w:p>
            <w:pPr>
              <w:pStyle w:val="ListParagraph"/>
              <w:numPr>
                <w:ilvl w:val="0"/>
                <w:numId w:val="2"/>
              </w:numPr>
              <w:spacing w:after="45"/>
            </w:pPr>
            <w:r>
              <w:rPr>
                <w:sz w:val="15"/>
                <w:szCs w:val="15"/>
              </w:rPr>
              <w:t xml:space="preserve">The rule that patients found to be lymph node positive at intraoperative sampling should be excluded appears only in the prose on page 3 and in none of the 44 statements, while statement 12 mentions sampling without saying what to do with the result.</w:t>
            </w:r>
          </w:p>
          <w:p>
            <w:pPr>
              <w:pStyle w:val="ListParagraph"/>
              <w:numPr>
                <w:ilvl w:val="0"/>
                <w:numId w:val="2"/>
              </w:numPr>
              <w:spacing w:after="45"/>
            </w:pPr>
            <w:r>
              <w:rPr>
                <w:sz w:val="15"/>
                <w:szCs w:val="15"/>
              </w:rPr>
              <w:t xml:space="preserve">Table 2 as printed describes statements 29 to 44 as applying to liver transplantation for non-colorectal liver metastases, the opposite indication to the one the guideline addresses, while the main text uses non-resectable colorectal liver metastases throughout; the table is wrong and the text is right.</w:t>
            </w:r>
          </w:p>
          <w:p>
            <w:pPr>
              <w:pStyle w:val="ListParagraph"/>
              <w:numPr>
                <w:ilvl w:val="0"/>
                <w:numId w:val="2"/>
              </w:numPr>
              <w:spacing w:after="45"/>
            </w:pPr>
            <w:r>
              <w:rPr>
                <w:sz w:val="15"/>
                <w:szCs w:val="15"/>
              </w:rPr>
              <w:t xml:space="preserve">The literature review was restricted to English-language papers found on PubMed alone with no registered protocol, no PRISMA flow and no quality appraisal of the included studies reported, yet the output is a practice guideline that sets numeric eligibility thresholds.</w:t>
            </w:r>
          </w:p>
        </w:tc>
      </w:tr>
    </w:tbl>
    <w:p>
      <w:pPr>
        <w:spacing w:after="0" w:line="276"/>
      </w:pPr>
      <w:r>
        <w:rPr>
          <w:color w:val="5A6069"/>
          <w:sz w:val="14"/>
          <w:szCs w:val="14"/>
        </w:rPr>
        <w:t xml:space="preserve">Funding: No funding statement appears. The working group was commissioned by the International Hepato-Pancreato-Biliary Association in October, 2020. The declaration of interests reads: PT receives honoraria from Astellas Pharma Europe, outside the current study; GS receives research grants from Bayer and Roche, and consulting fees from Astrazeneca, Novartis, and Roche, outside the current study; RA receives honoraria for symposia from Merck Serono and Sanofi, outside the current study; all other authors declare no competing interests.</w:t>
      </w:r>
    </w:p>
    <w:p>
      <w:pPr>
        <w:keepNext/>
        <w:spacing w:after="50" w:before="260"/>
      </w:pPr>
      <w:r>
        <w:rPr>
          <w:rFonts w:ascii="Cambria" w:cs="Cambria" w:eastAsia="Cambria" w:hAnsi="Cambria"/>
          <w:b/>
          <w:bCs/>
          <w:color w:val="17365D"/>
          <w:sz w:val="20"/>
          <w:szCs w:val="20"/>
        </w:rPr>
        <w:t xml:space="preserve">Kemeny adjuvant HAI</w:t>
      </w:r>
      <w:r>
        <w:rPr>
          <w:b/>
          <w:bCs/>
          <w:color w:val="176A87"/>
          <w:sz w:val="15"/>
          <w:szCs w:val="15"/>
        </w:rPr>
        <w:t xml:space="preserve">   Randomised trial</w:t>
      </w:r>
      <w:r>
        <w:rPr>
          <w:color w:val="5A6069"/>
          <w:sz w:val="15"/>
          <w:szCs w:val="15"/>
        </w:rPr>
        <w:t xml:space="preserve">   PMID 10615075</w:t>
      </w:r>
    </w:p>
    <w:p>
      <w:pPr>
        <w:spacing w:after="50" w:line="276"/>
      </w:pPr>
      <w:r>
        <w:rPr>
          <w:color w:val="5A6069"/>
          <w:sz w:val="17"/>
          <w:szCs w:val="17"/>
        </w:rPr>
        <w:t xml:space="preserve">Hepatic arterial infusion of chemotherapy after resection of hepatic metastases from colorectal cancer</w:t>
      </w:r>
    </w:p>
    <w:p>
      <w:pPr>
        <w:spacing w:after="50"/>
      </w:pPr>
      <w:r>
        <w:rPr>
          <w:b/>
          <w:bCs/>
          <w:color w:val="176A87"/>
          <w:sz w:val="16"/>
          <w:szCs w:val="16"/>
        </w:rPr>
        <w:t xml:space="preserve">Population. </w:t>
      </w:r>
      <w:r>
        <w:rPr>
          <w:sz w:val="16"/>
          <w:szCs w:val="16"/>
        </w:rPr>
        <w:t xml:space="preserve">156 patients randomised intraoperatively at Memorial Sloan-Kettering out of 386 resected for colorectal liver metastases and 514 evaluated for resection (74 to hepatic arterial floxuridine plus systemic fluorouracil, 82 to systemic fluorouracil alone); 105 of the non-participants declined and 35 were excluded by surgeon decision. Median follow-up 62.7 months, with 91% followed at least two years and only 55% for five years</w:t>
      </w:r>
    </w:p>
    <w:p>
      <w:pPr>
        <w:spacing w:after="70"/>
      </w:pPr>
      <w:r>
        <w:rPr>
          <w:b/>
          <w:bCs/>
          <w:color w:val="17365D"/>
          <w:sz w:val="16"/>
          <w:szCs w:val="16"/>
        </w:rPr>
        <w:t xml:space="preserve">Bottom line. </w:t>
      </w:r>
      <w:r>
        <w:rPr>
          <w:sz w:val="16"/>
          <w:szCs w:val="16"/>
        </w:rPr>
        <w:t xml:space="preserve">This is the single randomised trial on which adjuvant hepatic arterial infusion after liver resection rests, and what it shows is a large reduction in hepatic recurrence - two-year hepatic progression-free survival 90% against 60%, with 7 of 74 against 30 of 82 liver recurrences. It does not show a survival benefit by its own whole-curve analysis: the Kaplan-Meier comparison gives p=0.21, the positive survival claim is a two-year landmark, the trial was powered one-sided and analysed two-sided, and the adjusted hazard comes from a best-subset model. Only 26% of patients received more than half the planned floxuridine, 6 of 74 received none, and the combined arm got about 15% less systemic drug, so the regimen that produced this result is not the regimen described.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report that the whole Kaplan-Meier survival curves did not differ significantly (p=0.21 by log-rank, p=0.11 by Wilcoxon) and that the curves appear to converge at 80 months, where only six patients remain at risk so a single death moves the curve sharply</w:t>
            </w:r>
          </w:p>
          <w:p>
            <w:pPr>
              <w:pStyle w:val="ListParagraph"/>
              <w:numPr>
                <w:ilvl w:val="0"/>
                <w:numId w:val="2"/>
              </w:numPr>
              <w:spacing w:after="45"/>
            </w:pPr>
            <w:r>
              <w:rPr>
                <w:sz w:val="15"/>
                <w:szCs w:val="15"/>
              </w:rPr>
              <w:t xml:space="preserve">Only 55% of patients had been followed for five years, and the two-year endpoints were chosen because at design only 25% of such patients were disease free at two years</w:t>
            </w:r>
          </w:p>
          <w:p>
            <w:pPr>
              <w:pStyle w:val="ListParagraph"/>
              <w:numPr>
                <w:ilvl w:val="0"/>
                <w:numId w:val="2"/>
              </w:numPr>
              <w:spacing w:after="45"/>
            </w:pPr>
            <w:r>
              <w:rPr>
                <w:sz w:val="15"/>
                <w:szCs w:val="15"/>
              </w:rPr>
              <w:t xml:space="preserve">Dose adjustments for hepatic toxicity meant the total floxuridine delivered was less than planned in most patients, and the authors state they cannot tell whether a lower dose would suffice or whether a high first dose carried the effect</w:t>
            </w:r>
          </w:p>
          <w:p>
            <w:pPr>
              <w:pStyle w:val="ListParagraph"/>
              <w:numPr>
                <w:ilvl w:val="0"/>
                <w:numId w:val="2"/>
              </w:numPr>
              <w:spacing w:after="45"/>
            </w:pPr>
            <w:r>
              <w:rPr>
                <w:sz w:val="15"/>
                <w:szCs w:val="15"/>
              </w:rPr>
              <w:t xml:space="preserve">Systemic fluorouracil dose in the combined group was about 15% lower than in the monotherapy group</w:t>
            </w:r>
          </w:p>
          <w:p>
            <w:pPr>
              <w:pStyle w:val="ListParagraph"/>
              <w:numPr>
                <w:ilvl w:val="0"/>
                <w:numId w:val="2"/>
              </w:numPr>
              <w:spacing w:after="45"/>
            </w:pPr>
            <w:r>
              <w:rPr>
                <w:sz w:val="15"/>
                <w:szCs w:val="15"/>
              </w:rPr>
              <w:t xml:space="preserve">Pump-related complications were more frequent than in the centre's own earlier hepatic arterial infusion series, which the authors attribute to combining pump implantation with hepatectomy and to a learning curve, concluding that both procedures should be undertaken only by highly trained surgical and medical oncologists</w:t>
            </w:r>
          </w:p>
          <w:p>
            <w:pPr>
              <w:pStyle w:val="ListParagraph"/>
              <w:numPr>
                <w:ilvl w:val="0"/>
                <w:numId w:val="2"/>
              </w:numPr>
              <w:spacing w:after="45"/>
            </w:pPr>
            <w:r>
              <w:rPr>
                <w:sz w:val="15"/>
                <w:szCs w:val="15"/>
              </w:rPr>
              <w:t xml:space="preserve">Overall progression-free survival improved much less than hepatic progression-free survival, which the authors read as showing that other agents are needed alongside regional therapy</w:t>
            </w:r>
          </w:p>
          <w:p>
            <w:pPr>
              <w:pStyle w:val="ListParagraph"/>
              <w:numPr>
                <w:ilvl w:val="0"/>
                <w:numId w:val="2"/>
              </w:numPr>
              <w:spacing w:after="45"/>
            </w:pPr>
            <w:r>
              <w:rPr>
                <w:sz w:val="15"/>
                <w:szCs w:val="15"/>
              </w:rPr>
              <w:t xml:space="preserve">Twenty-one patients were found on later pathology to have positive margins and one positive portal nodes, and three combined-therapy patients were retrospectively found to have had metastases at entry; all were kept in the analysis, and the authors switched from reporting recurrence to reporting progression because of it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result is a landmark reading of curves that do not differ. The statistical plan states that the log-rank and Wilcoxon p values are the comparisons of the entire Kaplan-Meier curves, and those are 0.21 and 0.11; the 86% against 72% two-year survival difference (p=0.03) is taken off the same curves by normal approximation at a single timepoint. Both appear in the paper and only the second appears in the conclusions.</w:t>
            </w:r>
          </w:p>
          <w:p>
            <w:pPr>
              <w:pStyle w:val="ListParagraph"/>
              <w:numPr>
                <w:ilvl w:val="0"/>
                <w:numId w:val="2"/>
              </w:numPr>
              <w:spacing w:after="45"/>
            </w:pPr>
            <w:r>
              <w:rPr>
                <w:sz w:val="15"/>
                <w:szCs w:val="15"/>
              </w:rPr>
              <w:t xml:space="preserve">The sample size was computed with a one-sided test at an alpha of 5%, which is a two-sided alpha of 10%, and the paper then states that two-sided tests were used in the final analysis. The trial is therefore underpowered for the analysis it reports.</w:t>
            </w:r>
          </w:p>
          <w:p>
            <w:pPr>
              <w:pStyle w:val="ListParagraph"/>
              <w:numPr>
                <w:ilvl w:val="0"/>
                <w:numId w:val="2"/>
              </w:numPr>
              <w:spacing w:after="45"/>
            </w:pPr>
            <w:r>
              <w:rPr>
                <w:sz w:val="15"/>
                <w:szCs w:val="15"/>
              </w:rPr>
              <w:t xml:space="preserve">Two primary endpoints were declared - two-year overall survival and two-year progression-free survival - with no adjustment for testing both. Progression-free survival at two years gave p=0.07, and the curve comparison gave p=0.01 by Wilcoxon and p=0.06 by log-rank, two tests disagreeing about the same data with no prespecified rule for which governs.</w:t>
            </w:r>
          </w:p>
          <w:p>
            <w:pPr>
              <w:pStyle w:val="ListParagraph"/>
              <w:numPr>
                <w:ilvl w:val="0"/>
                <w:numId w:val="2"/>
              </w:numPr>
              <w:spacing w:after="45"/>
            </w:pPr>
            <w:r>
              <w:rPr>
                <w:sz w:val="15"/>
                <w:szCs w:val="15"/>
              </w:rPr>
              <w:t xml:space="preserve">The adjusted risk ratio that carries the survival claim (2.34, 95% CI 1.10-4.98) comes from a model chosen by best-subset selection in 156 patients, retaining primary tumour site and largest lesion size. A data-dependent search producing a significant covariate-adjusted effect, where the unadjusted comparison of whole curves is null, is not independent evidence.</w:t>
            </w:r>
          </w:p>
          <w:p>
            <w:pPr>
              <w:pStyle w:val="ListParagraph"/>
              <w:numPr>
                <w:ilvl w:val="0"/>
                <w:numId w:val="2"/>
              </w:numPr>
              <w:spacing w:after="45"/>
            </w:pPr>
            <w:r>
              <w:rPr>
                <w:sz w:val="15"/>
                <w:szCs w:val="15"/>
              </w:rPr>
              <w:t xml:space="preserve">The hepatic progression model adjusts for surgical margin status - a pathology finding that became known only after randomisation and that was positive in 21 patients - alongside disease-free interval, again in a selected model, to produce the relative risk of 5.39 (95% CI 2.36-12.31).</w:t>
            </w:r>
          </w:p>
          <w:p>
            <w:pPr>
              <w:pStyle w:val="ListParagraph"/>
              <w:numPr>
                <w:ilvl w:val="0"/>
                <w:numId w:val="2"/>
              </w:numPr>
              <w:spacing w:after="45"/>
            </w:pPr>
            <w:r>
              <w:rPr>
                <w:sz w:val="15"/>
                <w:szCs w:val="15"/>
              </w:rPr>
              <w:t xml:space="preserve">Only 156 of 386 resected patients (40%), and 156 of 514 evaluated (30%), entered the trial. Patients were randomised in the operating theatre by the team performing the resection, and no allocation concealment mechanism is described; 35 were excluded by surgeon decision and 16 judged not appropriate for the protocol.</w:t>
            </w:r>
          </w:p>
          <w:p>
            <w:pPr>
              <w:pStyle w:val="ListParagraph"/>
              <w:numPr>
                <w:ilvl w:val="0"/>
                <w:numId w:val="2"/>
              </w:numPr>
              <w:spacing w:after="45"/>
            </w:pPr>
            <w:r>
              <w:rPr>
                <w:sz w:val="15"/>
                <w:szCs w:val="15"/>
              </w:rPr>
              <w:t xml:space="preserve">Two different randomised comparisons are pooled. Patients with prior fluorouracil and leucovorin were initially excluded, then admitted under expanded criteria to a different pair of regimens (hepatic arterial infusion plus fluorouracil versus fluorouracil alone), and the results are reported as one trial.</w:t>
            </w:r>
          </w:p>
          <w:p>
            <w:pPr>
              <w:pStyle w:val="ListParagraph"/>
              <w:numPr>
                <w:ilvl w:val="0"/>
                <w:numId w:val="2"/>
              </w:numPr>
              <w:spacing w:after="45"/>
            </w:pPr>
            <w:r>
              <w:rPr>
                <w:sz w:val="15"/>
                <w:szCs w:val="15"/>
              </w:rPr>
              <w:t xml:space="preserve">What was delivered is not what was randomised. Only 26% of combined-therapy patients received more than half the planned floxuridine, 6 of 74 never received any hepatic arterial infusion at all, five died before any chemotherapy, and the systemic component was dosed about 15% lower in that arm. The comparison as executed is reduced systemic therapy plus partial regional therapy against full systemic therapy.</w:t>
            </w:r>
          </w:p>
          <w:p>
            <w:pPr>
              <w:pStyle w:val="ListParagraph"/>
              <w:numPr>
                <w:ilvl w:val="0"/>
                <w:numId w:val="2"/>
              </w:numPr>
              <w:spacing w:after="45"/>
            </w:pPr>
            <w:r>
              <w:rPr>
                <w:sz w:val="15"/>
                <w:szCs w:val="15"/>
              </w:rPr>
              <w:t xml:space="preserve">Device morbidity is substantial and is reported without being weighed against the benefit: 16 pump or catheter complications including 6 pocket infections, 2 early hepatic artery thromboses, a pseudoaneurysm and 3 pumps perfusing extrahepatic territory, with AST tripling in 65%, bilirubin above 3.0 mg/dL in 18%, four biliary stents, and 29 against 18 hospitalisations for toxicity (p=0.02).</w:t>
            </w:r>
          </w:p>
          <w:p>
            <w:pPr>
              <w:pStyle w:val="ListParagraph"/>
              <w:numPr>
                <w:ilvl w:val="0"/>
                <w:numId w:val="2"/>
              </w:numPr>
              <w:spacing w:after="45"/>
            </w:pPr>
            <w:r>
              <w:rPr>
                <w:sz w:val="15"/>
                <w:szCs w:val="15"/>
              </w:rPr>
              <w:t xml:space="preserve">No quality-of-life or patient-reported outcome was measured, in a trial of a surgically implanted pump whose dominant toxicity is biliary and whose benefit is claimed at a two-year landmark.</w:t>
            </w:r>
          </w:p>
          <w:p>
            <w:pPr>
              <w:pStyle w:val="ListParagraph"/>
              <w:numPr>
                <w:ilvl w:val="0"/>
                <w:numId w:val="2"/>
              </w:numPr>
              <w:spacing w:after="45"/>
            </w:pPr>
            <w:r>
              <w:rPr>
                <w:sz w:val="15"/>
                <w:szCs w:val="15"/>
              </w:rPr>
              <w:t xml:space="preserve">Salvage treatment ran against the combined arm and is unaccounted for: 46 against 33 patients received further chemotherapy and 9 against 1 underwent repeat liver resection in the monotherapy group. The analysis makes no allowance for this, in either direction.</w:t>
            </w:r>
          </w:p>
          <w:p>
            <w:pPr>
              <w:pStyle w:val="ListParagraph"/>
              <w:numPr>
                <w:ilvl w:val="0"/>
                <w:numId w:val="2"/>
              </w:numPr>
              <w:spacing w:after="45"/>
            </w:pPr>
            <w:r>
              <w:rPr>
                <w:sz w:val="15"/>
                <w:szCs w:val="15"/>
              </w:rPr>
              <w:t xml:space="preserve">The comparator and the staging are both obsolete: bolus fluorouracil with leucovorin as the only systemic therapy, no oxaliplatin, irinotecan or biological agent, no RAS or BRAF selection, and surveillance by three-monthly CT with no MRI or PET, in a cohort where 27% had four or more metastases.</w:t>
            </w:r>
          </w:p>
          <w:p>
            <w:pPr>
              <w:pStyle w:val="ListParagraph"/>
              <w:numPr>
                <w:ilvl w:val="0"/>
                <w:numId w:val="2"/>
              </w:numPr>
              <w:spacing w:after="45"/>
            </w:pPr>
            <w:r>
              <w:rPr>
                <w:sz w:val="15"/>
                <w:szCs w:val="15"/>
              </w:rPr>
              <w:t xml:space="preserve">This is one centre, one surgical team, and the authors themselves conclude the procedures require highly trained surgeons and medical oncologists - so the trial supports adjuvant hepatic arterial infusion only where such a team exists, a condition that the subsequent literature citing this trial as the basis for the approach generally does not state.</w:t>
            </w:r>
          </w:p>
          <w:p>
            <w:pPr>
              <w:pStyle w:val="ListParagraph"/>
              <w:numPr>
                <w:ilvl w:val="0"/>
                <w:numId w:val="2"/>
              </w:numPr>
              <w:spacing w:after="45"/>
            </w:pPr>
            <w:r>
              <w:rPr>
                <w:sz w:val="15"/>
                <w:szCs w:val="15"/>
              </w:rPr>
              <w:t xml:space="preserve">A linked comment and letter (PMID 11127528, Urbach and Hansen, Langenbecks Arch Surg 2000;385:436-9) was identified in PubMed but neither its text nor its abstract was available here, so no argument from it is reflected in this record.</w:t>
            </w:r>
          </w:p>
        </w:tc>
      </w:tr>
    </w:tbl>
    <w:p>
      <w:pPr>
        <w:spacing w:after="0" w:line="276"/>
      </w:pPr>
      <w:r>
        <w:rPr>
          <w:color w:val="5A6069"/>
          <w:sz w:val="14"/>
          <w:szCs w:val="14"/>
        </w:rPr>
        <w:t xml:space="preserve">Funding: Supported in part by National Cancer Institute grant R01 CA61524 for the study of therapies for hepatic metastases from colorectal cancer. No conflict-of-interest or industry disclosure statement appears; the implantable pump used was a single named commercial device (Infusaid model 400)</w:t>
      </w:r>
    </w:p>
    <w:p>
      <w:pPr>
        <w:keepNext/>
        <w:spacing w:after="50" w:before="260"/>
      </w:pPr>
      <w:r>
        <w:rPr>
          <w:rFonts w:ascii="Cambria" w:cs="Cambria" w:eastAsia="Cambria" w:hAnsi="Cambria"/>
          <w:b/>
          <w:bCs/>
          <w:color w:val="17365D"/>
          <w:sz w:val="20"/>
          <w:szCs w:val="20"/>
        </w:rPr>
        <w:t xml:space="preserve">Kemeny HAI conversion</w:t>
      </w:r>
      <w:r>
        <w:rPr>
          <w:b/>
          <w:bCs/>
          <w:color w:val="176A87"/>
          <w:sz w:val="15"/>
          <w:szCs w:val="15"/>
        </w:rPr>
        <w:t xml:space="preserve">   cohort</w:t>
      </w:r>
      <w:r>
        <w:rPr>
          <w:color w:val="5A6069"/>
          <w:sz w:val="15"/>
          <w:szCs w:val="15"/>
        </w:rPr>
        <w:t xml:space="preserve">   PMID 19470932</w:t>
      </w:r>
    </w:p>
    <w:p>
      <w:pPr>
        <w:spacing w:after="50" w:line="276"/>
      </w:pPr>
      <w:r>
        <w:rPr>
          <w:color w:val="5A6069"/>
          <w:sz w:val="17"/>
          <w:szCs w:val="17"/>
        </w:rPr>
        <w:t xml:space="preserve">Conversion to resectability using hepatic artery infusion plus systemic chemotherapy for the treatment of unresectable liver metastases from colorectal carcinoma</w:t>
      </w:r>
    </w:p>
    <w:p>
      <w:pPr>
        <w:spacing w:after="50"/>
      </w:pPr>
      <w:r>
        <w:rPr>
          <w:b/>
          <w:bCs/>
          <w:color w:val="176A87"/>
          <w:sz w:val="16"/>
          <w:szCs w:val="16"/>
        </w:rPr>
        <w:t xml:space="preserve">Population. </w:t>
      </w:r>
      <w:r>
        <w:rPr>
          <w:sz w:val="16"/>
          <w:szCs w:val="16"/>
        </w:rPr>
        <w:t xml:space="preserve">49 patients with technically unresectable colorectal liver metastases treated at Memorial Sloan-Kettering on two pooled phase I schedules of hepatic arterial floxuridine and dexamethasone plus systemic oxaliplatin and irinotecan; 53% had received prior systemic chemotherapy, 73% had more than five lesions, 98% bilobar disease, 86% involvement of six or more segments and 90% a Fong score of 3 or more. Twenty-two of the 49 were previously reported in the 4-week-schedule phase I paper. Median follow-up 26 months</w:t>
      </w:r>
    </w:p>
    <w:p>
      <w:pPr>
        <w:spacing w:after="70"/>
      </w:pPr>
      <w:r>
        <w:rPr>
          <w:b/>
          <w:bCs/>
          <w:color w:val="17365D"/>
          <w:sz w:val="16"/>
          <w:szCs w:val="16"/>
        </w:rPr>
        <w:t xml:space="preserve">Bottom line. </w:t>
      </w:r>
      <w:r>
        <w:rPr>
          <w:sz w:val="16"/>
          <w:szCs w:val="16"/>
        </w:rPr>
        <w:t xml:space="preserve">Shows that in genuinely extensive, mostly bilobar and half-pretreated unresectable colorectal liver metastases, hepatic arterial floxuridine with full-dose systemic oxaliplatin and irinotecan produces a 92% response rate and takes 47% of patients to an operation, with median survival of 39.8 months from pump placement. It does not show the pump is responsible, and it shows the conversions are fragile: there is no control arm, response was scored by pre-RECIST criteria, only 39% reached R0, half the resected patients needed portal vein embolisation and ten needed intraoperative ablation, and median disease-free survival after R0 resection was 7.6 months. Its own authors conclude that a randomised trial of systemic therapy with or without hepatic arterial infusion is what is needed.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resection rates cannot be compared across trials because criteria for defining unresectable disease, the actual reasons for unresectability and the proportion of previously treated patients all vary</w:t>
            </w:r>
          </w:p>
          <w:p>
            <w:pPr>
              <w:pStyle w:val="ListParagraph"/>
              <w:numPr>
                <w:ilvl w:val="0"/>
                <w:numId w:val="2"/>
              </w:numPr>
              <w:spacing w:after="45"/>
            </w:pPr>
            <w:r>
              <w:rPr>
                <w:sz w:val="15"/>
                <w:szCs w:val="15"/>
              </w:rPr>
              <w:t xml:space="preserve">They conclude that a multi-institutional randomised trial comparing the best systemic chemotherapy with or without hepatic arterial infusion is needed to establish whether the pump increases resectability</w:t>
            </w:r>
          </w:p>
          <w:p>
            <w:pPr>
              <w:pStyle w:val="ListParagraph"/>
              <w:numPr>
                <w:ilvl w:val="0"/>
                <w:numId w:val="2"/>
              </w:numPr>
              <w:spacing w:after="45"/>
            </w:pPr>
            <w:r>
              <w:rPr>
                <w:sz w:val="15"/>
                <w:szCs w:val="15"/>
              </w:rPr>
              <w:t xml:space="preserve">They note that the high response rate may be due to the use of three active agents rather than to regional delivery</w:t>
            </w:r>
          </w:p>
          <w:p>
            <w:pPr>
              <w:pStyle w:val="ListParagraph"/>
              <w:numPr>
                <w:ilvl w:val="0"/>
                <w:numId w:val="2"/>
              </w:numPr>
              <w:spacing w:after="45"/>
            </w:pPr>
            <w:r>
              <w:rPr>
                <w:sz w:val="15"/>
                <w:szCs w:val="15"/>
              </w:rPr>
              <w:t xml:space="preserve">They report that previously treated patients did significantly worse than chemotherapy-naive patients (median survival 35 against 50.8 months, p=0.02)</w:t>
            </w:r>
          </w:p>
          <w:p>
            <w:pPr>
              <w:pStyle w:val="ListParagraph"/>
              <w:numPr>
                <w:ilvl w:val="0"/>
                <w:numId w:val="2"/>
              </w:numPr>
              <w:spacing w:after="45"/>
            </w:pPr>
            <w:r>
              <w:rPr>
                <w:sz w:val="15"/>
                <w:szCs w:val="15"/>
              </w:rPr>
              <w:t xml:space="preserve">They note that male patients had significantly more biliary toxicity in their earlier randomised trial, and that in this study no difference in dose or toxicity explains the sex difference in resection rate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single-arm phase I experience with no comparator, so the 47% conversion rate cannot be apportioned between the pump, full-dose triplet systemic therapy, portal vein embolisation, intraoperative ablation and the surgical aggressiveness of one high-volume unit. The authors say as much in calling for a randomised trial, and the result is nonetheless the foundation of the conversion claim for hepatic arterial infusion.</w:t>
            </w:r>
          </w:p>
          <w:p>
            <w:pPr>
              <w:pStyle w:val="ListParagraph"/>
              <w:numPr>
                <w:ilvl w:val="0"/>
                <w:numId w:val="2"/>
              </w:numPr>
              <w:spacing w:after="45"/>
            </w:pPr>
            <w:r>
              <w:rPr>
                <w:sz w:val="15"/>
                <w:szCs w:val="15"/>
              </w:rPr>
              <w:t xml:space="preserve">Resectability was adjudicated at a multidisciplinary conference by the surgeons who then performed the resections, in a study whose only endpoint is a change in that adjudication. No blinded or external re-review of the baseline imaging is described.</w:t>
            </w:r>
          </w:p>
          <w:p>
            <w:pPr>
              <w:pStyle w:val="ListParagraph"/>
              <w:numPr>
                <w:ilvl w:val="0"/>
                <w:numId w:val="2"/>
              </w:numPr>
              <w:spacing w:after="45"/>
            </w:pPr>
            <w:r>
              <w:rPr>
                <w:sz w:val="15"/>
                <w:szCs w:val="15"/>
              </w:rPr>
              <w:t xml:space="preserve">Conversion is a surrogate that this study shows does not deliver: median disease-free survival after R0 resection was 7.6 months (95% CI 5.2-12.9). Half the resected patients needed portal vein embolisation (12 of 23), ten needed intraoperative ablation and four were planned two-stage procedures, so the operations counted as conversions were mostly incomplete-by-resection-alone clearances followed by early recurrence.</w:t>
            </w:r>
          </w:p>
          <w:p>
            <w:pPr>
              <w:pStyle w:val="ListParagraph"/>
              <w:numPr>
                <w:ilvl w:val="0"/>
                <w:numId w:val="2"/>
              </w:numPr>
              <w:spacing w:after="45"/>
            </w:pPr>
            <w:r>
              <w:rPr>
                <w:sz w:val="15"/>
                <w:szCs w:val="15"/>
              </w:rPr>
              <w:t xml:space="preserve">Only 19 of 49 patients (39%) achieved an R0 resection, and three of those were pathological complete responses - that is, patients in whom no tumour remained to resect. The headline 47% includes R1 and R2 resections.</w:t>
            </w:r>
          </w:p>
          <w:p>
            <w:pPr>
              <w:pStyle w:val="ListParagraph"/>
              <w:numPr>
                <w:ilvl w:val="0"/>
                <w:numId w:val="2"/>
              </w:numPr>
              <w:spacing w:after="45"/>
            </w:pPr>
            <w:r>
              <w:rPr>
                <w:sz w:val="15"/>
                <w:szCs w:val="15"/>
              </w:rPr>
              <w:t xml:space="preserve">Response was scored by WHO-type criteria (50% reduction in the sum of products of diameters) rather than RECIST, which inflates the 92% response rate relative to any modern trial and makes the comparison with systemic-therapy series the paper draws inadmissible.</w:t>
            </w:r>
          </w:p>
          <w:p>
            <w:pPr>
              <w:pStyle w:val="ListParagraph"/>
              <w:numPr>
                <w:ilvl w:val="0"/>
                <w:numId w:val="2"/>
              </w:numPr>
              <w:spacing w:after="45"/>
            </w:pPr>
            <w:r>
              <w:rPr>
                <w:sz w:val="15"/>
                <w:szCs w:val="15"/>
              </w:rPr>
              <w:t xml:space="preserve">The female-sex finding (81% against 30% resected, p=0.002) emerged from a univariate scan of baseline variables in 49 patients with no multiplicity correction, is unexplained by dose or toxicity in this study, and is supported only by a consistent subgroup in the same group's earlier randomised trial - which was itself one of roughly forty unadjusted comparisons.</w:t>
            </w:r>
          </w:p>
          <w:p>
            <w:pPr>
              <w:pStyle w:val="ListParagraph"/>
              <w:numPr>
                <w:ilvl w:val="0"/>
                <w:numId w:val="2"/>
              </w:numPr>
              <w:spacing w:after="45"/>
            </w:pPr>
            <w:r>
              <w:rPr>
                <w:sz w:val="15"/>
                <w:szCs w:val="15"/>
              </w:rPr>
              <w:t xml:space="preserve">Two phase I schedules with different cycle lengths are pooled, and 22 of the 49 patients had already been published, so this is a partially overlapping update rather than an independent cohort - a point the paper does not make in its abstract.</w:t>
            </w:r>
          </w:p>
          <w:p>
            <w:pPr>
              <w:pStyle w:val="ListParagraph"/>
              <w:numPr>
                <w:ilvl w:val="0"/>
                <w:numId w:val="2"/>
              </w:numPr>
              <w:spacing w:after="45"/>
            </w:pPr>
            <w:r>
              <w:rPr>
                <w:sz w:val="15"/>
                <w:szCs w:val="15"/>
              </w:rPr>
              <w:t xml:space="preserve">The denominator excludes failures of the technique: seven of 55 candidates never reached protocol therapy because of hepatic artery stenosis, extrahepatic perfusion on the macroaggregated albumin scan or complications of the primary resection, so the pump's own failure rate is outside the reported conversion rate.</w:t>
            </w:r>
          </w:p>
          <w:p>
            <w:pPr>
              <w:pStyle w:val="ListParagraph"/>
              <w:numPr>
                <w:ilvl w:val="0"/>
                <w:numId w:val="2"/>
              </w:numPr>
              <w:spacing w:after="45"/>
            </w:pPr>
            <w:r>
              <w:rPr>
                <w:sz w:val="15"/>
                <w:szCs w:val="15"/>
              </w:rPr>
              <w:t xml:space="preserve">Hepatobiliary toxicity is reported only for the first two cycles of one schedule (alkaline phosphatase grade 3-4 in 15% and 11%, AST 19%, bilirubin 4%, diarrhoea 33%), with three later biliary stents attributed to progression rather than to therapy, so the cumulative biliary cost of the regimen is not quantified.</w:t>
            </w:r>
          </w:p>
          <w:p>
            <w:pPr>
              <w:pStyle w:val="ListParagraph"/>
              <w:numPr>
                <w:ilvl w:val="0"/>
                <w:numId w:val="2"/>
              </w:numPr>
              <w:spacing w:after="45"/>
            </w:pPr>
            <w:r>
              <w:rPr>
                <w:sz w:val="15"/>
                <w:szCs w:val="15"/>
              </w:rPr>
              <w:t xml:space="preserve">Resected livers showed mild to moderate steatosis in 67%, reported without any analysis of its relation to the two postoperative complications or to remnant function after embolisation.</w:t>
            </w:r>
          </w:p>
          <w:p>
            <w:pPr>
              <w:pStyle w:val="ListParagraph"/>
              <w:numPr>
                <w:ilvl w:val="0"/>
                <w:numId w:val="2"/>
              </w:numPr>
              <w:spacing w:after="45"/>
            </w:pPr>
            <w:r>
              <w:rPr>
                <w:sz w:val="15"/>
                <w:szCs w:val="15"/>
              </w:rPr>
              <w:t xml:space="preserve">Survival is measured from pump placement, which conditions on having had a pump successfully implanted and perfusing, and all survival figures are reported with a median follow-up of 26 months against medians of 35 to 51 months.</w:t>
            </w:r>
          </w:p>
          <w:p>
            <w:pPr>
              <w:pStyle w:val="ListParagraph"/>
              <w:numPr>
                <w:ilvl w:val="0"/>
                <w:numId w:val="2"/>
              </w:numPr>
              <w:spacing w:after="45"/>
            </w:pPr>
            <w:r>
              <w:rPr>
                <w:sz w:val="15"/>
                <w:szCs w:val="15"/>
              </w:rPr>
              <w:t xml:space="preserve">The regimen is not transferable as described: floxuridine and the implantable pump are unavailable in much of Europe, and the protocol requires a dedicated interventional and hepatobiliary service, with no centre-level or learning-curve data offered.</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No funding statement appears; financial support is attributed to the senior author. Four authors declare honoraria from sanofi-aventis, one of them also from Pfizer, and the same author declares research funding from Pfizer and sanofi-aventis</w:t>
      </w:r>
    </w:p>
    <w:p>
      <w:pPr>
        <w:keepNext/>
        <w:spacing w:after="50" w:before="260"/>
      </w:pPr>
      <w:r>
        <w:rPr>
          <w:rFonts w:ascii="Cambria" w:cs="Cambria" w:eastAsia="Cambria" w:hAnsi="Cambria"/>
          <w:b/>
          <w:bCs/>
          <w:color w:val="17365D"/>
          <w:sz w:val="20"/>
          <w:szCs w:val="20"/>
        </w:rPr>
        <w:t xml:space="preserve">KEYNOTE-177</w:t>
      </w:r>
      <w:r>
        <w:rPr>
          <w:b/>
          <w:bCs/>
          <w:color w:val="176A87"/>
          <w:sz w:val="15"/>
          <w:szCs w:val="15"/>
        </w:rPr>
        <w:t xml:space="preserve">   Randomised trial</w:t>
      </w:r>
      <w:r>
        <w:rPr>
          <w:color w:val="5A6069"/>
          <w:sz w:val="15"/>
          <w:szCs w:val="15"/>
        </w:rPr>
        <w:t xml:space="preserve">   PMID 33264544</w:t>
      </w:r>
    </w:p>
    <w:p>
      <w:pPr>
        <w:spacing w:after="50" w:line="276"/>
      </w:pPr>
      <w:r>
        <w:rPr>
          <w:color w:val="5A6069"/>
          <w:sz w:val="17"/>
          <w:szCs w:val="17"/>
        </w:rPr>
        <w:t xml:space="preserve">Pembrolizumab in Microsatellite-Instability-High Advanced Colorectal Cancer</w:t>
      </w:r>
    </w:p>
    <w:p>
      <w:pPr>
        <w:spacing w:after="50"/>
      </w:pPr>
      <w:r>
        <w:rPr>
          <w:b/>
          <w:bCs/>
          <w:color w:val="176A87"/>
          <w:sz w:val="16"/>
          <w:szCs w:val="16"/>
        </w:rPr>
        <w:t xml:space="preserve">Population. </w:t>
      </w:r>
      <w:r>
        <w:rPr>
          <w:sz w:val="16"/>
          <w:szCs w:val="16"/>
        </w:rPr>
        <w:t xml:space="preserve">307 previously untreated patients with MSI-high or mismatch repair-deficient stage IV colorectal cancer randomised 1:1 at 192 sites in 23 countries (153 pembrolizumab, 154 investigator's choice chemotherapy); 68% right-sided and 30% left-sided primaries, safety assessed in 153 and 143 treated patients. Second interim analysis at a median follow-up of 32.4 months, with 125 of the 190 deaths required for the final survival analysis and 56 of 154 chemotherapy patients (36%) crossed over on study</w:t>
      </w:r>
    </w:p>
    <w:p>
      <w:pPr>
        <w:spacing w:after="70"/>
      </w:pPr>
      <w:r>
        <w:rPr>
          <w:b/>
          <w:bCs/>
          <w:color w:val="17365D"/>
          <w:sz w:val="16"/>
          <w:szCs w:val="16"/>
        </w:rPr>
        <w:t xml:space="preserve">Bottom line. </w:t>
      </w:r>
      <w:r>
        <w:rPr>
          <w:sz w:val="16"/>
          <w:szCs w:val="16"/>
        </w:rPr>
        <w:t xml:space="preserve">Establishes pembrolizumab as a first-line option in MSI-high or mismatch repair-deficient metastatic colorectal cancer: median progression-free survival 16.5 against 8.2 months, with responses lasting far longer (82.6% against 35.3% ongoing at two years) and a third of the grade 3 or higher treatment-related toxicity. It does not establish survival benefit - that endpoint was still masked at 125 of 190 deaths, and 59% of the chemotherapy arm went on to a checkpoint inhibitor anyway - and it does not establish benefit for everyone: 29.4% progressed as their best response, the curves cross early, proportional hazards failed, and no marker identifies the patients who should have had chemotherapy. For liver metastases it speaks only to sequencing: 9% of patients had curative-intent surgery and they were censored at the operation.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Overall survival is not reported: the independent data monitoring committee recommended continued masking until 190 deaths or 12 months after this analysis, and the authors state crossover will be a factor in assessing it</w:t>
            </w:r>
          </w:p>
          <w:p>
            <w:pPr>
              <w:pStyle w:val="ListParagraph"/>
              <w:numPr>
                <w:ilvl w:val="0"/>
                <w:numId w:val="2"/>
              </w:numPr>
              <w:spacing w:after="45"/>
            </w:pPr>
            <w:r>
              <w:rPr>
                <w:sz w:val="15"/>
                <w:szCs w:val="15"/>
              </w:rPr>
              <w:t xml:space="preserve">The authors state that interpretation of the RAS-mutant subgroup, which showed no progression-free survival benefit, is limited by small numbers and a high proportion of missing mutation status</w:t>
            </w:r>
          </w:p>
          <w:p>
            <w:pPr>
              <w:pStyle w:val="ListParagraph"/>
              <w:numPr>
                <w:ilvl w:val="0"/>
                <w:numId w:val="2"/>
              </w:numPr>
              <w:spacing w:after="45"/>
            </w:pPr>
            <w:r>
              <w:rPr>
                <w:sz w:val="15"/>
                <w:szCs w:val="15"/>
              </w:rPr>
              <w:t xml:space="preserve">They state that no proposed marker of early progression on PD-1 blockade - low tumour mutation burden, JAK mutations, beta-2-microglobulin loss, misdiagnosed MSI-high status, pseudoprogression - is conclusive, so the patients who progress cannot be identified in advance</w:t>
            </w:r>
          </w:p>
          <w:p>
            <w:pPr>
              <w:pStyle w:val="ListParagraph"/>
              <w:numPr>
                <w:ilvl w:val="0"/>
                <w:numId w:val="2"/>
              </w:numPr>
              <w:spacing w:after="45"/>
            </w:pPr>
            <w:r>
              <w:rPr>
                <w:sz w:val="15"/>
                <w:szCs w:val="15"/>
              </w:rPr>
              <w:t xml:space="preserve">The influence of hereditary versus sporadic mismatch repair deficiency could not be determined because consent for germline testing was not obtained</w:t>
            </w:r>
          </w:p>
          <w:p>
            <w:pPr>
              <w:pStyle w:val="ListParagraph"/>
              <w:numPr>
                <w:ilvl w:val="0"/>
                <w:numId w:val="2"/>
              </w:numPr>
              <w:spacing w:after="45"/>
            </w:pPr>
            <w:r>
              <w:rPr>
                <w:sz w:val="15"/>
                <w:szCs w:val="15"/>
              </w:rPr>
              <w:t xml:space="preserve">They note the proportional-hazards assumption was violated for progression-free survival, and report restricted mean survival time alongside the hazard ratio</w:t>
            </w:r>
          </w:p>
          <w:p>
            <w:pPr>
              <w:pStyle w:val="ListParagraph"/>
              <w:numPr>
                <w:ilvl w:val="0"/>
                <w:numId w:val="2"/>
              </w:numPr>
              <w:spacing w:after="45"/>
            </w:pPr>
            <w:r>
              <w:rPr>
                <w:sz w:val="15"/>
                <w:szCs w:val="15"/>
              </w:rPr>
              <w:t xml:space="preserve">The trial was considered successful if pembrolizumab was superior on either primary endpoint, so this report's positive progression-free survival result satisfies the design on its own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conclusion rests on a single surrogate endpoint. Survival was deliberately masked at 125 of 190 required deaths, and the effective crossover rate to anti-PD-1 or anti-PD-L1 therapy was 59% of the chemotherapy arm - 36% on study plus 35 more patients off study - which means the eventual survival comparison will be between pembrolizumab first and pembrolizumab later, not between pembrolizumab and chemotherapy.</w:t>
            </w:r>
          </w:p>
          <w:p>
            <w:pPr>
              <w:pStyle w:val="ListParagraph"/>
              <w:numPr>
                <w:ilvl w:val="0"/>
                <w:numId w:val="2"/>
              </w:numPr>
              <w:spacing w:after="45"/>
            </w:pPr>
            <w:r>
              <w:rPr>
                <w:sz w:val="15"/>
                <w:szCs w:val="15"/>
              </w:rPr>
              <w:t xml:space="preserve">The hazard ratio of 0.60 is reported as the headline despite the paper stating that proportional hazards were violated. The analysis appropriate to crossing curves gives a far smaller effect: restricted mean progression-free survival at 24 months of 13.7 months against 10.8, a difference of 2.9 months.</w:t>
            </w:r>
          </w:p>
          <w:p>
            <w:pPr>
              <w:pStyle w:val="ListParagraph"/>
              <w:numPr>
                <w:ilvl w:val="0"/>
                <w:numId w:val="2"/>
              </w:numPr>
              <w:spacing w:after="45"/>
            </w:pPr>
            <w:r>
              <w:rPr>
                <w:sz w:val="15"/>
                <w:szCs w:val="15"/>
              </w:rPr>
              <w:t xml:space="preserve">Nearly a third of pembrolizumab patients (29.4%) had progressive disease as their best response against 12.3% on chemotherapy, so the early period in which the curves cross represents patients actively harmed by withholding chemotherapy - and the paper concedes no validated marker identifies them.</w:t>
            </w:r>
          </w:p>
          <w:p>
            <w:pPr>
              <w:pStyle w:val="ListParagraph"/>
              <w:numPr>
                <w:ilvl w:val="0"/>
                <w:numId w:val="2"/>
              </w:numPr>
              <w:spacing w:after="45"/>
            </w:pPr>
            <w:r>
              <w:rPr>
                <w:sz w:val="15"/>
                <w:szCs w:val="15"/>
              </w:rPr>
              <w:t xml:space="preserve">Response rate, the endpoint a surgeon would use to judge conversion potential, favoured pembrolizumab only modestly (43.8% against 33.1%), and the real difference is durability (82.6% against 35.3% of responses ongoing at 24 months) - a distinction that matters for sequencing but not for shrinking a liver before an operation.</w:t>
            </w:r>
          </w:p>
          <w:p>
            <w:pPr>
              <w:pStyle w:val="ListParagraph"/>
              <w:numPr>
                <w:ilvl w:val="0"/>
                <w:numId w:val="2"/>
              </w:numPr>
              <w:spacing w:after="45"/>
            </w:pPr>
            <w:r>
              <w:rPr>
                <w:sz w:val="15"/>
                <w:szCs w:val="15"/>
              </w:rPr>
              <w:t xml:space="preserve">The subgroup result that most affects practice is unreliable by the authors' own account: RAS, BRAF and NRAS status could not be evaluated in a quarter to a third of patients, so the apparent absence of benefit in RAS-mutant tumours (HR 1.19, 95% CI 0.68-2.07) rests on an incomplete and underpowered subgroup, and is nonetheless the kind of result that gets used to withhold treatment.</w:t>
            </w:r>
          </w:p>
          <w:p>
            <w:pPr>
              <w:pStyle w:val="ListParagraph"/>
              <w:numPr>
                <w:ilvl w:val="0"/>
                <w:numId w:val="2"/>
              </w:numPr>
              <w:spacing w:after="45"/>
            </w:pPr>
            <w:r>
              <w:rPr>
                <w:sz w:val="15"/>
                <w:szCs w:val="15"/>
              </w:rPr>
              <w:t xml:space="preserve">The comparator was investigator's choice of mFOLFOX6 or FOLFIRI with or without bevacizumab or cetuximab, so the control arm is a mixture of regimens chosen after randomisation was known, in an open-label trial.</w:t>
            </w:r>
          </w:p>
          <w:p>
            <w:pPr>
              <w:pStyle w:val="ListParagraph"/>
              <w:numPr>
                <w:ilvl w:val="0"/>
                <w:numId w:val="2"/>
              </w:numPr>
              <w:spacing w:after="45"/>
            </w:pPr>
            <w:r>
              <w:rPr>
                <w:sz w:val="15"/>
                <w:szCs w:val="15"/>
              </w:rPr>
              <w:t xml:space="preserve">Eleven randomised patients never started the assigned treatment and the safety populations are 153 and 143 against 153 and 154 randomised, so harms are counted in different denominators from efficacy.</w:t>
            </w:r>
          </w:p>
          <w:p>
            <w:pPr>
              <w:pStyle w:val="ListParagraph"/>
              <w:numPr>
                <w:ilvl w:val="0"/>
                <w:numId w:val="2"/>
              </w:numPr>
              <w:spacing w:after="45"/>
            </w:pPr>
            <w:r>
              <w:rPr>
                <w:sz w:val="15"/>
                <w:szCs w:val="15"/>
              </w:rPr>
              <w:t xml:space="preserve">The paper's own framing of the trial's success criterion - superiority on either primary endpoint - means that reporting progression-free survival while masking survival allows the trial to be declared positive before the endpoint that matters is known. The 2020 publication was followed by a separate final survival analysis not contained here.</w:t>
            </w:r>
          </w:p>
          <w:p>
            <w:pPr>
              <w:pStyle w:val="ListParagraph"/>
              <w:numPr>
                <w:ilvl w:val="0"/>
                <w:numId w:val="2"/>
              </w:numPr>
              <w:spacing w:after="45"/>
            </w:pPr>
            <w:r>
              <w:rPr>
                <w:sz w:val="15"/>
                <w:szCs w:val="15"/>
              </w:rPr>
              <w:t xml:space="preserve">The trial was designed with sponsor employees, three of whom are authors, and the first draft was written with a sponsor-employed medical writer, in a trial establishing first-line use of that sponsor's drug.</w:t>
            </w:r>
          </w:p>
          <w:p>
            <w:pPr>
              <w:pStyle w:val="ListParagraph"/>
              <w:numPr>
                <w:ilvl w:val="0"/>
                <w:numId w:val="2"/>
              </w:numPr>
              <w:spacing w:after="45"/>
            </w:pPr>
            <w:r>
              <w:rPr>
                <w:sz w:val="15"/>
                <w:szCs w:val="15"/>
              </w:rPr>
              <w:t xml:space="preserve">Adverse events of interest were specified by the sponsor regardless of investigator attribution, which shapes the immune-mediated event tally (31% against 13%, grade 3-4 9% against 2%) that is the counterweight to the chemotherapy arm's 66% grade 3 or higher treatment-related toxicity.</w:t>
            </w:r>
          </w:p>
          <w:p>
            <w:pPr>
              <w:pStyle w:val="ListParagraph"/>
              <w:numPr>
                <w:ilvl w:val="0"/>
                <w:numId w:val="2"/>
              </w:numPr>
              <w:spacing w:after="45"/>
            </w:pPr>
            <w:r>
              <w:rPr>
                <w:sz w:val="15"/>
                <w:szCs w:val="15"/>
              </w:rPr>
              <w:t xml:space="preserve">For a liver-metastasis pathway the trial is nearly silent: curative-intent surgery was performed in 14 pembrolizumab and 13 chemotherapy patients (9% and 8%), these patients were censored at the date of surgery in the progression-free survival analysis, and no resection, margin, pathological response or post-resection outcome is reported. The paper's relevance is that MSI-high status changes the systemic plan before any liver-directed decision - and that it is the basis on which transplant consensus documents exclude these patients, a use the trial itself does not support.</w:t>
            </w:r>
          </w:p>
          <w:p>
            <w:pPr>
              <w:pStyle w:val="ListParagraph"/>
              <w:numPr>
                <w:ilvl w:val="0"/>
                <w:numId w:val="2"/>
              </w:numPr>
              <w:spacing w:after="45"/>
            </w:pPr>
            <w:r>
              <w:rPr>
                <w:sz w:val="15"/>
                <w:szCs w:val="15"/>
              </w:rPr>
              <w:t xml:space="preserve">A linked editorial (PMID 33264550, Grothey, N Engl J Med 2020;383:2283-5) and two letters (PMID 33704946, Battistuzzi and colleagues; PMID 33704947, Sorscher) were identified in PubMed but their texts were not read for this record, so no argument is attributed to them.</w:t>
            </w:r>
          </w:p>
        </w:tc>
      </w:tr>
    </w:tbl>
    <w:p>
      <w:pPr>
        <w:spacing w:after="0" w:line="276"/>
      </w:pPr>
      <w:r>
        <w:rPr>
          <w:color w:val="5A6069"/>
          <w:sz w:val="14"/>
          <w:szCs w:val="14"/>
        </w:rPr>
        <w:t xml:space="preserve">Funding: Merck Sharp and Dohme, which makes pembrolizumab, and a Stand Up to Cancer Colorectal Cancer Dream Team Translational Research Grant. The trial was designed by academic investigators together with sponsor employees, three of whom are co-authors, and the first draft was written with assistance from a medical writer employed by the sponsor. Nearly every academic author declares grants, advisory, consulting or lecture fees from the sponsor or its competitors</w:t>
      </w:r>
    </w:p>
    <w:p>
      <w:pPr>
        <w:keepNext/>
        <w:spacing w:after="50" w:before="260"/>
      </w:pPr>
      <w:r>
        <w:rPr>
          <w:rFonts w:ascii="Cambria" w:cs="Cambria" w:eastAsia="Cambria" w:hAnsi="Cambria"/>
          <w:b/>
          <w:bCs/>
          <w:color w:val="17365D"/>
          <w:sz w:val="20"/>
          <w:szCs w:val="20"/>
        </w:rPr>
        <w:t xml:space="preserve">LIGRO</w:t>
      </w:r>
      <w:r>
        <w:rPr>
          <w:b/>
          <w:bCs/>
          <w:color w:val="176A87"/>
          <w:sz w:val="15"/>
          <w:szCs w:val="15"/>
        </w:rPr>
        <w:t xml:space="preserve">   Randomised trial</w:t>
      </w:r>
      <w:r>
        <w:rPr>
          <w:color w:val="5A6069"/>
          <w:sz w:val="15"/>
          <w:szCs w:val="15"/>
        </w:rPr>
        <w:t xml:space="preserve">   PMID 28902669</w:t>
      </w:r>
    </w:p>
    <w:p>
      <w:pPr>
        <w:spacing w:after="50" w:line="276"/>
      </w:pPr>
      <w:r>
        <w:rPr>
          <w:color w:val="5A6069"/>
          <w:sz w:val="17"/>
          <w:szCs w:val="17"/>
        </w:rPr>
        <w:t xml:space="preserve">ALPPS Improves Resectability Compared With Conventional Two-stage Hepatectomy in Patients With Advanced Colorectal Liver Metastasis: Results From a Scandinavian Multicenter Randomized Controlled Trial (LIGRO Trial)</w:t>
      </w:r>
    </w:p>
    <w:p>
      <w:pPr>
        <w:spacing w:after="50"/>
      </w:pPr>
      <w:r>
        <w:rPr>
          <w:b/>
          <w:bCs/>
          <w:color w:val="176A87"/>
          <w:sz w:val="16"/>
          <w:szCs w:val="16"/>
        </w:rPr>
        <w:t xml:space="preserve">Population. </w:t>
      </w:r>
      <w:r>
        <w:rPr>
          <w:sz w:val="16"/>
          <w:szCs w:val="16"/>
        </w:rPr>
        <w:t xml:space="preserve">97 patients analysed of 100 randomised (48 ALPPS, 49 two-stage hepatectomy) from 117 assessed at six Scandinavian university hospitals between June 2014 and August 2016; 68 men and 29 women, mean age 65 (SD 10), baseline standardised future liver remnant 21-22%, median 8 liver metastases at surgery, 16 with extrahepatic disease, and a primary tumour still in situ permitted</w:t>
      </w:r>
    </w:p>
    <w:p>
      <w:pPr>
        <w:spacing w:after="70"/>
      </w:pPr>
      <w:r>
        <w:rPr>
          <w:b/>
          <w:bCs/>
          <w:color w:val="17365D"/>
          <w:sz w:val="16"/>
          <w:szCs w:val="16"/>
        </w:rPr>
        <w:t xml:space="preserve">Bottom line. </w:t>
      </w:r>
      <w:r>
        <w:rPr>
          <w:sz w:val="16"/>
          <w:szCs w:val="16"/>
        </w:rPr>
        <w:t xml:space="preserve">Establishes that when the standardised future liver remnant is under 30% after chemotherapy, ALPPS completes the resection in 92% of patients against 57% with portal occlusion and two-stage hepatectomy, with faster and larger hypertrophy and a two-week rather than six-week interval, at a cost of 43% severe complications and 8.3% 90-day mortality. It does not establish that ALPPS is the better strategy: the trial's own rescue data put embolisation-first-with-ALPPS-salvage at 82% against 92%, a non-significant difference, and the morbidity and margin comparisons are made only among patients who reached resection, so the arm that resected fewer patients is judged on its successes alone. No survival endpoint is reported in this paper, and all seven deaths involved postoperative liver failure.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Resectability was assessed at each centre by local multidisciplinary boards and the results may differ between centres</w:t>
            </w:r>
          </w:p>
          <w:p>
            <w:pPr>
              <w:pStyle w:val="ListParagraph"/>
              <w:numPr>
                <w:ilvl w:val="0"/>
                <w:numId w:val="2"/>
              </w:numPr>
              <w:spacing w:after="45"/>
            </w:pPr>
            <w:r>
              <w:rPr>
                <w:sz w:val="15"/>
                <w:szCs w:val="15"/>
              </w:rPr>
              <w:t xml:space="preserve">Volumetric methods were those routinely used at each centre and were not standardised; the authors argue serial measurements within each patient make the comparison reliable</w:t>
            </w:r>
          </w:p>
          <w:p>
            <w:pPr>
              <w:pStyle w:val="ListParagraph"/>
              <w:numPr>
                <w:ilvl w:val="0"/>
                <w:numId w:val="2"/>
              </w:numPr>
              <w:spacing w:after="45"/>
            </w:pPr>
            <w:r>
              <w:rPr>
                <w:sz w:val="15"/>
                <w:szCs w:val="15"/>
              </w:rPr>
              <w:t xml:space="preserve">The method of portal embolisation differed between centres, although the authors report that success and growth rates did not</w:t>
            </w:r>
          </w:p>
          <w:p>
            <w:pPr>
              <w:pStyle w:val="ListParagraph"/>
              <w:numPr>
                <w:ilvl w:val="0"/>
                <w:numId w:val="2"/>
              </w:numPr>
              <w:spacing w:after="45"/>
            </w:pPr>
            <w:r>
              <w:rPr>
                <w:sz w:val="15"/>
                <w:szCs w:val="15"/>
              </w:rPr>
              <w:t xml:space="preserve">The trial was not blinded and patients were informed of the operation they had been randomised to</w:t>
            </w:r>
          </w:p>
          <w:p>
            <w:pPr>
              <w:pStyle w:val="ListParagraph"/>
              <w:numPr>
                <w:ilvl w:val="0"/>
                <w:numId w:val="2"/>
              </w:numPr>
              <w:spacing w:after="45"/>
            </w:pPr>
            <w:r>
              <w:rPr>
                <w:sz w:val="15"/>
                <w:szCs w:val="15"/>
              </w:rPr>
              <w:t xml:space="preserve">The two-stage resection rate of 57% was lower than the 60-75% previously reported, which the authors attribute to including patients with very small remnants, the requirement of a kinetic growth rate above 2% per week, and the 30% remnant threshold; a 25% cut-off would have added one more two-stage success</w:t>
            </w:r>
          </w:p>
          <w:p>
            <w:pPr>
              <w:pStyle w:val="ListParagraph"/>
              <w:numPr>
                <w:ilvl w:val="0"/>
                <w:numId w:val="2"/>
              </w:numPr>
              <w:spacing w:after="45"/>
            </w:pPr>
            <w:r>
              <w:rPr>
                <w:sz w:val="15"/>
                <w:szCs w:val="15"/>
              </w:rPr>
              <w:t xml:space="preserve">Perioperative mortality remained high in both arms, which the authors say indicates that less invasive alternatives - laparoscopic ALPPS, microwave ablation along the division line, or partial ALPPS - may be considered</w:t>
            </w:r>
          </w:p>
          <w:p>
            <w:pPr>
              <w:pStyle w:val="ListParagraph"/>
              <w:numPr>
                <w:ilvl w:val="0"/>
                <w:numId w:val="2"/>
              </w:numPr>
              <w:spacing w:after="45"/>
            </w:pPr>
            <w:r>
              <w:rPr>
                <w:sz w:val="15"/>
                <w:szCs w:val="15"/>
              </w:rPr>
              <w:t xml:space="preserve">Long-term outcomes remain to be elucidated, so the authors state the oncological role of ALPPS remains uncertain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defined so that the headline gap cannot survive real practice. By protocol, two-stage patients who crossed over to rescue ALPPS were counted as treatment-arm failures, so 92% against 57% describes a strategy in which a patient whose liver fails to grow after embolisation is simply abandoned. The paper's own figure for the strategy a surgeon would actually use - embolisation first, ALPPS as salvage - is 82% against 92% and is not significant, and it appears only in the Crossover paragraph.</w:t>
            </w:r>
          </w:p>
          <w:p>
            <w:pPr>
              <w:pStyle w:val="ListParagraph"/>
              <w:numPr>
                <w:ilvl w:val="0"/>
                <w:numId w:val="2"/>
              </w:numPr>
              <w:spacing w:after="45"/>
            </w:pPr>
            <w:r>
              <w:rPr>
                <w:sz w:val="15"/>
                <w:szCs w:val="15"/>
              </w:rPr>
              <w:t xml:space="preserve">Complications, mortality and margin status are all analysed per protocol among resected patients only (44 versus 28), so the arm that resected fewer patients is credited with the complications of its successes alone. The 21 two-stage patients who never reached resection contribute no morbidity to the comparison, and the 12 who then underwent rescue ALPPS contribute to neither arm. 'Severe complications identical at 43%' is a comparison of unlike denominators.</w:t>
            </w:r>
          </w:p>
          <w:p>
            <w:pPr>
              <w:pStyle w:val="ListParagraph"/>
              <w:numPr>
                <w:ilvl w:val="0"/>
                <w:numId w:val="2"/>
              </w:numPr>
              <w:spacing w:after="45"/>
            </w:pPr>
            <w:r>
              <w:rPr>
                <w:sz w:val="15"/>
                <w:szCs w:val="15"/>
              </w:rPr>
              <w:t xml:space="preserve">Every secondary endpoint is badly underpowered and reported as if negative. The sample was sized only to detect a 25-point difference in resection rate; the 90-day mortality odds ratio of 1.39 has a 95% CI of 0.3 to 6.6 and the margin odds ratio of 2.55 a CI of 0.9 to 7.1. The conclusion that ALPPS carries no higher mortality and no worse margins rests on intervals that exclude almost nothing.</w:t>
            </w:r>
          </w:p>
          <w:p>
            <w:pPr>
              <w:pStyle w:val="ListParagraph"/>
              <w:numPr>
                <w:ilvl w:val="0"/>
                <w:numId w:val="2"/>
              </w:numPr>
              <w:spacing w:after="45"/>
            </w:pPr>
            <w:r>
              <w:rPr>
                <w:sz w:val="15"/>
                <w:szCs w:val="15"/>
              </w:rPr>
              <w:t xml:space="preserve">Allocation was by sealed opaque envelopes distributed to the centres in numbered order and drawn locally, in an unblinded trial of two operations. Concealment therefore depended on envelope integrity at the site, and the surgeon who decided whether a patient had reached the 30% threshold, whether growth was adequate, and whether treatment had failed, knew the allocation throughout. No central adjudication of resectability, growth or treatment failure is described.</w:t>
            </w:r>
          </w:p>
          <w:p>
            <w:pPr>
              <w:pStyle w:val="ListParagraph"/>
              <w:numPr>
                <w:ilvl w:val="0"/>
                <w:numId w:val="2"/>
              </w:numPr>
              <w:spacing w:after="45"/>
            </w:pPr>
            <w:r>
              <w:rPr>
                <w:sz w:val="15"/>
                <w:szCs w:val="15"/>
              </w:rPr>
              <w:t xml:space="preserve">The control intervention was not one intervention. Portal ligation was used in 14 patients and embolisation in 35, the embolic agent differing by centre (histoacryl-lipiodol with particles in 28, embospheres in 7), with segment 4 branches embolised on demand. The claim that technique did not matter rests on a 14-versus-35 subgroup comparison with p values of 0.42 and 0.36 - an equivalence claim from an underpowered test.</w:t>
            </w:r>
          </w:p>
          <w:p>
            <w:pPr>
              <w:pStyle w:val="ListParagraph"/>
              <w:numPr>
                <w:ilvl w:val="0"/>
                <w:numId w:val="2"/>
              </w:numPr>
              <w:spacing w:after="45"/>
            </w:pPr>
            <w:r>
              <w:rPr>
                <w:sz w:val="15"/>
                <w:szCs w:val="15"/>
              </w:rPr>
              <w:t xml:space="preserve">The threshold explanation for the two-stage arm's underperformance does not add up: lowering the cut-off from 30% to 25% would have converted one patient of 49, roughly 2 percentage points of a 35-point gap. The rest comes from the kinetic growth requirement and from baseline remnants of 21-22%, which is to say from how the entry criteria were set.</w:t>
            </w:r>
          </w:p>
          <w:p>
            <w:pPr>
              <w:pStyle w:val="ListParagraph"/>
              <w:numPr>
                <w:ilvl w:val="0"/>
                <w:numId w:val="2"/>
              </w:numPr>
              <w:spacing w:after="45"/>
            </w:pPr>
            <w:r>
              <w:rPr>
                <w:sz w:val="15"/>
                <w:szCs w:val="15"/>
              </w:rPr>
              <w:t xml:space="preserve">The experimental operation was new to the participating units: the paper states that no patient with colorectal liver metastases and a remnant below 30% had ALPPS outside the trial at any participating centre during the study period. No learning-curve analysis, no centre-level outcome breakdown and no operator volume data are reported, in a trial of a technically demanding procedure with 8.3% mortality.</w:t>
            </w:r>
          </w:p>
          <w:p>
            <w:pPr>
              <w:pStyle w:val="ListParagraph"/>
              <w:numPr>
                <w:ilvl w:val="0"/>
                <w:numId w:val="2"/>
              </w:numPr>
              <w:spacing w:after="45"/>
            </w:pPr>
            <w:r>
              <w:rPr>
                <w:sz w:val="15"/>
                <w:szCs w:val="15"/>
              </w:rPr>
              <w:t xml:space="preserve">Blood samples were collected before both interventions for basic values and no liver function endpoint is reported anywhere, although whether rapid volume gain after ALPPS is matched by function is the central safety question. The only functional data in the paper are MELD scores in the table of deaths, and all seven deaths in the trial involved postoperative liver failure.</w:t>
            </w:r>
          </w:p>
          <w:p>
            <w:pPr>
              <w:pStyle w:val="ListParagraph"/>
              <w:numPr>
                <w:ilvl w:val="0"/>
                <w:numId w:val="2"/>
              </w:numPr>
              <w:spacing w:after="45"/>
            </w:pPr>
            <w:r>
              <w:rPr>
                <w:sz w:val="15"/>
                <w:szCs w:val="15"/>
              </w:rPr>
              <w:t xml:space="preserve">Patients could enter with extrahepatic metastases or an unresected primary tumour provided these could be addressed later, and 16 had extrahepatic disease, but neither was a stratification factor and the paper never reports how many patients completed the whole oncological plan. Resection rate in the liver is treated as the outcome without asking what proportion of patients ended up disease-free.</w:t>
            </w:r>
          </w:p>
          <w:p>
            <w:pPr>
              <w:pStyle w:val="ListParagraph"/>
              <w:numPr>
                <w:ilvl w:val="0"/>
                <w:numId w:val="2"/>
              </w:numPr>
              <w:spacing w:after="45"/>
            </w:pPr>
            <w:r>
              <w:rPr>
                <w:sz w:val="15"/>
                <w:szCs w:val="15"/>
              </w:rPr>
              <w:t xml:space="preserve">Ten patients with an initial remnant above 30% had ALPPS or two-stage hepatectomy off trial during the study period, with the decision made intraoperatively for chemotherapy damage or unexpected metastases, and one eligible patient chose embolisation. Their outcomes are not reported, so the denominator of patients actually facing this decision at these centres is larger than the trial's.</w:t>
            </w:r>
          </w:p>
          <w:p>
            <w:pPr>
              <w:pStyle w:val="ListParagraph"/>
              <w:numPr>
                <w:ilvl w:val="0"/>
                <w:numId w:val="2"/>
              </w:numPr>
              <w:spacing w:after="45"/>
            </w:pPr>
            <w:r>
              <w:rPr>
                <w:sz w:val="15"/>
                <w:szCs w:val="15"/>
              </w:rPr>
              <w:t xml:space="preserve">Three randomised patients were excluded after randomisation and the primary analysis is on 97 of 100; no intention-to-treat analysis of the primary endpoint including them is given.</w:t>
            </w:r>
          </w:p>
          <w:p>
            <w:pPr>
              <w:pStyle w:val="ListParagraph"/>
              <w:numPr>
                <w:ilvl w:val="0"/>
                <w:numId w:val="2"/>
              </w:numPr>
              <w:spacing w:after="45"/>
            </w:pPr>
            <w:r>
              <w:rPr>
                <w:sz w:val="15"/>
                <w:szCs w:val="15"/>
              </w:rPr>
              <w:t xml:space="preserve">The trial reports a surgical capability, not a benefit. Converting a patient from unresectable to resected is only valuable if it changes survival, and the companion survival report (Hasselgren, Ann Surg 2021) is a separate paper - so as published, this trial establishes that ALPPS gets more livers out and nothing about whether patients are better for it.</w:t>
            </w:r>
          </w:p>
          <w:p>
            <w:pPr>
              <w:pStyle w:val="ListParagraph"/>
              <w:numPr>
                <w:ilvl w:val="0"/>
                <w:numId w:val="2"/>
              </w:numPr>
              <w:spacing w:after="45"/>
            </w:pPr>
            <w:r>
              <w:rPr>
                <w:sz w:val="15"/>
                <w:szCs w:val="15"/>
              </w:rPr>
              <w:t xml:space="preserve">A linked comment (PMID 30724806, Giglio and Troisi, Ann Surg 2019) and a linked correspondence from the MD Anderson group (PMID 30169392, Vega and colleagues) were identified in PubMed but their texts were not read for this record, so their objections are not reflected here.</w:t>
            </w:r>
          </w:p>
        </w:tc>
      </w:tr>
    </w:tbl>
    <w:p>
      <w:pPr>
        <w:spacing w:after="0" w:line="276"/>
      </w:pPr>
      <w:r>
        <w:rPr>
          <w:color w:val="5A6069"/>
          <w:sz w:val="14"/>
          <w:szCs w:val="14"/>
        </w:rPr>
        <w:t xml:space="preserve">Funding: Medical Research Council of Southeast Sweden (FORSS). The authors report no conflicts of interest</w:t>
      </w:r>
    </w:p>
    <w:p>
      <w:pPr>
        <w:keepNext/>
        <w:spacing w:after="50" w:before="260"/>
      </w:pPr>
      <w:r>
        <w:rPr>
          <w:rFonts w:ascii="Cambria" w:cs="Cambria" w:eastAsia="Cambria" w:hAnsi="Cambria"/>
          <w:b/>
          <w:bCs/>
          <w:color w:val="17365D"/>
          <w:sz w:val="20"/>
          <w:szCs w:val="20"/>
        </w:rPr>
        <w:t xml:space="preserve">MSKCC HAI propensity</w:t>
      </w:r>
      <w:r>
        <w:rPr>
          <w:b/>
          <w:bCs/>
          <w:color w:val="176A87"/>
          <w:sz w:val="15"/>
          <w:szCs w:val="15"/>
        </w:rPr>
        <w:t xml:space="preserve">   cohort</w:t>
      </w:r>
      <w:r>
        <w:rPr>
          <w:color w:val="5A6069"/>
          <w:sz w:val="15"/>
          <w:szCs w:val="15"/>
        </w:rPr>
        <w:t xml:space="preserve">   PMID 28426374</w:t>
      </w:r>
    </w:p>
    <w:p>
      <w:pPr>
        <w:spacing w:after="50" w:line="276"/>
      </w:pPr>
      <w:r>
        <w:rPr>
          <w:color w:val="5A6069"/>
          <w:sz w:val="17"/>
          <w:szCs w:val="17"/>
        </w:rPr>
        <w:t xml:space="preserve">Perioperative hepatic arterial infusion pump chemotherapy is associated with longer survival after resection of colorectal liver metastases: a propensity score analysis</w:t>
      </w:r>
    </w:p>
    <w:p>
      <w:pPr>
        <w:spacing w:after="50"/>
      </w:pPr>
      <w:r>
        <w:rPr>
          <w:b/>
          <w:bCs/>
          <w:color w:val="176A87"/>
          <w:sz w:val="16"/>
          <w:szCs w:val="16"/>
        </w:rPr>
        <w:t xml:space="preserve">Population. </w:t>
      </w:r>
      <w:r>
        <w:rPr>
          <w:sz w:val="16"/>
          <w:szCs w:val="16"/>
        </w:rPr>
        <w:t xml:space="preserve">2368 consecutive patients who had a complete curative-intent resection of colorectal liver metastases at Memorial Sloan Kettering between 1992 and 2012, of whom 785 (33%) received perioperative hepatic arterial infusion of floxuridine (653 adjuvant, 132 preoperative) and 1583 did not; 1442 received modern systemic chemotherapy containing oxaliplatin or irinotecan, and the propensity model used the 2332 patients (98.5%) with complete covariate data. Median follow-up of survivors 55 months; the series contains 215 actual 10-year survivors</w:t>
      </w:r>
    </w:p>
    <w:p>
      <w:pPr>
        <w:spacing w:after="70"/>
      </w:pPr>
      <w:r>
        <w:rPr>
          <w:b/>
          <w:bCs/>
          <w:color w:val="17365D"/>
          <w:sz w:val="16"/>
          <w:szCs w:val="16"/>
        </w:rPr>
        <w:t xml:space="preserve">Bottom line. </w:t>
      </w:r>
      <w:r>
        <w:rPr>
          <w:sz w:val="16"/>
          <w:szCs w:val="16"/>
        </w:rPr>
        <w:t xml:space="preserve">The largest dataset on perioperative hepatic arterial infusion after resection of colorectal liver metastases: 2368 consecutive complete resections, with median overall survival of 67 against 44 months and a propensity-adjusted hazard ratio of 0.67 (95% CI 0.59-0.76), holding in the modern chemotherapy era and in the most recent decade. It cannot establish that the pump caused the difference: the comparison is non-randomised over 21 years, pump patients were six years younger and more recently treated, every pump patient also had systemic chemotherapy and far more two-stage surgery and ablation, the propensity model's specification and balance are not shown, and the benefit is largest in node-negative and low-risk patients - where a liver-directed treatment should matter least. The authors' own conclusion is that a randomised trial is needed.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comparison was non-randomised and spanned 21 years; the authors state that unmeasured prognostic factors could be unbalanced between groups and partly explain the survival difference, while arguing that the measured factors were worse in the hepatic arterial infusion group</w:t>
            </w:r>
          </w:p>
          <w:p>
            <w:pPr>
              <w:pStyle w:val="ListParagraph"/>
              <w:numPr>
                <w:ilvl w:val="0"/>
                <w:numId w:val="2"/>
              </w:numPr>
              <w:spacing w:after="45"/>
            </w:pPr>
            <w:r>
              <w:rPr>
                <w:sz w:val="15"/>
                <w:szCs w:val="15"/>
              </w:rPr>
              <w:t xml:space="preserve">The study period covers the introduction of irinotecan, oxaliplatin and targeted treatments, which the authors address by repeating the analysis in patients given modern systemic chemotherapy</w:t>
            </w:r>
          </w:p>
          <w:p>
            <w:pPr>
              <w:pStyle w:val="ListParagraph"/>
              <w:numPr>
                <w:ilvl w:val="0"/>
                <w:numId w:val="2"/>
              </w:numPr>
              <w:spacing w:after="45"/>
            </w:pPr>
            <w:r>
              <w:rPr>
                <w:sz w:val="15"/>
                <w:szCs w:val="15"/>
              </w:rPr>
              <w:t xml:space="preserve">No PET-CT staging data were available, which the authors answer by citing a study showing PET-CT rarely changed surgical management</w:t>
            </w:r>
          </w:p>
          <w:p>
            <w:pPr>
              <w:pStyle w:val="ListParagraph"/>
              <w:numPr>
                <w:ilvl w:val="0"/>
                <w:numId w:val="2"/>
              </w:numPr>
              <w:spacing w:after="45"/>
            </w:pPr>
            <w:r>
              <w:rPr>
                <w:sz w:val="15"/>
                <w:szCs w:val="15"/>
              </w:rPr>
              <w:t xml:space="preserve">They state that a randomised trial is needed to confirm that adjuvant hepatic arterial infusion improves survival in the current era, and that confirmation is most likely in node-negative and low-risk patients</w:t>
            </w:r>
          </w:p>
          <w:p>
            <w:pPr>
              <w:pStyle w:val="ListParagraph"/>
              <w:numPr>
                <w:ilvl w:val="0"/>
                <w:numId w:val="2"/>
              </w:numPr>
              <w:spacing w:after="45"/>
            </w:pPr>
            <w:r>
              <w:rPr>
                <w:sz w:val="15"/>
                <w:szCs w:val="15"/>
              </w:rPr>
              <w:t xml:space="preserve">They note the technique's complexity: pump placement requires an estimated learning curve of 25 procedures, and intensive medical oncology management plus nuclear medicine, interventional radiology and gastroenterology support is needed to prevent and manage biliary toxicity, bleeding and ulcer disease</w:t>
            </w:r>
          </w:p>
          <w:p>
            <w:pPr>
              <w:pStyle w:val="ListParagraph"/>
              <w:numPr>
                <w:ilvl w:val="0"/>
                <w:numId w:val="2"/>
              </w:numPr>
              <w:spacing w:after="45"/>
            </w:pPr>
            <w:r>
              <w:rPr>
                <w:sz w:val="15"/>
                <w:szCs w:val="15"/>
              </w:rPr>
              <w:t xml:space="preserve">They call for genomic data such as KRAS status to improve patient selection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propensity analysis is reported without the information needed to judge it: no model specification, no matching or weighting method, no covariate balance before and after adjustment, and no sensitivity analysis for unmeasured confounding. This is exactly the objection raised in the published letter from Zhang and colleagues, and the consistency of the effect across propensity quartiles does not substitute for showing balance.</w:t>
            </w:r>
          </w:p>
          <w:p>
            <w:pPr>
              <w:pStyle w:val="ListParagraph"/>
              <w:numPr>
                <w:ilvl w:val="0"/>
                <w:numId w:val="2"/>
              </w:numPr>
              <w:spacing w:after="45"/>
            </w:pPr>
            <w:r>
              <w:rPr>
                <w:sz w:val="15"/>
                <w:szCs w:val="15"/>
              </w:rPr>
              <w:t xml:space="preserve">Seven covariates are adjusted for - sex, age, year of resection, extrahepatic disease, number of tumours, size of the largest tumour and margin status - and the variables most likely to drive both pump placement and survival are not among them: performance status, comorbidity, response to prior chemotherapy, remnant volume, and whether the patient was a candidate for an institutional trial.</w:t>
            </w:r>
          </w:p>
          <w:p>
            <w:pPr>
              <w:pStyle w:val="ListParagraph"/>
              <w:numPr>
                <w:ilvl w:val="0"/>
                <w:numId w:val="2"/>
              </w:numPr>
              <w:spacing w:after="45"/>
            </w:pPr>
            <w:r>
              <w:rPr>
                <w:sz w:val="15"/>
                <w:szCs w:val="15"/>
              </w:rPr>
              <w:t xml:space="preserve">The treatment groups differ by six years of age (56.1 against 62.2) and by era, and fitness for an additional laparotomy and pump implantation is itself a prognostic selection that no measured covariate captures. A 23-month median difference in a non-randomised 21-year series is well within the range such selection can produce.</w:t>
            </w:r>
          </w:p>
          <w:p>
            <w:pPr>
              <w:pStyle w:val="ListParagraph"/>
              <w:numPr>
                <w:ilvl w:val="0"/>
                <w:numId w:val="2"/>
              </w:numPr>
              <w:spacing w:after="45"/>
            </w:pPr>
            <w:r>
              <w:rPr>
                <w:sz w:val="15"/>
                <w:szCs w:val="15"/>
              </w:rPr>
              <w:t xml:space="preserve">Hepatic arterial infusion is inseparable from more intensive treatment overall. Every pump patient received perioperative systemic chemotherapy by definition, pump patients had far more two-stage hepatectomy (5.6% against 0.5%) and ablation (17.3% against 6.1%), and the comparison is therefore between two treatment programmes, not between the presence and absence of one drug route.</w:t>
            </w:r>
          </w:p>
          <w:p>
            <w:pPr>
              <w:pStyle w:val="ListParagraph"/>
              <w:numPr>
                <w:ilvl w:val="0"/>
                <w:numId w:val="2"/>
              </w:numPr>
              <w:spacing w:after="45"/>
            </w:pPr>
            <w:r>
              <w:rPr>
                <w:sz w:val="15"/>
                <w:szCs w:val="15"/>
              </w:rPr>
              <w:t xml:space="preserve">Patients in whom the pump never worked or who did not complete the planned six cycles remained in the pump group for every analysis, which is the correct intention-to-treat handling but is never quantified: the paper does not state how many of the 785 actually received floxuridine or how much.</w:t>
            </w:r>
          </w:p>
          <w:p>
            <w:pPr>
              <w:pStyle w:val="ListParagraph"/>
              <w:numPr>
                <w:ilvl w:val="0"/>
                <w:numId w:val="2"/>
              </w:numPr>
              <w:spacing w:after="45"/>
            </w:pPr>
            <w:r>
              <w:rPr>
                <w:sz w:val="15"/>
                <w:szCs w:val="15"/>
              </w:rPr>
              <w:t xml:space="preserve">No procedure-specific complication rate, biliary toxicity rate or pump failure rate is reported anywhere in a paper recommending the technique, although the Discussion acknowledges severe ulcer disease, catheter dysfunction and the need for intensive management to preclude biliary toxicity.</w:t>
            </w:r>
          </w:p>
          <w:p>
            <w:pPr>
              <w:pStyle w:val="ListParagraph"/>
              <w:numPr>
                <w:ilvl w:val="0"/>
                <w:numId w:val="2"/>
              </w:numPr>
              <w:spacing w:after="45"/>
            </w:pPr>
            <w:r>
              <w:rPr>
                <w:sz w:val="15"/>
                <w:szCs w:val="15"/>
              </w:rPr>
              <w:t xml:space="preserve">The subgroup results that the paper leans on are post hoc splits with no adjustment for multiplicity, and they point the wrong way for the proposed mechanism: the largest differences are in node-negative primaries (129 against 51 months) and a clinical risk score of 0 to 2 (89 against 53 months), while no association is seen with extrahepatic disease, a positive margin or a score of 4 to 5. A liver-directed treatment that helps most where hepatic recurrence risk is lowest is more consistent with selection than with effect.</w:t>
            </w:r>
          </w:p>
          <w:p>
            <w:pPr>
              <w:pStyle w:val="ListParagraph"/>
              <w:numPr>
                <w:ilvl w:val="0"/>
                <w:numId w:val="2"/>
              </w:numPr>
              <w:spacing w:after="45"/>
            </w:pPr>
            <w:r>
              <w:rPr>
                <w:sz w:val="15"/>
                <w:szCs w:val="15"/>
              </w:rPr>
              <w:t xml:space="preserve">The clinical risk score used for those subgroups had 11% missing values, mainly preoperative CEA, with no imputation method described, and the subgroup totals in the text do not match those in the Discussion.</w:t>
            </w:r>
          </w:p>
          <w:p>
            <w:pPr>
              <w:pStyle w:val="ListParagraph"/>
              <w:numPr>
                <w:ilvl w:val="0"/>
                <w:numId w:val="2"/>
              </w:numPr>
              <w:spacing w:after="45"/>
            </w:pPr>
            <w:r>
              <w:rPr>
                <w:sz w:val="15"/>
                <w:szCs w:val="15"/>
              </w:rPr>
              <w:t xml:space="preserve">Preoperative and adjuvant pump use are pooled in the headline figure despite very different survival (median 71 against 46 months), and the preoperative group had by definition failed to be resectable upfront, so the single hazard ratio averages two different clinical situations.</w:t>
            </w:r>
          </w:p>
          <w:p>
            <w:pPr>
              <w:pStyle w:val="ListParagraph"/>
              <w:numPr>
                <w:ilvl w:val="0"/>
                <w:numId w:val="2"/>
              </w:numPr>
              <w:spacing w:after="45"/>
            </w:pPr>
            <w:r>
              <w:rPr>
                <w:sz w:val="15"/>
                <w:szCs w:val="15"/>
              </w:rPr>
              <w:t xml:space="preserve">The comparison is with the same institution's own non-pump patients over the same decades, which means both arms are subject to the referral patterns of a centre where hepatic arterial infusion is a signature programme; no external or multicentre cohort is examined.</w:t>
            </w:r>
          </w:p>
          <w:p>
            <w:pPr>
              <w:pStyle w:val="ListParagraph"/>
              <w:numPr>
                <w:ilvl w:val="0"/>
                <w:numId w:val="2"/>
              </w:numPr>
              <w:spacing w:after="45"/>
            </w:pPr>
            <w:r>
              <w:rPr>
                <w:sz w:val="15"/>
                <w:szCs w:val="15"/>
              </w:rPr>
              <w:t xml:space="preserve">The authors' defence of their earlier randomised trial - that the survival benefit would not disappear in the modern chemotherapy era - is made with this observational dataset, which cannot adjudicate it, and the randomised trial they call for had not reported at publication.</w:t>
            </w:r>
          </w:p>
          <w:p>
            <w:pPr>
              <w:pStyle w:val="ListParagraph"/>
              <w:numPr>
                <w:ilvl w:val="0"/>
                <w:numId w:val="2"/>
              </w:numPr>
              <w:spacing w:after="45"/>
            </w:pPr>
            <w:r>
              <w:rPr>
                <w:sz w:val="15"/>
                <w:szCs w:val="15"/>
              </w:rPr>
              <w:t xml:space="preserve">A published letter (PMID 28796585, Zhang and colleagues, 'Propensity Score Analysis: More Details, More Credibility', J Clin Oncol 2017) with an authors' reply (PMID 28796584) was identified in PubMed; its objection is reflected above, but its full text was not read for this record.</w:t>
            </w:r>
          </w:p>
        </w:tc>
      </w:tr>
    </w:tbl>
    <w:p>
      <w:pPr>
        <w:spacing w:after="0" w:line="276"/>
      </w:pPr>
      <w:r>
        <w:rPr>
          <w:color w:val="5A6069"/>
          <w:sz w:val="14"/>
          <w:szCs w:val="14"/>
        </w:rPr>
        <w:t xml:space="preserve">Funding: Supported by the Dutch Cancer Society and the National Cancer Institute Cancer Center Support Grant P30 CA008748. One author declares institutional research funding from Amgen; the other authors declare no relationships</w:t>
      </w:r>
    </w:p>
    <w:p>
      <w:pPr>
        <w:keepNext/>
        <w:spacing w:after="50" w:before="260"/>
      </w:pPr>
      <w:r>
        <w:rPr>
          <w:rFonts w:ascii="Cambria" w:cs="Cambria" w:eastAsia="Cambria" w:hAnsi="Cambria"/>
          <w:b/>
          <w:bCs/>
          <w:color w:val="17365D"/>
          <w:sz w:val="20"/>
          <w:szCs w:val="20"/>
        </w:rPr>
        <w:t xml:space="preserve">New EPOC</w:t>
      </w:r>
      <w:r>
        <w:rPr>
          <w:b/>
          <w:bCs/>
          <w:color w:val="176A87"/>
          <w:sz w:val="15"/>
          <w:szCs w:val="15"/>
        </w:rPr>
        <w:t xml:space="preserve">   Randomised trial</w:t>
      </w:r>
      <w:r>
        <w:rPr>
          <w:color w:val="5A6069"/>
          <w:sz w:val="15"/>
          <w:szCs w:val="15"/>
        </w:rPr>
        <w:t xml:space="preserve">   PMID 24717919</w:t>
      </w:r>
    </w:p>
    <w:p>
      <w:pPr>
        <w:spacing w:after="50" w:line="276"/>
      </w:pPr>
      <w:r>
        <w:rPr>
          <w:color w:val="5A6069"/>
          <w:sz w:val="17"/>
          <w:szCs w:val="17"/>
        </w:rPr>
        <w:t xml:space="preserve">Systemic chemotherapy with or without cetuximab in patients with resectable colorectal liver metastasis: the New EPOC randomised controlled trial</w:t>
      </w:r>
    </w:p>
    <w:p>
      <w:pPr>
        <w:spacing w:after="50"/>
      </w:pPr>
      <w:r>
        <w:rPr>
          <w:b/>
          <w:bCs/>
          <w:color w:val="176A87"/>
          <w:sz w:val="16"/>
          <w:szCs w:val="16"/>
        </w:rPr>
        <w:t xml:space="preserve">Population. </w:t>
      </w:r>
      <w:r>
        <w:rPr>
          <w:sz w:val="16"/>
          <w:szCs w:val="16"/>
        </w:rPr>
        <w:t xml:space="preserve">257 patients with KRAS exon 2 wild-type, resectable or suboptimally resectable liver-only colorectal metastases randomised at UK centres between 2007 and 2012 (chemotherapy with or without cetuximab); the modified intention-to-treat efficacy populations were 117 and 119 patients who had reached the perioperative assessment timepoint, 198 were operated and 178 resected. Analysis to 1 November 2012 at an overall median follow-up of 20.7 months, with 123 of the required 212 progression events (58%)</w:t>
      </w:r>
    </w:p>
    <w:p>
      <w:pPr>
        <w:spacing w:after="70"/>
      </w:pPr>
      <w:r>
        <w:rPr>
          <w:b/>
          <w:bCs/>
          <w:color w:val="17365D"/>
          <w:sz w:val="16"/>
          <w:szCs w:val="16"/>
        </w:rPr>
        <w:t xml:space="preserve">Bottom line. </w:t>
      </w:r>
      <w:r>
        <w:rPr>
          <w:sz w:val="16"/>
          <w:szCs w:val="16"/>
        </w:rPr>
        <w:t xml:space="preserve">The first trial to show that adding cetuximab to perioperative chemotherapy harms patients with operable KRAS exon 2 wild-type colorectal liver metastases: median progression-free survival 14.1 against 20.5 months, HR 1.48 (95% CI 1.04-2.12), with no gain in response, resection or margin and with the detriment falling on good-prognosis patients and on responders. It does not establish the size of the harm or its mechanism: the trial stopped for futility at 58% of planned events with the confidence interval having just cleared 1, overall survival was immature and non-significant, progression was judged locally in an open-label trial, and the authors could exclude toxicity and surgical quality as explanations without offering a replacement. The practical conclusion - do not use cetuximab here - was confirmed by the 2020 survival report, which also found this progression-free survival difference no longer significant.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This is an interim analysis closed for protocol-defined futility with only 123 of 212 required events (58%); the authors argue that further follow-up is unlikely to change the direction and that this analysis is the most accurate reflection of the intervention because all cetuximab was stopped on 1 November 2012</w:t>
            </w:r>
          </w:p>
          <w:p>
            <w:pPr>
              <w:pStyle w:val="ListParagraph"/>
              <w:numPr>
                <w:ilvl w:val="0"/>
                <w:numId w:val="2"/>
              </w:numPr>
              <w:spacing w:after="45"/>
            </w:pPr>
            <w:r>
              <w:rPr>
                <w:sz w:val="15"/>
                <w:szCs w:val="15"/>
              </w:rPr>
              <w:t xml:space="preserve">Some patients are excluded from the primary analysis for not having reached the assessment timepoint by that date, and others because retrospective testing showed KRAS mutation; the authors state these exclusions were balanced between groups</w:t>
            </w:r>
          </w:p>
          <w:p>
            <w:pPr>
              <w:pStyle w:val="ListParagraph"/>
              <w:numPr>
                <w:ilvl w:val="0"/>
                <w:numId w:val="2"/>
              </w:numPr>
              <w:spacing w:after="45"/>
            </w:pPr>
            <w:r>
              <w:rPr>
                <w:sz w:val="15"/>
                <w:szCs w:val="15"/>
              </w:rPr>
              <w:t xml:space="preserve">The regimen two and three chemotherapy backbones contained too few patients to detect or refute interactions, and too few patients received irinotecan to draw any conclusion about that combination</w:t>
            </w:r>
          </w:p>
          <w:p>
            <w:pPr>
              <w:pStyle w:val="ListParagraph"/>
              <w:numPr>
                <w:ilvl w:val="0"/>
                <w:numId w:val="2"/>
              </w:numPr>
              <w:spacing w:after="45"/>
            </w:pPr>
            <w:r>
              <w:rPr>
                <w:sz w:val="15"/>
                <w:szCs w:val="15"/>
              </w:rPr>
              <w:t xml:space="preserve">No biological mechanism for the detriment is identified; the authors state that a clear understanding is needed before any further neoadjuvant cetuximab study and that translational studies are in progress</w:t>
            </w:r>
          </w:p>
          <w:p>
            <w:pPr>
              <w:pStyle w:val="ListParagraph"/>
              <w:numPr>
                <w:ilvl w:val="0"/>
                <w:numId w:val="2"/>
              </w:numPr>
              <w:spacing w:after="45"/>
            </w:pPr>
            <w:r>
              <w:rPr>
                <w:sz w:val="15"/>
                <w:szCs w:val="15"/>
              </w:rPr>
              <w:t xml:space="preserve">They state that outcomes from a neoadjuvant strategy are difficult to extend to adjuvant treatment or advanced disease because of confounding inherent in the strategy, mainly surgery and the associated treatment interval</w:t>
            </w:r>
          </w:p>
          <w:p>
            <w:pPr>
              <w:pStyle w:val="ListParagraph"/>
              <w:numPr>
                <w:ilvl w:val="0"/>
                <w:numId w:val="2"/>
              </w:numPr>
              <w:spacing w:after="45"/>
            </w:pPr>
            <w:r>
              <w:rPr>
                <w:sz w:val="15"/>
                <w:szCs w:val="15"/>
              </w:rPr>
              <w:t xml:space="preserve">They note that KRAS exon 2 selection was insufficient to identify a benefiting cohort, and that BRAF and NRAS mutations are unlikely to explain inferior progression-free survival in patients who responded</w:t>
            </w:r>
          </w:p>
          <w:p>
            <w:pPr>
              <w:pStyle w:val="ListParagraph"/>
              <w:numPr>
                <w:ilvl w:val="0"/>
                <w:numId w:val="2"/>
              </w:numPr>
              <w:spacing w:after="45"/>
            </w:pPr>
            <w:r>
              <w:rPr>
                <w:sz w:val="15"/>
                <w:szCs w:val="15"/>
              </w:rPr>
              <w:t xml:space="preserve">No formal systematic review was undertaken, because the authors state only one adequately powered trial in this setting exists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result is an interim estimate at 58% of planned events, and the paper's defence - that further events are unlikely to change the outcome - was only partly borne out: the 2020 long-term report of this trial found the progression-free survival difference no longer significant (HR 1.17, 95% CI 0.87-1.56), while survival was worse with cetuximab.</w:t>
            </w:r>
          </w:p>
          <w:p>
            <w:pPr>
              <w:pStyle w:val="ListParagraph"/>
              <w:numPr>
                <w:ilvl w:val="0"/>
                <w:numId w:val="2"/>
              </w:numPr>
              <w:spacing w:after="45"/>
            </w:pPr>
            <w:r>
              <w:rPr>
                <w:sz w:val="15"/>
                <w:szCs w:val="15"/>
              </w:rPr>
              <w:t xml:space="preserve">The futility rule that closed the trial required the lower bound of the 95% CI for the progression-free survival hazard ratio to exceed 1, and the observed interval was 1.04-2.12. The trial stopped at the moment the interval cleared 1 by 0.04, which is the point of maximum play in a small number of events.</w:t>
            </w:r>
          </w:p>
          <w:p>
            <w:pPr>
              <w:pStyle w:val="ListParagraph"/>
              <w:numPr>
                <w:ilvl w:val="0"/>
                <w:numId w:val="2"/>
              </w:numPr>
              <w:spacing w:after="45"/>
            </w:pPr>
            <w:r>
              <w:rPr>
                <w:sz w:val="15"/>
                <w:szCs w:val="15"/>
              </w:rPr>
              <w:t xml:space="preserve">The accrual target was revised downward during the trial, from 340 to 268 patients, on the trial steering committee's suggestion after the CRYSTAL presentation; 257 were randomised and the efficacy analysis rests on 236 of them.</w:t>
            </w:r>
          </w:p>
          <w:p>
            <w:pPr>
              <w:pStyle w:val="ListParagraph"/>
              <w:numPr>
                <w:ilvl w:val="0"/>
                <w:numId w:val="2"/>
              </w:numPr>
              <w:spacing w:after="45"/>
            </w:pPr>
            <w:r>
              <w:rPr>
                <w:sz w:val="15"/>
                <w:szCs w:val="15"/>
              </w:rPr>
              <w:t xml:space="preserve">The analysis population is defined by a post-randomisation condition: patients had to have reached the timepoint for perioperative response assessment by the data cut, which in a trial where one arm progressed faster is not a neutral filter, and no sensitivity analysis including all randomised patients is reported.</w:t>
            </w:r>
          </w:p>
          <w:p>
            <w:pPr>
              <w:pStyle w:val="ListParagraph"/>
              <w:numPr>
                <w:ilvl w:val="0"/>
                <w:numId w:val="2"/>
              </w:numPr>
              <w:spacing w:after="45"/>
            </w:pPr>
            <w:r>
              <w:rPr>
                <w:sz w:val="15"/>
                <w:szCs w:val="15"/>
              </w:rPr>
              <w:t xml:space="preserve">Three chemotherapy backbones were permitted by physician choice, and the protocol changed twice during the trial - capecitabine dose reduced in 2007, then capecitabine with cetuximab withdrawn in 2010 after COIN toxicity data - so the comparator and the experimental regimen both changed while the trial ran.</w:t>
            </w:r>
          </w:p>
          <w:p>
            <w:pPr>
              <w:pStyle w:val="ListParagraph"/>
              <w:numPr>
                <w:ilvl w:val="0"/>
                <w:numId w:val="2"/>
              </w:numPr>
              <w:spacing w:after="45"/>
            </w:pPr>
            <w:r>
              <w:rPr>
                <w:sz w:val="15"/>
                <w:szCs w:val="15"/>
              </w:rPr>
              <w:t xml:space="preserve">Progression was determined by the local multidisciplinary team with no external or blinded radiological review, in an open-label trial whose only endpoint is radiological progression.</w:t>
            </w:r>
          </w:p>
          <w:p>
            <w:pPr>
              <w:pStyle w:val="ListParagraph"/>
              <w:numPr>
                <w:ilvl w:val="0"/>
                <w:numId w:val="2"/>
              </w:numPr>
              <w:spacing w:after="45"/>
            </w:pPr>
            <w:r>
              <w:rPr>
                <w:sz w:val="15"/>
                <w:szCs w:val="15"/>
              </w:rPr>
              <w:t xml:space="preserve">The subgroup analysis that carries the paper's interpretation - harm concentrated in good-prognosis patients - rests on nine minimisation factors and predefined subgroups in 236 patients, with intervals such as node-negative primary HR 2.09 (1.07-4.10) and non-synchronous presentation HR 2.33 (1.40-3.90). No interaction test or multiplicity adjustment is reported, and the authors themselves describe the surrounding subgroups as underpowered.</w:t>
            </w:r>
          </w:p>
          <w:p>
            <w:pPr>
              <w:pStyle w:val="ListParagraph"/>
              <w:numPr>
                <w:ilvl w:val="0"/>
                <w:numId w:val="2"/>
              </w:numPr>
              <w:spacing w:after="45"/>
            </w:pPr>
            <w:r>
              <w:rPr>
                <w:sz w:val="15"/>
                <w:szCs w:val="15"/>
              </w:rPr>
              <w:t xml:space="preserve">Response and progression-free survival move in opposite directions and this is reported as a methodological aside rather than examined: responders on cetuximab had median progression-free survival of 14.1 against 20.5 months (HR 1.52, 0.95-2.44), which the paper summarises as a poor association between progression-free survival and response - in a trial whose endpoint is progression-free survival.</w:t>
            </w:r>
          </w:p>
          <w:p>
            <w:pPr>
              <w:pStyle w:val="ListParagraph"/>
              <w:numPr>
                <w:ilvl w:val="0"/>
                <w:numId w:val="2"/>
              </w:numPr>
              <w:spacing w:after="45"/>
            </w:pPr>
            <w:r>
              <w:rPr>
                <w:sz w:val="15"/>
                <w:szCs w:val="15"/>
              </w:rPr>
              <w:t xml:space="preserve">Overall survival was immature and non-significant (HR 1.49, 95% CI 0.86-2.60), with the control-arm median not reached, so at this analysis the trial could not say whether the regimen shortened life; it took the 2020 report to show that it did.</w:t>
            </w:r>
          </w:p>
          <w:p>
            <w:pPr>
              <w:pStyle w:val="ListParagraph"/>
              <w:numPr>
                <w:ilvl w:val="0"/>
                <w:numId w:val="2"/>
              </w:numPr>
              <w:spacing w:after="45"/>
            </w:pPr>
            <w:r>
              <w:rPr>
                <w:sz w:val="15"/>
                <w:szCs w:val="15"/>
              </w:rPr>
              <w:t xml:space="preserve">Harm cannot be attributed to toxicity or to surgery, as the authors state, and no alternative is tested: three possibly treatment-related respiratory deaths with cetuximab against one cardiac death without, grade 3-4 overall toxicity 47% against 40%, and major postoperative complications 16% against 23% - fewer in the cetuximab arm.</w:t>
            </w:r>
          </w:p>
          <w:p>
            <w:pPr>
              <w:pStyle w:val="ListParagraph"/>
              <w:numPr>
                <w:ilvl w:val="0"/>
                <w:numId w:val="2"/>
              </w:numPr>
              <w:spacing w:after="45"/>
            </w:pPr>
            <w:r>
              <w:rPr>
                <w:sz w:val="15"/>
                <w:szCs w:val="15"/>
              </w:rPr>
              <w:t xml:space="preserve">Selection was by KRAS exon 2 only, with no NRAS, BRAF, mismatch repair or primary tumour sidedness data, so the population is not the one in which anti-EGFR therapy would be used today and the trial cannot say whether the harm would recur under modern selection.</w:t>
            </w:r>
          </w:p>
          <w:p>
            <w:pPr>
              <w:pStyle w:val="ListParagraph"/>
              <w:numPr>
                <w:ilvl w:val="0"/>
                <w:numId w:val="2"/>
              </w:numPr>
              <w:spacing w:after="45"/>
            </w:pPr>
            <w:r>
              <w:rPr>
                <w:sz w:val="15"/>
                <w:szCs w:val="15"/>
              </w:rPr>
              <w:t xml:space="preserve">Fourteen randomised patients turned out to be KRAS mutant or indeterminate on retrospective testing and were removed from the efficacy analysis, in a trial whose eligibility criterion was that mutation status.</w:t>
            </w:r>
          </w:p>
          <w:p>
            <w:pPr>
              <w:pStyle w:val="ListParagraph"/>
              <w:numPr>
                <w:ilvl w:val="0"/>
                <w:numId w:val="2"/>
              </w:numPr>
              <w:spacing w:after="45"/>
            </w:pPr>
            <w:r>
              <w:rPr>
                <w:sz w:val="15"/>
                <w:szCs w:val="15"/>
              </w:rPr>
              <w:t xml:space="preserve">No quality-of-life result is reported, and no patient-reported outcome, in a trial that found a treatment to be actively harmful.</w:t>
            </w:r>
          </w:p>
          <w:p>
            <w:pPr>
              <w:pStyle w:val="ListParagraph"/>
              <w:numPr>
                <w:ilvl w:val="0"/>
                <w:numId w:val="2"/>
              </w:numPr>
              <w:spacing w:after="45"/>
            </w:pPr>
            <w:r>
              <w:rPr>
                <w:sz w:val="15"/>
                <w:szCs w:val="15"/>
              </w:rPr>
              <w:t xml:space="preserve">The maker of the trial drug supplied it under a medical grant and reviewed the report, and eight authors declare relationships with it - which here works against the usual direction of concern, since the finding is unfavourable to that drug.</w:t>
            </w:r>
          </w:p>
          <w:p>
            <w:pPr>
              <w:pStyle w:val="ListParagraph"/>
              <w:numPr>
                <w:ilvl w:val="0"/>
                <w:numId w:val="2"/>
              </w:numPr>
              <w:spacing w:after="45"/>
            </w:pPr>
            <w:r>
              <w:rPr>
                <w:sz w:val="15"/>
                <w:szCs w:val="15"/>
              </w:rPr>
              <w:t xml:space="preserve">Two linked items were identified in PubMed - Fong's Comment (PMID 24807857, Lancet Oncol 2014;15:544-5) and correspondence from Hasegawa, Oba and Kokudo with the authors' reply (PMID 24988931, 24988933) - but their texts were not read for this record.</w:t>
            </w:r>
          </w:p>
        </w:tc>
      </w:tr>
    </w:tbl>
    <w:p>
      <w:pPr>
        <w:spacing w:after="0" w:line="276"/>
      </w:pPr>
      <w:r>
        <w:rPr>
          <w:color w:val="5A6069"/>
          <w:sz w:val="14"/>
          <w:szCs w:val="14"/>
        </w:rPr>
        <w:t xml:space="preserve">Funding: Funded and supported by Cancer Research UK with National Cancer Research Network support; cetuximab was provided under a medical grant from Merck KGaA, which reviewed the report. Data were held and analysed by the University of Southampton Clinical Trials Unit. Eight authors declare advisory board membership, honoraria or research funding from Merck or Merck Serono</w:t>
      </w:r>
    </w:p>
    <w:p>
      <w:pPr>
        <w:keepNext/>
        <w:spacing w:after="50" w:before="260"/>
      </w:pPr>
      <w:r>
        <w:rPr>
          <w:rFonts w:ascii="Cambria" w:cs="Cambria" w:eastAsia="Cambria" w:hAnsi="Cambria"/>
          <w:b/>
          <w:bCs/>
          <w:color w:val="17365D"/>
          <w:sz w:val="20"/>
          <w:szCs w:val="20"/>
        </w:rPr>
        <w:t xml:space="preserve">New EPOC biomarker</w:t>
      </w:r>
      <w:r>
        <w:rPr>
          <w:b/>
          <w:bCs/>
          <w:color w:val="176A87"/>
          <w:sz w:val="15"/>
          <w:szCs w:val="15"/>
        </w:rPr>
        <w:t xml:space="preserve">   cohort</w:t>
      </w:r>
      <w:r>
        <w:rPr>
          <w:color w:val="5A6069"/>
          <w:sz w:val="15"/>
          <w:szCs w:val="15"/>
        </w:rPr>
        <w:t xml:space="preserve">   PMID 37471075</w:t>
      </w:r>
    </w:p>
    <w:p>
      <w:pPr>
        <w:spacing w:after="50" w:line="276"/>
      </w:pPr>
      <w:r>
        <w:rPr>
          <w:color w:val="5A6069"/>
          <w:sz w:val="17"/>
          <w:szCs w:val="17"/>
        </w:rPr>
        <w:t xml:space="preserve">Integrated Clinical-Molecular Classification of Colorectal Liver Metastases: A Biomarker Analysis of the Phase 3 New EPOC Randomized Clinical Trial</w:t>
      </w:r>
    </w:p>
    <w:p>
      <w:pPr>
        <w:spacing w:after="50"/>
      </w:pPr>
      <w:r>
        <w:rPr>
          <w:b/>
          <w:bCs/>
          <w:color w:val="176A87"/>
          <w:sz w:val="16"/>
          <w:szCs w:val="16"/>
        </w:rPr>
        <w:t xml:space="preserve">Population. </w:t>
      </w:r>
      <w:r>
        <w:rPr>
          <w:sz w:val="16"/>
          <w:szCs w:val="16"/>
        </w:rPr>
        <w:t xml:space="preserve">147 patients from the phase 3 New EPOC trial who underwent hepatic resection and had archival liver metastasis tissue profiled (median follow-up 53.4 months), validating a 31-feature classifier trained in a discovery cohort of 93 patients resected at the University of Chicago and NorthShore between 1994 and 2012; matched primary tumours were available for 124, and 3 patients were excluded from the integrated risk analysis because the clinical risk score could not be computed</w:t>
      </w:r>
    </w:p>
    <w:p>
      <w:pPr>
        <w:spacing w:after="70"/>
      </w:pPr>
      <w:r>
        <w:rPr>
          <w:b/>
          <w:bCs/>
          <w:color w:val="17365D"/>
          <w:sz w:val="16"/>
          <w:szCs w:val="16"/>
        </w:rPr>
        <w:t xml:space="preserve">Bottom line. </w:t>
      </w:r>
      <w:r>
        <w:rPr>
          <w:sz w:val="16"/>
          <w:szCs w:val="16"/>
        </w:rPr>
        <w:t xml:space="preserve">Shows that a biologically derived three-subtype expression classifier applied to the resected liver metastasis separates progression-free survival after hepatectomy (5-year 43% immune, 26% stromal, 14% canonical) in an independent trial cohort, and adds a small amount of discrimination to the Fong clinical risk score. It does not show the classification changes what should be done: the overall survival comparison missed significance across three subtypes, there was no interaction with the only randomised treatment available, and the assay needs resected metastatic tissue, so it arrives after the decision it might inform. The headline 78% 5-year survival in the low-risk integrated group has a confidence interval of 44 to 93% and its denominator is never stated.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classifier was developed only in patients undergoing surgery, so it is untested for ablation or stereotactic radiotherapy</w:t>
            </w:r>
          </w:p>
          <w:p>
            <w:pPr>
              <w:pStyle w:val="ListParagraph"/>
              <w:numPr>
                <w:ilvl w:val="0"/>
                <w:numId w:val="2"/>
              </w:numPr>
              <w:spacing w:after="45"/>
            </w:pPr>
            <w:r>
              <w:rPr>
                <w:sz w:val="15"/>
                <w:szCs w:val="15"/>
              </w:rPr>
              <w:t xml:space="preserve">The authors state that the magnitude of the concordance probability estimates reflects the substantial clinical heterogeneity of colorectal liver oligometastases, and that larger cohorts are needed to clarify the role of molecular subtyping</w:t>
            </w:r>
          </w:p>
          <w:p>
            <w:pPr>
              <w:pStyle w:val="ListParagraph"/>
              <w:numPr>
                <w:ilvl w:val="0"/>
                <w:numId w:val="2"/>
              </w:numPr>
              <w:spacing w:after="45"/>
            </w:pPr>
            <w:r>
              <w:rPr>
                <w:sz w:val="15"/>
                <w:szCs w:val="15"/>
              </w:rPr>
              <w:t xml:space="preserve">They state that no gold standard reference existed in the validation cohort against which the computed subtypes could be checked, so biological plausibility analyses had to stand in for a reference standard</w:t>
            </w:r>
          </w:p>
          <w:p>
            <w:pPr>
              <w:pStyle w:val="ListParagraph"/>
              <w:numPr>
                <w:ilvl w:val="0"/>
                <w:numId w:val="2"/>
              </w:numPr>
              <w:spacing w:after="45"/>
            </w:pPr>
            <w:r>
              <w:rPr>
                <w:sz w:val="15"/>
                <w:szCs w:val="15"/>
              </w:rPr>
              <w:t xml:space="preserve">They present the classification as prognostic only, warranting further study as a possible predictive biomarker, and report no significant interaction between subtype or integrated risk group and cetuximab randomisation</w:t>
            </w:r>
          </w:p>
          <w:p>
            <w:pPr>
              <w:pStyle w:val="ListParagraph"/>
              <w:numPr>
                <w:ilvl w:val="0"/>
                <w:numId w:val="2"/>
              </w:numPr>
              <w:spacing w:after="45"/>
            </w:pPr>
            <w:r>
              <w:rPr>
                <w:sz w:val="15"/>
                <w:szCs w:val="15"/>
              </w:rPr>
              <w:t xml:space="preserve">Three patients had to be dropped from the integrated risk group analysis because the clinical risk score could not be computed from available data</w:t>
            </w:r>
          </w:p>
          <w:p>
            <w:pPr>
              <w:pStyle w:val="ListParagraph"/>
              <w:numPr>
                <w:ilvl w:val="0"/>
                <w:numId w:val="2"/>
              </w:numPr>
              <w:spacing w:after="45"/>
            </w:pPr>
            <w:r>
              <w:rPr>
                <w:sz w:val="15"/>
                <w:szCs w:val="15"/>
              </w:rPr>
              <w:t xml:space="preserve">They acknowledge from their own earlier work that consensus molecular subtypes leave about a third of liver metastases unclassifiable, which is why the metastasis has to be staged separately from the primary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study is described as the first clinical validation, but the reference standard the classifier was trained against is the authors' own similarity network fusion clustering of the discovery cohort. The 96% accuracy therefore measures agreement with an unvalidated set of labels, and in the validation cohort there is no reference at all - as the Outcomes section concedes - so no accuracy figure applies to the 147 patients whose subtypes anchor every result.</w:t>
            </w:r>
          </w:p>
          <w:p>
            <w:pPr>
              <w:pStyle w:val="ListParagraph"/>
              <w:numPr>
                <w:ilvl w:val="0"/>
                <w:numId w:val="2"/>
              </w:numPr>
              <w:spacing w:after="45"/>
            </w:pPr>
            <w:r>
              <w:rPr>
                <w:sz w:val="15"/>
                <w:szCs w:val="15"/>
              </w:rPr>
              <w:t xml:space="preserve">The low-risk integrated group that supplies the headline 78% 5-year overall survival has a 95% CI of 44 to 93%, which implies a handful of events, yet neither the number of patients nor the number of deaths in that group is printed in the text, the figure or Table 2.</w:t>
            </w:r>
          </w:p>
          <w:p>
            <w:pPr>
              <w:pStyle w:val="ListParagraph"/>
              <w:numPr>
                <w:ilvl w:val="0"/>
                <w:numId w:val="2"/>
              </w:numPr>
              <w:spacing w:after="45"/>
            </w:pPr>
            <w:r>
              <w:rPr>
                <w:sz w:val="15"/>
                <w:szCs w:val="15"/>
              </w:rPr>
              <w:t xml:space="preserve">The overall survival comparison across the three subtypes failed its stated test (log-rank p=0.083). Significance is recovered by collapsing stromal with canonical (p=0.045), a pairwise regrouping that is not the prespecified hypothesis - which was that immune would beat canonical and stromal - and is reported without correction for having tried both.</w:t>
            </w:r>
          </w:p>
          <w:p>
            <w:pPr>
              <w:pStyle w:val="ListParagraph"/>
              <w:numPr>
                <w:ilvl w:val="0"/>
                <w:numId w:val="2"/>
              </w:numPr>
              <w:spacing w:after="45"/>
            </w:pPr>
            <w:r>
              <w:rPr>
                <w:sz w:val="15"/>
                <w:szCs w:val="15"/>
              </w:rPr>
              <w:t xml:space="preserve">The integrated grouping is not monotone in its own inputs: canonical, the worst subtype, enters the low-risk group whenever the clinical risk score is low, while stromal appears in both the intermediate and high groups. Low and intermediate 5-year progression-free survival are 44% and 40%, indistinguishable, so the three-level scheme separates one group from two rather than three from each other.</w:t>
            </w:r>
          </w:p>
          <w:p>
            <w:pPr>
              <w:pStyle w:val="ListParagraph"/>
              <w:numPr>
                <w:ilvl w:val="0"/>
                <w:numId w:val="2"/>
              </w:numPr>
              <w:spacing w:after="45"/>
            </w:pPr>
            <w:r>
              <w:rPr>
                <w:sz w:val="15"/>
                <w:szCs w:val="15"/>
              </w:rPr>
              <w:t xml:space="preserve">The improvement in discrimination is small and its intervals overlap almost entirely: Gonen and Heller's K from 0.55 (0.49-0.61) to 0.62 (0.57-0.67) for progression-free survival and 0.59 (0.52-0.66) to 0.63 (0.56-0.70) for overall survival. No test of the difference between concordance statistics is reported, no comparison against a model containing an arbitrary three-level variable, and no calibration assessment of any kind.</w:t>
            </w:r>
          </w:p>
          <w:p>
            <w:pPr>
              <w:pStyle w:val="ListParagraph"/>
              <w:numPr>
                <w:ilvl w:val="0"/>
                <w:numId w:val="2"/>
              </w:numPr>
              <w:spacing w:after="45"/>
            </w:pPr>
            <w:r>
              <w:rPr>
                <w:sz w:val="15"/>
                <w:szCs w:val="15"/>
              </w:rPr>
              <w:t xml:space="preserve">Two of the senior authors hold issued patents on diagnosis and triage of patients with colorectal liver metastases and provisional patents on molecular subtyping to personalise treatment - that is, on the classifier being validated here. The disclosure is made, but the recommendation that the classification be taken forward as a predictive biomarker and a stratification factor in future trials comes from the patent holders.</w:t>
            </w:r>
          </w:p>
          <w:p>
            <w:pPr>
              <w:pStyle w:val="ListParagraph"/>
              <w:numPr>
                <w:ilvl w:val="0"/>
                <w:numId w:val="2"/>
              </w:numPr>
              <w:spacing w:after="45"/>
            </w:pPr>
            <w:r>
              <w:rPr>
                <w:sz w:val="15"/>
                <w:szCs w:val="15"/>
              </w:rPr>
              <w:t xml:space="preserve">147 patients are analysed out of the 257 randomised in New EPOC, selected by having had resection and usable archival metastasis tissue. No comparison of the included 147 with the excluded patients is shown, and no accounting of why tissue was unavailable, so the validation cohort's representativeness of the trial is untested.</w:t>
            </w:r>
          </w:p>
          <w:p>
            <w:pPr>
              <w:pStyle w:val="ListParagraph"/>
              <w:numPr>
                <w:ilvl w:val="0"/>
                <w:numId w:val="2"/>
              </w:numPr>
              <w:spacing w:after="45"/>
            </w:pPr>
            <w:r>
              <w:rPr>
                <w:sz w:val="15"/>
                <w:szCs w:val="15"/>
              </w:rPr>
              <w:t xml:space="preserve">Discovery and validation used different assay platforms - whole transcriptome RNA sequencing plus miRNA profiling on one side, microarray on the other - and a 31-feature expression classifier was carried across that change with no bridging or platform-concordance analysis in the main text.</w:t>
            </w:r>
          </w:p>
          <w:p>
            <w:pPr>
              <w:pStyle w:val="ListParagraph"/>
              <w:numPr>
                <w:ilvl w:val="0"/>
                <w:numId w:val="2"/>
              </w:numPr>
              <w:spacing w:after="45"/>
            </w:pPr>
            <w:r>
              <w:rPr>
                <w:sz w:val="15"/>
                <w:szCs w:val="15"/>
              </w:rPr>
              <w:t xml:space="preserve">The two cohorts are not comparable in clinical risk (clinical risk score 2 or more in 85% of validation against 63% of discovery, more than one metastasis in 78% against 42%), so the integrated groups are not populated the same way in the cohort where the thresholds were set and the cohort where they are tested.</w:t>
            </w:r>
          </w:p>
          <w:p>
            <w:pPr>
              <w:pStyle w:val="ListParagraph"/>
              <w:numPr>
                <w:ilvl w:val="0"/>
                <w:numId w:val="2"/>
              </w:numPr>
              <w:spacing w:after="45"/>
            </w:pPr>
            <w:r>
              <w:rPr>
                <w:sz w:val="15"/>
                <w:szCs w:val="15"/>
              </w:rPr>
              <w:t xml:space="preserve">The time-to-event clock differs between cohorts - date of surgery in discovery, date of randomisation in validation - yet the paper reports progression-free and overall survival as highly concordant between them (eFigure 6), a comparison of intervals measured from different origins.</w:t>
            </w:r>
          </w:p>
          <w:p>
            <w:pPr>
              <w:pStyle w:val="ListParagraph"/>
              <w:numPr>
                <w:ilvl w:val="0"/>
                <w:numId w:val="2"/>
              </w:numPr>
              <w:spacing w:after="45"/>
            </w:pPr>
            <w:r>
              <w:rPr>
                <w:sz w:val="15"/>
                <w:szCs w:val="15"/>
              </w:rPr>
              <w:t xml:space="preserve">The biological corroboration is circular: single-sample gene set enrichment and immune deconvolution are run on the same expression data from which the subtypes were computed, so they can only reproduce the clustering that defined them, not confirm it against an independent measurement such as stained sections in this cohort.</w:t>
            </w:r>
          </w:p>
          <w:p>
            <w:pPr>
              <w:pStyle w:val="ListParagraph"/>
              <w:numPr>
                <w:ilvl w:val="0"/>
                <w:numId w:val="2"/>
              </w:numPr>
              <w:spacing w:after="45"/>
            </w:pPr>
            <w:r>
              <w:rPr>
                <w:sz w:val="15"/>
                <w:szCs w:val="15"/>
              </w:rPr>
              <w:t xml:space="preserve">Roughly half of the validation cohort was randomised to cetuximab, which shortened survival in New EPOC itself. Cetuximab is entered as a covariate, but the absolute survival figures - including the 78% that is the paper's selling point - come from a cohort half of whom received a treatment that is no longer given.</w:t>
            </w:r>
          </w:p>
          <w:p>
            <w:pPr>
              <w:pStyle w:val="ListParagraph"/>
              <w:numPr>
                <w:ilvl w:val="0"/>
                <w:numId w:val="2"/>
              </w:numPr>
              <w:spacing w:after="45"/>
            </w:pPr>
            <w:r>
              <w:rPr>
                <w:sz w:val="15"/>
                <w:szCs w:val="15"/>
              </w:rPr>
              <w:t xml:space="preserve">The clinical risk score requires CEA, tumour size and tumour number, but the paper never states at what point relative to perioperative chemotherapy those components were recorded in the trial cohort, even though every patient had chemotherapy before resection, so the score may not be measuring what it measured in Fong's untreated surgical series.</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The S:CORT consortium is funded by a UK Medical Research Council Stratified Medicine Consortium programme grant (MR/M016587/1) co-funded by Cancer Research UK, with additional support from the Ludwig Cancer Research Foundation; the funders are stated to have had no role in design, analysis or publication, and the study was not NIH funded. Merck KGaA provided cetuximab for New EPOC. Two senior authors report issued patents for 'Methods and Kits for Diagnosis and Triage of Patients with Colorectal Liver Metastases' and provisional patents for 'Molecular Subtyping of Colorectal Liver Metastases to Personalize Treatment Approaches'; disclosures also include honoraria or grants from Merck, AstraZeneca, Varian, Regeneron, Boehringer Ingelheim, Merck Serono and Pierre Fabre, and equity in several biotechnology companies</w:t>
      </w:r>
    </w:p>
    <w:p>
      <w:pPr>
        <w:keepNext/>
        <w:spacing w:after="50" w:before="260"/>
      </w:pPr>
      <w:r>
        <w:rPr>
          <w:rFonts w:ascii="Cambria" w:cs="Cambria" w:eastAsia="Cambria" w:hAnsi="Cambria"/>
          <w:b/>
          <w:bCs/>
          <w:color w:val="17365D"/>
          <w:sz w:val="20"/>
          <w:szCs w:val="20"/>
        </w:rPr>
        <w:t xml:space="preserve">New EPOC long-term</w:t>
      </w:r>
      <w:r>
        <w:rPr>
          <w:b/>
          <w:bCs/>
          <w:color w:val="176A87"/>
          <w:sz w:val="15"/>
          <w:szCs w:val="15"/>
        </w:rPr>
        <w:t xml:space="preserve">   Randomised trial</w:t>
      </w:r>
      <w:r>
        <w:rPr>
          <w:color w:val="5A6069"/>
          <w:sz w:val="15"/>
          <w:szCs w:val="15"/>
        </w:rPr>
        <w:t xml:space="preserve">   PMID 32014119</w:t>
      </w:r>
    </w:p>
    <w:p>
      <w:pPr>
        <w:spacing w:after="50" w:line="276"/>
      </w:pPr>
      <w:r>
        <w:rPr>
          <w:color w:val="5A6069"/>
          <w:sz w:val="17"/>
          <w:szCs w:val="17"/>
        </w:rPr>
        <w:t xml:space="preserve">Systemic chemotherapy with or without cetuximab in patients with resectable colorectal liver metastasis (New EPOC): long-term results of a multicentre, randomised, controlled, phase 3 trial</w:t>
      </w:r>
    </w:p>
    <w:p>
      <w:pPr>
        <w:spacing w:after="50"/>
      </w:pPr>
      <w:r>
        <w:rPr>
          <w:b/>
          <w:bCs/>
          <w:color w:val="176A87"/>
          <w:sz w:val="16"/>
          <w:szCs w:val="16"/>
        </w:rPr>
        <w:t xml:space="preserve">Population. </w:t>
      </w:r>
      <w:r>
        <w:rPr>
          <w:sz w:val="16"/>
          <w:szCs w:val="16"/>
        </w:rPr>
        <w:t xml:space="preserve">272 patients with resectable or suboptimally resectable colorectal liver metastases recruited at 39 UK hospitals between February 2007 and October 2012, of whom 257 with KRAS wild-type (codons 12, 13 and 61) tumours form the primary analysis population (128 chemotherapy alone, 129 chemotherapy plus cetuximab); 221 underwent an operation. Median follow-up 66.7 months (IQR 58.0-77.5). The revised accrual target was 268 KRAS wild-type patients and 212 progression events</w:t>
      </w:r>
    </w:p>
    <w:p>
      <w:pPr>
        <w:spacing w:after="70"/>
      </w:pPr>
      <w:r>
        <w:rPr>
          <w:b/>
          <w:bCs/>
          <w:color w:val="17365D"/>
          <w:sz w:val="16"/>
          <w:szCs w:val="16"/>
        </w:rPr>
        <w:t xml:space="preserve">Bottom line. </w:t>
      </w:r>
      <w:r>
        <w:rPr>
          <w:sz w:val="16"/>
          <w:szCs w:val="16"/>
        </w:rPr>
        <w:t xml:space="preserve">Establishes that adding cetuximab to perioperative chemotherapy for operable KRAS wild-type colorectal liver metastases shortens life - median overall survival 55.4 against 81.0 months, HR 1.45 (95% CI 1.02-2.05) - with no gain in response, resection or R0 rate, and that the harm falls on the patients with the most favourable disease. It does not explain the effect: the primary progression-free survival endpoint that stopped the trial is no longer significant at maturity, the survival result is a secondary endpoint at p=0.036 with no correction for the interim look, and the molecular analyses offered as mechanism contradict the advanced-disease literature. The practical instruction - do not give cetuximab perioperatively for operable disease - is nonetheless the safest reading, and the control arm's 81-month median is the benchmark worth remembering.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name premature closure of recruitment, mandated by the trial steering committee on the independent data monitoring committee's advice, as the trial's primary limitation, while arguing that the mature analysis shows it did not change the conclusion</w:t>
            </w:r>
          </w:p>
          <w:p>
            <w:pPr>
              <w:pStyle w:val="ListParagraph"/>
              <w:numPr>
                <w:ilvl w:val="0"/>
                <w:numId w:val="2"/>
              </w:numPr>
              <w:spacing w:after="45"/>
            </w:pPr>
            <w:r>
              <w:rPr>
                <w:sz w:val="15"/>
                <w:szCs w:val="15"/>
              </w:rPr>
              <w:t xml:space="preserve">Overall survival was a secondary endpoint; the authors state there was no adjustment for multiple comparisons and no correction of the p value for the previous interim analysis</w:t>
            </w:r>
          </w:p>
          <w:p>
            <w:pPr>
              <w:pStyle w:val="ListParagraph"/>
              <w:numPr>
                <w:ilvl w:val="0"/>
                <w:numId w:val="2"/>
              </w:numPr>
              <w:spacing w:after="45"/>
            </w:pPr>
            <w:r>
              <w:rPr>
                <w:sz w:val="15"/>
                <w:szCs w:val="15"/>
              </w:rPr>
              <w:t xml:space="preserve">Baseline characteristics were prognostically less favourable in the cetuximab group (synchronous metastases in 88 of 129, 68%, against 73 of 128, 57%; a metastasis larger than 3 cm in 75, 58%, against 63, 49%), which the authors describe as small and non-significant differences</w:t>
            </w:r>
          </w:p>
          <w:p>
            <w:pPr>
              <w:pStyle w:val="ListParagraph"/>
              <w:numPr>
                <w:ilvl w:val="0"/>
                <w:numId w:val="2"/>
              </w:numPr>
              <w:spacing w:after="45"/>
            </w:pPr>
            <w:r>
              <w:rPr>
                <w:sz w:val="15"/>
                <w:szCs w:val="15"/>
              </w:rPr>
              <w:t xml:space="preserve">Extended RAS and RAF testing was retrospective on available samples: the hazard ratio in the all RAS/RAF wild-type population was almost identical but not significant, and numbers in the newly identified mutant group were insufficient for any conclusion</w:t>
            </w:r>
          </w:p>
          <w:p>
            <w:pPr>
              <w:pStyle w:val="ListParagraph"/>
              <w:numPr>
                <w:ilvl w:val="0"/>
                <w:numId w:val="2"/>
              </w:numPr>
              <w:spacing w:after="45"/>
            </w:pPr>
            <w:r>
              <w:rPr>
                <w:sz w:val="15"/>
                <w:szCs w:val="15"/>
              </w:rPr>
              <w:t xml:space="preserve">Mismatch repair status was not routinely measured during recruitment and cannot be reliably reported</w:t>
            </w:r>
          </w:p>
          <w:p>
            <w:pPr>
              <w:pStyle w:val="ListParagraph"/>
              <w:numPr>
                <w:ilvl w:val="0"/>
                <w:numId w:val="2"/>
              </w:numPr>
              <w:spacing w:after="45"/>
            </w:pPr>
            <w:r>
              <w:rPr>
                <w:sz w:val="15"/>
                <w:szCs w:val="15"/>
              </w:rPr>
              <w:t xml:space="preserve">The 2006 protocol's suggestion of a 10 mm resection margin was never amended although consensus changed; ablation was not permitted by protocol yet was used in some patients at clinician discretion, and other protocol violations are listed in the appendix</w:t>
            </w:r>
          </w:p>
          <w:p>
            <w:pPr>
              <w:pStyle w:val="ListParagraph"/>
              <w:numPr>
                <w:ilvl w:val="0"/>
                <w:numId w:val="2"/>
              </w:numPr>
              <w:spacing w:after="45"/>
            </w:pPr>
            <w:r>
              <w:rPr>
                <w:sz w:val="15"/>
                <w:szCs w:val="15"/>
              </w:rPr>
              <w:t xml:space="preserve">Right-sided cancers were few, so the larger apparent harm in that group was not significant, and the authors state that if the study were repeated translational endpoints would be prioritised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endpoint that stopped the trial no longer supports stopping it. Recruitment was halted in November 2012 when the lower limit of the 95% CI for the progression-free survival hazard ratio exceeded 1; at mature analysis that hazard ratio is 1.17 with a CI of 0.87-1.56 (p=0.304). The paper reports both facts and does not note that the futility criterion is no longer met.</w:t>
            </w:r>
          </w:p>
          <w:p>
            <w:pPr>
              <w:pStyle w:val="ListParagraph"/>
              <w:numPr>
                <w:ilvl w:val="0"/>
                <w:numId w:val="2"/>
              </w:numPr>
              <w:spacing w:after="45"/>
            </w:pPr>
            <w:r>
              <w:rPr>
                <w:sz w:val="15"/>
                <w:szCs w:val="15"/>
              </w:rPr>
              <w:t xml:space="preserve">The argument that early closure did not influence the outcome is circular: it is made by pointing to the survival result obtained from the same truncated cohort. Early closure limits precision, and the headline survival p value is 0.036 on a secondary endpoint with no multiplicity adjustment and no correction for the interim look.</w:t>
            </w:r>
          </w:p>
          <w:p>
            <w:pPr>
              <w:pStyle w:val="ListParagraph"/>
              <w:numPr>
                <w:ilvl w:val="0"/>
                <w:numId w:val="2"/>
              </w:numPr>
              <w:spacing w:after="45"/>
            </w:pPr>
            <w:r>
              <w:rPr>
                <w:sz w:val="15"/>
                <w:szCs w:val="15"/>
              </w:rPr>
              <w:t xml:space="preserve">The revised target was 268 KRAS wild-type patients and 212 progression events; 272 patients were recruited but only 257 were KRAS wild-type and formed the analysis population, and the number of progression events reached is not stated against that target anywhere in the paper.</w:t>
            </w:r>
          </w:p>
          <w:p>
            <w:pPr>
              <w:pStyle w:val="ListParagraph"/>
              <w:numPr>
                <w:ilvl w:val="0"/>
                <w:numId w:val="2"/>
              </w:numPr>
              <w:spacing w:after="45"/>
            </w:pPr>
            <w:r>
              <w:rPr>
                <w:sz w:val="15"/>
                <w:szCs w:val="15"/>
              </w:rPr>
              <w:t xml:space="preserve">Prespecified quality-of-life and cost-effectiveness endpoints were abandoned, with the stated reason that the trial was negative. A trial reporting a 26-month survival deficit, 16% grade 3-4 rash and 10% grade 3-4 mucositis has the strongest possible case for reporting what patients experienced, and does not.</w:t>
            </w:r>
          </w:p>
          <w:p>
            <w:pPr>
              <w:pStyle w:val="ListParagraph"/>
              <w:numPr>
                <w:ilvl w:val="0"/>
                <w:numId w:val="2"/>
              </w:numPr>
              <w:spacing w:after="45"/>
            </w:pPr>
            <w:r>
              <w:rPr>
                <w:sz w:val="15"/>
                <w:szCs w:val="15"/>
              </w:rPr>
              <w:t xml:space="preserve">Death ascertainment differs between the two endpoints. Overall survival uses NHS Digital registry data with an assumption that anyone not recorded dead is alive and censored two months before the status date, while progression-free survival censors patients lost to follow-up at last assessment irrespective of a death later received from NHS Digital. The two curves are therefore built on different information about the same patients.</w:t>
            </w:r>
          </w:p>
          <w:p>
            <w:pPr>
              <w:pStyle w:val="ListParagraph"/>
              <w:numPr>
                <w:ilvl w:val="0"/>
                <w:numId w:val="2"/>
              </w:numPr>
              <w:spacing w:after="45"/>
            </w:pPr>
            <w:r>
              <w:rPr>
                <w:sz w:val="15"/>
                <w:szCs w:val="15"/>
              </w:rPr>
              <w:t xml:space="preserve">The imbalance in baseline prognosis - synchronous disease 68% against 57% and a metastasis over 3 cm 58% against 49% - is dismissed using the subgroup analyses, which are the least reliable part of the paper: fourteen prespecified exploratory interaction subgroups, no multiplicity control, and the key estimates resting on small strata with wide intervals (node-negative HR 2.22, 95% CI 1.11-4.41; no adverse feature HR 2.35, 1.37-4.03). The primary model is unadjusted, with the minimisation-factor-adjusted model relegated to a sensitivity analysis whose result is not given in the text.</w:t>
            </w:r>
          </w:p>
          <w:p>
            <w:pPr>
              <w:pStyle w:val="ListParagraph"/>
              <w:numPr>
                <w:ilvl w:val="0"/>
                <w:numId w:val="2"/>
              </w:numPr>
              <w:spacing w:after="45"/>
            </w:pPr>
            <w:r>
              <w:rPr>
                <w:sz w:val="15"/>
                <w:szCs w:val="15"/>
              </w:rPr>
              <w:t xml:space="preserve">The arms differ in exposure to the curative treatment: 21 of 129 cetuximab patients never had an operation against 15 of 128, 11 versus 3 of them because of progression. Part of the survival difference is therefore mediated by not being operated on, and the paper does not separate that pathway from a direct effect of the drug.</w:t>
            </w:r>
          </w:p>
          <w:p>
            <w:pPr>
              <w:pStyle w:val="ListParagraph"/>
              <w:numPr>
                <w:ilvl w:val="0"/>
                <w:numId w:val="2"/>
              </w:numPr>
              <w:spacing w:after="45"/>
            </w:pPr>
            <w:r>
              <w:rPr>
                <w:sz w:val="15"/>
                <w:szCs w:val="15"/>
              </w:rPr>
              <w:t xml:space="preserve">Post-progression survival (33.5 versus 23.5 months, HR 1.55, 95% CI 1.07-2.24) is presented as evidence that cetuximab produced a more aggressive disease phenotype, but no second-line or subsequent therapy is reported for either arm, and the supporting claim that progression was associated with early death in the cetuximab group rests, in the authors' own words, on visual inspection of the survival curves.</w:t>
            </w:r>
          </w:p>
          <w:p>
            <w:pPr>
              <w:pStyle w:val="ListParagraph"/>
              <w:numPr>
                <w:ilvl w:val="0"/>
                <w:numId w:val="2"/>
              </w:numPr>
              <w:spacing w:after="45"/>
            </w:pPr>
            <w:r>
              <w:rPr>
                <w:sz w:val="15"/>
                <w:szCs w:val="15"/>
              </w:rPr>
              <w:t xml:space="preserve">The multisite-progression and post-progression analyses draw on data collected after the interim analysis, which means the comparison is partly built on information gathered once the arms were known and cetuximab had been stopped.</w:t>
            </w:r>
          </w:p>
          <w:p>
            <w:pPr>
              <w:pStyle w:val="ListParagraph"/>
              <w:numPr>
                <w:ilvl w:val="0"/>
                <w:numId w:val="2"/>
              </w:numPr>
              <w:spacing w:after="45"/>
            </w:pPr>
            <w:r>
              <w:rPr>
                <w:sz w:val="15"/>
                <w:szCs w:val="15"/>
              </w:rPr>
              <w:t xml:space="preserve">The mechanistic account does not hold together and the paper says so without changing the conclusion: no miR-31-3p subgroup benefiting from cetuximab could be identified, and high AREG/EREG expression was associated with worse outcome here and better outcome in advanced disease. The claim that the finding is robust with no apparent confounding variables sits one page after the admission that the biology is unexplained.</w:t>
            </w:r>
          </w:p>
          <w:p>
            <w:pPr>
              <w:pStyle w:val="ListParagraph"/>
              <w:numPr>
                <w:ilvl w:val="0"/>
                <w:numId w:val="2"/>
              </w:numPr>
              <w:spacing w:after="45"/>
            </w:pPr>
            <w:r>
              <w:rPr>
                <w:sz w:val="15"/>
                <w:szCs w:val="15"/>
              </w:rPr>
              <w:t xml:space="preserve">There was no central radiological review of response or progression in an open-label trial whose primary endpoint was progression, and whose subsequent interpretation turns on the pattern and timing of progression events.</w:t>
            </w:r>
          </w:p>
          <w:p>
            <w:pPr>
              <w:pStyle w:val="ListParagraph"/>
              <w:numPr>
                <w:ilvl w:val="0"/>
                <w:numId w:val="2"/>
              </w:numPr>
              <w:spacing w:after="45"/>
            </w:pPr>
            <w:r>
              <w:rPr>
                <w:sz w:val="15"/>
                <w:szCs w:val="15"/>
              </w:rPr>
              <w:t xml:space="preserve">The recommendation applies to a population the trial never studied. Today no patient with any RAS or BRAF mutation would receive cetuximab, and the all RAS/RAF wild-type analysis - the only one matching current selection - was retrospective, incomplete and not statistically significant.</w:t>
            </w:r>
          </w:p>
          <w:p>
            <w:pPr>
              <w:pStyle w:val="ListParagraph"/>
              <w:numPr>
                <w:ilvl w:val="0"/>
                <w:numId w:val="2"/>
              </w:numPr>
              <w:spacing w:after="45"/>
            </w:pPr>
            <w:r>
              <w:rPr>
                <w:sz w:val="15"/>
                <w:szCs w:val="15"/>
              </w:rPr>
              <w:t xml:space="preserve">The control-arm 5-year survival is described as comparable to the best of any case series despite the inclusion of borderline resectable patients, a comparison made against unmatched historical series and used to argue the quality of the trial's surgery.</w:t>
            </w:r>
          </w:p>
          <w:p>
            <w:pPr>
              <w:pStyle w:val="ListParagraph"/>
              <w:numPr>
                <w:ilvl w:val="0"/>
                <w:numId w:val="2"/>
              </w:numPr>
              <w:spacing w:after="45"/>
            </w:pPr>
            <w:r>
              <w:rPr>
                <w:sz w:val="15"/>
                <w:szCs w:val="15"/>
              </w:rPr>
              <w:t xml:space="preserve">A linked Lancet Oncology comment (PMID 32014120, Gholami and Grothey, 'EGFR antibodies in resectable metastatic colorectal liver metastasis: more harm than benefit?', 2020) was identified in PubMed but its text was not read for this record, so its reasoning is not reflected here.</w:t>
            </w:r>
          </w:p>
        </w:tc>
      </w:tr>
    </w:tbl>
    <w:p>
      <w:pPr>
        <w:spacing w:after="0" w:line="276"/>
      </w:pPr>
      <w:r>
        <w:rPr>
          <w:color w:val="5A6069"/>
          <w:sz w:val="14"/>
          <w:szCs w:val="14"/>
        </w:rPr>
        <w:t xml:space="preserve">Funding: Cancer Research UK (C317/A7275), supported by the NIHR Clinical Research Network: Cancer, and also supported by a medical grant from Merck KGaA, which supplied the cetuximab and funded the original KRAS testing. The funder is stated to have had no role in design, collection, analysis, interpretation or writing. Four authors declare industry relationships, one of them speakers' fees from Merck Serono</w:t>
      </w:r>
    </w:p>
    <w:p>
      <w:pPr>
        <w:keepNext/>
        <w:spacing w:after="50" w:before="260"/>
      </w:pPr>
      <w:r>
        <w:rPr>
          <w:rFonts w:ascii="Cambria" w:cs="Cambria" w:eastAsia="Cambria" w:hAnsi="Cambria"/>
          <w:b/>
          <w:bCs/>
          <w:color w:val="17365D"/>
          <w:sz w:val="20"/>
          <w:szCs w:val="20"/>
        </w:rPr>
        <w:t xml:space="preserve">North American LDLT</w:t>
      </w:r>
      <w:r>
        <w:rPr>
          <w:b/>
          <w:bCs/>
          <w:color w:val="176A87"/>
          <w:sz w:val="15"/>
          <w:szCs w:val="15"/>
        </w:rPr>
        <w:t xml:space="preserve">   cohort</w:t>
      </w:r>
      <w:r>
        <w:rPr>
          <w:color w:val="5A6069"/>
          <w:sz w:val="15"/>
          <w:szCs w:val="15"/>
        </w:rPr>
        <w:t xml:space="preserve">   PMID 35353121</w:t>
      </w:r>
    </w:p>
    <w:p>
      <w:pPr>
        <w:spacing w:after="50" w:line="276"/>
      </w:pPr>
      <w:r>
        <w:rPr>
          <w:color w:val="5A6069"/>
          <w:sz w:val="17"/>
          <w:szCs w:val="17"/>
        </w:rPr>
        <w:t xml:space="preserve">Recipient and Donor Outcomes After Living-Donor Liver Transplant for Unresectable Colorectal Liver Metastases</w:t>
      </w:r>
    </w:p>
    <w:p>
      <w:pPr>
        <w:spacing w:after="50"/>
      </w:pPr>
      <w:r>
        <w:rPr>
          <w:b/>
          <w:bCs/>
          <w:color w:val="176A87"/>
          <w:sz w:val="16"/>
          <w:szCs w:val="16"/>
        </w:rPr>
        <w:t xml:space="preserve">Population. </w:t>
      </w:r>
      <w:r>
        <w:rPr>
          <w:sz w:val="16"/>
          <w:szCs w:val="16"/>
        </w:rPr>
        <w:t xml:space="preserve">10 consecutive recipients of living-donor liver transplantation for unresectable liver-confined colorectal metastases at three North American centres, drawn from 91 patients evaluated (12, 13%, achieved sustained disease control and became candidates; 2 with high MELD received deceased-donor grafts). Median Fong score 2.5 (range 1-4), Oslo score 1.5 (0-2), 22.5 chemotherapy cycles (6-37), CEA 7.7 ng/mL, 1.7 years from metastasis diagnosis to transplant; 9 of 10 synchronous, 8 of 10 bilobar, 4 with prior liver resection, 3 with prior hepatic arterial infusion, 3 with prior ablation. Median follow-up 1.5 years (range 0.4-2.9) with 10 living donors</w:t>
      </w:r>
    </w:p>
    <w:p>
      <w:pPr>
        <w:spacing w:after="70"/>
      </w:pPr>
      <w:r>
        <w:rPr>
          <w:b/>
          <w:bCs/>
          <w:color w:val="17365D"/>
          <w:sz w:val="16"/>
          <w:szCs w:val="16"/>
        </w:rPr>
        <w:t xml:space="preserve">Bottom line. </w:t>
      </w:r>
      <w:r>
        <w:rPr>
          <w:sz w:val="16"/>
          <w:szCs w:val="16"/>
        </w:rPr>
        <w:t xml:space="preserve">Shows that living-donor liver transplantation for unresectable liver-confined colorectal metastases can be done safely at experienced North American centres - all ten recipients alive at a median 1.5 years, all ten donors recovered, with four recipient grade III complications and one donor grade IIIB. It establishes nothing about oncological benefit: 30% recurred within 200 days despite sustained pretransplant response, follow-up is a median of 1.5 years, total tumour burden at transplant is not reported, three different centre protocols are pooled into a cohort of ten, and the 79 patients evaluated but not transplanted - the comparison that would show what selection achieved - are not described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number of patients was small, so the authors state conclusions should be made with caution</w:t>
            </w:r>
          </w:p>
          <w:p>
            <w:pPr>
              <w:pStyle w:val="ListParagraph"/>
              <w:numPr>
                <w:ilvl w:val="0"/>
                <w:numId w:val="2"/>
              </w:numPr>
              <w:spacing w:after="45"/>
            </w:pPr>
            <w:r>
              <w:rPr>
                <w:sz w:val="15"/>
                <w:szCs w:val="15"/>
              </w:rPr>
              <w:t xml:space="preserve">They state there was a risk of selection bias because only patients who received transplants were included</w:t>
            </w:r>
          </w:p>
          <w:p>
            <w:pPr>
              <w:pStyle w:val="ListParagraph"/>
              <w:numPr>
                <w:ilvl w:val="0"/>
                <w:numId w:val="2"/>
              </w:numPr>
              <w:spacing w:after="45"/>
            </w:pPr>
            <w:r>
              <w:rPr>
                <w:sz w:val="15"/>
                <w:szCs w:val="15"/>
              </w:rPr>
              <w:t xml:space="preserve">They state the findings should be further investigated in future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Thirty percent of recipients recurred, all within 200 days of transplantation - at 92, 121 and 199 days - which the accompanying commentary notes would be alarming in any other transplant oncology indication, and which means sustained response to systemic and local therapy did not identify favourable biology in a third of this highly selected group.</w:t>
            </w:r>
          </w:p>
          <w:p>
            <w:pPr>
              <w:pStyle w:val="ListParagraph"/>
              <w:numPr>
                <w:ilvl w:val="0"/>
                <w:numId w:val="2"/>
              </w:numPr>
              <w:spacing w:after="45"/>
            </w:pPr>
            <w:r>
              <w:rPr>
                <w:sz w:val="15"/>
                <w:szCs w:val="15"/>
              </w:rPr>
              <w:t xml:space="preserve">Survival of 100% at 1.5 years with a median follow-up of 1.5 years and a minimum of 0.4 years is a statement about the perioperative period, not about the disease. The commentary printed alongside calls it akin to a technical demonstration of an operation already well established for other indications.</w:t>
            </w:r>
          </w:p>
          <w:p>
            <w:pPr>
              <w:pStyle w:val="ListParagraph"/>
              <w:numPr>
                <w:ilvl w:val="0"/>
                <w:numId w:val="2"/>
              </w:numPr>
              <w:spacing w:after="45"/>
            </w:pPr>
            <w:r>
              <w:rPr>
                <w:sz w:val="15"/>
                <w:szCs w:val="15"/>
              </w:rPr>
              <w:t xml:space="preserve">The outcomes of the 79 patients evaluated and not transplanted, and of the 2 who received deceased-donor grafts, are not reported. Without them the selection process that produced these results cannot be assessed, and the paper has no denominator for the strategy it recommends.</w:t>
            </w:r>
          </w:p>
          <w:p>
            <w:pPr>
              <w:pStyle w:val="ListParagraph"/>
              <w:numPr>
                <w:ilvl w:val="0"/>
                <w:numId w:val="2"/>
              </w:numPr>
              <w:spacing w:after="45"/>
            </w:pPr>
            <w:r>
              <w:rPr>
                <w:sz w:val="15"/>
                <w:szCs w:val="15"/>
              </w:rPr>
              <w:t xml:space="preserve">Three different centre protocols with three different candidate selection processes are pooled into one cohort of ten, with the centre-specific criteria relegated to a supplementary table; the Methods describe only the common framework, so what any individual patient had to satisfy is not recoverable from the paper.</w:t>
            </w:r>
          </w:p>
          <w:p>
            <w:pPr>
              <w:pStyle w:val="ListParagraph"/>
              <w:numPr>
                <w:ilvl w:val="0"/>
                <w:numId w:val="2"/>
              </w:numPr>
              <w:spacing w:after="45"/>
            </w:pPr>
            <w:r>
              <w:rPr>
                <w:sz w:val="15"/>
                <w:szCs w:val="15"/>
              </w:rPr>
              <w:t xml:space="preserve">Prior treatment was heterogeneous and intensive - 40% prior liver resection, 30% hepatic arterial infusion, 30% ablation, a median 22.5 cycles of chemotherapy - so the intervention being reported is the final step of a long individualised sequence rather than a defined treatment.</w:t>
            </w:r>
          </w:p>
          <w:p>
            <w:pPr>
              <w:pStyle w:val="ListParagraph"/>
              <w:numPr>
                <w:ilvl w:val="0"/>
                <w:numId w:val="2"/>
              </w:numPr>
              <w:spacing w:after="45"/>
            </w:pPr>
            <w:r>
              <w:rPr>
                <w:sz w:val="15"/>
                <w:szCs w:val="15"/>
              </w:rPr>
              <w:t xml:space="preserve">Total tumour burden at transplantation is not reported. The commentary names this explicitly as unclear, and the paper gives Fong and Oslo scores without lesion number, lesion size or metabolic tumour volume at the time of operation, which are the variables the Oslo group's own work identifies as decisive.</w:t>
            </w:r>
          </w:p>
          <w:p>
            <w:pPr>
              <w:pStyle w:val="ListParagraph"/>
              <w:numPr>
                <w:ilvl w:val="0"/>
                <w:numId w:val="2"/>
              </w:numPr>
              <w:spacing w:after="45"/>
            </w:pPr>
            <w:r>
              <w:rPr>
                <w:sz w:val="15"/>
                <w:szCs w:val="15"/>
              </w:rPr>
              <w:t xml:space="preserve">Nine of ten explants contained viable tumour and one carried a positive portal lymph node, so a patient with nodal metastatic disease was transplanted - and that patient developed peritoneal recurrence. Frozen-section nodal assessment is not described as part of the protocol, in contrast to the Oslo series where it excluded 7 of 72 listed patients.</w:t>
            </w:r>
          </w:p>
          <w:p>
            <w:pPr>
              <w:pStyle w:val="ListParagraph"/>
              <w:numPr>
                <w:ilvl w:val="0"/>
                <w:numId w:val="2"/>
              </w:numPr>
              <w:spacing w:after="45"/>
            </w:pPr>
            <w:r>
              <w:rPr>
                <w:sz w:val="15"/>
                <w:szCs w:val="15"/>
              </w:rPr>
              <w:t xml:space="preserve">The harms of the operation are substantial in both directions and are reported without being weighed: Clavien-Dindo grade IIIA or IIIB complications in 4 of 10 recipients including hepatic artery thrombosis requiring reoperation and biliary complications, and one donor with a grade IIIB complication requiring evacuation of a haematoma, with median donor blood loss of 525 mL and a range to 1400 mL.</w:t>
            </w:r>
          </w:p>
          <w:p>
            <w:pPr>
              <w:pStyle w:val="ListParagraph"/>
              <w:numPr>
                <w:ilvl w:val="0"/>
                <w:numId w:val="2"/>
              </w:numPr>
              <w:spacing w:after="45"/>
            </w:pPr>
            <w:r>
              <w:rPr>
                <w:sz w:val="15"/>
                <w:szCs w:val="15"/>
              </w:rPr>
              <w:t xml:space="preserve">A healthy person underwent a hepatectomy for each of these ten operations. The paper reports donor outcomes but offers no formal risk-benefit framing of exposing a donor to that risk for an indication with 30% recurrence inside seven months, which is the commentary's central objection.</w:t>
            </w:r>
          </w:p>
          <w:p>
            <w:pPr>
              <w:pStyle w:val="ListParagraph"/>
              <w:numPr>
                <w:ilvl w:val="0"/>
                <w:numId w:val="2"/>
              </w:numPr>
              <w:spacing w:after="45"/>
            </w:pPr>
            <w:r>
              <w:rPr>
                <w:sz w:val="15"/>
                <w:szCs w:val="15"/>
              </w:rPr>
              <w:t xml:space="preserve">There is no comparator arm. The implied alternative is continued systemic therapy, and the paper does not report what the 79 non-transplanted patients received or how they fared, so no estimate of benefit over the alternative exists within the study.</w:t>
            </w:r>
          </w:p>
          <w:p>
            <w:pPr>
              <w:pStyle w:val="ListParagraph"/>
              <w:numPr>
                <w:ilvl w:val="0"/>
                <w:numId w:val="2"/>
              </w:numPr>
              <w:spacing w:after="45"/>
            </w:pPr>
            <w:r>
              <w:rPr>
                <w:sz w:val="15"/>
                <w:szCs w:val="15"/>
              </w:rPr>
              <w:t xml:space="preserve">Internal inconsistencies: the abstract tallies recipient complications as 3 none, 3 grade II and 4 grade III while Table 4 gives 3 none, 3 grade II, 2 grade IIIA and 2 grade IIIB; and the abstract dates the transplants to July 2017 to October 2020 while the Methods give December 2017 to May 2021.</w:t>
            </w:r>
          </w:p>
          <w:p>
            <w:pPr>
              <w:pStyle w:val="ListParagraph"/>
              <w:numPr>
                <w:ilvl w:val="0"/>
                <w:numId w:val="2"/>
              </w:numPr>
              <w:spacing w:after="45"/>
            </w:pPr>
            <w:r>
              <w:rPr>
                <w:sz w:val="15"/>
                <w:szCs w:val="15"/>
              </w:rPr>
              <w:t xml:space="preserve">Follow-up is too short for the endpoint that matters and is reported as a Kaplan-Meier estimate anyway: recurrence-free survival of 62% at 1.5 years comes from 10 patients with 3 events and no confidence interval.</w:t>
            </w:r>
          </w:p>
          <w:p>
            <w:pPr>
              <w:pStyle w:val="ListParagraph"/>
              <w:numPr>
                <w:ilvl w:val="0"/>
                <w:numId w:val="2"/>
              </w:numPr>
              <w:spacing w:after="45"/>
            </w:pPr>
            <w:r>
              <w:rPr>
                <w:sz w:val="15"/>
                <w:szCs w:val="15"/>
              </w:rPr>
              <w:t xml:space="preserve">No funding statement appears anywhere in the paper.</w:t>
            </w:r>
          </w:p>
          <w:p>
            <w:pPr>
              <w:pStyle w:val="ListParagraph"/>
              <w:numPr>
                <w:ilvl w:val="0"/>
                <w:numId w:val="2"/>
              </w:numPr>
              <w:spacing w:after="45"/>
            </w:pPr>
            <w:r>
              <w:rPr>
                <w:sz w:val="15"/>
                <w:szCs w:val="15"/>
              </w:rPr>
              <w:t xml:space="preserve">The invited commentary (PMID 35353145, Shah and Vagefi, 'Let's Walk, Not Run', JAMA Surg 2022;157:530-1) is printed with the article and its arguments are reflected above.</w:t>
            </w:r>
          </w:p>
        </w:tc>
      </w:tr>
    </w:tbl>
    <w:p>
      <w:pPr>
        <w:spacing w:after="0" w:line="276"/>
      </w:pPr>
      <w:r>
        <w:rPr>
          <w:color w:val="5A6069"/>
          <w:sz w:val="14"/>
          <w:szCs w:val="14"/>
        </w:rPr>
        <w:t xml:space="preserve">Funding: No funding statement appears. Two authors declare grants or personal fees from Medtronic, Integra LifeSciences, Olympus, Fujifilm, Ethicon, Roche, Bayer, AstraZeneca and Novartis outside the submitted work; no other disclosures were reported</w:t>
      </w:r>
    </w:p>
    <w:p>
      <w:pPr>
        <w:keepNext/>
        <w:spacing w:after="50" w:before="260"/>
      </w:pPr>
      <w:r>
        <w:rPr>
          <w:rFonts w:ascii="Cambria" w:cs="Cambria" w:eastAsia="Cambria" w:hAnsi="Cambria"/>
          <w:b/>
          <w:bCs/>
          <w:color w:val="17365D"/>
          <w:sz w:val="20"/>
          <w:szCs w:val="20"/>
        </w:rPr>
        <w:t xml:space="preserve">Oslo cohort</w:t>
      </w:r>
      <w:r>
        <w:rPr>
          <w:b/>
          <w:bCs/>
          <w:color w:val="176A87"/>
          <w:sz w:val="15"/>
          <w:szCs w:val="15"/>
        </w:rPr>
        <w:t xml:space="preserve">   cohort</w:t>
      </w:r>
      <w:r>
        <w:rPr>
          <w:color w:val="5A6069"/>
          <w:sz w:val="15"/>
          <w:szCs w:val="15"/>
        </w:rPr>
        <w:t xml:space="preserve">   PMID 37494056</w:t>
      </w:r>
    </w:p>
    <w:p>
      <w:pPr>
        <w:spacing w:after="50" w:line="276"/>
      </w:pPr>
      <w:r>
        <w:rPr>
          <w:color w:val="5A6069"/>
          <w:sz w:val="17"/>
          <w:szCs w:val="17"/>
        </w:rPr>
        <w:t xml:space="preserve">Long-Term Survival, Prognostic Factors, and Selection of Patients With Colorectal Cancer for Liver Transplant: A Nonrandomized Controlled Trial</w:t>
      </w:r>
    </w:p>
    <w:p>
      <w:pPr>
        <w:spacing w:after="50"/>
      </w:pPr>
      <w:r>
        <w:rPr>
          <w:b/>
          <w:bCs/>
          <w:color w:val="176A87"/>
          <w:sz w:val="16"/>
          <w:szCs w:val="16"/>
        </w:rPr>
        <w:t xml:space="preserve">Population. </w:t>
      </w:r>
      <w:r>
        <w:rPr>
          <w:sz w:val="16"/>
          <w:szCs w:val="16"/>
        </w:rPr>
        <w:t xml:space="preserve">72 patients accepted onto the waiting list and 61 transplanted for colorectal liver metastases at Oslo University Hospital between November 2006 and November 2020 across SECA-I, SECA-II arms A to D and RAPID; 60 of the 61 had non-resectable liver-only disease, median age 57.8, median 8 lesions (range 1-53) with largest 35 mm (3-130), all previously treated with fluorouracil and most with irinotecan and oxaliplatin, 12 with prior liver resection and 7 with prior ablation, and none given adjuvant chemotherapy. Eleven listed patients were never transplanted, 7 for hilar nodal disease found at laparotomy</w:t>
      </w:r>
    </w:p>
    <w:p>
      <w:pPr>
        <w:spacing w:after="70"/>
      </w:pPr>
      <w:r>
        <w:rPr>
          <w:b/>
          <w:bCs/>
          <w:color w:val="17365D"/>
          <w:sz w:val="16"/>
          <w:szCs w:val="16"/>
        </w:rPr>
        <w:t xml:space="preserve">Bottom line. </w:t>
      </w:r>
      <w:r>
        <w:rPr>
          <w:sz w:val="16"/>
          <w:szCs w:val="16"/>
        </w:rPr>
        <w:t xml:space="preserve">The largest and most mature transplant series in colorectal liver metastases: 61 patients over 14 years, median overall survival 60.3 months and 50.4% at five years, with the best-selected tenth - Oslo score 0 - reaching 88.9% at ten years, and survival after relapse of 37.1 months on repeated metastasectomy. It does not validate the selection rule it recommends: the Oslo score and the 70 cm3 PET threshold were both derived in patients included here, the favourable strata hold 5 to 19 people with no confidence intervals, every factor was tested singly with no multivariable model, and survival is counted from transplantation rather than from listing, which drops the 11 of 72 patients who never got a graft and takes five-year survival from 50.4% to 42.6%. The section headed Limitations contains none.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section headed Limitations contains no limitation of the study. It states that SECA-I patients had good quality of life to three years, that transplantation is cost-effective against modern oncological treatment, that the major obstacle internationally is graft scarcity, that only 1 of 11 extended-criteria grafts failed, and that the RAPID technique may expand the donor pool</w:t>
            </w:r>
          </w:p>
          <w:p>
            <w:pPr>
              <w:pStyle w:val="ListParagraph"/>
              <w:numPr>
                <w:ilvl w:val="0"/>
                <w:numId w:val="2"/>
              </w:numPr>
              <w:spacing w:after="45"/>
            </w:pPr>
            <w:r>
              <w:rPr>
                <w:sz w:val="15"/>
                <w:szCs w:val="15"/>
              </w:rPr>
              <w:t xml:space="preserve">The authors state elsewhere that disease-free survival is not a valid measure of efficacy in this setting, because recurrence is compatible with long survival</w:t>
            </w:r>
          </w:p>
          <w:p>
            <w:pPr>
              <w:pStyle w:val="ListParagraph"/>
              <w:numPr>
                <w:ilvl w:val="0"/>
                <w:numId w:val="2"/>
              </w:numPr>
              <w:spacing w:after="45"/>
            </w:pPr>
            <w:r>
              <w:rPr>
                <w:sz w:val="15"/>
                <w:szCs w:val="15"/>
              </w:rPr>
              <w:t xml:space="preserve">They report that the cohort spans several protocols with different entry criteria and that no adjuvant chemotherapy was given to any patient</w:t>
            </w:r>
          </w:p>
          <w:p>
            <w:pPr>
              <w:pStyle w:val="ListParagraph"/>
              <w:numPr>
                <w:ilvl w:val="0"/>
                <w:numId w:val="2"/>
              </w:numPr>
              <w:spacing w:after="45"/>
            </w:pPr>
            <w:r>
              <w:rPr>
                <w:sz w:val="15"/>
                <w:szCs w:val="15"/>
              </w:rPr>
              <w:t xml:space="preserve">They state that one RAPID patient who died of complications 1.4 months after transplantation is excluded from all analyses except disease-free and overall survival</w:t>
            </w:r>
          </w:p>
          <w:p>
            <w:pPr>
              <w:pStyle w:val="ListParagraph"/>
              <w:numPr>
                <w:ilvl w:val="0"/>
                <w:numId w:val="2"/>
              </w:numPr>
              <w:spacing w:after="45"/>
            </w:pPr>
            <w:r>
              <w:rPr>
                <w:sz w:val="15"/>
                <w:szCs w:val="15"/>
              </w:rPr>
              <w:t xml:space="preserve">They note that a primary tumour in the ascending colon, an Oslo score of 3 to 4, a lesion of 5.5 cm or more, CEA above 80 ug/L, progression on chemotherapy and nine or more metastases all predict poor outcome, and conclude that selection should require an Oslo score of 0 to 1 and a metabolic tumour volume under 70 cm3</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has no limitations section despite having one by title, so every methodological objection below is unacknowledged.</w:t>
            </w:r>
          </w:p>
          <w:p>
            <w:pPr>
              <w:pStyle w:val="ListParagraph"/>
              <w:numPr>
                <w:ilvl w:val="0"/>
                <w:numId w:val="2"/>
              </w:numPr>
              <w:spacing w:after="45"/>
            </w:pPr>
            <w:r>
              <w:rPr>
                <w:sz w:val="15"/>
                <w:szCs w:val="15"/>
              </w:rPr>
              <w:t xml:space="preserve">The selection rule the paper concludes with would have admitted a small fraction of its own cohort. An Oslo score of 0 describes 10 patients and a Fong score of 0 to 2 describes 19 of 60; the 88.9% ten-year survival rests on 10 patients and the 100% five-year survival on the 5 patients with a Fong score of 1. No confidence interval accompanies any of these subgroup estimates.</w:t>
            </w:r>
          </w:p>
          <w:p>
            <w:pPr>
              <w:pStyle w:val="ListParagraph"/>
              <w:numPr>
                <w:ilvl w:val="0"/>
                <w:numId w:val="2"/>
              </w:numPr>
              <w:spacing w:after="45"/>
            </w:pPr>
            <w:r>
              <w:rPr>
                <w:sz w:val="15"/>
                <w:szCs w:val="15"/>
              </w:rPr>
              <w:t xml:space="preserve">Both selection instruments were built by this group from patients inside this cohort: the Oslo score was derived in SECA-I and the 70 cm3 metabolic tumour volume threshold by ROC analysis in the SECA-1 and SECA-2 patients, all of whom are included here. The paper presents their performance as a selection recommendation without stating that it is apparent performance in the derivation sample.</w:t>
            </w:r>
          </w:p>
          <w:p>
            <w:pPr>
              <w:pStyle w:val="ListParagraph"/>
              <w:numPr>
                <w:ilvl w:val="0"/>
                <w:numId w:val="2"/>
              </w:numPr>
              <w:spacing w:after="45"/>
            </w:pPr>
            <w:r>
              <w:rPr>
                <w:sz w:val="15"/>
                <w:szCs w:val="15"/>
              </w:rPr>
              <w:t xml:space="preserve">The two criteria recommended together are not independent of each other or of the factors they are built from. Largest lesion, CEA, progression on chemotherapy and time from primary resection are the Oslo score's own components and are also reported as separate significant predictors, and metabolic tumour volume tracks all of them. No multivariable model appears anywhere.</w:t>
            </w:r>
          </w:p>
          <w:p>
            <w:pPr>
              <w:pStyle w:val="ListParagraph"/>
              <w:numPr>
                <w:ilvl w:val="0"/>
                <w:numId w:val="2"/>
              </w:numPr>
              <w:spacing w:after="45"/>
            </w:pPr>
            <w:r>
              <w:rPr>
                <w:sz w:val="15"/>
                <w:szCs w:val="15"/>
              </w:rPr>
              <w:t xml:space="preserve">Prognostic factors were tested one at a time by log-rank in 60 patients - Oslo score, Fong score, metabolic tumour volume, lesion size, CEA, progression, lesion number, primary site, KRAS, nodal stage - with no correction for multiplicity and no prespecified primary analysis, so the two or three thresholds that separated best are the output of a search.</w:t>
            </w:r>
          </w:p>
          <w:p>
            <w:pPr>
              <w:pStyle w:val="ListParagraph"/>
              <w:numPr>
                <w:ilvl w:val="0"/>
                <w:numId w:val="2"/>
              </w:numPr>
              <w:spacing w:after="45"/>
            </w:pPr>
            <w:r>
              <w:rPr>
                <w:sz w:val="15"/>
                <w:szCs w:val="15"/>
              </w:rPr>
              <w:t xml:space="preserve">Survival is reported from the date of transplantation, which conditions on having received a graft. Seven of the 72 listed patients were found at laparotomy to have hilar nodal metastases, three developed extrahepatic disease while waiting and one deteriorated; from acceptance onto the list the figures fall to a median 50.8 months and 42.6% at five years, and that analysis sits in a supplementary figure.</w:t>
            </w:r>
          </w:p>
          <w:p>
            <w:pPr>
              <w:pStyle w:val="ListParagraph"/>
              <w:numPr>
                <w:ilvl w:val="0"/>
                <w:numId w:val="2"/>
              </w:numPr>
              <w:spacing w:after="45"/>
            </w:pPr>
            <w:r>
              <w:rPr>
                <w:sz w:val="15"/>
                <w:szCs w:val="15"/>
              </w:rPr>
              <w:t xml:space="preserve">The cohort is six protocols treated as one: SECA-I, four separate SECA-II arms and RAPID, with different prognostic entry criteria, different grafts including 11 extended-criteria donors and auxiliary segment 2-3 transplants, across 14 years of changing systemic therapy. Trial arm is never entered as a covariate and the arms are not compared.</w:t>
            </w:r>
          </w:p>
          <w:p>
            <w:pPr>
              <w:pStyle w:val="ListParagraph"/>
              <w:numPr>
                <w:ilvl w:val="0"/>
                <w:numId w:val="2"/>
              </w:numPr>
              <w:spacing w:after="45"/>
            </w:pPr>
            <w:r>
              <w:rPr>
                <w:sz w:val="15"/>
                <w:szCs w:val="15"/>
              </w:rPr>
              <w:t xml:space="preserve">One patient with technically resectable disease was randomly assigned to transplantation and is included; the word nonrandomized appears in the title while a randomised comparison involving at least one patient is folded into the same survival curves without being reported as a comparison.</w:t>
            </w:r>
          </w:p>
          <w:p>
            <w:pPr>
              <w:pStyle w:val="ListParagraph"/>
              <w:numPr>
                <w:ilvl w:val="0"/>
                <w:numId w:val="2"/>
              </w:numPr>
              <w:spacing w:after="45"/>
            </w:pPr>
            <w:r>
              <w:rPr>
                <w:sz w:val="15"/>
                <w:szCs w:val="15"/>
              </w:rPr>
              <w:t xml:space="preserve">There is no control group of any kind - no chemotherapy, resection, portal vein embolisation or listed-but-untransplanted cohort analysed as a comparator - so the claim that transplantation may be the best option even for resectable extensive disease is supported only by cross-study comparison with other series.</w:t>
            </w:r>
          </w:p>
          <w:p>
            <w:pPr>
              <w:pStyle w:val="ListParagraph"/>
              <w:numPr>
                <w:ilvl w:val="0"/>
                <w:numId w:val="2"/>
              </w:numPr>
              <w:spacing w:after="45"/>
            </w:pPr>
            <w:r>
              <w:rPr>
                <w:sz w:val="15"/>
                <w:szCs w:val="15"/>
              </w:rPr>
              <w:t xml:space="preserve">Recurrence was near universal: 47 of 60 patients (78.3%) relapsed at a median 9.0 months and 94% within two years, with median disease-free survival 11.8 months and 18.3% at five years. The argument that disease-free survival is not a valid efficacy measure converts this into a methodological claim and leaves the survival benefit resting on repeated resection of pulmonary metastases under immunosuppression, which is never costed, counted by operation, or reported as time spent disease free.</w:t>
            </w:r>
          </w:p>
          <w:p>
            <w:pPr>
              <w:pStyle w:val="ListParagraph"/>
              <w:numPr>
                <w:ilvl w:val="0"/>
                <w:numId w:val="2"/>
              </w:numPr>
              <w:spacing w:after="45"/>
            </w:pPr>
            <w:r>
              <w:rPr>
                <w:sz w:val="15"/>
                <w:szCs w:val="15"/>
              </w:rPr>
              <w:t xml:space="preserve">The ascending-colon finding - median survival 17.9 months and 10% at five years - rests on 10 patients and is offered as a selection criterion alongside the scores, with no interaction test and no adjustment for the tumour burden that accompanies right-sided disease.</w:t>
            </w:r>
          </w:p>
          <w:p>
            <w:pPr>
              <w:pStyle w:val="ListParagraph"/>
              <w:numPr>
                <w:ilvl w:val="0"/>
                <w:numId w:val="2"/>
              </w:numPr>
              <w:spacing w:after="45"/>
            </w:pPr>
            <w:r>
              <w:rPr>
                <w:sz w:val="15"/>
                <w:szCs w:val="15"/>
              </w:rPr>
              <w:t xml:space="preserve">Graft outcomes, rejection, immunosuppression exposure and non-cancer mortality are not reported, although the Limitations section cites the performance of extended-criteria grafts as an argument for expanding the indication.</w:t>
            </w:r>
          </w:p>
          <w:p>
            <w:pPr>
              <w:pStyle w:val="ListParagraph"/>
              <w:numPr>
                <w:ilvl w:val="0"/>
                <w:numId w:val="2"/>
              </w:numPr>
              <w:spacing w:after="45"/>
            </w:pPr>
            <w:r>
              <w:rPr>
                <w:sz w:val="15"/>
                <w:szCs w:val="15"/>
              </w:rPr>
              <w:t xml:space="preserve">Quality of life and cost-effectiveness are asserted from the authors' own earlier publications rather than measured here, in the section where the study's limitations should be.</w:t>
            </w:r>
          </w:p>
          <w:p>
            <w:pPr>
              <w:pStyle w:val="ListParagraph"/>
              <w:numPr>
                <w:ilvl w:val="0"/>
                <w:numId w:val="2"/>
              </w:numPr>
              <w:spacing w:after="45"/>
            </w:pPr>
            <w:r>
              <w:rPr>
                <w:sz w:val="15"/>
                <w:szCs w:val="15"/>
              </w:rPr>
              <w:t xml:space="preserve">Internal inconsistency: Table 1 gives the Fong score distribution as 5/16/25/10/5 while the text gives 5, 16, 25, 9 and 5 and states that 19 patients scored 0 to 2, so the denominators of the key subgroup cannot be reconciled between table and text.</w:t>
            </w:r>
          </w:p>
          <w:p>
            <w:pPr>
              <w:pStyle w:val="ListParagraph"/>
              <w:numPr>
                <w:ilvl w:val="0"/>
                <w:numId w:val="2"/>
              </w:numPr>
              <w:spacing w:after="45"/>
            </w:pPr>
            <w:r>
              <w:rPr>
                <w:sz w:val="15"/>
                <w:szCs w:val="15"/>
              </w:rPr>
              <w:t xml:space="preserve">A linked invited commentary (PMID 37494008, Ellis and D'Angelica, JAMA Surg 2023;158:e232933, 'Who Should Undergo Transplant for Unresectable Colorectal Liver Metastases - Finding the Needle in the Haystack') was identified in PubMed but its text was not read for this record.</w:t>
            </w:r>
          </w:p>
        </w:tc>
      </w:tr>
    </w:tbl>
    <w:p>
      <w:pPr>
        <w:spacing w:after="0" w:line="276"/>
      </w:pPr>
      <w:r>
        <w:rPr>
          <w:color w:val="5A6069"/>
          <w:sz w:val="14"/>
          <w:szCs w:val="14"/>
        </w:rPr>
        <w:t xml:space="preserve">Funding: Supported in part by Oslo University Hospital, the Norwegian Cancer Society and the South-Eastern Norway Regional Health Authority; the funders are stated to have had no role in design, conduct, analysis or reporting. The first author reports grants from the Norwegian Cancer Society and the regional health authority during the study; no other disclosures were reported</w:t>
      </w:r>
    </w:p>
    <w:p>
      <w:pPr>
        <w:keepNext/>
        <w:spacing w:after="50" w:before="260"/>
      </w:pPr>
      <w:r>
        <w:rPr>
          <w:rFonts w:ascii="Cambria" w:cs="Cambria" w:eastAsia="Cambria" w:hAnsi="Cambria"/>
          <w:b/>
          <w:bCs/>
          <w:color w:val="17365D"/>
          <w:sz w:val="20"/>
          <w:szCs w:val="20"/>
        </w:rPr>
        <w:t xml:space="preserve">Oslo selection criteria</w:t>
      </w:r>
      <w:r>
        <w:rPr>
          <w:b/>
          <w:bCs/>
          <w:color w:val="176A87"/>
          <w:sz w:val="15"/>
          <w:szCs w:val="15"/>
        </w:rPr>
        <w:t xml:space="preserve">   cohort</w:t>
      </w:r>
      <w:r>
        <w:rPr>
          <w:color w:val="5A6069"/>
          <w:sz w:val="15"/>
          <w:szCs w:val="15"/>
        </w:rPr>
        <w:t xml:space="preserve">   PMID 31674105</w:t>
      </w:r>
    </w:p>
    <w:p>
      <w:pPr>
        <w:spacing w:after="50" w:line="276"/>
      </w:pPr>
      <w:r>
        <w:rPr>
          <w:color w:val="5A6069"/>
          <w:sz w:val="17"/>
          <w:szCs w:val="17"/>
        </w:rPr>
        <w:t xml:space="preserve">Selection criteria related to long-term survival following liver transplantation for colorectal liver metastasis</w:t>
      </w:r>
    </w:p>
    <w:p>
      <w:pPr>
        <w:spacing w:after="50"/>
      </w:pPr>
      <w:r>
        <w:rPr>
          <w:b/>
          <w:bCs/>
          <w:color w:val="176A87"/>
          <w:sz w:val="16"/>
          <w:szCs w:val="16"/>
        </w:rPr>
        <w:t xml:space="preserve">Population. </w:t>
      </w:r>
      <w:r>
        <w:rPr>
          <w:sz w:val="16"/>
          <w:szCs w:val="16"/>
        </w:rPr>
        <w:t xml:space="preserve">19 patients transplanted for non-resectable liver-only colorectal metastases at Oslo University Hospital in the SECA-I and SECA-II studies who had 18F-FDG PET/CT within 90 days of transplantation; 15 left-sided and 4 right-sided primaries, all previously treated with fluorouracil and 12 on second or third line at transplant. Median follow-up 85 months</w:t>
      </w:r>
    </w:p>
    <w:p>
      <w:pPr>
        <w:spacing w:after="70"/>
      </w:pPr>
      <w:r>
        <w:rPr>
          <w:b/>
          <w:bCs/>
          <w:color w:val="17365D"/>
          <w:sz w:val="16"/>
          <w:szCs w:val="16"/>
        </w:rPr>
        <w:t xml:space="preserve">Bottom line. </w:t>
      </w:r>
      <w:r>
        <w:rPr>
          <w:sz w:val="16"/>
          <w:szCs w:val="16"/>
        </w:rPr>
        <w:t xml:space="preserve">Shows that among 19 patients transplanted for unresectable liver-only colorectal metastases, those with the least disease by any of three measures lived markedly longer - five-year survival 100% with a Fong score of 0 to 2, 78% with metabolic tumour volume under 70 cm3, 67% with an Oslo score of 0 to 2 - and that survival after relapse can run for years on repeated lung metastasectomy. It does not validate any of these thresholds: all three were devised by this group, two were derived in these same patients, the three are so collinear that every Fong 0-2 patient also met both other criteria, no multivariable model or confidence interval is reported, and the favourable groups contain four to thirteen people. Read it as a description of who did well at one centre, not as a selection rule that has been tested.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the metachronous-disease findings are based on small numbers, that caution is probably warranted before offering transplantation to patients with right-sided primaries, and that the trade-off of stringent criteria is that few patients qualify - a Fong score of 0 to 2 would restrict transplantation to 30% of this cohort</w:t>
            </w:r>
          </w:p>
          <w:p>
            <w:pPr>
              <w:pStyle w:val="ListParagraph"/>
              <w:numPr>
                <w:ilvl w:val="0"/>
                <w:numId w:val="2"/>
              </w:numPr>
              <w:spacing w:after="45"/>
            </w:pPr>
            <w:r>
              <w:rPr>
                <w:sz w:val="15"/>
                <w:szCs w:val="15"/>
              </w:rPr>
              <w:t xml:space="preserve">They state the work is a retrospective analysis of data collected in the prospective SECA studies</w:t>
            </w:r>
          </w:p>
          <w:p>
            <w:pPr>
              <w:pStyle w:val="ListParagraph"/>
              <w:numPr>
                <w:ilvl w:val="0"/>
                <w:numId w:val="2"/>
              </w:numPr>
              <w:spacing w:after="45"/>
            </w:pPr>
            <w:r>
              <w:rPr>
                <w:sz w:val="15"/>
                <w:szCs w:val="15"/>
              </w:rPr>
              <w:t xml:space="preserve">They argue that because recurrence alone does not predict short survival, disease-free survival is not an appropriate outcome for assessing the efficacy of transplantation in this disease</w:t>
            </w:r>
          </w:p>
          <w:p>
            <w:pPr>
              <w:pStyle w:val="ListParagraph"/>
              <w:numPr>
                <w:ilvl w:val="0"/>
                <w:numId w:val="2"/>
              </w:numPr>
              <w:spacing w:after="45"/>
            </w:pPr>
            <w:r>
              <w:rPr>
                <w:sz w:val="15"/>
                <w:szCs w:val="15"/>
              </w:rPr>
              <w:t xml:space="preserve">They state that which selection criterion to adopt depends on local waiting times, waitlist mortality and access to living donation</w:t>
            </w:r>
          </w:p>
          <w:p>
            <w:pPr>
              <w:pStyle w:val="ListParagraph"/>
              <w:numPr>
                <w:ilvl w:val="0"/>
                <w:numId w:val="2"/>
              </w:numPr>
              <w:spacing w:after="45"/>
            </w:pPr>
            <w:r>
              <w:rPr>
                <w:sz w:val="15"/>
                <w:szCs w:val="15"/>
              </w:rPr>
              <w:t xml:space="preserve">They state that total world experience remains limited and that highly selected patients should be considered for transplantation only within prospective studies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three scoring systems are not independent and the paper does not report a multivariable analysis. All six patients with a Fong score of 0 to 2 also had a metabolic tumour volume below 70 cm3 and an Oslo score of 0 to 2 (three scoring 0, two scoring 1, one scoring 2). Comparing the scores' survival figures compares nested subsets of the same 19 patients, so nothing here can establish which score carries the information.</w:t>
            </w:r>
          </w:p>
          <w:p>
            <w:pPr>
              <w:pStyle w:val="ListParagraph"/>
              <w:numPr>
                <w:ilvl w:val="0"/>
                <w:numId w:val="2"/>
              </w:numPr>
              <w:spacing w:after="45"/>
            </w:pPr>
            <w:r>
              <w:rPr>
                <w:sz w:val="15"/>
                <w:szCs w:val="15"/>
              </w:rPr>
              <w:t xml:space="preserve">Both of the thresholds being evaluated were derived in the patients being used to evaluate them: the Oslo score came from the first SECA-I patients and the 70 cm3 metabolic tumour volume cut from the SECA-I cohort, and those patients make up most of this cohort. This is apparent performance, not validation, and the paper does not say so.</w:t>
            </w:r>
          </w:p>
          <w:p>
            <w:pPr>
              <w:pStyle w:val="ListParagraph"/>
              <w:numPr>
                <w:ilvl w:val="0"/>
                <w:numId w:val="2"/>
              </w:numPr>
              <w:spacing w:after="45"/>
            </w:pPr>
            <w:r>
              <w:rPr>
                <w:sz w:val="15"/>
                <w:szCs w:val="15"/>
              </w:rPr>
              <w:t xml:space="preserve">No survival estimate anywhere in the paper carries a confidence interval. The headline 100% five-year survival rests on six patients, five of whom were observed beyond five years; the Oslo 0 to 2 figure on 13 patients, eight observed beyond five years; and the right-sided result on four patients.</w:t>
            </w:r>
          </w:p>
          <w:p>
            <w:pPr>
              <w:pStyle w:val="ListParagraph"/>
              <w:numPr>
                <w:ilvl w:val="0"/>
                <w:numId w:val="2"/>
              </w:numPr>
              <w:spacing w:after="45"/>
            </w:pPr>
            <w:r>
              <w:rPr>
                <w:sz w:val="15"/>
                <w:szCs w:val="15"/>
              </w:rPr>
              <w:t xml:space="preserve">The cohort is defined by an administrative criterion - having had a PET scan within 90 days of transplantation - which excludes roughly half the patients transplanted in SECA-I and SECA-II. The excluded patients are neither counted nor described, so whether the scored cohort represents the transplanted cohort cannot be checked.</w:t>
            </w:r>
          </w:p>
          <w:p>
            <w:pPr>
              <w:pStyle w:val="ListParagraph"/>
              <w:numPr>
                <w:ilvl w:val="0"/>
                <w:numId w:val="2"/>
              </w:numPr>
              <w:spacing w:after="45"/>
            </w:pPr>
            <w:r>
              <w:rPr>
                <w:sz w:val="15"/>
                <w:szCs w:val="15"/>
              </w:rPr>
              <w:t xml:space="preserve">Two studies with materially different entry criteria are pooled. SECA-II required at least 10% RECIST response to chemotherapy and more than one year from diagnosis; SECA-I required neither. A prognostic score evaluated across a cohort whose selection rules changed partway is measuring the rules as much as the patients.</w:t>
            </w:r>
          </w:p>
          <w:p>
            <w:pPr>
              <w:pStyle w:val="ListParagraph"/>
              <w:numPr>
                <w:ilvl w:val="0"/>
                <w:numId w:val="2"/>
              </w:numPr>
              <w:spacing w:after="45"/>
            </w:pPr>
            <w:r>
              <w:rPr>
                <w:sz w:val="15"/>
                <w:szCs w:val="15"/>
              </w:rPr>
              <w:t xml:space="preserve">Table 3 compares right- and left-sided patients across twelve baseline variables in 4 against 15 patients, and every comparison is non-significant - including Fong score (3.5 vs 3), Oslo score (2.5 vs 1), lesion size (75 vs 34 mm), CEA (140 vs 4 ug/L) and metabolic tumour volume (123 vs 23 cm3), all numerically worse on the right. The sidedness survival difference is then attributed to tumour biology without any attempt to separate it from that burden.</w:t>
            </w:r>
          </w:p>
          <w:p>
            <w:pPr>
              <w:pStyle w:val="ListParagraph"/>
              <w:numPr>
                <w:ilvl w:val="0"/>
                <w:numId w:val="2"/>
              </w:numPr>
              <w:spacing w:after="45"/>
            </w:pPr>
            <w:r>
              <w:rPr>
                <w:sz w:val="15"/>
                <w:szCs w:val="15"/>
              </w:rPr>
              <w:t xml:space="preserve">There is no comparator of any kind. The claimed superiority of transplantation is argued against published figures for palliative chemotherapy, regorafenib and TAS-102 in unselected patients, applied to a cohort selected for good performance status, chemotherapy response, a long interval from primary surgery and a negative PET - the very features that predict long survival without transplantation.</w:t>
            </w:r>
          </w:p>
          <w:p>
            <w:pPr>
              <w:pStyle w:val="ListParagraph"/>
              <w:numPr>
                <w:ilvl w:val="0"/>
                <w:numId w:val="2"/>
              </w:numPr>
              <w:spacing w:after="45"/>
            </w:pPr>
            <w:r>
              <w:rPr>
                <w:sz w:val="15"/>
                <w:szCs w:val="15"/>
              </w:rPr>
              <w:t xml:space="preserve">Only 2 of 19 patients were relapse-free, and median disease-free survival was 19 to 23 months even in the favourable groups. The claim that disease-free survival is therefore not an appropriate efficacy measure converts the study's central failure into a methodological argument; the survival that remains is produced by repeatedly resecting slow-growing pulmonary metastases, which is a different intervention from transplantation.</w:t>
            </w:r>
          </w:p>
          <w:p>
            <w:pPr>
              <w:pStyle w:val="ListParagraph"/>
              <w:numPr>
                <w:ilvl w:val="0"/>
                <w:numId w:val="2"/>
              </w:numPr>
              <w:spacing w:after="45"/>
            </w:pPr>
            <w:r>
              <w:rPr>
                <w:sz w:val="15"/>
                <w:szCs w:val="15"/>
              </w:rPr>
              <w:t xml:space="preserve">Multiplicity is unaddressed. Three dichotomised scores are each tested against overall survival, disease-free survival and post-relapse survival, alongside sidedness, CEA, KRAS status and synchronicity, producing roughly twenty p values from 19 patients with no adjustment and no prespecified primary comparison.</w:t>
            </w:r>
          </w:p>
          <w:p>
            <w:pPr>
              <w:pStyle w:val="ListParagraph"/>
              <w:numPr>
                <w:ilvl w:val="0"/>
                <w:numId w:val="2"/>
              </w:numPr>
              <w:spacing w:after="45"/>
            </w:pPr>
            <w:r>
              <w:rPr>
                <w:sz w:val="15"/>
                <w:szCs w:val="15"/>
              </w:rPr>
              <w:t xml:space="preserve">Every threshold used was chosen by this group - Oslo score components at 5.5 cm, 80 ug/L, two years and progression on chemotherapy; Fong dichotomised at 2; metabolic tumour volume at 70 cm3 - and no alternative cut-point, spline or continuous analysis is shown, so the apparent sharpness of each threshold cannot be distinguished from a choice fitted to these data.</w:t>
            </w:r>
          </w:p>
          <w:p>
            <w:pPr>
              <w:pStyle w:val="ListParagraph"/>
              <w:numPr>
                <w:ilvl w:val="0"/>
                <w:numId w:val="2"/>
              </w:numPr>
              <w:spacing w:after="45"/>
            </w:pPr>
            <w:r>
              <w:rPr>
                <w:sz w:val="15"/>
                <w:szCs w:val="15"/>
              </w:rPr>
              <w:t xml:space="preserve">The CEA finding is reported selectively: all nine patients with an elevated CEA at transplantation relapsed within two years, which is stated as informative, while the corresponding survival comparison was null (40% vs 60%, p=0.150) and the post-relapse survival comparison more so (50% vs 13%, p=0.424).</w:t>
            </w:r>
          </w:p>
          <w:p>
            <w:pPr>
              <w:pStyle w:val="ListParagraph"/>
              <w:numPr>
                <w:ilvl w:val="0"/>
                <w:numId w:val="2"/>
              </w:numPr>
              <w:spacing w:after="45"/>
            </w:pPr>
            <w:r>
              <w:rPr>
                <w:sz w:val="15"/>
                <w:szCs w:val="15"/>
              </w:rPr>
              <w:t xml:space="preserve">The feasibility figure the paper ends on - 0.24 to 0.51 eligible patients per million per year, equal to 1-2% of annual US transplants - is extrapolated from 19 patients at one Norwegian centre by arithmetic that is not shown, in a country with an unusual graft supply.</w:t>
            </w:r>
          </w:p>
          <w:p>
            <w:pPr>
              <w:pStyle w:val="ListParagraph"/>
              <w:numPr>
                <w:ilvl w:val="0"/>
                <w:numId w:val="2"/>
              </w:numPr>
              <w:spacing w:after="45"/>
            </w:pPr>
            <w:r>
              <w:rPr>
                <w:sz w:val="15"/>
                <w:szCs w:val="15"/>
              </w:rPr>
              <w:t xml:space="preserve">One patient died at 7.7 years of an unrelated cardiovascular event and is handled in the survival analyses without any competing-risk treatment, in a cohort on long-term immunosuppression where no graft outcome, rejection or immunosuppression-related morbidity is reported at all.</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Supported by Oslo University Hospital, the Norwegian Cancer Society and the South-Eastern Norway Regional Health Authority. The authors declare no conflicts of interest</w:t>
      </w:r>
    </w:p>
    <w:p>
      <w:pPr>
        <w:keepNext/>
        <w:spacing w:after="50" w:before="260"/>
      </w:pPr>
      <w:r>
        <w:rPr>
          <w:rFonts w:ascii="Cambria" w:cs="Cambria" w:eastAsia="Cambria" w:hAnsi="Cambria"/>
          <w:b/>
          <w:bCs/>
          <w:color w:val="17365D"/>
          <w:sz w:val="20"/>
          <w:szCs w:val="20"/>
        </w:rPr>
        <w:t xml:space="preserve">PUMP (protocol)</w:t>
      </w:r>
      <w:r>
        <w:rPr>
          <w:b/>
          <w:bCs/>
          <w:color w:val="176A87"/>
          <w:sz w:val="15"/>
          <w:szCs w:val="15"/>
        </w:rPr>
        <w:t xml:space="preserve">   Prospective trial</w:t>
      </w:r>
      <w:r>
        <w:rPr>
          <w:color w:val="5A6069"/>
          <w:sz w:val="15"/>
          <w:szCs w:val="15"/>
        </w:rPr>
        <w:t xml:space="preserve">   PMID 30953467</w:t>
      </w:r>
    </w:p>
    <w:p>
      <w:pPr>
        <w:spacing w:after="50" w:line="276"/>
      </w:pPr>
      <w:r>
        <w:rPr>
          <w:color w:val="5A6069"/>
          <w:sz w:val="17"/>
          <w:szCs w:val="17"/>
        </w:rPr>
        <w:t xml:space="preserve">Adjuvant hepatic arterial infusion pump chemotherapy and resection versus resection alone in patients with low-risk resectable colorectal liver metastases - the multicenter randomized controlled PUMP trial</w:t>
      </w:r>
    </w:p>
    <w:p>
      <w:pPr>
        <w:spacing w:after="50"/>
      </w:pPr>
      <w:r>
        <w:rPr>
          <w:b/>
          <w:bCs/>
          <w:color w:val="176A87"/>
          <w:sz w:val="16"/>
          <w:szCs w:val="16"/>
        </w:rPr>
        <w:t xml:space="preserve">Population. </w:t>
      </w:r>
      <w:r>
        <w:rPr>
          <w:sz w:val="16"/>
          <w:szCs w:val="16"/>
        </w:rPr>
        <w:t xml:space="preserve">No patients: this is the published protocol. It plans to randomise 230 adults (115 per arm, allowing 5% dropout, with 126 progression events required) with resectable colorectal liver metastases, no extrahepatic disease and a Fong clinical risk score of 0 to 2, across five Dutch centres from August 2018</w:t>
      </w:r>
    </w:p>
    <w:p>
      <w:pPr>
        <w:spacing w:after="70"/>
      </w:pPr>
      <w:r>
        <w:rPr>
          <w:b/>
          <w:bCs/>
          <w:color w:val="17365D"/>
          <w:sz w:val="16"/>
          <w:szCs w:val="16"/>
        </w:rPr>
        <w:t xml:space="preserve">Bottom line. </w:t>
      </w:r>
      <w:r>
        <w:rPr>
          <w:sz w:val="16"/>
          <w:szCs w:val="16"/>
        </w:rPr>
        <w:t xml:space="preserve">Sets out the design of the only randomised trial to test adjuvant hepatic arterial floxuridine against resection alone in low-risk, completely resected colorectal liver metastases - 230 patients in five proctored Dutch centres, progression-free survival as the primary endpoint, no concurrent systemic chemotherapy. It reports no patients and no outcomes, so it establishes nothing clinically. Its design decisions are worth reading critically: the effect size and the low-risk eligibility both come from a retrospective propensity analysis, the regimen omits the systemic component used where that evidence was generated, randomisation is preoperative, and no efficacy or futility interim analysis is planned.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protocol's discussion states that patients will receive pump floxuridine without concurrent systemic chemotherapy, whereas the Memorial Sloan Kettering practice from which the expected effect size is taken always combines the two - the justification being that Dutch guidelines do not recommend adjuvant systemic chemotherapy after complete resection</w:t>
            </w:r>
          </w:p>
          <w:p>
            <w:pPr>
              <w:pStyle w:val="ListParagraph"/>
              <w:numPr>
                <w:ilvl w:val="0"/>
                <w:numId w:val="2"/>
              </w:numPr>
              <w:spacing w:after="45"/>
            </w:pPr>
            <w:r>
              <w:rPr>
                <w:sz w:val="15"/>
                <w:szCs w:val="15"/>
              </w:rPr>
              <w:t xml:space="preserve">It states that eligibility is confined to low-risk patients without extrahepatic disease because those were the subgroups in which the retrospective Memorial Sloan Kettering analysis found the largest association, and that this determined both the design and the sample size</w:t>
            </w:r>
          </w:p>
          <w:p>
            <w:pPr>
              <w:pStyle w:val="ListParagraph"/>
              <w:numPr>
                <w:ilvl w:val="0"/>
                <w:numId w:val="2"/>
              </w:numPr>
              <w:spacing w:after="45"/>
            </w:pPr>
            <w:r>
              <w:rPr>
                <w:sz w:val="15"/>
                <w:szCs w:val="15"/>
              </w:rPr>
              <w:t xml:space="preserve">It records that an earlier randomised trial of intra-arterial chemotherapy across 26 German centres was terminated early because of high complication rates, which is why the five participating teams were comprehensively trained and proctored and a pilot study was run first</w:t>
            </w:r>
          </w:p>
          <w:p>
            <w:pPr>
              <w:pStyle w:val="ListParagraph"/>
              <w:numPr>
                <w:ilvl w:val="0"/>
                <w:numId w:val="2"/>
              </w:numPr>
              <w:spacing w:after="45"/>
            </w:pPr>
            <w:r>
              <w:rPr>
                <w:sz w:val="15"/>
                <w:szCs w:val="15"/>
              </w:rPr>
              <w:t xml:space="preserve">It states that no interim analysis is planned for survival outcomes, with interim analyses only for postoperative complications and adverse events after 20 and 50 patients in the experimental arm</w:t>
            </w:r>
          </w:p>
          <w:p>
            <w:pPr>
              <w:pStyle w:val="ListParagraph"/>
              <w:numPr>
                <w:ilvl w:val="0"/>
                <w:numId w:val="2"/>
              </w:numPr>
              <w:spacing w:after="45"/>
            </w:pPr>
            <w:r>
              <w:rPr>
                <w:sz w:val="15"/>
                <w:szCs w:val="15"/>
              </w:rPr>
              <w:t xml:space="preserve">It notes that pump chemotherapy requires a well-trained large multidisciplinary team and that the technique has not been widely adopted despite the earlier randomised result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protocol with no patient data, so it cannot support any statement about efficacy or safety; anything built on it describes an intention. A results publication for the PUMP trial was not found on this search, so its outcome is unknown here.</w:t>
            </w:r>
          </w:p>
          <w:p>
            <w:pPr>
              <w:pStyle w:val="ListParagraph"/>
              <w:numPr>
                <w:ilvl w:val="0"/>
                <w:numId w:val="2"/>
              </w:numPr>
              <w:spacing w:after="45"/>
            </w:pPr>
            <w:r>
              <w:rPr>
                <w:sz w:val="15"/>
                <w:szCs w:val="15"/>
              </w:rPr>
              <w:t xml:space="preserve">The sample size is anchored to a retrospective propensity-score hazard ratio of 0.60 derived from 779 low-risk Memorial Sloan Kettering patients, with the control median taken from 228 patients at a single Dutch centre. A trial powered on an observational effect size will be underpowered if the true effect is smaller, which is the usual fate of propensity-derived estimates.</w:t>
            </w:r>
          </w:p>
          <w:p>
            <w:pPr>
              <w:pStyle w:val="ListParagraph"/>
              <w:numPr>
                <w:ilvl w:val="0"/>
                <w:numId w:val="2"/>
              </w:numPr>
              <w:spacing w:after="45"/>
            </w:pPr>
            <w:r>
              <w:rPr>
                <w:sz w:val="15"/>
                <w:szCs w:val="15"/>
              </w:rPr>
              <w:t xml:space="preserve">The experimental regimen is not the regimen the effect size came from. Omitting concurrent systemic chemotherapy makes the trial a test of floxuridine alone against surgery alone, so neither a positive nor a negative result transfers to the combined approach used at the centre that generated the evidence.</w:t>
            </w:r>
          </w:p>
          <w:p>
            <w:pPr>
              <w:pStyle w:val="ListParagraph"/>
              <w:numPr>
                <w:ilvl w:val="0"/>
                <w:numId w:val="2"/>
              </w:numPr>
              <w:spacing w:after="45"/>
            </w:pPr>
            <w:r>
              <w:rPr>
                <w:sz w:val="15"/>
                <w:szCs w:val="15"/>
              </w:rPr>
              <w:t xml:space="preserve">The design inherits a selection that points against the mechanism. Low-risk patients were chosen because the retrospective analysis found the largest association there, but a liver-directed treatment should help most where the risk of hepatic recurrence is highest; adopting a subgroup finding as the trial's eligibility criterion builds the observational data's most suspicious feature into the design.</w:t>
            </w:r>
          </w:p>
          <w:p>
            <w:pPr>
              <w:pStyle w:val="ListParagraph"/>
              <w:numPr>
                <w:ilvl w:val="0"/>
                <w:numId w:val="2"/>
              </w:numPr>
              <w:spacing w:after="45"/>
            </w:pPr>
            <w:r>
              <w:rPr>
                <w:sz w:val="15"/>
                <w:szCs w:val="15"/>
              </w:rPr>
              <w:t xml:space="preserve">The primary endpoint is progression-free survival from surgery rather than overall survival, in a question - adjuvant therapy after complete resection - where the two have repeatedly diverged in this disease, as EORTC 40983 and JCOG0603 both show.</w:t>
            </w:r>
          </w:p>
          <w:p>
            <w:pPr>
              <w:pStyle w:val="ListParagraph"/>
              <w:numPr>
                <w:ilvl w:val="0"/>
                <w:numId w:val="2"/>
              </w:numPr>
              <w:spacing w:after="45"/>
            </w:pPr>
            <w:r>
              <w:rPr>
                <w:sz w:val="15"/>
                <w:szCs w:val="15"/>
              </w:rPr>
              <w:t xml:space="preserve">No interim analysis for efficacy or futility is planned at all, so a trial powered on an observational estimate will run to completion whatever the emerging data show, with only safety monitored at 20 and 50 patients.</w:t>
            </w:r>
          </w:p>
          <w:p>
            <w:pPr>
              <w:pStyle w:val="ListParagraph"/>
              <w:numPr>
                <w:ilvl w:val="0"/>
                <w:numId w:val="2"/>
              </w:numPr>
              <w:spacing w:after="45"/>
            </w:pPr>
            <w:r>
              <w:rPr>
                <w:sz w:val="15"/>
                <w:szCs w:val="15"/>
              </w:rPr>
              <w:t xml:space="preserve">Randomisation is preoperative, before resectability and the absence of extrahepatic or nodal disease are confirmed at operation, which guarantees post-randomisation exclusions and makes the intention-to-treat population different from the treated one; the protocol does not describe how those patients will be analysed.</w:t>
            </w:r>
          </w:p>
          <w:p>
            <w:pPr>
              <w:pStyle w:val="ListParagraph"/>
              <w:numPr>
                <w:ilvl w:val="0"/>
                <w:numId w:val="2"/>
              </w:numPr>
              <w:spacing w:after="45"/>
            </w:pPr>
            <w:r>
              <w:rPr>
                <w:sz w:val="15"/>
                <w:szCs w:val="15"/>
              </w:rPr>
              <w:t xml:space="preserve">The trial cannot be blinded - the experimental arm carries a palpable subcutaneous pump and a cholecystectomy - while the primary endpoint is radiological progression, and the protocol describes no independent central imaging review.</w:t>
            </w:r>
          </w:p>
          <w:p>
            <w:pPr>
              <w:pStyle w:val="ListParagraph"/>
              <w:numPr>
                <w:ilvl w:val="0"/>
                <w:numId w:val="2"/>
              </w:numPr>
              <w:spacing w:after="45"/>
            </w:pPr>
            <w:r>
              <w:rPr>
                <w:sz w:val="15"/>
                <w:szCs w:val="15"/>
              </w:rPr>
              <w:t xml:space="preserve">Floxuridine is not registered in the European Union and the pumps are supplied in kind by their manufacturer, so the trial depends on a device company's contribution and on special access to the drug, which bears on whether a positive result could be implemented.</w:t>
            </w:r>
          </w:p>
          <w:p>
            <w:pPr>
              <w:pStyle w:val="ListParagraph"/>
              <w:numPr>
                <w:ilvl w:val="0"/>
                <w:numId w:val="2"/>
              </w:numPr>
              <w:spacing w:after="45"/>
            </w:pPr>
            <w:r>
              <w:rPr>
                <w:sz w:val="15"/>
                <w:szCs w:val="15"/>
              </w:rPr>
              <w:t xml:space="preserve">Hepatotoxicity management is detailed but its consequence for dose intensity is not: the protocol holds or halves floxuridine on modest rises in AST, alkaline phosphatase or bilirubin, and the earlier randomised trial of this regimen delivered more than half the planned dose to only 26% of patients. The protocol sets no minimum delivered dose for a patient to count as treated.</w:t>
            </w:r>
          </w:p>
          <w:p>
            <w:pPr>
              <w:pStyle w:val="ListParagraph"/>
              <w:numPr>
                <w:ilvl w:val="0"/>
                <w:numId w:val="2"/>
              </w:numPr>
              <w:spacing w:after="45"/>
            </w:pPr>
            <w:r>
              <w:rPr>
                <w:sz w:val="15"/>
                <w:szCs w:val="15"/>
              </w:rPr>
              <w:t xml:space="preserve">The exclusions remove the patients in whom adjuvant intensification is usually argued for - two-stage resections, liver-first strategies, any extrahepatic disease, prior ablation or intra-arterial therapy - so even a positive result would apply to a narrow slice of the resected population.</w:t>
            </w:r>
          </w:p>
          <w:p>
            <w:pPr>
              <w:pStyle w:val="ListParagraph"/>
              <w:numPr>
                <w:ilvl w:val="0"/>
                <w:numId w:val="2"/>
              </w:numPr>
              <w:spacing w:after="45"/>
            </w:pPr>
            <w:r>
              <w:rPr>
                <w:sz w:val="15"/>
                <w:szCs w:val="15"/>
              </w:rPr>
              <w:t xml:space="preserve">Cost-effectiveness and quality of life are secondary endpoints with no instrument or analysis plan given in the published protocol, in a trial whose intervention adds an implanted device and six cycles of hepatotoxic therapy to an otherwise completed curative operation.</w:t>
            </w:r>
          </w:p>
          <w:p>
            <w:pPr>
              <w:pStyle w:val="ListParagraph"/>
              <w:numPr>
                <w:ilvl w:val="0"/>
                <w:numId w:val="2"/>
              </w:numPr>
              <w:spacing w:after="45"/>
            </w:pPr>
            <w:r>
              <w:rPr>
                <w:sz w:val="15"/>
                <w:szCs w:val="15"/>
              </w:rPr>
              <w:t xml:space="preserve">No linked editorial or comment was found in PubMed, so no independent published critique informs this record.</w:t>
            </w:r>
          </w:p>
        </w:tc>
      </w:tr>
    </w:tbl>
    <w:p>
      <w:pPr>
        <w:spacing w:after="0" w:line="276"/>
      </w:pPr>
      <w:r>
        <w:rPr>
          <w:color w:val="5A6069"/>
          <w:sz w:val="14"/>
          <w:szCs w:val="14"/>
        </w:rPr>
        <w:t xml:space="preserve">Funding: Dutch Cancer Society (EMCR 2016-10516), with Tricumed GmbH supplying the IP2000V pumps in kind; both are stated to have had no influence on design, data collection, analysis, interpretation or writing</w:t>
      </w:r>
    </w:p>
    <w:p>
      <w:pPr>
        <w:keepNext/>
        <w:spacing w:after="50" w:before="260"/>
      </w:pPr>
      <w:r>
        <w:rPr>
          <w:rFonts w:ascii="Cambria" w:cs="Cambria" w:eastAsia="Cambria" w:hAnsi="Cambria"/>
          <w:b/>
          <w:bCs/>
          <w:color w:val="17365D"/>
          <w:sz w:val="20"/>
          <w:szCs w:val="20"/>
        </w:rPr>
        <w:t xml:space="preserve">Rusthoven SBRT</w:t>
      </w:r>
      <w:r>
        <w:rPr>
          <w:b/>
          <w:bCs/>
          <w:color w:val="176A87"/>
          <w:sz w:val="15"/>
          <w:szCs w:val="15"/>
        </w:rPr>
        <w:t xml:space="preserve">   Prospective trial</w:t>
      </w:r>
      <w:r>
        <w:rPr>
          <w:color w:val="5A6069"/>
          <w:sz w:val="15"/>
          <w:szCs w:val="15"/>
        </w:rPr>
        <w:t xml:space="preserve">   PMID 19255321</w:t>
      </w:r>
    </w:p>
    <w:p>
      <w:pPr>
        <w:spacing w:after="50" w:line="276"/>
      </w:pPr>
      <w:r>
        <w:rPr>
          <w:color w:val="5A6069"/>
          <w:sz w:val="17"/>
          <w:szCs w:val="17"/>
        </w:rPr>
        <w:t xml:space="preserve">Multi-institutional phase I/II trial of stereotactic body radiation therapy for liver metastases</w:t>
      </w:r>
    </w:p>
    <w:p>
      <w:pPr>
        <w:spacing w:after="50"/>
      </w:pPr>
      <w:r>
        <w:rPr>
          <w:b/>
          <w:bCs/>
          <w:color w:val="176A87"/>
          <w:sz w:val="16"/>
          <w:szCs w:val="16"/>
        </w:rPr>
        <w:t xml:space="preserve">Population. </w:t>
      </w:r>
      <w:r>
        <w:rPr>
          <w:sz w:val="16"/>
          <w:szCs w:val="16"/>
        </w:rPr>
        <w:t xml:space="preserve">47 patients with 63 liver metastases of mixed primary origin treated at seven US institutions between 2003 and 2007 (colorectal 15, lung 10, breast 4, ovarian 3, oesophageal 3, hepatocellular 2, other 10); one to three lesions under 6 cm, median maximal diameter 2.7 cm, 69% with at least one prior systemic regimen for metastatic disease and 45% with active extrahepatic disease. Thirteen patients were treated to less than 60 Gy during dose escalation and 36 to 60 Gy; 49 lesions in 36 patients were assessable for local control at a median follow-up of 16 months</w:t>
      </w:r>
    </w:p>
    <w:p>
      <w:pPr>
        <w:spacing w:after="70"/>
      </w:pPr>
      <w:r>
        <w:rPr>
          <w:b/>
          <w:bCs/>
          <w:color w:val="17365D"/>
          <w:sz w:val="16"/>
          <w:szCs w:val="16"/>
        </w:rPr>
        <w:t xml:space="preserve">Bottom line. </w:t>
      </w:r>
      <w:r>
        <w:rPr>
          <w:sz w:val="16"/>
          <w:szCs w:val="16"/>
        </w:rPr>
        <w:t xml:space="preserve">Establishes that 60 Gy in three fractions to one to three liver metastases under 6 cm is deliverable with almost no high-grade toxicity and gives in-field control of 95% at one year and 92% at two, with 100% control for lesions of 3 cm or less. It establishes nothing about benefit: there is no comparator, every patient's first progression included a distant site, median progression-free survival was 6.1 months and median survival 20.5 months, local control was scored only in the 78% of lesions whose patients lived six months, and the authors concede that competing risk may inflate it. Only 15 of 47 patients had colorectal primaries and no colorectal-specific result is given, so the paper supports the technique's local efficacy in small lesions and not its place against resection or ablation.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median survival of 20.5 months reflects the unfavourable prognostic features of the cohort, that the risk of death as a first event was therefore high, and that the local control estimate may be artificially exaggerated because death and local failure are competing events</w:t>
            </w:r>
          </w:p>
          <w:p>
            <w:pPr>
              <w:pStyle w:val="ListParagraph"/>
              <w:numPr>
                <w:ilvl w:val="0"/>
                <w:numId w:val="2"/>
              </w:numPr>
              <w:spacing w:after="45"/>
            </w:pPr>
            <w:r>
              <w:rPr>
                <w:sz w:val="15"/>
                <w:szCs w:val="15"/>
              </w:rPr>
              <w:t xml:space="preserve">They argue against this using the favourable-primary subgroup (median survival 32 months, 2-year local control 97%), which they take to show local control was not substantially influenced by the competing risk</w:t>
            </w:r>
          </w:p>
          <w:p>
            <w:pPr>
              <w:pStyle w:val="ListParagraph"/>
              <w:numPr>
                <w:ilvl w:val="0"/>
                <w:numId w:val="2"/>
              </w:numPr>
              <w:spacing w:after="45"/>
            </w:pPr>
            <w:r>
              <w:rPr>
                <w:sz w:val="15"/>
                <w:szCs w:val="15"/>
              </w:rPr>
              <w:t xml:space="preserve">They state that differences in baseline prognostic features between this cohort and most surgical series limit any comparison between stereotactic radiotherapy and resection</w:t>
            </w:r>
          </w:p>
          <w:p>
            <w:pPr>
              <w:pStyle w:val="ListParagraph"/>
              <w:numPr>
                <w:ilvl w:val="0"/>
                <w:numId w:val="2"/>
              </w:numPr>
              <w:spacing w:after="45"/>
            </w:pPr>
            <w:r>
              <w:rPr>
                <w:sz w:val="15"/>
                <w:szCs w:val="15"/>
              </w:rPr>
              <w:t xml:space="preserve">They note that one grade 3 soft-tissue event six months after treatment prompted revised skin and soft-tissue dose constraints mid-study, and that a recommended soft-tissue dose-volume limit remains under investigation</w:t>
            </w:r>
          </w:p>
          <w:p>
            <w:pPr>
              <w:pStyle w:val="ListParagraph"/>
              <w:numPr>
                <w:ilvl w:val="0"/>
                <w:numId w:val="2"/>
              </w:numPr>
              <w:spacing w:after="45"/>
            </w:pPr>
            <w:r>
              <w:rPr>
                <w:sz w:val="15"/>
                <w:szCs w:val="15"/>
              </w:rPr>
              <w:t xml:space="preserve">They report that 13 of 49 patients were treated below the phase 2 dose of 60 Gy during escalation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Local control was scored only in the 49 of 63 lesions (78%) with at least six months of imaging. Eleven patients were unassessable, five because they died before six months and two because records were lost after Hurricane Katrina. Excluding lesions in patients who died early from a local control estimate removes precisely the lesions most likely to have failed, and the 95% figure is quoted without that denominator.</w:t>
            </w:r>
          </w:p>
          <w:p>
            <w:pPr>
              <w:pStyle w:val="ListParagraph"/>
              <w:numPr>
                <w:ilvl w:val="0"/>
                <w:numId w:val="2"/>
              </w:numPr>
              <w:spacing w:after="45"/>
            </w:pPr>
            <w:r>
              <w:rPr>
                <w:sz w:val="15"/>
                <w:szCs w:val="15"/>
              </w:rPr>
              <w:t xml:space="preserve">The competing-risk argument the authors use to defend their estimate is circular: they appeal to the favourable-primary subgroup, which by definition has fewer early deaths and is also the subgroup with the best control, so the comparison cannot separate longer survival from better local control.</w:t>
            </w:r>
          </w:p>
          <w:p>
            <w:pPr>
              <w:pStyle w:val="ListParagraph"/>
              <w:numPr>
                <w:ilvl w:val="0"/>
                <w:numId w:val="2"/>
              </w:numPr>
              <w:spacing w:after="45"/>
            </w:pPr>
            <w:r>
              <w:rPr>
                <w:sz w:val="15"/>
                <w:szCs w:val="15"/>
              </w:rPr>
              <w:t xml:space="preserve">The pooled local control figure mixes dose levels across a phase 1 escalation and a phase 2 expansion, 36 Gy to 60 Gy in three fractions, and the dose-response claim rests on a within-cohort comparison (94% at 60 Gy) with no formal dose-response analysis. The linked JCO letter asks exactly this - whether a definitive regimen has been established.</w:t>
            </w:r>
          </w:p>
          <w:p>
            <w:pPr>
              <w:pStyle w:val="ListParagraph"/>
              <w:numPr>
                <w:ilvl w:val="0"/>
                <w:numId w:val="2"/>
              </w:numPr>
              <w:spacing w:after="45"/>
            </w:pPr>
            <w:r>
              <w:rPr>
                <w:sz w:val="15"/>
                <w:szCs w:val="15"/>
              </w:rPr>
              <w:t xml:space="preserve">Only 15 of 47 patients (32%) had colorectal metastases, and no colorectal-specific local control or survival figure is reported. The paper is routinely cited as evidence for stereotactic radiotherapy in colorectal liver metastases and does not contain that number.</w:t>
            </w:r>
          </w:p>
          <w:p>
            <w:pPr>
              <w:pStyle w:val="ListParagraph"/>
              <w:numPr>
                <w:ilvl w:val="0"/>
                <w:numId w:val="2"/>
              </w:numPr>
              <w:spacing w:after="45"/>
            </w:pPr>
            <w:r>
              <w:rPr>
                <w:sz w:val="15"/>
                <w:szCs w:val="15"/>
              </w:rPr>
              <w:t xml:space="preserve">Analysis is per lesion (49 lesions in 36 patients) with no clustering by patient, so patients contributing two or three lesions count repeatedly in the control estimate.</w:t>
            </w:r>
          </w:p>
          <w:p>
            <w:pPr>
              <w:pStyle w:val="ListParagraph"/>
              <w:numPr>
                <w:ilvl w:val="0"/>
                <w:numId w:val="2"/>
              </w:numPr>
              <w:spacing w:after="45"/>
            </w:pPr>
            <w:r>
              <w:rPr>
                <w:sz w:val="15"/>
                <w:szCs w:val="15"/>
              </w:rPr>
              <w:t xml:space="preserve">Every patient's first progression included a distant component, 83% progressed distantly at a median of six months, and median progression-free survival was 6.1 months. A local control rate of 92% at two years in a disease that progresses elsewhere within half a year describes the technique's reach, not a clinical benefit, and the paper does not report what that control bought.</w:t>
            </w:r>
          </w:p>
          <w:p>
            <w:pPr>
              <w:pStyle w:val="ListParagraph"/>
              <w:numPr>
                <w:ilvl w:val="0"/>
                <w:numId w:val="2"/>
              </w:numPr>
              <w:spacing w:after="45"/>
            </w:pPr>
            <w:r>
              <w:rPr>
                <w:sz w:val="15"/>
                <w:szCs w:val="15"/>
              </w:rPr>
              <w:t xml:space="preserve">Low-burden extrahepatic disease was permitted and present in 45% at entry, so the cohort is not the liver-confined population in which local therapy is being considered, and the survival figure (20.5 months overall, 12 months for unfavourable primaries) is not transferable to it.</w:t>
            </w:r>
          </w:p>
          <w:p>
            <w:pPr>
              <w:pStyle w:val="ListParagraph"/>
              <w:numPr>
                <w:ilvl w:val="0"/>
                <w:numId w:val="2"/>
              </w:numPr>
              <w:spacing w:after="45"/>
            </w:pPr>
            <w:r>
              <w:rPr>
                <w:sz w:val="15"/>
                <w:szCs w:val="15"/>
              </w:rPr>
              <w:t xml:space="preserve">Late toxicity is almost certainly underestimated: with median survival of 20.5 months and a median follow-up of 16 months for assessable lesions, hypofractionated doses to 60 Gy in three fractions have not been observed long enough for biliary stricture, chest wall or soft-tissue sequelae to declare themselves, and the one grade 3 event already forced a constraint change.</w:t>
            </w:r>
          </w:p>
          <w:p>
            <w:pPr>
              <w:pStyle w:val="ListParagraph"/>
              <w:numPr>
                <w:ilvl w:val="0"/>
                <w:numId w:val="2"/>
              </w:numPr>
              <w:spacing w:after="45"/>
            </w:pPr>
            <w:r>
              <w:rPr>
                <w:sz w:val="15"/>
                <w:szCs w:val="15"/>
              </w:rPr>
              <w:t xml:space="preserve">No radiation-induced liver disease occurred in a trial whose entry required at least 700 mL of normal liver below 15 Gy and lesions under 6 cm, so the safety result is conditional on a geometry that excludes the large or central tumours where the question is hardest.</w:t>
            </w:r>
          </w:p>
          <w:p>
            <w:pPr>
              <w:pStyle w:val="ListParagraph"/>
              <w:numPr>
                <w:ilvl w:val="0"/>
                <w:numId w:val="2"/>
              </w:numPr>
              <w:spacing w:after="45"/>
            </w:pPr>
            <w:r>
              <w:rPr>
                <w:sz w:val="15"/>
                <w:szCs w:val="15"/>
              </w:rPr>
              <w:t xml:space="preserve">The comparison the authors acknowledge they cannot make is the comparison that matters: these lesions were small (median 2.7 cm) and many would have been resectable or ablatable, and no surgical or ablative comparator exists in the trial or in the literature it cites.</w:t>
            </w:r>
          </w:p>
          <w:p>
            <w:pPr>
              <w:pStyle w:val="ListParagraph"/>
              <w:numPr>
                <w:ilvl w:val="0"/>
                <w:numId w:val="2"/>
              </w:numPr>
              <w:spacing w:after="45"/>
            </w:pPr>
            <w:r>
              <w:rPr>
                <w:sz w:val="15"/>
                <w:szCs w:val="15"/>
              </w:rPr>
              <w:t xml:space="preserve">Internal inconsistency: Table 1 gives the maximum lesion diameter range as 0.4 to 6.8 cm while the abstract gives 0.4 to 5.8 cm, against a protocol limit of under 6 cm.</w:t>
            </w:r>
          </w:p>
          <w:p>
            <w:pPr>
              <w:pStyle w:val="ListParagraph"/>
              <w:numPr>
                <w:ilvl w:val="0"/>
                <w:numId w:val="2"/>
              </w:numPr>
              <w:spacing w:after="45"/>
            </w:pPr>
            <w:r>
              <w:rPr>
                <w:sz w:val="15"/>
                <w:szCs w:val="15"/>
              </w:rPr>
              <w:t xml:space="preserve">A linked letter (PMID 19581532, Mirabel, 'Have we established a stereotactic body radiotherapy regimen for liver metastases?', J Clin Oncol 2009;27:e40, with the authors' reply at e41) was identified in PubMed but its text was not read for this record.</w:t>
            </w:r>
          </w:p>
        </w:tc>
      </w:tr>
    </w:tbl>
    <w:p>
      <w:pPr>
        <w:spacing w:after="0" w:line="276"/>
      </w:pPr>
      <w:r>
        <w:rPr>
          <w:color w:val="5A6069"/>
          <w:sz w:val="14"/>
          <w:szCs w:val="14"/>
        </w:rPr>
        <w:t xml:space="preserve">Funding: Supported in part by an American Cancer Society IRC / University of Colorado Cancer Center Seed Grant Award. The only declared interest is research funding to the senior author from the American Cancer Society; no employment, consulting, stock, honoraria or industry relationships are declared</w:t>
      </w:r>
    </w:p>
    <w:p>
      <w:pPr>
        <w:keepNext/>
        <w:spacing w:after="50" w:before="260"/>
      </w:pPr>
      <w:r>
        <w:rPr>
          <w:rFonts w:ascii="Cambria" w:cs="Cambria" w:eastAsia="Cambria" w:hAnsi="Cambria"/>
          <w:b/>
          <w:bCs/>
          <w:color w:val="17365D"/>
          <w:sz w:val="20"/>
          <w:szCs w:val="20"/>
        </w:rPr>
        <w:t xml:space="preserve">SABR-COMET long-term</w:t>
      </w:r>
      <w:r>
        <w:rPr>
          <w:b/>
          <w:bCs/>
          <w:color w:val="176A87"/>
          <w:sz w:val="15"/>
          <w:szCs w:val="15"/>
        </w:rPr>
        <w:t xml:space="preserve">   Randomised trial</w:t>
      </w:r>
      <w:r>
        <w:rPr>
          <w:color w:val="5A6069"/>
          <w:sz w:val="15"/>
          <w:szCs w:val="15"/>
        </w:rPr>
        <w:t xml:space="preserve">   PMID 32484754</w:t>
      </w:r>
    </w:p>
    <w:p>
      <w:pPr>
        <w:spacing w:after="50" w:line="276"/>
      </w:pPr>
      <w:r>
        <w:rPr>
          <w:color w:val="5A6069"/>
          <w:sz w:val="17"/>
          <w:szCs w:val="17"/>
        </w:rPr>
        <w:t xml:space="preserve">Stereotactic Ablative Radiotherapy for the Comprehensive Treatment of Oligometastatic Cancers: Long-Term Results of the SABR-COMET Phase II Randomized Trial</w:t>
      </w:r>
    </w:p>
    <w:p>
      <w:pPr>
        <w:spacing w:after="50"/>
      </w:pPr>
      <w:r>
        <w:rPr>
          <w:b/>
          <w:bCs/>
          <w:color w:val="176A87"/>
          <w:sz w:val="16"/>
          <w:szCs w:val="16"/>
        </w:rPr>
        <w:t xml:space="preserve">Population. </w:t>
      </w:r>
      <w:r>
        <w:rPr>
          <w:sz w:val="16"/>
          <w:szCs w:val="16"/>
        </w:rPr>
        <w:t xml:space="preserve">The same 99 patients as the primary report, with follow-up extended from 26 to 51 months: 66 randomised to stereotactic ablative radiotherapy plus standard of care and 33 to standard of care alone, at ten centres from 2012 to 2016; primary tumours breast 18, lung 18, colorectal 18, prostate 16, with 19 of 191 lesions hepatic. Fifty-nine deaths (35 and 24), 104 and 57 assessable lesions for long-term control, and 12 patients surviving five years or more, only one of them with colorectal cancer</w:t>
      </w:r>
    </w:p>
    <w:p>
      <w:pPr>
        <w:spacing w:after="70"/>
      </w:pPr>
      <w:r>
        <w:rPr>
          <w:b/>
          <w:bCs/>
          <w:color w:val="17365D"/>
          <w:sz w:val="16"/>
          <w:szCs w:val="16"/>
        </w:rPr>
        <w:t xml:space="preserve">Bottom line. </w:t>
      </w:r>
      <w:r>
        <w:rPr>
          <w:sz w:val="16"/>
          <w:szCs w:val="16"/>
        </w:rPr>
        <w:t xml:space="preserve">With follow-up extended to 51 months the same 99-patient trial shows a larger survival gap - median 50 against 28 months, HR 0.47 (95% CI 0.27-0.81), five-year survival 42.3% against 17.7% - with no new toxicity and no loss of quality of life. It still does not prove benefit: alpha was 0.20, the effect falls to p=0.085 once the unevenly allocated prostate cancers are removed, and the trial's own post hoc analysis shows treating every visible lesion did not delay new metastases (p=0.57), so the gain is attributed to repeat salvage radiotherapy rather than to eradication. For colorectal liver metastases the useful figure is the one buried in the site-specific analysis: local control after stereotactic radiotherapy in the liver was 50%, the worst of any site, and only one of the twelve five-year survivors had colorectal cancer.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restate the original trial's limitations, in particular the inclusion of multiple histologies, which is common in stereotactic radiation trials but cannot exclude histology-specific differences in biology</w:t>
            </w:r>
          </w:p>
          <w:p>
            <w:pPr>
              <w:pStyle w:val="ListParagraph"/>
              <w:numPr>
                <w:ilvl w:val="0"/>
                <w:numId w:val="2"/>
              </w:numPr>
              <w:spacing w:after="45"/>
            </w:pPr>
            <w:r>
              <w:rPr>
                <w:sz w:val="15"/>
                <w:szCs w:val="15"/>
              </w:rPr>
              <w:t xml:space="preserve">The large majority of prostate cancer patients were allocated to the radiotherapy arm; the authors address this only with a post hoc sensitivity analysis, which has reduced power</w:t>
            </w:r>
          </w:p>
          <w:p>
            <w:pPr>
              <w:pStyle w:val="ListParagraph"/>
              <w:numPr>
                <w:ilvl w:val="0"/>
                <w:numId w:val="2"/>
              </w:numPr>
              <w:spacing w:after="45"/>
            </w:pPr>
            <w:r>
              <w:rPr>
                <w:sz w:val="15"/>
                <w:szCs w:val="15"/>
              </w:rPr>
              <w:t xml:space="preserve">They state that the most favourable histologies for this treatment are breast, prostate and kidney, and that these dominate the long-term survivors - 100% of them in the control arm and 70% in the radiotherapy arm</w:t>
            </w:r>
          </w:p>
          <w:p>
            <w:pPr>
              <w:pStyle w:val="ListParagraph"/>
              <w:numPr>
                <w:ilvl w:val="0"/>
                <w:numId w:val="2"/>
              </w:numPr>
              <w:spacing w:after="45"/>
            </w:pPr>
            <w:r>
              <w:rPr>
                <w:sz w:val="15"/>
                <w:szCs w:val="15"/>
              </w:rPr>
              <w:t xml:space="preserve">They state that local control assessment is difficult because focal fibrosis can present as an enlarging mass, which may explain the low lung control rates measured by RECIST 1.1</w:t>
            </w:r>
          </w:p>
          <w:p>
            <w:pPr>
              <w:pStyle w:val="ListParagraph"/>
              <w:numPr>
                <w:ilvl w:val="0"/>
                <w:numId w:val="2"/>
              </w:numPr>
              <w:spacing w:after="45"/>
            </w:pPr>
            <w:r>
              <w:rPr>
                <w:sz w:val="15"/>
                <w:szCs w:val="15"/>
              </w:rPr>
              <w:t xml:space="preserve">Patients with four to five metastases are under-represented, which led to separate trials for one to three and four to ten metastases</w:t>
            </w:r>
          </w:p>
          <w:p>
            <w:pPr>
              <w:pStyle w:val="ListParagraph"/>
              <w:numPr>
                <w:ilvl w:val="0"/>
                <w:numId w:val="2"/>
              </w:numPr>
              <w:spacing w:after="45"/>
            </w:pPr>
            <w:r>
              <w:rPr>
                <w:sz w:val="15"/>
                <w:szCs w:val="15"/>
              </w:rPr>
              <w:t xml:space="preserve">The trial was launched before the immunotherapy era, and the authors note immunotherapy may change the impact of radiotherapy on long-term outcomes</w:t>
            </w:r>
          </w:p>
          <w:p>
            <w:pPr>
              <w:pStyle w:val="ListParagraph"/>
              <w:numPr>
                <w:ilvl w:val="0"/>
                <w:numId w:val="2"/>
              </w:numPr>
              <w:spacing w:after="45"/>
            </w:pPr>
            <w:r>
              <w:rPr>
                <w:sz w:val="15"/>
                <w:szCs w:val="15"/>
              </w:rPr>
              <w:t xml:space="preserve">They state the 4.5% grade 5 toxicity rate is higher than in other studies despite dose constraints and peer review of all plans, and that further work is needed on optimal dose</w:t>
            </w:r>
          </w:p>
          <w:p>
            <w:pPr>
              <w:pStyle w:val="ListParagraph"/>
              <w:numPr>
                <w:ilvl w:val="0"/>
                <w:numId w:val="2"/>
              </w:numPr>
              <w:spacing w:after="45"/>
            </w:pPr>
            <w:r>
              <w:rPr>
                <w:sz w:val="15"/>
                <w:szCs w:val="15"/>
              </w:rPr>
              <w:t xml:space="preserve">They conclude that phase 3 trials are needed to confirm the survival benefit and to develop predictive biomarkers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number most relevant to this depot is the worst in the paper: long-term local control after radiotherapy was 50% in the liver, the lowest of any site and significantly below adrenal (100%) and bone (72%), p=0.04. Resection and thermal ablation in colorectal liver metastases achieve local control far above that, which is the comparison a liver surgeon needs and which this trial does not make.</w:t>
            </w:r>
          </w:p>
          <w:p>
            <w:pPr>
              <w:pStyle w:val="ListParagraph"/>
              <w:numPr>
                <w:ilvl w:val="0"/>
                <w:numId w:val="2"/>
              </w:numPr>
              <w:spacing w:after="45"/>
            </w:pPr>
            <w:r>
              <w:rPr>
                <w:sz w:val="15"/>
                <w:szCs w:val="15"/>
              </w:rPr>
              <w:t xml:space="preserve">The survival result still comes from a phase 2 screening design with alpha 0.20 in 99 patients. The paper itself cites p below 0.005 as the threshold at which a phase 2 randomised result may be treated as definitive, and its overall survival p is 0.006 - just outside the bar it sets.</w:t>
            </w:r>
          </w:p>
          <w:p>
            <w:pPr>
              <w:pStyle w:val="ListParagraph"/>
              <w:numPr>
                <w:ilvl w:val="0"/>
                <w:numId w:val="2"/>
              </w:numPr>
              <w:spacing w:after="45"/>
            </w:pPr>
            <w:r>
              <w:rPr>
                <w:sz w:val="15"/>
                <w:szCs w:val="15"/>
              </w:rPr>
              <w:t xml:space="preserve">Excluding prostate cancer, the histology that was unevenly allocated, the five-year survival difference falls to 33.1% against 16.2% with p=0.085. The authors argue this still meets a phase 2 screening threshold; it does not meet a conventional one, and it is the analysis that removes the trial's clearest allocation imbalance.</w:t>
            </w:r>
          </w:p>
          <w:p>
            <w:pPr>
              <w:pStyle w:val="ListParagraph"/>
              <w:numPr>
                <w:ilvl w:val="0"/>
                <w:numId w:val="2"/>
              </w:numPr>
              <w:spacing w:after="45"/>
            </w:pPr>
            <w:r>
              <w:rPr>
                <w:sz w:val="15"/>
                <w:szCs w:val="15"/>
              </w:rPr>
              <w:t xml:space="preserve">The mechanism claimed for the oligometastatic paradigm is contradicted by the trial's own post hoc analysis: time to new metastases did not differ between arms (Gray test p=0.57). Treating all visible lesions did not delay the appearance of new ones, which the authors read as occult micrometastatic disease already present - an interpretation that undermines the rationale for comprehensive local treatment.</w:t>
            </w:r>
          </w:p>
          <w:p>
            <w:pPr>
              <w:pStyle w:val="ListParagraph"/>
              <w:numPr>
                <w:ilvl w:val="0"/>
                <w:numId w:val="2"/>
              </w:numPr>
              <w:spacing w:after="45"/>
            </w:pPr>
            <w:r>
              <w:rPr>
                <w:sz w:val="15"/>
                <w:szCs w:val="15"/>
              </w:rPr>
              <w:t xml:space="preserve">The survival gain (22 months) is nearly four times the progression-free survival gain (6.2 months), and the explanation offered is salvage repeat radiotherapy in nine patients, including three of the ten five-year survivors. That makes the result contingent on intensive surveillance and repeated treatment, not on the initial intervention.</w:t>
            </w:r>
          </w:p>
          <w:p>
            <w:pPr>
              <w:pStyle w:val="ListParagraph"/>
              <w:numPr>
                <w:ilvl w:val="0"/>
                <w:numId w:val="2"/>
              </w:numPr>
              <w:spacing w:after="45"/>
            </w:pPr>
            <w:r>
              <w:rPr>
                <w:sz w:val="15"/>
                <w:szCs w:val="15"/>
              </w:rPr>
              <w:t xml:space="preserve">Long-term lesional control is computed per lesion (65 of 104 against 26 of 57) with no clustering by patient, and the denominators grew from the primary report's 100 and 57 assessable lesions without explanation.</w:t>
            </w:r>
          </w:p>
          <w:p>
            <w:pPr>
              <w:pStyle w:val="ListParagraph"/>
              <w:numPr>
                <w:ilvl w:val="0"/>
                <w:numId w:val="2"/>
              </w:numPr>
              <w:spacing w:after="45"/>
            </w:pPr>
            <w:r>
              <w:rPr>
                <w:sz w:val="15"/>
                <w:szCs w:val="15"/>
              </w:rPr>
              <w:t xml:space="preserve">Extending follow-up increased the effect from HR 0.57 (p=0.090) to HR 0.47 (p=0.006) in the same 99 patients. A growing effect with accumulating events in a small trial whose extension was triggered by observing more long-term survivors than expected is exactly the situation in which a point estimate drifts, and the paper does not address the multiplicity created by analysing the same primary endpoint twice.</w:t>
            </w:r>
          </w:p>
          <w:p>
            <w:pPr>
              <w:pStyle w:val="ListParagraph"/>
              <w:numPr>
                <w:ilvl w:val="0"/>
                <w:numId w:val="2"/>
              </w:numPr>
              <w:spacing w:after="45"/>
            </w:pPr>
            <w:r>
              <w:rPr>
                <w:sz w:val="15"/>
                <w:szCs w:val="15"/>
              </w:rPr>
              <w:t xml:space="preserve">Control patients continued to receive far more palliative radiotherapy (70% against 24%, p&lt;0.001), so the contrast remains ablative against palliative radiotherapy rather than radiotherapy against none.</w:t>
            </w:r>
          </w:p>
          <w:p>
            <w:pPr>
              <w:pStyle w:val="ListParagraph"/>
              <w:numPr>
                <w:ilvl w:val="0"/>
                <w:numId w:val="2"/>
              </w:numPr>
              <w:spacing w:after="45"/>
            </w:pPr>
            <w:r>
              <w:rPr>
                <w:sz w:val="15"/>
                <w:szCs w:val="15"/>
              </w:rPr>
              <w:t xml:space="preserve">Toxicity did not improve with longer observation: treatment-related grade 2 or worse events stayed at 29% against 9%, and the three treatment-related deaths (4.5%) remain, against a survival benefit that is still not conventionally significant once prostate cancer is removed.</w:t>
            </w:r>
          </w:p>
          <w:p>
            <w:pPr>
              <w:pStyle w:val="ListParagraph"/>
              <w:numPr>
                <w:ilvl w:val="0"/>
                <w:numId w:val="2"/>
              </w:numPr>
              <w:spacing w:after="45"/>
            </w:pPr>
            <w:r>
              <w:rPr>
                <w:sz w:val="15"/>
                <w:szCs w:val="15"/>
              </w:rPr>
              <w:t xml:space="preserve">Twelve patients reached five years and only one had colorectal cancer, so the long-term benefit this paper is cited for was realised almost entirely in breast, prostate and kidney cancer. For colorectal liver metastases the trial provides a 50% liver control rate and a single long-term survivor.</w:t>
            </w:r>
          </w:p>
          <w:p>
            <w:pPr>
              <w:pStyle w:val="ListParagraph"/>
              <w:numPr>
                <w:ilvl w:val="0"/>
                <w:numId w:val="2"/>
              </w:numPr>
              <w:spacing w:after="45"/>
            </w:pPr>
            <w:r>
              <w:rPr>
                <w:sz w:val="15"/>
                <w:szCs w:val="15"/>
              </w:rPr>
              <w:t xml:space="preserve">The control arm's systemic options predate immunotherapy and, for colorectal cancer, predate current biologic selection, so the comparator in the arm against which 28 months is measured is not today's standard of care.</w:t>
            </w:r>
          </w:p>
          <w:p>
            <w:pPr>
              <w:pStyle w:val="ListParagraph"/>
              <w:numPr>
                <w:ilvl w:val="0"/>
                <w:numId w:val="2"/>
              </w:numPr>
              <w:spacing w:after="45"/>
            </w:pPr>
            <w:r>
              <w:rPr>
                <w:sz w:val="15"/>
                <w:szCs w:val="15"/>
              </w:rPr>
              <w:t xml:space="preserve">The protocol has no data-sharing plan and the data will not be shared, so neither the sensitivity analysis nor the site-specific control figures can be independently verified.</w:t>
            </w:r>
          </w:p>
          <w:p>
            <w:pPr>
              <w:pStyle w:val="ListParagraph"/>
              <w:numPr>
                <w:ilvl w:val="0"/>
                <w:numId w:val="2"/>
              </w:numPr>
              <w:spacing w:after="45"/>
            </w:pPr>
            <w:r>
              <w:rPr>
                <w:sz w:val="15"/>
                <w:szCs w:val="15"/>
              </w:rPr>
              <w:t xml:space="preserve">No English-language linked editorial or comment was found in PubMed; a German-language journal-club commentary exists (PMID 33532894, Dunst, Strahlenther Onkol 2021) and was not read for this record.</w:t>
            </w:r>
          </w:p>
        </w:tc>
      </w:tr>
    </w:tbl>
    <w:p>
      <w:pPr>
        <w:spacing w:after="0" w:line="276"/>
      </w:pPr>
      <w:r>
        <w:rPr>
          <w:color w:val="5A6069"/>
          <w:sz w:val="14"/>
          <w:szCs w:val="14"/>
        </w:rPr>
        <w:t xml:space="preserve">Funding: Ontario Institute for Cancer Research and a London Regional Cancer Program Catalyst Grant; the funding bodies had no role in design, collection, analysis, interpretation or writing. Disclosures are held in a linked file not contained in this text; the primary report records grant funding or honoraria from Varian Medical Systems, ViewRay, AstraZeneca, Bayer, Merck, Celgene and MSD for four authors</w:t>
      </w:r>
    </w:p>
    <w:p>
      <w:pPr>
        <w:keepNext/>
        <w:spacing w:after="50" w:before="260"/>
      </w:pPr>
      <w:r>
        <w:rPr>
          <w:rFonts w:ascii="Cambria" w:cs="Cambria" w:eastAsia="Cambria" w:hAnsi="Cambria"/>
          <w:b/>
          <w:bCs/>
          <w:color w:val="17365D"/>
          <w:sz w:val="20"/>
          <w:szCs w:val="20"/>
        </w:rPr>
        <w:t xml:space="preserve">SABR-COMET primary</w:t>
      </w:r>
      <w:r>
        <w:rPr>
          <w:b/>
          <w:bCs/>
          <w:color w:val="176A87"/>
          <w:sz w:val="15"/>
          <w:szCs w:val="15"/>
        </w:rPr>
        <w:t xml:space="preserve">   Randomised trial</w:t>
      </w:r>
      <w:r>
        <w:rPr>
          <w:color w:val="5A6069"/>
          <w:sz w:val="15"/>
          <w:szCs w:val="15"/>
        </w:rPr>
        <w:t xml:space="preserve">   PMID 30982687</w:t>
      </w:r>
    </w:p>
    <w:p>
      <w:pPr>
        <w:spacing w:after="50" w:line="276"/>
      </w:pPr>
      <w:r>
        <w:rPr>
          <w:color w:val="5A6069"/>
          <w:sz w:val="17"/>
          <w:szCs w:val="17"/>
        </w:rPr>
        <w:t xml:space="preserve">Stereotactic ablative radiotherapy versus standard of care palliative treatment in patients with oligometastatic cancers (SABR-COMET): a randomised, phase 2, open-label trial</w:t>
      </w:r>
    </w:p>
    <w:p>
      <w:pPr>
        <w:spacing w:after="50"/>
      </w:pPr>
      <w:r>
        <w:rPr>
          <w:b/>
          <w:bCs/>
          <w:color w:val="176A87"/>
          <w:sz w:val="16"/>
          <w:szCs w:val="16"/>
        </w:rPr>
        <w:t xml:space="preserve">Population. </w:t>
      </w:r>
      <w:r>
        <w:rPr>
          <w:sz w:val="16"/>
          <w:szCs w:val="16"/>
        </w:rPr>
        <w:t xml:space="preserve">99 patients with a controlled primary tumour and one to five metastatic lesions, randomised 2:1 at ten centres in Canada, the Netherlands, the UK and Australia between February 2012 and August 2016 (66 stereotactic ablative radiotherapy plus standard of care, 33 standard of care alone); primary histology was colorectal in 18, breast 18, lung 18 and prostate 16, and only 19 of 191 lesions were hepatic. Just 7 of 99 patients had four or five metastases. Median follow-up 26 and 25 months</w:t>
      </w:r>
    </w:p>
    <w:p>
      <w:pPr>
        <w:spacing w:after="70"/>
      </w:pPr>
      <w:r>
        <w:rPr>
          <w:b/>
          <w:bCs/>
          <w:color w:val="17365D"/>
          <w:sz w:val="16"/>
          <w:szCs w:val="16"/>
        </w:rPr>
        <w:t xml:space="preserve">Bottom line. </w:t>
      </w:r>
      <w:r>
        <w:rPr>
          <w:sz w:val="16"/>
          <w:szCs w:val="16"/>
        </w:rPr>
        <w:t xml:space="preserve">The first randomised evidence that ablating all sites of oligometastatic disease may prolong life: median overall survival 41 against 28 months and progression-free survival 12 against 6 months, with lesional control raised from 49% to 75% and no loss of quality of life. It does not prove a survival benefit - the design set alpha at 0.20, the hazard ratio's interval crosses 1 (0.30-1.10, p=0.090), control survival was three times the planning assumption, and 14 of 16 prostate cancers landed in the treated arm - and it cost three treatment-related deaths in 66 patients. For colorectal liver metastases it is background for the oligometastatic idea only: nine treated patients had a colorectal primary, 19 of 191 lesions were hepatic, and the relevant comparator, resection or thermal ablation, was never tested.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Multiple cancer types were included and the authors state they cannot exclude histology-specific differences in tumour biology affecting the benefit</w:t>
            </w:r>
          </w:p>
          <w:p>
            <w:pPr>
              <w:pStyle w:val="ListParagraph"/>
              <w:numPr>
                <w:ilvl w:val="0"/>
                <w:numId w:val="2"/>
              </w:numPr>
              <w:spacing w:after="45"/>
            </w:pPr>
            <w:r>
              <w:rPr>
                <w:sz w:val="15"/>
                <w:szCs w:val="15"/>
              </w:rPr>
              <w:t xml:space="preserve">The radiotherapy arm contained a large number of prostate cancer patients, which the authors say could have led to bias</w:t>
            </w:r>
          </w:p>
          <w:p>
            <w:pPr>
              <w:pStyle w:val="ListParagraph"/>
              <w:numPr>
                <w:ilvl w:val="0"/>
                <w:numId w:val="2"/>
              </w:numPr>
              <w:spacing w:after="45"/>
            </w:pPr>
            <w:r>
              <w:rPr>
                <w:sz w:val="15"/>
                <w:szCs w:val="15"/>
              </w:rPr>
              <w:t xml:space="preserve">Only a small number of patients had four to five metastases, which limits the value of the stratification factor, and the authors state no robust conclusion can be drawn beyond three metastases</w:t>
            </w:r>
          </w:p>
          <w:p>
            <w:pPr>
              <w:pStyle w:val="ListParagraph"/>
              <w:numPr>
                <w:ilvl w:val="0"/>
                <w:numId w:val="2"/>
              </w:numPr>
              <w:spacing w:after="45"/>
            </w:pPr>
            <w:r>
              <w:rPr>
                <w:sz w:val="15"/>
                <w:szCs w:val="15"/>
              </w:rPr>
              <w:t xml:space="preserve">The optimal dose and fractionation, and the maximum number of lesions treatable at acceptable risk, remain unknown</w:t>
            </w:r>
          </w:p>
          <w:p>
            <w:pPr>
              <w:pStyle w:val="ListParagraph"/>
              <w:numPr>
                <w:ilvl w:val="0"/>
                <w:numId w:val="2"/>
              </w:numPr>
              <w:spacing w:after="45"/>
            </w:pPr>
            <w:r>
              <w:rPr>
                <w:sz w:val="15"/>
                <w:szCs w:val="15"/>
              </w:rPr>
              <w:t xml:space="preserve">Three treatment-related deaths (4.5%) occurred despite strict dose constraints and peer review of all plans, and the authors advise treating more than five lesions only within trials</w:t>
            </w:r>
          </w:p>
          <w:p>
            <w:pPr>
              <w:pStyle w:val="ListParagraph"/>
              <w:numPr>
                <w:ilvl w:val="0"/>
                <w:numId w:val="2"/>
              </w:numPr>
              <w:spacing w:after="45"/>
            </w:pPr>
            <w:r>
              <w:rPr>
                <w:sz w:val="15"/>
                <w:szCs w:val="15"/>
              </w:rPr>
              <w:t xml:space="preserve">The prespecified endpoint of further systemic therapy cycles could not be ascertained and was converted to a yes-or-no variable</w:t>
            </w:r>
          </w:p>
          <w:p>
            <w:pPr>
              <w:pStyle w:val="ListParagraph"/>
              <w:numPr>
                <w:ilvl w:val="0"/>
                <w:numId w:val="2"/>
              </w:numPr>
              <w:spacing w:after="45"/>
            </w:pPr>
            <w:r>
              <w:rPr>
                <w:sz w:val="15"/>
                <w:szCs w:val="15"/>
              </w:rPr>
              <w:t xml:space="preserve">Quality of life was measured with a general rather than organ-specific instrument, and survival in both arms greatly exceeded the assumptions used for the sample size</w:t>
            </w:r>
          </w:p>
          <w:p>
            <w:pPr>
              <w:pStyle w:val="ListParagraph"/>
              <w:numPr>
                <w:ilvl w:val="0"/>
                <w:numId w:val="2"/>
              </w:numPr>
              <w:spacing w:after="45"/>
            </w:pPr>
            <w:r>
              <w:rPr>
                <w:sz w:val="15"/>
                <w:szCs w:val="15"/>
              </w:rPr>
              <w:t xml:space="preserve">The authors state that phase 3 trials are needed to show an overall survival benefit conclusively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survival result is not statistically significant by conventional standards and is presented as positive because the trial set its own threshold at a two-sided alpha of 0.20. The hazard ratio is 0.57 with a 95% CI of 0.30 to 1.10 and p=0.090, so the data are compatible with no survival effect, and 40 deaths in 99 patients cannot settle the question either way.</w:t>
            </w:r>
          </w:p>
          <w:p>
            <w:pPr>
              <w:pStyle w:val="ListParagraph"/>
              <w:numPr>
                <w:ilvl w:val="0"/>
                <w:numId w:val="2"/>
              </w:numPr>
              <w:spacing w:after="45"/>
            </w:pPr>
            <w:r>
              <w:rPr>
                <w:sz w:val="15"/>
                <w:szCs w:val="15"/>
              </w:rPr>
              <w:t xml:space="preserve">Control-arm survival was 28 months against the 9 months assumed at design - more than three times the planning estimate - so the trial was not powered for the population it enrolled, and the authors' explanation of this is confined to a limitation sentence.</w:t>
            </w:r>
          </w:p>
          <w:p>
            <w:pPr>
              <w:pStyle w:val="ListParagraph"/>
              <w:numPr>
                <w:ilvl w:val="0"/>
                <w:numId w:val="2"/>
              </w:numPr>
              <w:spacing w:after="45"/>
            </w:pPr>
            <w:r>
              <w:rPr>
                <w:sz w:val="15"/>
                <w:szCs w:val="15"/>
              </w:rPr>
              <w:t xml:space="preserve">The claim that a progression-free survival p value below 0.005 in a phase 2 screening trial can be considered definitive is asserted with one citation, in a trial of 99 patients with four histologies. Progression-free survival in a mixed-histology trial of local therapy is also the endpoint most favoured by treating the sites that are being measured.</w:t>
            </w:r>
          </w:p>
          <w:p>
            <w:pPr>
              <w:pStyle w:val="ListParagraph"/>
              <w:numPr>
                <w:ilvl w:val="0"/>
                <w:numId w:val="2"/>
              </w:numPr>
              <w:spacing w:after="45"/>
            </w:pPr>
            <w:r>
              <w:rPr>
                <w:sz w:val="15"/>
                <w:szCs w:val="15"/>
              </w:rPr>
              <w:t xml:space="preserve">Allocation produced striking imbalances for a 99-patient trial: 14 of the 16 prostate cancers and all three patients with five metastases fell in the radiotherapy arm. Prostate cancer has far better survival than the other histologies, and the paper offers no adjusted analysis excluding it.</w:t>
            </w:r>
          </w:p>
          <w:p>
            <w:pPr>
              <w:pStyle w:val="ListParagraph"/>
              <w:numPr>
                <w:ilvl w:val="0"/>
                <w:numId w:val="2"/>
              </w:numPr>
              <w:spacing w:after="45"/>
            </w:pPr>
            <w:r>
              <w:rPr>
                <w:sz w:val="15"/>
                <w:szCs w:val="15"/>
              </w:rPr>
              <w:t xml:space="preserve">Control patients received substantially more palliative radiotherapy (21 of 33, 64%, against 13 of 66, 20%), so the comparison is not radiotherapy against none but ablative radiotherapy against palliative radiotherapy plus systemic therapy - which bears directly on the lesional control endpoint.</w:t>
            </w:r>
          </w:p>
          <w:p>
            <w:pPr>
              <w:pStyle w:val="ListParagraph"/>
              <w:numPr>
                <w:ilvl w:val="0"/>
                <w:numId w:val="2"/>
              </w:numPr>
              <w:spacing w:after="45"/>
            </w:pPr>
            <w:r>
              <w:rPr>
                <w:sz w:val="15"/>
                <w:szCs w:val="15"/>
              </w:rPr>
              <w:t xml:space="preserve">Lesional control is computed per lesion (75 of 100 assessable against 28 of 57) with no clustering by patient, and the denominators are the assessable rather than the randomised lesions, with 191 lesions at baseline unaccounted for in that analysis.</w:t>
            </w:r>
          </w:p>
          <w:p>
            <w:pPr>
              <w:pStyle w:val="ListParagraph"/>
              <w:numPr>
                <w:ilvl w:val="0"/>
                <w:numId w:val="2"/>
              </w:numPr>
              <w:spacing w:after="45"/>
            </w:pPr>
            <w:r>
              <w:rPr>
                <w:sz w:val="15"/>
                <w:szCs w:val="15"/>
              </w:rPr>
              <w:t xml:space="preserve">Treatment-related mortality was 4.5% with none in controls, including a subdural haemorrhage after surgery for a radiotherapy-related perforated gastric ulcer. The abstract reports it, the Interpretation reports it, and no analysis weighs three deaths against a non-significant survival gain in 66 patients.</w:t>
            </w:r>
          </w:p>
          <w:p>
            <w:pPr>
              <w:pStyle w:val="ListParagraph"/>
              <w:numPr>
                <w:ilvl w:val="0"/>
                <w:numId w:val="2"/>
              </w:numPr>
              <w:spacing w:after="45"/>
            </w:pPr>
            <w:r>
              <w:rPr>
                <w:sz w:val="15"/>
                <w:szCs w:val="15"/>
              </w:rPr>
              <w:t xml:space="preserve">Quality of life was unchanged at six months (FACT-G 82.6 against 82.5, p=0.99) with no subscale difference, which undercuts the usual symptom-control justification for local therapy and is reported without comment on completion rates in the main text.</w:t>
            </w:r>
          </w:p>
          <w:p>
            <w:pPr>
              <w:pStyle w:val="ListParagraph"/>
              <w:numPr>
                <w:ilvl w:val="0"/>
                <w:numId w:val="2"/>
              </w:numPr>
              <w:spacing w:after="45"/>
            </w:pPr>
            <w:r>
              <w:rPr>
                <w:sz w:val="15"/>
                <w:szCs w:val="15"/>
              </w:rPr>
              <w:t xml:space="preserve">The trial is open label with no blinding of patients, clinicians or outcome assessors, and progression was assessed on imaging, in a trial whose firmest result is progression-free survival.</w:t>
            </w:r>
          </w:p>
          <w:p>
            <w:pPr>
              <w:pStyle w:val="ListParagraph"/>
              <w:numPr>
                <w:ilvl w:val="0"/>
                <w:numId w:val="2"/>
              </w:numPr>
              <w:spacing w:after="45"/>
            </w:pPr>
            <w:r>
              <w:rPr>
                <w:sz w:val="15"/>
                <w:szCs w:val="15"/>
              </w:rPr>
              <w:t xml:space="preserve">For colorectal liver metastases the trial contributes almost nothing directly: 18 patients had a colorectal primary (9 per arm) and 19 of 191 lesions were hepatic, and the comparator for liver-confined colorectal disease is resection or thermal ablation, neither of which was tested. ASCO's 2023 guideline excluded this trial from its evidence base for exactly this reason while recommending stereotactic radiotherapy on uncontrolled series.</w:t>
            </w:r>
          </w:p>
          <w:p>
            <w:pPr>
              <w:pStyle w:val="ListParagraph"/>
              <w:numPr>
                <w:ilvl w:val="0"/>
                <w:numId w:val="2"/>
              </w:numPr>
              <w:spacing w:after="45"/>
            </w:pPr>
            <w:r>
              <w:rPr>
                <w:sz w:val="15"/>
                <w:szCs w:val="15"/>
              </w:rPr>
              <w:t xml:space="preserve">Dose and fractionation varied (35 Gy in 5, 60 Gy in 8, 54 Gy in 3 fractions and others) with no dose-response analysis, so the intervention tested is a policy rather than a treatment.</w:t>
            </w:r>
          </w:p>
          <w:p>
            <w:pPr>
              <w:pStyle w:val="ListParagraph"/>
              <w:numPr>
                <w:ilvl w:val="0"/>
                <w:numId w:val="2"/>
              </w:numPr>
              <w:spacing w:after="45"/>
            </w:pPr>
            <w:r>
              <w:rPr>
                <w:sz w:val="15"/>
                <w:szCs w:val="15"/>
              </w:rPr>
              <w:t xml:space="preserve">The protocol contained no data-sharing plan and the data will not be shared, so the analyses cannot be independently checked.</w:t>
            </w:r>
          </w:p>
          <w:p>
            <w:pPr>
              <w:pStyle w:val="ListParagraph"/>
              <w:numPr>
                <w:ilvl w:val="0"/>
                <w:numId w:val="2"/>
              </w:numPr>
              <w:spacing w:after="45"/>
            </w:pPr>
            <w:r>
              <w:rPr>
                <w:sz w:val="15"/>
                <w:szCs w:val="15"/>
              </w:rPr>
              <w:t xml:space="preserve">A linked Lancet Comment (PMID 30982688, Loo and Diehn, 'SABR-COMET: harbinger of a new cancer treatment paradigm', 2019;393:2013-14) was identified in PubMed but its text was not read for this record.</w:t>
            </w:r>
          </w:p>
        </w:tc>
      </w:tr>
    </w:tbl>
    <w:p>
      <w:pPr>
        <w:spacing w:after="0" w:line="276"/>
      </w:pPr>
      <w:r>
        <w:rPr>
          <w:color w:val="5A6069"/>
          <w:sz w:val="14"/>
          <w:szCs w:val="14"/>
        </w:rPr>
        <w:t xml:space="preserve">Funding: Ontario Institute for Cancer Research and a London Regional Cancer Program Catalyst Grant; the funders had no role in design, collection, analysis, interpretation or writing. Four authors declare grant funding or honoraria from Varian Medical Systems, ViewRay, AstraZeneca, Bayer, Merck, Celgene or MSD, all stated to be unrelated to this project</w:t>
      </w:r>
    </w:p>
    <w:p>
      <w:pPr>
        <w:keepNext/>
        <w:spacing w:after="50" w:before="260"/>
      </w:pPr>
      <w:r>
        <w:rPr>
          <w:rFonts w:ascii="Cambria" w:cs="Cambria" w:eastAsia="Cambria" w:hAnsi="Cambria"/>
          <w:b/>
          <w:bCs/>
          <w:color w:val="17365D"/>
          <w:sz w:val="20"/>
          <w:szCs w:val="20"/>
        </w:rPr>
        <w:t xml:space="preserve">SECA-II</w:t>
      </w:r>
      <w:r>
        <w:rPr>
          <w:b/>
          <w:bCs/>
          <w:color w:val="176A87"/>
          <w:sz w:val="15"/>
          <w:szCs w:val="15"/>
        </w:rPr>
        <w:t xml:space="preserve">   cohort</w:t>
      </w:r>
      <w:r>
        <w:rPr>
          <w:color w:val="5A6069"/>
          <w:sz w:val="15"/>
          <w:szCs w:val="15"/>
        </w:rPr>
        <w:t xml:space="preserve">   PMID 31188200</w:t>
      </w:r>
    </w:p>
    <w:p>
      <w:pPr>
        <w:spacing w:after="50" w:line="276"/>
      </w:pPr>
      <w:r>
        <w:rPr>
          <w:color w:val="5A6069"/>
          <w:sz w:val="17"/>
          <w:szCs w:val="17"/>
        </w:rPr>
        <w:t xml:space="preserve">Survival Following Liver Transplantation for Patients With Nonresectable Liver-only Colorectal Metastases</w:t>
      </w:r>
    </w:p>
    <w:p>
      <w:pPr>
        <w:spacing w:after="50"/>
      </w:pPr>
      <w:r>
        <w:rPr>
          <w:b/>
          <w:bCs/>
          <w:color w:val="176A87"/>
          <w:sz w:val="16"/>
          <w:szCs w:val="16"/>
        </w:rPr>
        <w:t xml:space="preserve">Population. </w:t>
      </w:r>
      <w:r>
        <w:rPr>
          <w:sz w:val="16"/>
          <w:szCs w:val="16"/>
        </w:rPr>
        <w:t xml:space="preserve">15 patients transplanted for non-resectable liver-only colorectal metastases at Oslo University Hospital between April 2012 and November 2016 (SECA-II, NCT01479608); median 12 lesions (up to 100) with largest 45 mm at diagnosis, falling to a median 5 lesions and 24 mm at transplantation; 14 of 15 synchronous, 12 of 15 sigmoid or rectal, 8 of 15 on second or later line chemotherapy, median 24.0 months from diagnosis to transplant and 29 days (range 7-148) on the waiting list with no dropout. Median follow-up 36 months (range 5-60)</w:t>
      </w:r>
    </w:p>
    <w:p>
      <w:pPr>
        <w:spacing w:after="70"/>
      </w:pPr>
      <w:r>
        <w:rPr>
          <w:b/>
          <w:bCs/>
          <w:color w:val="17365D"/>
          <w:sz w:val="16"/>
          <w:szCs w:val="16"/>
        </w:rPr>
        <w:t xml:space="preserve">Bottom line. </w:t>
      </w:r>
      <w:r>
        <w:rPr>
          <w:sz w:val="16"/>
          <w:szCs w:val="16"/>
        </w:rPr>
        <w:t xml:space="preserve">Reports the best survival ever published for unresectable liver-only colorectal metastases - Kaplan-Meier 83% at five years in fifteen patients - and shows that tightening selection beyond SECA-I (response to chemotherapy, more than a year from diagnosis, lower tumour burden and CEA) is what produced it. It does not show that transplantation caused that survival: there is no control arm, the 17-month comparator is an assumption applied to a cohort selected for the features that predict long survival, the five-year figure rests on two deaths at a median 36 months of follow-up, and median disease-free survival was 13.7 months with survival maintained by repeated lung metastasectomy. It is a proof of principle about selection criteria, with 47% grade IIIa-IVa complications and a graft each.</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that adjuvant chemotherapy was deliberately omitted because adding it would have turned the study into an evaluation of two treatments, and say this should be the subject of future multicentre trials</w:t>
            </w:r>
          </w:p>
          <w:p>
            <w:pPr>
              <w:pStyle w:val="ListParagraph"/>
              <w:numPr>
                <w:ilvl w:val="0"/>
                <w:numId w:val="2"/>
              </w:numPr>
              <w:spacing w:after="45"/>
            </w:pPr>
            <w:r>
              <w:rPr>
                <w:sz w:val="15"/>
                <w:szCs w:val="15"/>
              </w:rPr>
              <w:t xml:space="preserve">They state that only one of the fifteen patients had metachronous disease, and that metachronous patients have a better prognosis after liver resection</w:t>
            </w:r>
          </w:p>
          <w:p>
            <w:pPr>
              <w:pStyle w:val="ListParagraph"/>
              <w:numPr>
                <w:ilvl w:val="0"/>
                <w:numId w:val="2"/>
              </w:numPr>
              <w:spacing w:after="45"/>
            </w:pPr>
            <w:r>
              <w:rPr>
                <w:sz w:val="15"/>
                <w:szCs w:val="15"/>
              </w:rPr>
              <w:t xml:space="preserve">They state that the comparison supporting benefit is an estimate: on the basis of published second-line figures and the lines of chemotherapy their patients had received, they assume these patients would have had a median survival of about 17 months without transplantation</w:t>
            </w:r>
          </w:p>
          <w:p>
            <w:pPr>
              <w:pStyle w:val="ListParagraph"/>
              <w:numPr>
                <w:ilvl w:val="0"/>
                <w:numId w:val="2"/>
              </w:numPr>
              <w:spacing w:after="45"/>
            </w:pPr>
            <w:r>
              <w:rPr>
                <w:sz w:val="15"/>
                <w:szCs w:val="15"/>
              </w:rPr>
              <w:t xml:space="preserve">They report that SECA-II patients were significantly better selected than SECA-I patients on Fong score, Oslo score, lesion number, lesion size, CEA and PET tumour-to-background ratio</w:t>
            </w:r>
          </w:p>
          <w:p>
            <w:pPr>
              <w:pStyle w:val="ListParagraph"/>
              <w:numPr>
                <w:ilvl w:val="0"/>
                <w:numId w:val="2"/>
              </w:numPr>
              <w:spacing w:after="45"/>
            </w:pPr>
            <w:r>
              <w:rPr>
                <w:sz w:val="15"/>
                <w:szCs w:val="15"/>
              </w:rPr>
              <w:t xml:space="preserve">They state that graft scarcity is the major obstacle to establishing the indication internationally, that adding it to waiting lists would worsen an already difficult situation, and that several transplant centres are already offering it outside registered prospective studies</w:t>
            </w:r>
          </w:p>
          <w:p>
            <w:pPr>
              <w:pStyle w:val="ListParagraph"/>
              <w:numPr>
                <w:ilvl w:val="0"/>
                <w:numId w:val="2"/>
              </w:numPr>
              <w:spacing w:after="45"/>
            </w:pPr>
            <w:r>
              <w:rPr>
                <w:sz w:val="15"/>
                <w:szCs w:val="15"/>
              </w:rPr>
              <w:t xml:space="preserve">They report Clavien-Dindo grade IIIa-IVa complications in 7 of 15 patients (47%)</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figure is a five-year Kaplan-Meier estimate from a median follow-up of 36 months with a range starting at 5 months, resting on two deaths in fifteen patients. No confidence interval is given anywhere, and the number of patients still at risk at 60 months is not stated in the text.</w:t>
            </w:r>
          </w:p>
          <w:p>
            <w:pPr>
              <w:pStyle w:val="ListParagraph"/>
              <w:numPr>
                <w:ilvl w:val="0"/>
                <w:numId w:val="2"/>
              </w:numPr>
              <w:spacing w:after="45"/>
            </w:pPr>
            <w:r>
              <w:rPr>
                <w:sz w:val="15"/>
                <w:szCs w:val="15"/>
              </w:rPr>
              <w:t xml:space="preserve">The counterfactual that makes the result look transformative is constructed rather than observed. The assumed 17-month median survival without transplantation comes from published second-line figures in unselected patients and is applied to a cohort that had to survive a median 24 months from diagnosis, show at least 10% RECIST response, remain extrahepatically PET-negative, keep ECOG 0-1, hold a BMI under 30 and lose under 10% of body weight. Selection of that kind predicts long survival by itself.</w:t>
            </w:r>
          </w:p>
          <w:p>
            <w:pPr>
              <w:pStyle w:val="ListParagraph"/>
              <w:numPr>
                <w:ilvl w:val="0"/>
                <w:numId w:val="2"/>
              </w:numPr>
              <w:spacing w:after="45"/>
            </w:pPr>
            <w:r>
              <w:rPr>
                <w:sz w:val="15"/>
                <w:szCs w:val="15"/>
              </w:rPr>
              <w:t xml:space="preserve">The historical comparison carried over from SECA-I is built on an outcome-selected control group: 21 SECA-I patients were compared with the 21 of 47 NORDIC-VII patients with the longest overall survival. Choosing a comparator by its outcome is improper even when, as here, the choice runs against the authors' hypothesis.</w:t>
            </w:r>
          </w:p>
          <w:p>
            <w:pPr>
              <w:pStyle w:val="ListParagraph"/>
              <w:numPr>
                <w:ilvl w:val="0"/>
                <w:numId w:val="2"/>
              </w:numPr>
              <w:spacing w:after="45"/>
            </w:pPr>
            <w:r>
              <w:rPr>
                <w:sz w:val="15"/>
                <w:szCs w:val="15"/>
              </w:rPr>
              <w:t xml:space="preserve">The paper itself shows the improvement over SECA-I is selection, not technique: Fong score 3 against 2, Oslo score 2 against 1, 8 lesions against 5, 45 mm against 24 mm, CEA 15 against 2 ug/L, tumour-to-background ratio 5.3 against 2.6. An 83% five-year estimate obtained by restricting entry says what the criteria pick out, not what the operation does.</w:t>
            </w:r>
          </w:p>
          <w:p>
            <w:pPr>
              <w:pStyle w:val="ListParagraph"/>
              <w:numPr>
                <w:ilvl w:val="0"/>
                <w:numId w:val="2"/>
              </w:numPr>
              <w:spacing w:after="45"/>
            </w:pPr>
            <w:r>
              <w:rPr>
                <w:sz w:val="15"/>
                <w:szCs w:val="15"/>
              </w:rPr>
              <w:t xml:space="preserve">The Discussion describes the cohort as having extensive non-resectable disease with a median of 12 metastases of 45 mm, which are the figures at diagnosis; at transplantation the medians were 5 lesions of 24 mm. The burden used to argue the patients were desperate is not the burden they had when transplanted.</w:t>
            </w:r>
          </w:p>
          <w:p>
            <w:pPr>
              <w:pStyle w:val="ListParagraph"/>
              <w:numPr>
                <w:ilvl w:val="0"/>
                <w:numId w:val="2"/>
              </w:numPr>
              <w:spacing w:after="45"/>
            </w:pPr>
            <w:r>
              <w:rPr>
                <w:sz w:val="15"/>
                <w:szCs w:val="15"/>
              </w:rPr>
              <w:t xml:space="preserve">Survival depends on post-transplant surgery that is not counted as part of the treatment: 6 pulmonary resections in 5 patients, one liver resection, two lymph node resections with 50 Gy of radiotherapy, and palliative chemotherapy in two. What the 83% describes is transplantation plus an aggressive and individualised salvage programme.</w:t>
            </w:r>
          </w:p>
          <w:p>
            <w:pPr>
              <w:pStyle w:val="ListParagraph"/>
              <w:numPr>
                <w:ilvl w:val="0"/>
                <w:numId w:val="2"/>
              </w:numPr>
              <w:spacing w:after="45"/>
            </w:pPr>
            <w:r>
              <w:rPr>
                <w:sz w:val="15"/>
                <w:szCs w:val="15"/>
              </w:rPr>
              <w:t xml:space="preserve">Pulmonary metastases were resected a median 21.4 months after detection, at a median CT size of 7.5 mm (range 5-10 mm). Known metastatic disease was therefore watched for nearly two years by design, which shapes both the disease-free survival figures and the 76.4% no-evidence-of-disease rate at three years - a composite that counts patients re-rendered disease free by later operations.</w:t>
            </w:r>
          </w:p>
          <w:p>
            <w:pPr>
              <w:pStyle w:val="ListParagraph"/>
              <w:numPr>
                <w:ilvl w:val="0"/>
                <w:numId w:val="2"/>
              </w:numPr>
              <w:spacing w:after="45"/>
            </w:pPr>
            <w:r>
              <w:rPr>
                <w:sz w:val="15"/>
                <w:szCs w:val="15"/>
              </w:rPr>
              <w:t xml:space="preserve">Median disease-free survival was 13.7 months with 35% disease-free at three years, so the operation does not control the disease; the paper's framing moves the burden of the efficacy claim onto overall survival without reporting what proportion of survival time was spent with known disease.</w:t>
            </w:r>
          </w:p>
          <w:p>
            <w:pPr>
              <w:pStyle w:val="ListParagraph"/>
              <w:numPr>
                <w:ilvl w:val="0"/>
                <w:numId w:val="2"/>
              </w:numPr>
              <w:spacing w:after="45"/>
            </w:pPr>
            <w:r>
              <w:rPr>
                <w:sz w:val="15"/>
                <w:szCs w:val="15"/>
              </w:rPr>
              <w:t xml:space="preserve">Subgroup analyses are reported from fifteen patients with no adjustment: Fong 1-2 against 3-4 (p=0.044), fewer than 8 lesions (p=0.083) and N0 primary (p=0.065). With this sample size these are descriptions of individual patients.</w:t>
            </w:r>
          </w:p>
          <w:p>
            <w:pPr>
              <w:pStyle w:val="ListParagraph"/>
              <w:numPr>
                <w:ilvl w:val="0"/>
                <w:numId w:val="2"/>
              </w:numPr>
              <w:spacing w:after="45"/>
            </w:pPr>
            <w:r>
              <w:rPr>
                <w:sz w:val="15"/>
                <w:szCs w:val="15"/>
              </w:rPr>
              <w:t xml:space="preserve">No screening or referral denominator is given. The paper reports 15 transplants over about five years with no waiting-list dropout, but not how many patients were assessed, declined or excluded, so the eligible population cannot be estimated from this study - although the paper then extrapolates to US transplant volumes.</w:t>
            </w:r>
          </w:p>
          <w:p>
            <w:pPr>
              <w:pStyle w:val="ListParagraph"/>
              <w:numPr>
                <w:ilvl w:val="0"/>
                <w:numId w:val="2"/>
              </w:numPr>
              <w:spacing w:after="45"/>
            </w:pPr>
            <w:r>
              <w:rPr>
                <w:sz w:val="15"/>
                <w:szCs w:val="15"/>
              </w:rPr>
              <w:t xml:space="preserve">Immunosuppression was basiliximab induction with tacrolimus for four to six weeks and conversion to sirolimus, a regimen chosen in part for a presumed antitumour effect, with no comparison, no exposure data, no rejection rate and no graft outcome reported. It is an untested co-intervention inside the treatment being evaluated.</w:t>
            </w:r>
          </w:p>
          <w:p>
            <w:pPr>
              <w:pStyle w:val="ListParagraph"/>
              <w:numPr>
                <w:ilvl w:val="0"/>
                <w:numId w:val="2"/>
              </w:numPr>
              <w:spacing w:after="45"/>
            </w:pPr>
            <w:r>
              <w:rPr>
                <w:sz w:val="15"/>
                <w:szCs w:val="15"/>
              </w:rPr>
              <w:t xml:space="preserve">The harms are substantial and unweighed: grade IIIa-IVa complications in 47%, including biliary leakage and acute hepatic vein thrombosis, in patients whose own livers functioned normally, plus lifelong immunosuppression. No quality-of-life measure is reported.</w:t>
            </w:r>
          </w:p>
          <w:p>
            <w:pPr>
              <w:pStyle w:val="ListParagraph"/>
              <w:numPr>
                <w:ilvl w:val="0"/>
                <w:numId w:val="2"/>
              </w:numPr>
              <w:spacing w:after="45"/>
            </w:pPr>
            <w:r>
              <w:rPr>
                <w:sz w:val="15"/>
                <w:szCs w:val="15"/>
              </w:rPr>
              <w:t xml:space="preserve">The allocation question is answered by assertion. The claim that restricting selection to patients with 75-80% five-year survival will probably not lengthen waiting lists much is an arithmetic extrapolation from one centre in a country with unusual graft availability, offered alongside the authors' own observation that centres are already transplanting these patients outside trials.</w:t>
            </w:r>
          </w:p>
          <w:p>
            <w:pPr>
              <w:pStyle w:val="ListParagraph"/>
              <w:numPr>
                <w:ilvl w:val="0"/>
                <w:numId w:val="2"/>
              </w:numPr>
              <w:spacing w:after="45"/>
            </w:pPr>
            <w:r>
              <w:rPr>
                <w:sz w:val="15"/>
                <w:szCs w:val="15"/>
              </w:rPr>
              <w:t xml:space="preserve">Three linked comments were identified in PubMed - Azoulay and Lim, 'Shaking the Coconut Tree' (PMID 32310616); Gorgen and Sapisochin, 'What if Those Lesions are Gone?' (PMID 31567348); and Jegatheeswaran and Siriwardena (PMID 32398488) - but only their titles were available, so no argument from them is attributed here beyond the question of what to do when liver lesions have disappeared on imaging.</w:t>
            </w:r>
          </w:p>
        </w:tc>
      </w:tr>
    </w:tbl>
    <w:p>
      <w:pPr>
        <w:spacing w:after="0" w:line="276"/>
      </w:pPr>
      <w:r>
        <w:rPr>
          <w:color w:val="5A6069"/>
          <w:sz w:val="14"/>
          <w:szCs w:val="14"/>
        </w:rPr>
        <w:t xml:space="preserve">Funding: Supported by Oslo University Hospital and the Norwegian Cancer Society. The authors declare no conflicts of interest</w:t>
      </w:r>
    </w:p>
    <w:p>
      <w:pPr>
        <w:keepNext/>
        <w:spacing w:after="50" w:before="260"/>
      </w:pPr>
      <w:r>
        <w:rPr>
          <w:rFonts w:ascii="Cambria" w:cs="Cambria" w:eastAsia="Cambria" w:hAnsi="Cambria"/>
          <w:b/>
          <w:bCs/>
          <w:color w:val="17365D"/>
          <w:sz w:val="20"/>
          <w:szCs w:val="20"/>
        </w:rPr>
        <w:t xml:space="preserve">SECA-II 10-year</w:t>
      </w:r>
      <w:r>
        <w:rPr>
          <w:b/>
          <w:bCs/>
          <w:color w:val="176A87"/>
          <w:sz w:val="15"/>
          <w:szCs w:val="15"/>
        </w:rPr>
        <w:t xml:space="preserve">   cohort</w:t>
      </w:r>
      <w:r>
        <w:rPr>
          <w:color w:val="5A6069"/>
          <w:sz w:val="15"/>
          <w:szCs w:val="15"/>
        </w:rPr>
        <w:t xml:space="preserve">   PMID 42572136</w:t>
      </w:r>
    </w:p>
    <w:p>
      <w:pPr>
        <w:spacing w:after="50" w:line="276"/>
      </w:pPr>
      <w:r>
        <w:rPr>
          <w:color w:val="5A6069"/>
          <w:sz w:val="17"/>
          <w:szCs w:val="17"/>
        </w:rPr>
        <w:t xml:space="preserve">Liver transplantation for nonresectable colorectal liver metastases: ten-year follow-up and assessment of curative rate in the SECA-II study</w:t>
      </w:r>
    </w:p>
    <w:p>
      <w:pPr>
        <w:spacing w:after="50"/>
      </w:pPr>
      <w:r>
        <w:rPr>
          <w:b/>
          <w:bCs/>
          <w:color w:val="176A87"/>
          <w:sz w:val="16"/>
          <w:szCs w:val="16"/>
        </w:rPr>
        <w:t xml:space="preserve">Population. </w:t>
      </w:r>
      <w:r>
        <w:rPr>
          <w:sz w:val="16"/>
          <w:szCs w:val="16"/>
        </w:rPr>
        <w:t xml:space="preserve">25 consecutive patients transplanted for non-resectable liver-only colorectal metastases at Oslo University Hospital between April 2012 and November 2023 in SECA-II (24 synchronous in arm C, one metachronous in arm B), none given adjuvant chemotherapy; median 5 lesions (range 1-47), tumour burden score 7.7, Oslo score 1 (0-2), Fong score 2, all with CEA below 33 ug/L and largest lesion under 5.5 cm, only 2 of 24 with metabolic tumour volume above 70 cm3. Median time from diagnosis to transplant 23.3 months; follow-up closed 1 January 2025 with median follow-up of survivors 97.2 months, 14 patients past 5 years and 6 past 10</w:t>
      </w:r>
    </w:p>
    <w:p>
      <w:pPr>
        <w:spacing w:after="70"/>
      </w:pPr>
      <w:r>
        <w:rPr>
          <w:b/>
          <w:bCs/>
          <w:color w:val="17365D"/>
          <w:sz w:val="16"/>
          <w:szCs w:val="16"/>
        </w:rPr>
        <w:t xml:space="preserve">Bottom line. </w:t>
      </w:r>
      <w:r>
        <w:rPr>
          <w:sz w:val="16"/>
          <w:szCs w:val="16"/>
        </w:rPr>
        <w:t xml:space="preserve">The most mature single-arm transplant data available: 25 stringently selected patients with median overall survival of 128.2 months, 78% at five years and 52% at ten, with half the cohort relapse-free beyond four years and one operative death. It does not establish a cure rate: the cure count is a retrospective case-by-case judgement reported as 15, 13 and about 50% in three places in the same paper, 48% relapsed within two years, and patients re-rendered disease free by lung metastasectomy are counted towards the transplant's curative potential. The selection that produced the result - CEA under 33, every lesion under 5.5 cm, almost nobody with an adverse prognostic factor - identifies, by the authors' own simulation, two or three patients a year in five and a half million.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list a limited sample size (n=25), a single-centre design and the potential selection bias inherent in non-randomised cohorts, and name extended follow-up as the study's strength</w:t>
            </w:r>
          </w:p>
          <w:p>
            <w:pPr>
              <w:pStyle w:val="ListParagraph"/>
              <w:numPr>
                <w:ilvl w:val="0"/>
                <w:numId w:val="2"/>
              </w:numPr>
              <w:spacing w:after="45"/>
            </w:pPr>
            <w:r>
              <w:rPr>
                <w:sz w:val="15"/>
                <w:szCs w:val="15"/>
              </w:rPr>
              <w:t xml:space="preserve">They state that relapse-free survival is not a valid metric for evaluating the efficacy of transplantation in this disease</w:t>
            </w:r>
          </w:p>
          <w:p>
            <w:pPr>
              <w:pStyle w:val="ListParagraph"/>
              <w:numPr>
                <w:ilvl w:val="0"/>
                <w:numId w:val="2"/>
              </w:numPr>
              <w:spacing w:after="45"/>
            </w:pPr>
            <w:r>
              <w:rPr>
                <w:sz w:val="15"/>
                <w:szCs w:val="15"/>
              </w:rPr>
              <w:t xml:space="preserve">They report that 22% of SECA-I and 16% of SECA-II patients died of recurrent disease more than five years after transplantation, and conclude that 10-year rather than 5-year survival is the more appropriate measure</w:t>
            </w:r>
          </w:p>
          <w:p>
            <w:pPr>
              <w:pStyle w:val="ListParagraph"/>
              <w:numPr>
                <w:ilvl w:val="0"/>
                <w:numId w:val="2"/>
              </w:numPr>
              <w:spacing w:after="45"/>
            </w:pPr>
            <w:r>
              <w:rPr>
                <w:sz w:val="15"/>
                <w:szCs w:val="15"/>
              </w:rPr>
              <w:t xml:space="preserve">They state that one patient was transplanted despite progressive disease, after an outside CT scan whose result was unknown to the centre, and that one patient died of hepatic artery thrombosis about four weeks after transplantation</w:t>
            </w:r>
          </w:p>
          <w:p>
            <w:pPr>
              <w:pStyle w:val="ListParagraph"/>
              <w:numPr>
                <w:ilvl w:val="0"/>
                <w:numId w:val="2"/>
              </w:numPr>
              <w:spacing w:after="45"/>
            </w:pPr>
            <w:r>
              <w:rPr>
                <w:sz w:val="15"/>
                <w:szCs w:val="15"/>
              </w:rPr>
              <w:t xml:space="preserve">They concede that if borderline resectable patients were also considered, a negative impact on the transplant waiting list is to be expected, and that broader criteria would oblige most programmes to rely on living donation or extended-criteria grafts</w:t>
            </w:r>
          </w:p>
          <w:p>
            <w:pPr>
              <w:pStyle w:val="ListParagraph"/>
              <w:numPr>
                <w:ilvl w:val="0"/>
                <w:numId w:val="2"/>
              </w:numPr>
              <w:spacing w:after="45"/>
            </w:pPr>
            <w:r>
              <w:rPr>
                <w:sz w:val="15"/>
                <w:szCs w:val="15"/>
              </w:rPr>
              <w:t xml:space="preserve">They note that full inclusion and exclusion criteria and the immunosuppression protocol are not restated here but referenced to the SECA-I publication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cure estimate, which is the paper's novel claim, is a post hoc patient-by-patient judgement with no prespecified definition, and the paper gives three different answers: a maximum of 15 of 25 in the abstract, up to 13 of 25 in the discussion, and about 50% in the conclusion. A reader cannot tell which patients were counted or on what rule.</w:t>
            </w:r>
          </w:p>
          <w:p>
            <w:pPr>
              <w:pStyle w:val="ListParagraph"/>
              <w:numPr>
                <w:ilvl w:val="0"/>
                <w:numId w:val="2"/>
              </w:numPr>
              <w:spacing w:after="45"/>
            </w:pPr>
            <w:r>
              <w:rPr>
                <w:sz w:val="15"/>
                <w:szCs w:val="15"/>
              </w:rPr>
              <w:t xml:space="preserve">Forty-eight percent of patients relapsed, all within 24.3 months, with median relapse-free survival of 24.3 months. The response - that relapse-free survival is not a valid metric here - converts the study's central negative finding into a methodological assertion, in the same paper that claims half the cohort was cured.</w:t>
            </w:r>
          </w:p>
          <w:p>
            <w:pPr>
              <w:pStyle w:val="ListParagraph"/>
              <w:numPr>
                <w:ilvl w:val="0"/>
                <w:numId w:val="2"/>
              </w:numPr>
              <w:spacing w:after="45"/>
            </w:pPr>
            <w:r>
              <w:rPr>
                <w:sz w:val="15"/>
                <w:szCs w:val="15"/>
              </w:rPr>
              <w:t xml:space="preserve">The cure claim and the relapse data sit uneasily together: of the twelve who relapsed, nine had surgery as first treatment and two are counted as having no evidence of disease 36.1 and 93.4 months after pulmonary metastasectomy. Patients rendered disease free by a second operation are being counted towards the curative potential of the first.</w:t>
            </w:r>
          </w:p>
          <w:p>
            <w:pPr>
              <w:pStyle w:val="ListParagraph"/>
              <w:numPr>
                <w:ilvl w:val="0"/>
                <w:numId w:val="2"/>
              </w:numPr>
              <w:spacing w:after="45"/>
            </w:pPr>
            <w:r>
              <w:rPr>
                <w:sz w:val="15"/>
                <w:szCs w:val="15"/>
              </w:rPr>
              <w:t xml:space="preserve">Survival is reported from transplantation with no intention-to-treat analysis from listing, so patients who were accepted and never transplanted - the group that in the companion 72-patient report took five-year survival from 50.4% to 42.6% - are invisible here.</w:t>
            </w:r>
          </w:p>
          <w:p>
            <w:pPr>
              <w:pStyle w:val="ListParagraph"/>
              <w:numPr>
                <w:ilvl w:val="0"/>
                <w:numId w:val="2"/>
              </w:numPr>
              <w:spacing w:after="45"/>
            </w:pPr>
            <w:r>
              <w:rPr>
                <w:sz w:val="15"/>
                <w:szCs w:val="15"/>
              </w:rPr>
              <w:t xml:space="preserve">Selection was so tight that the cohort contains one patient each with an ascending-colon primary, a pN2 primary and progressive disease at transplant, two with metabolic tumour volume above 70 cm3 and two KRAS mutants. The 78% five-year survival therefore describes a population assembled to exclude every known adverse factor, and the paper's own simulation puts that population at 2 to 3 patients per year per 5.5 million people.</w:t>
            </w:r>
          </w:p>
          <w:p>
            <w:pPr>
              <w:pStyle w:val="ListParagraph"/>
              <w:numPr>
                <w:ilvl w:val="0"/>
                <w:numId w:val="2"/>
              </w:numPr>
              <w:spacing w:after="45"/>
            </w:pPr>
            <w:r>
              <w:rPr>
                <w:sz w:val="15"/>
                <w:szCs w:val="15"/>
              </w:rPr>
              <w:t xml:space="preserve">The prognostic rules the paper hands forward - exclude ascending-colon primary, pN2 primary, or KRAS and TP53 co-mutation unless observed beyond 24 months, and require an Oslo score of 2 or less - are derived from this group's own earlier reports on overlapping patients and are now applied to a cohort of 25 containing one patient in each of those categories. Nothing here tests them.</w:t>
            </w:r>
          </w:p>
          <w:p>
            <w:pPr>
              <w:pStyle w:val="ListParagraph"/>
              <w:numPr>
                <w:ilvl w:val="0"/>
                <w:numId w:val="2"/>
              </w:numPr>
              <w:spacing w:after="45"/>
            </w:pPr>
            <w:r>
              <w:rPr>
                <w:sz w:val="15"/>
                <w:szCs w:val="15"/>
              </w:rPr>
              <w:t xml:space="preserve">No confidence interval accompanies the five- or ten-year survival percentages, and the median overall survival interval is very wide (128.2 months, 95% CI 74.8-181.6), which is the honest measure of what 25 patients support.</w:t>
            </w:r>
          </w:p>
          <w:p>
            <w:pPr>
              <w:pStyle w:val="ListParagraph"/>
              <w:numPr>
                <w:ilvl w:val="0"/>
                <w:numId w:val="2"/>
              </w:numPr>
              <w:spacing w:after="45"/>
            </w:pPr>
            <w:r>
              <w:rPr>
                <w:sz w:val="15"/>
                <w:szCs w:val="15"/>
              </w:rPr>
              <w:t xml:space="preserve">There is no control arm in this report. Benefit is argued by comparison with TransMet's chemotherapy arm, with the group's own historical cohorts, and with published hepatocellular carcinoma transplant survival - all cross-study comparisons between differently selected populations.</w:t>
            </w:r>
          </w:p>
          <w:p>
            <w:pPr>
              <w:pStyle w:val="ListParagraph"/>
              <w:numPr>
                <w:ilvl w:val="0"/>
                <w:numId w:val="2"/>
              </w:numPr>
              <w:spacing w:after="45"/>
            </w:pPr>
            <w:r>
              <w:rPr>
                <w:sz w:val="15"/>
                <w:szCs w:val="15"/>
              </w:rPr>
              <w:t xml:space="preserve">The baseline tables exclude the patient who died of postoperative complications, so the denominator shifts between 25 for survival and 24 for every characteristic, and a 4% operative mortality in patients whose own livers worked is reported without being set against the benefit.</w:t>
            </w:r>
          </w:p>
          <w:p>
            <w:pPr>
              <w:pStyle w:val="ListParagraph"/>
              <w:numPr>
                <w:ilvl w:val="0"/>
                <w:numId w:val="2"/>
              </w:numPr>
              <w:spacing w:after="45"/>
            </w:pPr>
            <w:r>
              <w:rPr>
                <w:sz w:val="15"/>
                <w:szCs w:val="15"/>
              </w:rPr>
              <w:t xml:space="preserve">Graft outcomes beyond the fatal hepatic artery thrombosis are not reported: no rejection rate, no immunosuppression exposure, no late graft function, no second malignancies, in a cohort followed for a median of eight years on immunosuppression.</w:t>
            </w:r>
          </w:p>
          <w:p>
            <w:pPr>
              <w:pStyle w:val="ListParagraph"/>
              <w:numPr>
                <w:ilvl w:val="0"/>
                <w:numId w:val="2"/>
              </w:numPr>
              <w:spacing w:after="45"/>
            </w:pPr>
            <w:r>
              <w:rPr>
                <w:sz w:val="15"/>
                <w:szCs w:val="15"/>
              </w:rPr>
              <w:t xml:space="preserve">No quality-of-life or patient-reported outcome is measured; quality of life and cost-effectiveness are cited from the group's earlier publications, and the health-economic argument is reduced to a threshold (acceptable if mean survival exceeds three years) taken from one reference.</w:t>
            </w:r>
          </w:p>
          <w:p>
            <w:pPr>
              <w:pStyle w:val="ListParagraph"/>
              <w:numPr>
                <w:ilvl w:val="0"/>
                <w:numId w:val="2"/>
              </w:numPr>
              <w:spacing w:after="45"/>
            </w:pPr>
            <w:r>
              <w:rPr>
                <w:sz w:val="15"/>
                <w:szCs w:val="15"/>
              </w:rPr>
              <w:t xml:space="preserve">The allocation argument rests on assertions about a single national programme: one centre performing about 100 transplants a year, so adding a few patients will not materially affect the waitlist, extended to the claim that the indication is probably manageable in a wider range of programmes internationally.</w:t>
            </w:r>
          </w:p>
          <w:p>
            <w:pPr>
              <w:pStyle w:val="ListParagraph"/>
              <w:numPr>
                <w:ilvl w:val="0"/>
                <w:numId w:val="2"/>
              </w:numPr>
              <w:spacing w:after="45"/>
            </w:pPr>
            <w:r>
              <w:rPr>
                <w:sz w:val="15"/>
                <w:szCs w:val="15"/>
              </w:rPr>
              <w:t xml:space="preserve">The willingness-to-donate figure invoked to support living donation - that most next of kin would donate the left lateral sector for an expected life extension of 12 months or less - is cited from a separate survey and is used to justify exposing healthy donors in an indication where half the patients relapse.</w:t>
            </w:r>
          </w:p>
          <w:p>
            <w:pPr>
              <w:pStyle w:val="ListParagraph"/>
              <w:numPr>
                <w:ilvl w:val="0"/>
                <w:numId w:val="2"/>
              </w:numPr>
              <w:spacing w:after="45"/>
            </w:pPr>
            <w:r>
              <w:rPr>
                <w:sz w:val="15"/>
                <w:szCs w:val="15"/>
              </w:rPr>
              <w:t xml:space="preserve">No linked editorial or comment was found in PubMed, which is unsurprising for a very recent publication, so no independent published critique informs this record.</w:t>
            </w:r>
          </w:p>
        </w:tc>
      </w:tr>
    </w:tbl>
    <w:p>
      <w:pPr>
        <w:spacing w:after="0" w:line="276"/>
      </w:pPr>
      <w:r>
        <w:rPr>
          <w:color w:val="5A6069"/>
          <w:sz w:val="14"/>
          <w:szCs w:val="14"/>
        </w:rPr>
        <w:t xml:space="preserve">Funding: Supported by Oslo University Hospital and the South-Eastern Norway Regional Health Authority. The authors declare no conflicts of interest</w:t>
      </w:r>
    </w:p>
    <w:p>
      <w:pPr>
        <w:keepNext/>
        <w:spacing w:after="50" w:before="260"/>
      </w:pPr>
      <w:r>
        <w:rPr>
          <w:rFonts w:ascii="Cambria" w:cs="Cambria" w:eastAsia="Cambria" w:hAnsi="Cambria"/>
          <w:b/>
          <w:bCs/>
          <w:color w:val="17365D"/>
          <w:sz w:val="20"/>
          <w:szCs w:val="20"/>
        </w:rPr>
        <w:t xml:space="preserve">Shady ablation margins</w:t>
      </w:r>
      <w:r>
        <w:rPr>
          <w:b/>
          <w:bCs/>
          <w:color w:val="176A87"/>
          <w:sz w:val="15"/>
          <w:szCs w:val="15"/>
        </w:rPr>
        <w:t xml:space="preserve">   cohort</w:t>
      </w:r>
      <w:r>
        <w:rPr>
          <w:color w:val="5A6069"/>
          <w:sz w:val="15"/>
          <w:szCs w:val="15"/>
        </w:rPr>
        <w:t xml:space="preserve">   PMID 26267832</w:t>
      </w:r>
    </w:p>
    <w:p>
      <w:pPr>
        <w:spacing w:after="50" w:line="276"/>
      </w:pPr>
      <w:r>
        <w:rPr>
          <w:color w:val="5A6069"/>
          <w:sz w:val="17"/>
          <w:szCs w:val="17"/>
        </w:rPr>
        <w:t xml:space="preserve">Percutaneous Radiofrequency Ablation of Colorectal Cancer Liver Metastases: Factors Affecting Outcomes - A 10-year Experience at a Single Center</w:t>
      </w:r>
    </w:p>
    <w:p>
      <w:pPr>
        <w:spacing w:after="50"/>
      </w:pPr>
      <w:r>
        <w:rPr>
          <w:b/>
          <w:bCs/>
          <w:color w:val="176A87"/>
          <w:sz w:val="16"/>
          <w:szCs w:val="16"/>
        </w:rPr>
        <w:t xml:space="preserve">Population. </w:t>
      </w:r>
      <w:r>
        <w:rPr>
          <w:sz w:val="16"/>
          <w:szCs w:val="16"/>
        </w:rPr>
        <w:t xml:space="preserve">162 consecutive patients with 233 colorectal liver metastases (median diameter 1.8 cm) treated by CT-guided percutaneous radiofrequency ablation at Memorial Sloan-Kettering between December 2002 and December 2012, from 184 screened; 72% had already undergone hepatectomy, 51 (31%) had extrahepatic disease at ablation (lung only in 29), and nine operators performed the procedures with 70% done by three. Margins were measurable in 174 of 233 tumours (75%) and the modified risk score analyses used the 153 of 162 patients (94%) with a recorded CEA. Median follow-up 55 months</w:t>
      </w:r>
    </w:p>
    <w:p>
      <w:pPr>
        <w:spacing w:after="70"/>
      </w:pPr>
      <w:r>
        <w:rPr>
          <w:b/>
          <w:bCs/>
          <w:color w:val="17365D"/>
          <w:sz w:val="16"/>
          <w:szCs w:val="16"/>
        </w:rPr>
        <w:t xml:space="preserve">Bottom line. </w:t>
      </w:r>
      <w:r>
        <w:rPr>
          <w:sz w:val="16"/>
          <w:szCs w:val="16"/>
        </w:rPr>
        <w:t xml:space="preserve">The clearest demonstration available that percutaneous radiofrequency ablation of colorectal liver metastases succeeds or fails on margin: local recurrence falls from 90% with no margin to 5% beyond 10 mm, and tumours over 3 cm do badly (median local progression-free survival 6 against 30 months). It also shows the technique's limit - 48% of 233 tumours progressed locally over 55 months despite 94% technique effectiveness at the first scan - and that survival of 36 months reflects a mixed cohort of post-hepatectomy recurrences, unresectable disease and refused surgery, with no comparator. The margin data come from the 75% of tumours in which margin could be measured, with no pathology, and the risk score was rebuilt and tested in the same 162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the retrospective, single-institution design makes universal application of the modified clinical risk score and of the findings questionable, and that randomised studies are desirable but unlikely</w:t>
            </w:r>
          </w:p>
          <w:p>
            <w:pPr>
              <w:pStyle w:val="ListParagraph"/>
              <w:numPr>
                <w:ilvl w:val="0"/>
                <w:numId w:val="2"/>
              </w:numPr>
              <w:spacing w:after="45"/>
            </w:pPr>
            <w:r>
              <w:rPr>
                <w:sz w:val="15"/>
                <w:szCs w:val="15"/>
              </w:rPr>
              <w:t xml:space="preserve">They state that actual margins cannot be assessed after ablation because no tissue is available, so radiological margin measurement is a less precise alternative, and that histopathological evaluation of the target tumour before ablation and of the ablation zone afterwards was absent</w:t>
            </w:r>
          </w:p>
          <w:p>
            <w:pPr>
              <w:pStyle w:val="ListParagraph"/>
              <w:numPr>
                <w:ilvl w:val="0"/>
                <w:numId w:val="2"/>
              </w:numPr>
              <w:spacing w:after="45"/>
            </w:pPr>
            <w:r>
              <w:rPr>
                <w:sz w:val="15"/>
                <w:szCs w:val="15"/>
              </w:rPr>
              <w:t xml:space="preserve">They state that the modified clinical risk score lowered the Fong size cut-off to 3 cm and the CEA cut-off to 30 ng/mL to describe this population, because only four patients had a CEA above 200, and that points were grouped into three risk levels because of the smaller sample</w:t>
            </w:r>
          </w:p>
          <w:p>
            <w:pPr>
              <w:pStyle w:val="ListParagraph"/>
              <w:numPr>
                <w:ilvl w:val="0"/>
                <w:numId w:val="2"/>
              </w:numPr>
              <w:spacing w:after="45"/>
            </w:pPr>
            <w:r>
              <w:rPr>
                <w:sz w:val="15"/>
                <w:szCs w:val="15"/>
              </w:rPr>
              <w:t xml:space="preserve">They state that validation of the score in larger studies is necessary</w:t>
            </w:r>
          </w:p>
          <w:p>
            <w:pPr>
              <w:pStyle w:val="ListParagraph"/>
              <w:numPr>
                <w:ilvl w:val="0"/>
                <w:numId w:val="2"/>
              </w:numPr>
              <w:spacing w:after="45"/>
            </w:pPr>
            <w:r>
              <w:rPr>
                <w:sz w:val="15"/>
                <w:szCs w:val="15"/>
              </w:rPr>
              <w:t xml:space="preserve">They note that patients treated for liver recurrence received mostly percutaneous radiofrequency ablation but a few had other treatments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margin finding that the paper is cited for is measured by subtracting pre- from post-ablation landmark distances on CT, and was impossible in a quarter of tumours (59 of 233), including fused defects. The margin-stratified recurrence figures (90% at 0 mm down to 5% beyond 10 mm) therefore come from 174 tumours selected by whether the measurement could be made, and fused defects - the hardest cases - are systematically absent.</w:t>
            </w:r>
          </w:p>
          <w:p>
            <w:pPr>
              <w:pStyle w:val="ListParagraph"/>
              <w:numPr>
                <w:ilvl w:val="0"/>
                <w:numId w:val="2"/>
              </w:numPr>
              <w:spacing w:after="45"/>
            </w:pPr>
            <w:r>
              <w:rPr>
                <w:sz w:val="15"/>
                <w:szCs w:val="15"/>
              </w:rPr>
              <w:t xml:space="preserve">The hazard ratio of 9.9 (95% CI 4.9-20) for a margin of 5 mm or less is a within-cohort association between a radiological measurement and radiological recurrence, both read on the same scans by the same service, with no pathological confirmation of either the ablation zone or residual tumour.</w:t>
            </w:r>
          </w:p>
          <w:p>
            <w:pPr>
              <w:pStyle w:val="ListParagraph"/>
              <w:numPr>
                <w:ilvl w:val="0"/>
                <w:numId w:val="2"/>
              </w:numPr>
              <w:spacing w:after="45"/>
            </w:pPr>
            <w:r>
              <w:rPr>
                <w:sz w:val="15"/>
                <w:szCs w:val="15"/>
              </w:rPr>
              <w:t xml:space="preserve">The before-and-after comparison around November 2009 - margins above 5 mm rising from 24% to 61% and local recurrence falling from 62% to 28% - attributes to immediate triple-phase CT a change that is inseparable from nine years of operator learning, improving CT and evolving systemic therapy. No concurrent control exists for the period effect.</w:t>
            </w:r>
          </w:p>
          <w:p>
            <w:pPr>
              <w:pStyle w:val="ListParagraph"/>
              <w:numPr>
                <w:ilvl w:val="0"/>
                <w:numId w:val="2"/>
              </w:numPr>
              <w:spacing w:after="45"/>
            </w:pPr>
            <w:r>
              <w:rPr>
                <w:sz w:val="15"/>
                <w:szCs w:val="15"/>
              </w:rPr>
              <w:t xml:space="preserve">The modified clinical risk score was rederived in the same cohort it is tested in, with two of its five cut-points moved to fit this population, and the resulting high-risk group holds 11 patients for survival and 20 tumours for local progression. It is apparent performance in the derivation sample with thresholds chosen after seeing the data.</w:t>
            </w:r>
          </w:p>
          <w:p>
            <w:pPr>
              <w:pStyle w:val="ListParagraph"/>
              <w:numPr>
                <w:ilvl w:val="0"/>
                <w:numId w:val="2"/>
              </w:numPr>
              <w:spacing w:after="45"/>
            </w:pPr>
            <w:r>
              <w:rPr>
                <w:sz w:val="15"/>
                <w:szCs w:val="15"/>
              </w:rPr>
              <w:t xml:space="preserve">Fifty-seven percent of patients (93 of 162) had already been reported in earlier publications from the same institutional database, so this series is not independent evidence of the earlier findings it extends.</w:t>
            </w:r>
          </w:p>
          <w:p>
            <w:pPr>
              <w:pStyle w:val="ListParagraph"/>
              <w:numPr>
                <w:ilvl w:val="0"/>
                <w:numId w:val="2"/>
              </w:numPr>
              <w:spacing w:after="45"/>
            </w:pPr>
            <w:r>
              <w:rPr>
                <w:sz w:val="15"/>
                <w:szCs w:val="15"/>
              </w:rPr>
              <w:t xml:space="preserve">Local tumour progression occurred in 113 of 233 tumours (48%) at a median follow-up of 55 months, which sits awkwardly with a technique effectiveness of 94% at the 4 to 8-week scan. The two numbers measure different things and the abstract leads with the first.</w:t>
            </w:r>
          </w:p>
          <w:p>
            <w:pPr>
              <w:pStyle w:val="ListParagraph"/>
              <w:numPr>
                <w:ilvl w:val="0"/>
                <w:numId w:val="2"/>
              </w:numPr>
              <w:spacing w:after="45"/>
            </w:pPr>
            <w:r>
              <w:rPr>
                <w:sz w:val="15"/>
                <w:szCs w:val="15"/>
              </w:rPr>
              <w:t xml:space="preserve">Survival is uninterpretable without a comparator in a cohort this heterogeneous: 72% were post-hepatectomy recurrences, the remainder unresectable, medically unfit or declining surgery, 31% had extrahepatic disease, and patients also received systemic therapy, hepatic arterial infusion and occasionally yttrium-90, none of it accounted for in the survival models.</w:t>
            </w:r>
          </w:p>
          <w:p>
            <w:pPr>
              <w:pStyle w:val="ListParagraph"/>
              <w:numPr>
                <w:ilvl w:val="0"/>
                <w:numId w:val="2"/>
              </w:numPr>
              <w:spacing w:after="45"/>
            </w:pPr>
            <w:r>
              <w:rPr>
                <w:sz w:val="15"/>
                <w:szCs w:val="15"/>
              </w:rPr>
              <w:t xml:space="preserve">The repeat-ablation survival comparison (65, 51 and 22 months for no progression, re-ablated progression and no longer an ablation candidate) is confounded by immortal time and by the reasons patients stop being candidates; the paper presents it as evidence that repeat ablation preserves survival.</w:t>
            </w:r>
          </w:p>
          <w:p>
            <w:pPr>
              <w:pStyle w:val="ListParagraph"/>
              <w:numPr>
                <w:ilvl w:val="0"/>
                <w:numId w:val="2"/>
              </w:numPr>
              <w:spacing w:after="45"/>
            </w:pPr>
            <w:r>
              <w:rPr>
                <w:sz w:val="15"/>
                <w:szCs w:val="15"/>
              </w:rPr>
              <w:t xml:space="preserve">Analysis moves between patients and tumours without clustering: local progression is analysed per tumour (233 tumours in 162 patients) with patients contributing up to several lesions, and no random effect or robust variance is described.</w:t>
            </w:r>
          </w:p>
          <w:p>
            <w:pPr>
              <w:pStyle w:val="ListParagraph"/>
              <w:numPr>
                <w:ilvl w:val="0"/>
                <w:numId w:val="2"/>
              </w:numPr>
              <w:spacing w:after="45"/>
            </w:pPr>
            <w:r>
              <w:rPr>
                <w:sz w:val="15"/>
                <w:szCs w:val="15"/>
              </w:rPr>
              <w:t xml:space="preserve">Nine operators performed the ablations with 70% of them by three, so the results describe a small number of high-volume interventional radiologists, and no operator-level analysis is offered in a paper whose central claim is that technique - margin creation - determines outcome.</w:t>
            </w:r>
          </w:p>
          <w:p>
            <w:pPr>
              <w:pStyle w:val="ListParagraph"/>
              <w:numPr>
                <w:ilvl w:val="0"/>
                <w:numId w:val="2"/>
              </w:numPr>
              <w:spacing w:after="45"/>
            </w:pPr>
            <w:r>
              <w:rPr>
                <w:sz w:val="15"/>
                <w:szCs w:val="15"/>
              </w:rPr>
              <w:t xml:space="preserve">Complications are counted per session (minor 16%, major 7% of 188 sessions) rather than per patient, which understates the cumulative burden in a cohort treated repeatedly.</w:t>
            </w:r>
          </w:p>
          <w:p>
            <w:pPr>
              <w:pStyle w:val="ListParagraph"/>
              <w:numPr>
                <w:ilvl w:val="0"/>
                <w:numId w:val="2"/>
              </w:numPr>
              <w:spacing w:after="45"/>
            </w:pPr>
            <w:r>
              <w:rPr>
                <w:sz w:val="15"/>
                <w:szCs w:val="15"/>
              </w:rPr>
              <w:t xml:space="preserve">One author declares grants and a consultancy with device and imaging companies as related to this article, in a paper recommending a technical change in how ablations are monitored.</w:t>
            </w:r>
          </w:p>
          <w:p>
            <w:pPr>
              <w:pStyle w:val="ListParagraph"/>
              <w:numPr>
                <w:ilvl w:val="0"/>
                <w:numId w:val="2"/>
              </w:numPr>
              <w:spacing w:after="45"/>
            </w:pPr>
            <w:r>
              <w:rPr>
                <w:sz w:val="15"/>
                <w:szCs w:val="15"/>
              </w:rPr>
              <w:t xml:space="preserve">A Results line prints 'margin 5 mm or greater' as a predictor of shorter local progression-free survival, which is a typographical error contradicting the abstract and the multivariate table.</w:t>
            </w:r>
          </w:p>
          <w:p>
            <w:pPr>
              <w:pStyle w:val="ListParagraph"/>
              <w:numPr>
                <w:ilvl w:val="0"/>
                <w:numId w:val="2"/>
              </w:numPr>
              <w:spacing w:after="45"/>
            </w:pPr>
            <w:r>
              <w:rPr>
                <w:sz w:val="15"/>
                <w:szCs w:val="15"/>
              </w:rPr>
              <w:t xml:space="preserve">No linked editorial or comment on this paper was found in PubMed, so no independent published critique informs this record.</w:t>
            </w:r>
          </w:p>
        </w:tc>
      </w:tr>
    </w:tbl>
    <w:p>
      <w:pPr>
        <w:spacing w:after="0" w:line="276"/>
      </w:pPr>
      <w:r>
        <w:rPr>
          <w:color w:val="5A6069"/>
          <w:sz w:val="14"/>
          <w:szCs w:val="14"/>
        </w:rPr>
        <w:t xml:space="preserve">Funding: Supported by National Institutes of Health grant R21 CA131763-01A1. One author declares institutional grants from GE Healthcare and AngioDynamics and a consultancy with GE Healthcare as activities related to the article; another declares an Amgen grant unrelated to it; all other authors declare no relevant relationships</w:t>
      </w:r>
    </w:p>
    <w:p>
      <w:pPr>
        <w:keepNext/>
        <w:spacing w:after="50" w:before="260"/>
      </w:pPr>
      <w:r>
        <w:rPr>
          <w:rFonts w:ascii="Cambria" w:cs="Cambria" w:eastAsia="Cambria" w:hAnsi="Cambria"/>
          <w:b/>
          <w:bCs/>
          <w:color w:val="17365D"/>
          <w:sz w:val="20"/>
          <w:szCs w:val="20"/>
        </w:rPr>
        <w:t xml:space="preserve">SIRFLOX</w:t>
      </w:r>
      <w:r>
        <w:rPr>
          <w:b/>
          <w:bCs/>
          <w:color w:val="176A87"/>
          <w:sz w:val="15"/>
          <w:szCs w:val="15"/>
        </w:rPr>
        <w:t xml:space="preserve">   Randomised trial</w:t>
      </w:r>
      <w:r>
        <w:rPr>
          <w:color w:val="5A6069"/>
          <w:sz w:val="15"/>
          <w:szCs w:val="15"/>
        </w:rPr>
        <w:t xml:space="preserve">   PMID 26903575</w:t>
      </w:r>
    </w:p>
    <w:p>
      <w:pPr>
        <w:spacing w:after="50" w:line="276"/>
      </w:pPr>
      <w:r>
        <w:rPr>
          <w:color w:val="5A6069"/>
          <w:sz w:val="17"/>
          <w:szCs w:val="17"/>
        </w:rPr>
        <w:t xml:space="preserve">SIRFLOX: Randomized Phase III Trial Comparing First-Line mFOLFOX6 (Plus or Minus Bevacizumab) Versus mFOLFOX6 (Plus or Minus Bevacizumab) Plus Selective Internal Radiation Therapy in Patients With Metastatic Colorectal Cancer</w:t>
      </w:r>
    </w:p>
    <w:p>
      <w:pPr>
        <w:spacing w:after="50"/>
      </w:pPr>
      <w:r>
        <w:rPr>
          <w:b/>
          <w:bCs/>
          <w:color w:val="176A87"/>
          <w:sz w:val="16"/>
          <w:szCs w:val="16"/>
        </w:rPr>
        <w:t xml:space="preserve">Population. </w:t>
      </w:r>
      <w:r>
        <w:rPr>
          <w:sz w:val="16"/>
          <w:szCs w:val="16"/>
        </w:rPr>
        <w:t xml:space="preserve">530 chemotherapy-naive patients with non-resectable liver-only or liver-dominant metastatic colorectal cancer randomised at 87 centres in Australia, Europe, Israel, New Zealand and the United States between October 2006 and April 2013 (263 control, 267 SIRT); 246 received SIRT but only 84% received it per protocol, roughly 45% had the primary tumour in situ and about 40% had extrahepatic disease</w:t>
      </w:r>
    </w:p>
    <w:p>
      <w:pPr>
        <w:spacing w:after="70"/>
      </w:pPr>
      <w:r>
        <w:rPr>
          <w:b/>
          <w:bCs/>
          <w:color w:val="17365D"/>
          <w:sz w:val="16"/>
          <w:szCs w:val="16"/>
        </w:rPr>
        <w:t xml:space="preserve">Bottom line. </w:t>
      </w:r>
      <w:r>
        <w:rPr>
          <w:sz w:val="16"/>
          <w:szCs w:val="16"/>
        </w:rPr>
        <w:t xml:space="preserve">Establishes that adding a single yttrium-90 resin microsphere treatment to first-line FOLFOX in unresectable liver-dominant colorectal cancer does not delay progression overall (10.2 against 10.7 months, HR 0.93) and does not convert any additional patient to resection (13.7% against 14.2%), while adding ulceration, ascites, hepatic failure and a doubling of grade 5 events. Its one positive finding, hepatic progression-free survival of 20.5 against 12.6 months, comes from a competing-risk analysis that treats as a competing risk the extrahepatic progression which the intervention made more common, and the pooled survival analysis the authors deferred to was subsequently negative. Read as a liver-metastasis paper, it is the clearest demonstration in this depot that better liver control without survival or resectability gain is not a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84% of patients allocated to SIRT received it per protocol: 21 of 267 (7.9%) never received SIRT and 19 of the 246 treated had bilobar disease treated in one lobe only. The authors attribute this partly to randomising patients before assessing their suitability for SIRT and call the proportion unexpectedly high</w:t>
            </w:r>
          </w:p>
          <w:p>
            <w:pPr>
              <w:pStyle w:val="ListParagraph"/>
              <w:numPr>
                <w:ilvl w:val="0"/>
                <w:numId w:val="2"/>
              </w:numPr>
              <w:spacing w:after="45"/>
            </w:pPr>
            <w:r>
              <w:rPr>
                <w:sz w:val="15"/>
                <w:szCs w:val="15"/>
              </w:rPr>
              <w:t xml:space="preserve">Around 45% of patients had an intact primary tumour, which the authors did not anticipate, associate with inferior survival, and say had an uncertain impact on the primary endpoint</w:t>
            </w:r>
          </w:p>
          <w:p>
            <w:pPr>
              <w:pStyle w:val="ListParagraph"/>
              <w:numPr>
                <w:ilvl w:val="0"/>
                <w:numId w:val="2"/>
              </w:numPr>
              <w:spacing w:after="45"/>
            </w:pPr>
            <w:r>
              <w:rPr>
                <w:sz w:val="15"/>
                <w:szCs w:val="15"/>
              </w:rPr>
              <w:t xml:space="preserve">Ten control patients (3.8%) withdrew consent after randomisation and may have received SIRT off protocol while remaining in the intention-to-treat control analysis</w:t>
            </w:r>
          </w:p>
          <w:p>
            <w:pPr>
              <w:pStyle w:val="ListParagraph"/>
              <w:numPr>
                <w:ilvl w:val="0"/>
                <w:numId w:val="2"/>
              </w:numPr>
              <w:spacing w:after="45"/>
            </w:pPr>
            <w:r>
              <w:rPr>
                <w:sz w:val="15"/>
                <w:szCs w:val="15"/>
              </w:rPr>
              <w:t xml:space="preserve">Progression-free survival in the liver has not been evaluated in any other study, so the authors state there is no comparator to put their result in context</w:t>
            </w:r>
          </w:p>
          <w:p>
            <w:pPr>
              <w:pStyle w:val="ListParagraph"/>
              <w:numPr>
                <w:ilvl w:val="0"/>
                <w:numId w:val="2"/>
              </w:numPr>
              <w:spacing w:after="45"/>
            </w:pPr>
            <w:r>
              <w:rPr>
                <w:sz w:val="15"/>
                <w:szCs w:val="15"/>
              </w:rPr>
              <w:t xml:space="preserve">Overall survival was a secondary outcome, and during the seven-year recruitment period the authors decided to defer it to a preplanned pooled analysis of SIRFLOX, FOXFIRE and FOXFIRE Global because improving systemic therapy had made this trial's survival analysis inadequately powered</w:t>
            </w:r>
          </w:p>
          <w:p>
            <w:pPr>
              <w:pStyle w:val="ListParagraph"/>
              <w:numPr>
                <w:ilvl w:val="0"/>
                <w:numId w:val="2"/>
              </w:numPr>
              <w:spacing w:after="45"/>
            </w:pPr>
            <w:r>
              <w:rPr>
                <w:sz w:val="15"/>
                <w:szCs w:val="15"/>
              </w:rPr>
              <w:t xml:space="preserve">Better liver response did not translate into more liver resections, and the authors concede uncertainty about whether surgeons are reluctant to operate after SIRT</w:t>
            </w:r>
          </w:p>
          <w:p>
            <w:pPr>
              <w:pStyle w:val="ListParagraph"/>
              <w:numPr>
                <w:ilvl w:val="0"/>
                <w:numId w:val="2"/>
              </w:numPr>
              <w:spacing w:after="45"/>
            </w:pPr>
            <w:r>
              <w:rPr>
                <w:sz w:val="15"/>
                <w:szCs w:val="15"/>
              </w:rPr>
              <w:t xml:space="preserve">Two patients required surgery for gastric or duodenal ulcers, which the authors otherwise describe as predictable and medically manageable toxicity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missed its primary endpoint - progression-free survival at any site, 10.2 against 10.7 months, HR 0.93 (95% CI 0.77-1.12), p=0.43 - and the abstract, conclusion and subsequent citation of this trial all rest on a secondary analysis of hepatic progression that the authors acknowledge has no precedent and no validation as a surrogate for anything.</w:t>
            </w:r>
          </w:p>
          <w:p>
            <w:pPr>
              <w:pStyle w:val="ListParagraph"/>
              <w:numPr>
                <w:ilvl w:val="0"/>
                <w:numId w:val="2"/>
              </w:numPr>
              <w:spacing w:after="45"/>
            </w:pPr>
            <w:r>
              <w:rPr>
                <w:sz w:val="15"/>
                <w:szCs w:val="15"/>
              </w:rPr>
              <w:t xml:space="preserve">The competing-risk framing of liver progression-free survival removes exactly the events that went against the intervention. Progression outside the liver is treated as a competing risk, and progression outside the liver is what increased: lung-only first progression rose from 7.3% to 23.5% and non-liver-only first progression from 7.9% to 27.7%, both p&lt;0.001. The analysis that produces the 7.9-month gain is the analysis that discounts the harm.</w:t>
            </w:r>
          </w:p>
          <w:p>
            <w:pPr>
              <w:pStyle w:val="ListParagraph"/>
              <w:numPr>
                <w:ilvl w:val="0"/>
                <w:numId w:val="2"/>
              </w:numPr>
              <w:spacing w:after="45"/>
            </w:pPr>
            <w:r>
              <w:rPr>
                <w:sz w:val="15"/>
                <w:szCs w:val="15"/>
              </w:rPr>
              <w:t xml:space="preserve">The explanation offered for that shift - that lung progression was destined to occur in patients receiving a liver-directed intervention - is an assertion with no supporting analysis, and it is incompatible with the trial's own null result for progression at any site.</w:t>
            </w:r>
          </w:p>
          <w:p>
            <w:pPr>
              <w:pStyle w:val="ListParagraph"/>
              <w:numPr>
                <w:ilvl w:val="0"/>
                <w:numId w:val="2"/>
              </w:numPr>
              <w:spacing w:after="45"/>
            </w:pPr>
            <w:r>
              <w:rPr>
                <w:sz w:val="15"/>
                <w:szCs w:val="15"/>
              </w:rPr>
              <w:t xml:space="preserve">The endpoint a liver surgeon cares about did not move: resection rates were 36 of 263 (13.7%) against 38 of 267 (14.2%), p=0.857, despite liver response rising from 68.8% to 78.7% and complete response from 1.9% to 6.0%. The paper's own explanation, that most patients were unresectable because of lesion number and could never become resectable, means the population was chosen such that the response gain could not translate.</w:t>
            </w:r>
          </w:p>
          <w:p>
            <w:pPr>
              <w:pStyle w:val="ListParagraph"/>
              <w:numPr>
                <w:ilvl w:val="0"/>
                <w:numId w:val="2"/>
              </w:numPr>
              <w:spacing w:after="45"/>
            </w:pPr>
            <w:r>
              <w:rPr>
                <w:sz w:val="15"/>
                <w:szCs w:val="15"/>
              </w:rPr>
              <w:t xml:space="preserve">The trial was designed for an effect roughly three times what it found: the sample size assumed median progression-free survival rising from 9.4 to 12.5 months, and the observed difference was 0.5 months.</w:t>
            </w:r>
          </w:p>
          <w:p>
            <w:pPr>
              <w:pStyle w:val="ListParagraph"/>
              <w:numPr>
                <w:ilvl w:val="0"/>
                <w:numId w:val="2"/>
              </w:numPr>
              <w:spacing w:after="45"/>
            </w:pPr>
            <w:r>
              <w:rPr>
                <w:sz w:val="15"/>
                <w:szCs w:val="15"/>
              </w:rPr>
              <w:t xml:space="preserve">The significance threshold shifts between analyses without a rule. The methods state that unplanned exploratory analyses use p&lt;0.01, yet liver response (p=0.042) and complete response in the liver (p=0.020) are reported as significant findings, and the site-of-progression analysis - which is where the paper's interpretation comes from - is not identified as prespecified or exploratory.</w:t>
            </w:r>
          </w:p>
          <w:p>
            <w:pPr>
              <w:pStyle w:val="ListParagraph"/>
              <w:numPr>
                <w:ilvl w:val="0"/>
                <w:numId w:val="2"/>
              </w:numPr>
              <w:spacing w:after="45"/>
            </w:pPr>
            <w:r>
              <w:rPr>
                <w:sz w:val="15"/>
                <w:szCs w:val="15"/>
              </w:rPr>
              <w:t xml:space="preserve">Microspheres were implanted a median of 20 days after randomisation, with a range out to 76 days, so part of the experimental arm's early follow-up is chemotherapy alone; this is not accounted for in any time-to-event analysis.</w:t>
            </w:r>
          </w:p>
          <w:p>
            <w:pPr>
              <w:pStyle w:val="ListParagraph"/>
              <w:numPr>
                <w:ilvl w:val="0"/>
                <w:numId w:val="2"/>
              </w:numPr>
              <w:spacing w:after="45"/>
            </w:pPr>
            <w:r>
              <w:rPr>
                <w:sz w:val="15"/>
                <w:szCs w:val="15"/>
              </w:rPr>
              <w:t xml:space="preserve">Roughly 40% of patients had extrahepatic disease, permitted by protocol as up to four small lung nodules or nodes in one area under 2 cm, in a trial of a liver-directed treatment whose primary endpoint is progression anywhere.</w:t>
            </w:r>
          </w:p>
          <w:p>
            <w:pPr>
              <w:pStyle w:val="ListParagraph"/>
              <w:numPr>
                <w:ilvl w:val="0"/>
                <w:numId w:val="2"/>
              </w:numPr>
              <w:spacing w:after="45"/>
            </w:pPr>
            <w:r>
              <w:rPr>
                <w:sz w:val="15"/>
                <w:szCs w:val="15"/>
              </w:rPr>
              <w:t xml:space="preserve">Table 3 prints total grade 3 or worse adverse events of 198 of 270 (73.3%) against 210 of 246 (85.4%) with p=0.516, a p value that cannot correspond to that difference in those denominators, and the near-doubling of grade 5 events (1.9% against 3.7%) is dismissed on p=0.279. Toxicity unique to the intervention - 9 gastric or duodenal ulcers, 7 ascites, 3 hepatic failure, 2 radiation hepatitis, all zero in the control arm - is described as anticipated and manageable.</w:t>
            </w:r>
          </w:p>
          <w:p>
            <w:pPr>
              <w:pStyle w:val="ListParagraph"/>
              <w:numPr>
                <w:ilvl w:val="0"/>
                <w:numId w:val="2"/>
              </w:numPr>
              <w:spacing w:after="45"/>
            </w:pPr>
            <w:r>
              <w:rPr>
                <w:sz w:val="15"/>
                <w:szCs w:val="15"/>
              </w:rPr>
              <w:t xml:space="preserve">Bevacizumab was optional in both arms and was not randomised, so a drug that materially affects progression-free survival varied by physician choice within each arm and is handled only as a subgroup in an appendix forest plot.</w:t>
            </w:r>
          </w:p>
          <w:p>
            <w:pPr>
              <w:pStyle w:val="ListParagraph"/>
              <w:numPr>
                <w:ilvl w:val="0"/>
                <w:numId w:val="2"/>
              </w:numPr>
              <w:spacing w:after="45"/>
            </w:pPr>
            <w:r>
              <w:rPr>
                <w:sz w:val="15"/>
                <w:szCs w:val="15"/>
              </w:rPr>
              <w:t xml:space="preserve">The trial was open label and the primary endpoint was imaging-based; the main text describes an assessment process to determine final outcome but does not establish independent blinded central review of progression, in a trial where one arm's patients have radiologically altered livers.</w:t>
            </w:r>
          </w:p>
          <w:p>
            <w:pPr>
              <w:pStyle w:val="ListParagraph"/>
              <w:numPr>
                <w:ilvl w:val="0"/>
                <w:numId w:val="2"/>
              </w:numPr>
              <w:spacing w:after="45"/>
            </w:pPr>
            <w:r>
              <w:rPr>
                <w:sz w:val="15"/>
                <w:szCs w:val="15"/>
              </w:rPr>
              <w:t xml:space="preserve">The sponsor is the device manufacturer, two of its employees are authors, it funded the medical writing, and most senior authors declare payments from it, in a trial whose negative primary endpoint was reported alongside a positive secondary endpoint that the same group invented for this trial.</w:t>
            </w:r>
          </w:p>
          <w:p>
            <w:pPr>
              <w:pStyle w:val="ListParagraph"/>
              <w:numPr>
                <w:ilvl w:val="0"/>
                <w:numId w:val="2"/>
              </w:numPr>
              <w:spacing w:after="45"/>
            </w:pPr>
            <w:r>
              <w:rPr>
                <w:sz w:val="15"/>
                <w:szCs w:val="15"/>
              </w:rPr>
              <w:t xml:space="preserve">The survival question the authors defer to the pooled analysis was answered negatively: the combined FOXFIRE, SIRFLOX and FOXFIRE Global report (Wasan 2017, also in this depot) found no survival benefit, so the one endpoint that could have justified the hepatic progression finding did not confirm it.</w:t>
            </w:r>
          </w:p>
          <w:p>
            <w:pPr>
              <w:pStyle w:val="ListParagraph"/>
              <w:numPr>
                <w:ilvl w:val="0"/>
                <w:numId w:val="2"/>
              </w:numPr>
              <w:spacing w:after="45"/>
            </w:pPr>
            <w:r>
              <w:rPr>
                <w:sz w:val="15"/>
                <w:szCs w:val="15"/>
              </w:rPr>
              <w:t xml:space="preserve">A linked letter (PMID 27621405, Ayoola and Ibraheem, J Clin Oncol 2016;34:4193) questioning whether liver progression-free survival is a valid surrogate was identified in PubMed but its text was not read for this record.</w:t>
            </w:r>
          </w:p>
        </w:tc>
      </w:tr>
    </w:tbl>
    <w:p>
      <w:pPr>
        <w:spacing w:after="0" w:line="276"/>
      </w:pPr>
      <w:r>
        <w:rPr>
          <w:color w:val="5A6069"/>
          <w:sz w:val="14"/>
          <w:szCs w:val="14"/>
        </w:rPr>
        <w:t xml:space="preserve">Funding: Supported by Sirtex Technology, the manufacturer of the yttrium-90 resin microspheres; two Sirtex employees are co-authors and the sponsor funded medical writing assistance. The first author declares honoraria, consulting, research funding and travel from Sirtex, and at least eight further authors declare Sirtex honoraria, speakers' bureau membership, advisory roles, research funding or travel support</w:t>
      </w:r>
    </w:p>
    <w:p>
      <w:pPr>
        <w:keepNext/>
        <w:spacing w:after="50" w:before="260"/>
      </w:pPr>
      <w:r>
        <w:rPr>
          <w:rFonts w:ascii="Cambria" w:cs="Cambria" w:eastAsia="Cambria" w:hAnsi="Cambria"/>
          <w:b/>
          <w:bCs/>
          <w:color w:val="17365D"/>
          <w:sz w:val="20"/>
          <w:szCs w:val="20"/>
        </w:rPr>
        <w:t xml:space="preserve">TransMet</w:t>
      </w:r>
      <w:r>
        <w:rPr>
          <w:b/>
          <w:bCs/>
          <w:color w:val="176A87"/>
          <w:sz w:val="15"/>
          <w:szCs w:val="15"/>
        </w:rPr>
        <w:t xml:space="preserve">   Randomised trial</w:t>
      </w:r>
      <w:r>
        <w:rPr>
          <w:color w:val="5A6069"/>
          <w:sz w:val="15"/>
          <w:szCs w:val="15"/>
        </w:rPr>
        <w:t xml:space="preserve">   PMID 39306468</w:t>
      </w:r>
    </w:p>
    <w:p>
      <w:pPr>
        <w:spacing w:after="50" w:line="276"/>
      </w:pPr>
      <w:r>
        <w:rPr>
          <w:color w:val="5A6069"/>
          <w:sz w:val="17"/>
          <w:szCs w:val="17"/>
        </w:rPr>
        <w:t xml:space="preserve">Liver transplantation plus chemotherapy versus chemotherapy alone in patients with permanently unresectable colorectal liver metastases (TransMet): results from a multicentre, open-label, prospective, randomised controlled trial</w:t>
      </w:r>
    </w:p>
    <w:p>
      <w:pPr>
        <w:spacing w:after="50"/>
      </w:pPr>
      <w:r>
        <w:rPr>
          <w:b/>
          <w:bCs/>
          <w:color w:val="176A87"/>
          <w:sz w:val="16"/>
          <w:szCs w:val="16"/>
        </w:rPr>
        <w:t xml:space="preserve">Population. </w:t>
      </w:r>
      <w:r>
        <w:rPr>
          <w:sz w:val="16"/>
          <w:szCs w:val="16"/>
        </w:rPr>
        <w:t xml:space="preserve">94 patients aged 18 to 65 with ECOG 0-1, BRAF wild-type colorectal cancer and permanently unresectable liver-only metastases responding for at least three months on no more than three chemotherapy lines, randomised 1:1 at 20 European centres between February 2016 and July 2021 out of 157 assessed, 63 of whom the central panel excluded; median age 54, median 20 liver metastases at diagnosis, median 21 chemotherapy cycles, and all but one recipient with a low Oslo score at randomisation. 38 of 47 allocated patients were transplanted at a median 50.5 days; the per-protocol populations are 36 and 38; median follow-up 59.3 months</w:t>
      </w:r>
    </w:p>
    <w:p>
      <w:pPr>
        <w:spacing w:after="70"/>
      </w:pPr>
      <w:r>
        <w:rPr>
          <w:b/>
          <w:bCs/>
          <w:color w:val="17365D"/>
          <w:sz w:val="16"/>
          <w:szCs w:val="16"/>
        </w:rPr>
        <w:t xml:space="preserve">Bottom line. </w:t>
      </w:r>
      <w:r>
        <w:rPr>
          <w:sz w:val="16"/>
          <w:szCs w:val="16"/>
        </w:rPr>
        <w:t xml:space="preserve">The only randomised trial of liver transplantation in colorectal liver metastases, and it shows a large survival gain in a tightly defined population: five-year overall survival 56.6% against 12.6% by intention to treat, HR 0.37 (95% CI 0.21-0.65), with 42% of recipients disease free at last follow-up. The 73.2% figure that is usually quoted is per protocol and is inflated from both sides - early failures removed from the transplant arm, the nine resected or transplanted patients removed from the control arm - and proportional hazards did not hold, so the honest effect size is the intention-to-treat curve or the unprespecified 12.6-month gain in restricted mean survival. Reproducing it needs a central panel that rejects 40% of referrals, a national agreement to graft low-MELD patients within two months, and acceptance that three-quarters will recur and be operated on again.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heterogeneity in chemotherapy regimens and in immunosuppressive therapy, which followed the policies of local oncologists and hepatologists</w:t>
            </w:r>
          </w:p>
          <w:p>
            <w:pPr>
              <w:pStyle w:val="ListParagraph"/>
              <w:numPr>
                <w:ilvl w:val="0"/>
                <w:numId w:val="2"/>
              </w:numPr>
              <w:spacing w:after="45"/>
            </w:pPr>
            <w:r>
              <w:rPr>
                <w:sz w:val="15"/>
                <w:szCs w:val="15"/>
              </w:rPr>
              <w:t xml:space="preserve">Post-transplant chemotherapy was not possible in all patients, mainly because of complications or suboptimal recovery, so its contribution cannot be assessed</w:t>
            </w:r>
          </w:p>
          <w:p>
            <w:pPr>
              <w:pStyle w:val="ListParagraph"/>
              <w:numPr>
                <w:ilvl w:val="0"/>
                <w:numId w:val="2"/>
              </w:numPr>
              <w:spacing w:after="45"/>
            </w:pPr>
            <w:r>
              <w:rPr>
                <w:sz w:val="15"/>
                <w:szCs w:val="15"/>
              </w:rPr>
              <w:t xml:space="preserve">They state that patient selection can still be improved, by molecular biology and by detecting microscopic residual disease with circulating tumour DNA, and note that their recurrence rate resembles SECA-II</w:t>
            </w:r>
          </w:p>
          <w:p>
            <w:pPr>
              <w:pStyle w:val="ListParagraph"/>
              <w:numPr>
                <w:ilvl w:val="0"/>
                <w:numId w:val="2"/>
              </w:numPr>
              <w:spacing w:after="45"/>
            </w:pPr>
            <w:r>
              <w:rPr>
                <w:sz w:val="15"/>
                <w:szCs w:val="15"/>
              </w:rPr>
              <w:t xml:space="preserve">The restricted mean survival time analysis was performed because the proportional hazards assumption was not met and was not prespecified in the protocol</w:t>
            </w:r>
          </w:p>
          <w:p>
            <w:pPr>
              <w:pStyle w:val="ListParagraph"/>
              <w:numPr>
                <w:ilvl w:val="0"/>
                <w:numId w:val="2"/>
              </w:numPr>
              <w:spacing w:after="45"/>
            </w:pPr>
            <w:r>
              <w:rPr>
                <w:sz w:val="15"/>
                <w:szCs w:val="15"/>
              </w:rPr>
              <w:t xml:space="preserve">The required number of deaths was re-estimated during the trial, from 29 to 50, because some patients allocated to transplantation did not receive it</w:t>
            </w:r>
          </w:p>
          <w:p>
            <w:pPr>
              <w:pStyle w:val="ListParagraph"/>
              <w:numPr>
                <w:ilvl w:val="0"/>
                <w:numId w:val="2"/>
              </w:numPr>
              <w:spacing w:after="45"/>
            </w:pPr>
            <w:r>
              <w:rPr>
                <w:sz w:val="15"/>
                <w:szCs w:val="15"/>
              </w:rPr>
              <w:t xml:space="preserve">They state the trial's reproducibility depended on strict adherence to eligibility criteria and on guaranteed prioritisation for organ allocation, and argue only that this could conceivably be generalised to other transplant centres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per-protocol analysis that produces the 73.2% five-year survival is biased in both directions at once. From the transplant arm it removes patients who never reached transplantation, who progressed on the pre-transplant scan, or who waited three months or more after their last chemotherapy - that is, the early failures. From the chemotherapy arm it removes the nine patients who went on to resection or transplantation - that is, the best outcomes. The hazard ratio moves from 0.37 to 0.16 as a result, and the intention-to-treat figure of 56.6% against 12.6% is the only randomised estimate in the paper.</w:t>
            </w:r>
          </w:p>
          <w:p>
            <w:pPr>
              <w:pStyle w:val="ListParagraph"/>
              <w:numPr>
                <w:ilvl w:val="0"/>
                <w:numId w:val="2"/>
              </w:numPr>
              <w:spacing w:after="45"/>
            </w:pPr>
            <w:r>
              <w:rPr>
                <w:sz w:val="15"/>
                <w:szCs w:val="15"/>
              </w:rPr>
              <w:t xml:space="preserve">Proportional hazards did not hold, so the hazard ratios that headline the abstract describe an effect that varies over time. The analysis appropriate to that, restricted mean survival time, was not prespecified and gives a far more modest framing: a gain of 12.6 months (95% CI 4.9-20.4) over five years.</w:t>
            </w:r>
          </w:p>
          <w:p>
            <w:pPr>
              <w:pStyle w:val="ListParagraph"/>
              <w:numPr>
                <w:ilvl w:val="0"/>
                <w:numId w:val="2"/>
              </w:numPr>
              <w:spacing w:after="45"/>
            </w:pPr>
            <w:r>
              <w:rPr>
                <w:sz w:val="15"/>
                <w:szCs w:val="15"/>
              </w:rPr>
              <w:t xml:space="preserve">The event requirement was revised mid-trial from 29 to 50 deaths after it became clear that allocated patients were not all being transplanted. Changing the information requirement in response to observed protocol deviation preserves nominal power but means the final analysis was not the one designed.</w:t>
            </w:r>
          </w:p>
          <w:p>
            <w:pPr>
              <w:pStyle w:val="ListParagraph"/>
              <w:numPr>
                <w:ilvl w:val="0"/>
                <w:numId w:val="2"/>
              </w:numPr>
              <w:spacing w:after="45"/>
            </w:pPr>
            <w:r>
              <w:rPr>
                <w:sz w:val="15"/>
                <w:szCs w:val="15"/>
              </w:rPr>
              <w:t xml:space="preserve">Recurrence and progression were declared equivalent for analysis - recurrence after removal of the entire liver and progression of disease left in place are treated as the same event - and progression-free survival was then analysed only in the per-protocol population, so the endpoint that most favours the intervention is computed in the population that most favours it.</w:t>
            </w:r>
          </w:p>
          <w:p>
            <w:pPr>
              <w:pStyle w:val="ListParagraph"/>
              <w:numPr>
                <w:ilvl w:val="0"/>
                <w:numId w:val="2"/>
              </w:numPr>
              <w:spacing w:after="45"/>
            </w:pPr>
            <w:r>
              <w:rPr>
                <w:sz w:val="15"/>
                <w:szCs w:val="15"/>
              </w:rPr>
              <w:t xml:space="preserve">The trial is open label and no independent central review of progression in the chemotherapy arm is described. The central panel's role was to confirm permanent unresectability at diagnosis and after chemotherapy, not to adjudicate the endpoints.</w:t>
            </w:r>
          </w:p>
          <w:p>
            <w:pPr>
              <w:pStyle w:val="ListParagraph"/>
              <w:numPr>
                <w:ilvl w:val="0"/>
                <w:numId w:val="2"/>
              </w:numPr>
              <w:spacing w:after="45"/>
            </w:pPr>
            <w:r>
              <w:rPr>
                <w:sz w:val="15"/>
                <w:szCs w:val="15"/>
              </w:rPr>
              <w:t xml:space="preserve">Three different populations are used for three classes of result: intention-to-treat for overall survival, per protocol for progression-free survival, quality of life and postoperative complications, and an as-treated population for safety. The definitions of major protocol deviation sit in an appendix.</w:t>
            </w:r>
          </w:p>
          <w:p>
            <w:pPr>
              <w:pStyle w:val="ListParagraph"/>
              <w:numPr>
                <w:ilvl w:val="0"/>
                <w:numId w:val="2"/>
              </w:numPr>
              <w:spacing w:after="45"/>
            </w:pPr>
            <w:r>
              <w:rPr>
                <w:sz w:val="15"/>
                <w:szCs w:val="15"/>
              </w:rPr>
              <w:t xml:space="preserve">Quality of life is described as descriptive only and its data are in an appendix, so the trade-off a patient is being offered - a graft, lifelong immunosuppression, 34% severe morbidity, 8% retransplantation, renal complications in 22%, diabetes in 17%, rejection in 8% - is never set against the survival gain in any quantitative form.</w:t>
            </w:r>
          </w:p>
          <w:p>
            <w:pPr>
              <w:pStyle w:val="ListParagraph"/>
              <w:numPr>
                <w:ilvl w:val="0"/>
                <w:numId w:val="2"/>
              </w:numPr>
              <w:spacing w:after="45"/>
            </w:pPr>
            <w:r>
              <w:rPr>
                <w:sz w:val="15"/>
                <w:szCs w:val="15"/>
              </w:rPr>
              <w:t xml:space="preserve">The result is contingent on an organ allocation arrangement rather than on the operation: national organ-sharing organisations agreed to prioritise these patients so that 79% were grafted within two months of their last chemotherapy cycle. Patients with normal liver function have low MELD scores and cannot compete without exception points, and the paper contains no analysis of what the diverted grafts cost other candidates or of how dropout would rise with longer waiting.</w:t>
            </w:r>
          </w:p>
          <w:p>
            <w:pPr>
              <w:pStyle w:val="ListParagraph"/>
              <w:numPr>
                <w:ilvl w:val="0"/>
                <w:numId w:val="2"/>
              </w:numPr>
              <w:spacing w:after="45"/>
            </w:pPr>
            <w:r>
              <w:rPr>
                <w:sz w:val="15"/>
                <w:szCs w:val="15"/>
              </w:rPr>
              <w:t xml:space="preserve">Selection was severe and defined the population twice over: the panel rejected 63 of 157 patients, including 13 for equivocal unresectability, so the trial enrolled only patients who were both definitely unresectable and definitely chemotherapy-responsive, aged 65 or under, ECOG 0-1, BRAF wild-type, within three chemotherapy lines, with CEA under 80 or a 50% fall, and all but one with a low Oslo score. Ninety-four patients over five and a half years across twenty centres is under one patient per centre per year.</w:t>
            </w:r>
          </w:p>
          <w:p>
            <w:pPr>
              <w:pStyle w:val="ListParagraph"/>
              <w:numPr>
                <w:ilvl w:val="0"/>
                <w:numId w:val="2"/>
              </w:numPr>
              <w:spacing w:after="45"/>
            </w:pPr>
            <w:r>
              <w:rPr>
                <w:sz w:val="15"/>
                <w:szCs w:val="15"/>
              </w:rPr>
              <w:t xml:space="preserve">Protocol deviation was large in both arms and undermines the trial's premise: 11 of 47 allocated to transplantation did not receive it (9 for progression) and 9 of 47 allocated to chemotherapy underwent resection or transplantation. A fifth of patients judged permanently unresectable by a central panel were nonetheless resected or transplanted outside their allocation.</w:t>
            </w:r>
          </w:p>
          <w:p>
            <w:pPr>
              <w:pStyle w:val="ListParagraph"/>
              <w:numPr>
                <w:ilvl w:val="0"/>
                <w:numId w:val="2"/>
              </w:numPr>
              <w:spacing w:after="45"/>
            </w:pPr>
            <w:r>
              <w:rPr>
                <w:sz w:val="15"/>
                <w:szCs w:val="15"/>
              </w:rPr>
              <w:t xml:space="preserve">The chemotherapy arm had no protocol regimen, no mandated sequencing and no prescribed later lines, so the comparator is whatever each centre chose, in a trial whose survival difference is attributed to the operation.</w:t>
            </w:r>
          </w:p>
          <w:p>
            <w:pPr>
              <w:pStyle w:val="ListParagraph"/>
              <w:numPr>
                <w:ilvl w:val="0"/>
                <w:numId w:val="2"/>
              </w:numPr>
              <w:spacing w:after="45"/>
            </w:pPr>
            <w:r>
              <w:rPr>
                <w:sz w:val="15"/>
                <w:szCs w:val="15"/>
              </w:rPr>
              <w:t xml:space="preserve">The claim of a real potential for cure rests on 42% of transplanted patients being disease free at last follow-up, which counts patients rendered disease free by later lung surgery or ablation; recurrence occurred in 72% of per-protocol recipients and five-year progression-free survival was 19.9%.</w:t>
            </w:r>
          </w:p>
          <w:p>
            <w:pPr>
              <w:pStyle w:val="ListParagraph"/>
              <w:numPr>
                <w:ilvl w:val="0"/>
                <w:numId w:val="2"/>
              </w:numPr>
              <w:spacing w:after="45"/>
            </w:pPr>
            <w:r>
              <w:rPr>
                <w:sz w:val="15"/>
                <w:szCs w:val="15"/>
              </w:rPr>
              <w:t xml:space="preserve">Minor internal inconsistencies: per-protocol five-year survival is 73.3% in the Summary and 73.2% in the Results, and first-line targeted therapy in 76 of 94 patients is given as 80% in the Summary and 81% in the Results.</w:t>
            </w:r>
          </w:p>
          <w:p>
            <w:pPr>
              <w:pStyle w:val="ListParagraph"/>
              <w:numPr>
                <w:ilvl w:val="0"/>
                <w:numId w:val="2"/>
              </w:numPr>
              <w:spacing w:after="45"/>
            </w:pPr>
            <w:r>
              <w:rPr>
                <w:sz w:val="15"/>
                <w:szCs w:val="15"/>
              </w:rPr>
              <w:t xml:space="preserve">A linked Lancet Comment (PMID 39306454, Heinemann and Stintzing, 'Liver transplantation in metastatic colorectal cancer: a new standard of care?', 2024;404:1078-9) was identified in PubMed but its text was not available here, so its arguments are not reflected in this record.</w:t>
            </w:r>
          </w:p>
        </w:tc>
      </w:tr>
    </w:tbl>
    <w:p>
      <w:pPr>
        <w:spacing w:after="0" w:line="276"/>
      </w:pPr>
      <w:r>
        <w:rPr>
          <w:color w:val="5A6069"/>
          <w:sz w:val="14"/>
          <w:szCs w:val="14"/>
        </w:rPr>
        <w:t xml:space="preserve">Funding: French National Cancer Institute (PHRC-K 2013), the French Ministry of Health and Assistance Publique-Hopitaux de Paris, endorsed by the French chapter of the IHPBA; the funders had no role in design, data collection, analysis, interpretation or writing. Editing support was provided by Miller Medical Communications. The authors declare no competing interests</w:t>
      </w:r>
    </w:p>
    <w:p>
      <w:pPr>
        <w:keepNext/>
        <w:spacing w:after="50" w:before="260"/>
      </w:pPr>
      <w:r>
        <w:rPr>
          <w:rFonts w:ascii="Cambria" w:cs="Cambria" w:eastAsia="Cambria" w:hAnsi="Cambria"/>
          <w:b/>
          <w:bCs/>
          <w:color w:val="17365D"/>
          <w:sz w:val="20"/>
          <w:szCs w:val="20"/>
        </w:rPr>
        <w:t xml:space="preserve">TRICE</w:t>
      </w:r>
      <w:r>
        <w:rPr>
          <w:b/>
          <w:bCs/>
          <w:color w:val="176A87"/>
          <w:sz w:val="15"/>
          <w:szCs w:val="15"/>
        </w:rPr>
        <w:t xml:space="preserve">   Randomised trial</w:t>
      </w:r>
      <w:r>
        <w:rPr>
          <w:color w:val="5A6069"/>
          <w:sz w:val="15"/>
          <w:szCs w:val="15"/>
        </w:rPr>
        <w:t xml:space="preserve">   PMID 38728364</w:t>
      </w:r>
    </w:p>
    <w:p>
      <w:pPr>
        <w:spacing w:after="50" w:line="276"/>
      </w:pPr>
      <w:r>
        <w:rPr>
          <w:color w:val="5A6069"/>
          <w:sz w:val="17"/>
          <w:szCs w:val="17"/>
        </w:rPr>
        <w:t xml:space="preserve">Cetuximab plus FOLFOXIRI versus cetuximab plus FOLFOX as conversion regimen in RAS/BRAF wild-type patients with initially unresectable colorectal liver metastases (TRICE trial): A randomized controlled trial</w:t>
      </w:r>
    </w:p>
    <w:p>
      <w:pPr>
        <w:spacing w:after="50"/>
      </w:pPr>
      <w:r>
        <w:rPr>
          <w:b/>
          <w:bCs/>
          <w:color w:val="176A87"/>
          <w:sz w:val="16"/>
          <w:szCs w:val="16"/>
        </w:rPr>
        <w:t xml:space="preserve">Population. </w:t>
      </w:r>
      <w:r>
        <w:rPr>
          <w:sz w:val="16"/>
          <w:szCs w:val="16"/>
        </w:rPr>
        <w:t xml:space="preserve">146 RAS/BRAF wild-type patients with initially unresectable liver-only colorectal metastases enrolled at seven Chinese centres from April 2018 to December 2022 (72 cetuximab plus FOLFOXIRI, 74 cetuximab plus FOLFOX); 142 received at least one course and form the safety population (68 and 74); 87% left-sided, 95% synchronous, aged 18 to 70 with ECOG 0-1; 14 patients (9.6%) were lost to follow-up and median follow-up was 26.2 months</w:t>
      </w:r>
    </w:p>
    <w:p>
      <w:pPr>
        <w:spacing w:after="70"/>
      </w:pPr>
      <w:r>
        <w:rPr>
          <w:b/>
          <w:bCs/>
          <w:color w:val="17365D"/>
          <w:sz w:val="16"/>
          <w:szCs w:val="16"/>
        </w:rPr>
        <w:t xml:space="preserve">Bottom line. </w:t>
      </w:r>
      <w:r>
        <w:rPr>
          <w:sz w:val="16"/>
          <w:szCs w:val="16"/>
        </w:rPr>
        <w:t xml:space="preserve">Shows that adding irinotecan to cetuximab plus FOLFOX in RAS/BRAF wild-type initially unresectable liver-only metastases does not raise response (84.7% versus 79.7%, p=0.42), and that the deeper tumour shrinkage it does produce converts no additional patient to resection (54.2% versus 52.7%) while roughly doubling grade 3 neutropenia. It does not establish that the doublet is the better regimen: the trial was powered only for a 20-point response difference that its own control arm made impossible, its primary comparison simply failed, survival was immature, and response and resectability were both judged locally by the unmasked treating teams. Read with CAIRO5, it is the second trial in this depot in which more shrinkage buys no more surgery.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name as their primary limitation the inherent bias in subjective surgical decisions about resection feasibility, together with the absence of any centralised assessment of response or of resection</w:t>
            </w:r>
          </w:p>
          <w:p>
            <w:pPr>
              <w:pStyle w:val="ListParagraph"/>
              <w:numPr>
                <w:ilvl w:val="0"/>
                <w:numId w:val="2"/>
              </w:numPr>
              <w:spacing w:after="45"/>
            </w:pPr>
            <w:r>
              <w:rPr>
                <w:sz w:val="15"/>
                <w:szCs w:val="15"/>
              </w:rPr>
              <w:t xml:space="preserve">Objective response rate was chosen as a surrogate primary endpoint rather than overall survival, which the authors call the gold standard, and they state it is unclear whether depth of response or time to surgical failure would serve better</w:t>
            </w:r>
          </w:p>
          <w:p>
            <w:pPr>
              <w:pStyle w:val="ListParagraph"/>
              <w:numPr>
                <w:ilvl w:val="0"/>
                <w:numId w:val="2"/>
              </w:numPr>
              <w:spacing w:after="45"/>
            </w:pPr>
            <w:r>
              <w:rPr>
                <w:sz w:val="15"/>
                <w:szCs w:val="15"/>
              </w:rPr>
              <w:t xml:space="preserve">Stratified balanced sampling of the technically unresectable subgroup was not done, leaving more patients with over 10 metastases in the triplet arm (41.7% versus 33.8%), which the authors say may explain the longer progression-free survival in the doublet arm</w:t>
            </w:r>
          </w:p>
          <w:p>
            <w:pPr>
              <w:pStyle w:val="ListParagraph"/>
              <w:numPr>
                <w:ilvl w:val="0"/>
                <w:numId w:val="2"/>
              </w:numPr>
              <w:spacing w:after="45"/>
            </w:pPr>
            <w:r>
              <w:rPr>
                <w:sz w:val="15"/>
                <w:szCs w:val="15"/>
              </w:rPr>
              <w:t xml:space="preserve">Overall survival was not mature at the primary analysis, so further analysis after survival matures is needed to know whether the deeper response means anything</w:t>
            </w:r>
          </w:p>
          <w:p>
            <w:pPr>
              <w:pStyle w:val="ListParagraph"/>
              <w:numPr>
                <w:ilvl w:val="0"/>
                <w:numId w:val="2"/>
              </w:numPr>
              <w:spacing w:after="45"/>
            </w:pPr>
            <w:r>
              <w:rPr>
                <w:sz w:val="15"/>
                <w:szCs w:val="15"/>
              </w:rPr>
              <w:t xml:space="preserve">The comparison of patients who achieved local treatment against those who did not is acknowledged to be subject to survivor bias, since the converted patients had already survived progression-free long enough to reach surgery</w:t>
            </w:r>
          </w:p>
          <w:p>
            <w:pPr>
              <w:pStyle w:val="ListParagraph"/>
              <w:numPr>
                <w:ilvl w:val="0"/>
                <w:numId w:val="2"/>
              </w:numPr>
              <w:spacing w:after="45"/>
            </w:pPr>
            <w:r>
              <w:rPr>
                <w:sz w:val="15"/>
                <w:szCs w:val="15"/>
              </w:rPr>
              <w:t xml:space="preserve">The low rate of grade 3 or worse diarrhoea is attributed to an all-Asian cohort in which no triplet-arm patient carried UGT1A1*6 or *28 polymorphisms, alongside a reduced irinotecan dose</w:t>
            </w:r>
          </w:p>
          <w:p>
            <w:pPr>
              <w:pStyle w:val="ListParagraph"/>
              <w:numPr>
                <w:ilvl w:val="0"/>
                <w:numId w:val="2"/>
              </w:numPr>
              <w:spacing w:after="45"/>
            </w:pPr>
            <w:r>
              <w:rPr>
                <w:sz w:val="15"/>
                <w:szCs w:val="15"/>
              </w:rPr>
              <w:t xml:space="preserve">The right-sided subgroup contained only 19 patients and the authors call for further prospective trials in that group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designed assuming response rates of 80% with the triplet against 60% with the doublet, and the observed doublet rate was 79.7%. The control assumption was wrong by 20 absolute points, so the 146-patient sample had no realistic power for the comparison it was built on - and the primary endpoint still failed (p=0.42) against a threshold the authors set at a two-sided alpha of 0.10.</w:t>
            </w:r>
          </w:p>
          <w:p>
            <w:pPr>
              <w:pStyle w:val="ListParagraph"/>
              <w:numPr>
                <w:ilvl w:val="0"/>
                <w:numId w:val="2"/>
              </w:numPr>
              <w:spacing w:after="45"/>
            </w:pPr>
            <w:r>
              <w:rPr>
                <w:sz w:val="15"/>
                <w:szCs w:val="15"/>
              </w:rPr>
              <w:t xml:space="preserve">Two different significance thresholds are used in the same paper: p below 0.1 for the primary endpoint and p below 0.05 for secondary endpoints. The only positive finding, depth of response, is a 4.6-point median difference (59.6% versus 55.0%, p=0.039) among several unadjusted secondary comparisons judged at the stricter threshold.</w:t>
            </w:r>
          </w:p>
          <w:p>
            <w:pPr>
              <w:pStyle w:val="ListParagraph"/>
              <w:numPr>
                <w:ilvl w:val="0"/>
                <w:numId w:val="2"/>
              </w:numPr>
              <w:spacing w:after="45"/>
            </w:pPr>
            <w:r>
              <w:rPr>
                <w:sz w:val="15"/>
                <w:szCs w:val="15"/>
              </w:rPr>
              <w:t xml:space="preserve">The reported effect estimates run against the reported proportions. Response was 84.7% with the triplet and 79.7% with the doublet, yet the odds ratio is given as 0.70 (95% CI 0.30-1.67); early tumour shrinkage was 80.6% against 77.0% with an odds ratio of 0.82. The reference category is never stated, so neither estimate can be reconciled with its own percentages.</w:t>
            </w:r>
          </w:p>
          <w:p>
            <w:pPr>
              <w:pStyle w:val="ListParagraph"/>
              <w:numPr>
                <w:ilvl w:val="0"/>
                <w:numId w:val="2"/>
              </w:numPr>
              <w:spacing w:after="45"/>
            </w:pPr>
            <w:r>
              <w:rPr>
                <w:sz w:val="15"/>
                <w:szCs w:val="15"/>
              </w:rPr>
              <w:t xml:space="preserve">The same inversion affects the survival result: median progression-free survival was 11.8 months with the triplet and 13.4 months with the doublet, reported alongside a hazard ratio of 0.74 (95% CI 0.50-1.11). As printed, the hazard ratio points the opposite way to the medians it accompanies.</w:t>
            </w:r>
          </w:p>
          <w:p>
            <w:pPr>
              <w:pStyle w:val="ListParagraph"/>
              <w:numPr>
                <w:ilvl w:val="0"/>
                <w:numId w:val="2"/>
              </w:numPr>
              <w:spacing w:after="45"/>
            </w:pPr>
            <w:r>
              <w:rPr>
                <w:sz w:val="15"/>
                <w:szCs w:val="15"/>
              </w:rPr>
              <w:t xml:space="preserve">Progression-free survival is defined non-standardly: the methods state that successful resection of liver metastases is considered a continuation of progression-free survival. Converting a patient therefore protects that patient's progression-free survival by definition, so the endpoint absorbs the conversion endpoint rather than being independent of it.</w:t>
            </w:r>
          </w:p>
          <w:p>
            <w:pPr>
              <w:pStyle w:val="ListParagraph"/>
              <w:numPr>
                <w:ilvl w:val="0"/>
                <w:numId w:val="2"/>
              </w:numPr>
              <w:spacing w:after="45"/>
            </w:pPr>
            <w:r>
              <w:rPr>
                <w:sz w:val="15"/>
                <w:szCs w:val="15"/>
              </w:rPr>
              <w:t xml:space="preserve">Response was assessed every 8 weeks by local investigators and resectability by the local multidisciplinary team, in an unmasked trial, so the team that judged whether the tumour had shrunk is the team that judged whether it could be removed. The authors flag the absence of central review; they do not note that it bears most heavily on their only positive endpoint.</w:t>
            </w:r>
          </w:p>
          <w:p>
            <w:pPr>
              <w:pStyle w:val="ListParagraph"/>
              <w:numPr>
                <w:ilvl w:val="0"/>
                <w:numId w:val="2"/>
              </w:numPr>
              <w:spacing w:after="45"/>
            </w:pPr>
            <w:r>
              <w:rPr>
                <w:sz w:val="15"/>
                <w:szCs w:val="15"/>
              </w:rPr>
              <w:t xml:space="preserve">Unresectability could be met by a lesion count alone (five or more metastases), independently of any anatomical criterion. The paper never reports how many patients entered on count rather than on remnant volume or vascular infiltration, so whether conversion was the real question for most of the cohort cannot be checked.</w:t>
            </w:r>
          </w:p>
          <w:p>
            <w:pPr>
              <w:pStyle w:val="ListParagraph"/>
              <w:numPr>
                <w:ilvl w:val="0"/>
                <w:numId w:val="2"/>
              </w:numPr>
              <w:spacing w:after="45"/>
            </w:pPr>
            <w:r>
              <w:rPr>
                <w:sz w:val="15"/>
                <w:szCs w:val="15"/>
              </w:rPr>
              <w:t xml:space="preserve">The efficacy and safety denominators differ without explanation: 72 patients are analysed for response in the triplet arm but 68 for toxicity, meaning four randomised patients never received the assigned regimen and are counted in the numerator population of the primary endpoint.</w:t>
            </w:r>
          </w:p>
          <w:p>
            <w:pPr>
              <w:pStyle w:val="ListParagraph"/>
              <w:numPr>
                <w:ilvl w:val="0"/>
                <w:numId w:val="2"/>
              </w:numPr>
              <w:spacing w:after="45"/>
            </w:pPr>
            <w:r>
              <w:rPr>
                <w:sz w:val="15"/>
                <w:szCs w:val="15"/>
              </w:rPr>
              <w:t xml:space="preserve">Fourteen patients (9.6%) were lost to follow-up, unevenly (9 doublet, 5 triplet), in a trial of 146 whose survival endpoints are time to event; no sensitivity analysis for informative censoring is reported.</w:t>
            </w:r>
          </w:p>
          <w:p>
            <w:pPr>
              <w:pStyle w:val="ListParagraph"/>
              <w:numPr>
                <w:ilvl w:val="0"/>
                <w:numId w:val="2"/>
              </w:numPr>
              <w:spacing w:after="45"/>
            </w:pPr>
            <w:r>
              <w:rPr>
                <w:sz w:val="15"/>
                <w:szCs w:val="15"/>
              </w:rPr>
              <w:t xml:space="preserve">The conclusion recommends cetuximab plus FOLFOX as the first-line regimen for this population, but the trial was designed to detect triplet superiority and failed; nothing in it was designed to show the doublet non-inferior, and survival was immature at the time the recommendation was made.</w:t>
            </w:r>
          </w:p>
          <w:p>
            <w:pPr>
              <w:pStyle w:val="ListParagraph"/>
              <w:numPr>
                <w:ilvl w:val="0"/>
                <w:numId w:val="2"/>
              </w:numPr>
              <w:spacing w:after="45"/>
            </w:pPr>
            <w:r>
              <w:rPr>
                <w:sz w:val="15"/>
                <w:szCs w:val="15"/>
              </w:rPr>
              <w:t xml:space="preserve">The locally-treated versus not-treated comparison adjusts for ten clinical variables (age, sex, tumour location, ECOG, primary site, prior adjuvant therapy, time to metastases, number and size of metastases, resectability) in 146 patients, far too few events per covariate, and is additionally confounded by immortal time, which the authors acknowledge without quantifying.</w:t>
            </w:r>
          </w:p>
          <w:p>
            <w:pPr>
              <w:pStyle w:val="ListParagraph"/>
              <w:numPr>
                <w:ilvl w:val="0"/>
                <w:numId w:val="2"/>
              </w:numPr>
              <w:spacing w:after="45"/>
            </w:pPr>
            <w:r>
              <w:rPr>
                <w:sz w:val="15"/>
                <w:szCs w:val="15"/>
              </w:rPr>
              <w:t xml:space="preserve">No quality-of-life or patient-reported outcome is reported, although the triplet produced significantly more grade 3 or worse neutropenia (44.1% versus 27.0%) and the paper's recommendation rests partly on toxicity.</w:t>
            </w:r>
          </w:p>
          <w:p>
            <w:pPr>
              <w:pStyle w:val="ListParagraph"/>
              <w:numPr>
                <w:ilvl w:val="0"/>
                <w:numId w:val="2"/>
              </w:numPr>
              <w:spacing w:after="45"/>
            </w:pPr>
            <w:r>
              <w:rPr>
                <w:sz w:val="15"/>
                <w:szCs w:val="15"/>
              </w:rPr>
              <w:t xml:space="preserve">Generalisability is restricted in ways the paper applies only to toxicity: the cohort is entirely Chinese, under 70, ECOG 0-1, 87% left-sided and 95% synchronous, with no UGT1A1 polymorphism carriers in the triplet arm and a reduced irinotecan dose of 150 mg/m2. The efficacy conclusion is stated without the same qualification.</w:t>
            </w:r>
          </w:p>
          <w:p>
            <w:pPr>
              <w:pStyle w:val="ListParagraph"/>
              <w:numPr>
                <w:ilvl w:val="0"/>
                <w:numId w:val="2"/>
              </w:numPr>
              <w:spacing w:after="45"/>
            </w:pPr>
            <w:r>
              <w:rPr>
                <w:sz w:val="15"/>
                <w:szCs w:val="15"/>
              </w:rPr>
              <w:t xml:space="preserve">No linked editorial or comment on this trial was found in PubMed, so no independent published critique informs this record.</w:t>
            </w:r>
          </w:p>
        </w:tc>
      </w:tr>
    </w:tbl>
    <w:p>
      <w:pPr>
        <w:spacing w:after="0" w:line="276"/>
      </w:pPr>
      <w:r>
        <w:rPr>
          <w:color w:val="5A6069"/>
          <w:sz w:val="14"/>
          <w:szCs w:val="14"/>
        </w:rPr>
        <w:t xml:space="preserve">Funding: National Natural Science Foundation of China (82073302) and Guangdong Basic and Applied Basic Research Foundation (2023B1515020015); the funders are stated to have had no role in design, data collection, analysis, decision to publish or preparation of the manuscript. The authors declare no competing interests. The source of the cetuximab used is not stated</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CRLM alignment worksheet — Guideline alignment worksheet — adult colorectal liver metastases, Memorial Hermann CRLM System Roadmap Draft v0.6, 4 October 2026. Sixteen areas where NCCN 2.2026, IHPBA 2021, OPTN 2025 guidance, ASCO 2023, Adam 2015 an</w:t>
      </w:r>
    </w:p>
    <w:p>
      <w:pPr>
        <w:pStyle w:val="ListParagraph"/>
        <w:numPr>
          <w:ilvl w:val="0"/>
          <w:numId w:val="2"/>
        </w:numPr>
        <w:spacing w:after="60" w:line="268"/>
      </w:pPr>
      <w:r>
        <w:rPr>
          <w:color w:val="15181F"/>
          <w:sz w:val="16"/>
          <w:szCs w:val="16"/>
        </w:rPr>
        <w:t xml:space="preserve">MH CRLM roadmap v0.6 — Memorial Hermann Colorectal Liver Metastasis System Roadmap. Multidisciplinary practice guideline and operating pathway, Draft v0.6, 4 October 2026; liver-directed treatment section revised 3 October 2026. Evidence curre</w:t>
      </w:r>
    </w:p>
    <w:p>
      <w:pPr>
        <w:pStyle w:val="ListParagraph"/>
        <w:numPr>
          <w:ilvl w:val="0"/>
          <w:numId w:val="2"/>
        </w:numPr>
        <w:spacing w:after="60" w:line="268"/>
      </w:pPr>
      <w:r>
        <w:rPr>
          <w:color w:val="15181F"/>
          <w:sz w:val="16"/>
          <w:szCs w:val="16"/>
        </w:rPr>
        <w:t xml:space="preserve">MH/UTHealth CRLM review — Memorial Hermann / UTHealth colorectal liver metastasis review, V18 coauthor draft, September 2026. Internal manuscript; the three-phase clearance-anchored framework, the clearance / regional-control / remnant-augmentati</w:t>
      </w:r>
    </w:p>
    <w:p>
      <w:pPr>
        <w:pStyle w:val="ListParagraph"/>
        <w:numPr>
          <w:ilvl w:val="0"/>
          <w:numId w:val="2"/>
        </w:numPr>
        <w:spacing w:after="60" w:line="268"/>
      </w:pPr>
      <w:r>
        <w:rPr>
          <w:color w:val="15181F"/>
          <w:sz w:val="16"/>
          <w:szCs w:val="16"/>
        </w:rPr>
        <w:t xml:space="preserve">NCCN colon v2.2026 — National Comprehensive Cancer Network. NCCN Clinical Practice Guidelines in Oncology: Colon Cancer. Version 2.2026, 7 April 2026. Original PDF pp. 13-14, 16, 26, 30, 37-41 and 51-55; HAI and SBRT on p. 39 and local selec</w:t>
      </w:r>
    </w:p>
    <w:p>
      <w:pPr>
        <w:pStyle w:val="ListParagraph"/>
        <w:numPr>
          <w:ilvl w:val="0"/>
          <w:numId w:val="2"/>
        </w:numPr>
        <w:spacing w:after="60" w:line="268"/>
      </w:pPr>
      <w:r>
        <w:rPr>
          <w:color w:val="15181F"/>
          <w:sz w:val="16"/>
          <w:szCs w:val="16"/>
        </w:rPr>
        <w:t xml:space="preserve">OPTN Policy 9 — Organ Procurement and Transplantation Network. Policy 9: Allocation of Livers and Liver-Intestines. US Department of Health and Human Services, HRSA. Policy 9.4.C-E, 9.5.A and 9.5.I; official PDF retrieved 1 October 2026</w:t>
      </w:r>
    </w:p>
    <w:p>
      <w:pPr>
        <w:pStyle w:val="ListParagraph"/>
        <w:numPr>
          <w:ilvl w:val="0"/>
          <w:numId w:val="2"/>
        </w:numPr>
        <w:spacing w:after="60" w:line="268"/>
      </w:pPr>
      <w:r>
        <w:rPr>
          <w:color w:val="15181F"/>
          <w:sz w:val="16"/>
          <w:szCs w:val="16"/>
        </w:rPr>
        <w:t xml:space="preserve">OPTN transplant-oncology guidance — Organ Procurement and Transplantation Network, Liver and Intestinal Organ Transplantation Committee. Guidance to Liver Transplant Programs and the National Liver Review Board for: Adult MELD Exceptions for Transplant Onc</w:t>
      </w:r>
    </w:p>
    <w:p>
      <w:r>
        <w:br w:type="page"/>
      </w:r>
    </w:p>
    <w:p>
      <w:pPr>
        <w:pStyle w:val="Heading1"/>
      </w:pPr>
      <w:r>
        <w:t>HAI evidence and pathway revision | 15 October 2026</w:t>
      </w:r>
    </w:p>
    <w:p>
      <w:pPr>
        <w:pStyle w:val="Heading2"/>
      </w:pPr>
      <w:r>
        <w:t>Earlier HAI review with a clearance endpoint</w:t>
      </w:r>
    </w:p>
    <w:p>
      <w:r>
        <w:t>Offer early pump-program review for selected unresectable liver-only CRLM during first-line treatment planning, with formal reassessment after systemic therapy and before hepatic radiation. Record conversion-to-complete-clearance, regional control, or adjuvant intent separately. D’Angelica phase II: 49 patients, 47% resection conversion and 76% response (PMID 24646562). This is distinct from Kemeny’s 49-patient phase I series with 92% response (PMID 19470932). Resection conversion is not a pump-alone cure rate.</w:t>
      </w:r>
    </w:p>
    <w:p>
      <w:pPr>
        <w:pStyle w:val="Heading2"/>
      </w:pPr>
      <w:r>
        <w:t>Adjuvant HAI: updated evidence</w:t>
      </w:r>
    </w:p>
    <w:p>
      <w:r>
        <w:t>Dutch PUMP (ASCO 2026 LBA3506; DOI 10.1200/JCO.2026.44.17_suppl.LBA3506) has reported randomized conference results: in low-risk resected CRLM (CRS 0–2), adjuvant HAIP alone did not significantly improve PFS versus resection alone (HR 0.88, 95% CI 0.62–1.25; P=.48). Neither arm received adjuvant systemic chemotherapy. Overall survival is immature. This does not test HAI plus modern systemic therapy or the unresectable conversion setting. Adjuvant HAI remains selective expert-centre consideration; routine use for every low-risk resection is not supported by these results.</w:t>
      </w:r>
    </w:p>
    <w:p>
      <w:pPr>
        <w:pStyle w:val="Heading2"/>
      </w:pPr>
      <w:r>
        <w:t>Salvage evidence and external delivery</w:t>
      </w:r>
    </w:p>
    <w:p>
      <w:r>
        <w:t>Cercek’s refractory cohort included 57 liver-only and 53 low-volume extrahepatic cases. Response and median survival were 33% and 20 months in liver-only disease versus 36% and 11.4 months with extrahepatic disease (PMID 27566258). These retrospective results do not broaden routine eligibility. Duke’s 102-patient series reported 20% conversion to resection, HAI-specific complications in 23% and biliary sclerosis in 6% (PMID 39565488); these are selected-cohort outcomes, not institutional performance targets.</w:t>
      </w:r>
    </w:p>
    <w:p>
      <w:pPr>
        <w:pStyle w:val="Heading2"/>
      </w:pPr>
      <w:r>
        <w:t>Parallel transplant assessment</w:t>
      </w:r>
    </w:p>
    <w:p>
      <w:r>
        <w:t>For persistently unresectable liver-only CRLM potentially eligible for LT, obtain transplant review in parallel with HAI/conversion planning. HAI response does not establish listing or MELD-exception eligibility and completing every HAI option is not a prerequisite for evaluation. LT after HAI is technically feasible but evidence is limited: Hill et al. reported seven transplants, five for biliary complications and two for residual tumour, with difficult dissection and frequent atypical arterial reconstruction (PMID 37210451). Review arterial inflow/conduit, biliary injury and donor strategy before pump placement. The lecture’s fixed 6+3+3-month bridge and systemic-therapy withdrawal schedule remain investigational.</w:t>
      </w:r>
    </w:p>
    <w:p>
      <w:pPr>
        <w:pStyle w:val="Heading2"/>
      </w:pPr>
      <w:r>
        <w:t>Radiation sequencing</w:t>
      </w:r>
    </w:p>
    <w:p>
      <w:r>
        <w:t>Review potential HAI before Y90 or hepatic external-beam radiation. The existing NCCN Colon v2.2026 original PDF p39 eligibility row excludes prior liver radiation; the lecture describes prior Y90 as a relative contraindication at Duke. Preserve that guideline restriction and require an explicit specialist exception decision if considering a different institutional approach. Do not describe prior irradiation as a universal technical impossibility.</w:t>
      </w:r>
    </w:p>
    <w:p>
      <w:pPr>
        <w:pStyle w:val="Heading2"/>
      </w:pPr>
      <w:r>
        <w:t>Trial referral</w:t>
      </w:r>
    </w:p>
    <w:p>
      <w:r>
        <w:t>EA2222 / NCT05863195 tests systemic therapy with or without HAI for unresectable CRLM. It is separate from Dutch adjuvant PUMP and iCCA PUMP-2. Use current trial eligibility and site availability; no efficacy result is inferred from its registration.</w:t>
      </w:r>
    </w:p>
    <w:p>
      <w:pPr>
        <w:pStyle w:val="Heading2"/>
      </w:pPr>
      <w:r>
        <w:t>Programme readiness</w:t>
      </w:r>
    </w:p>
    <w:p>
      <w:r>
        <w:t>Before starting HAI, approve a named HPB surgeon with backup, medical oncologist, trained infusion nurses and pharmacy, nuclear-medicine perfusion assessment, IR rescue access, refill/maintenance coverage, liver-test monitoring and dose-hold rules, biliary-toxicity escalation and an outcomes registry. Reliable repeated visits are essential. Credentialing must cover the whole service, not pump implantation alone (PMIDs 39962001, 36346892).</w:t>
      </w:r>
    </w:p>
    <w:p>
      <w:pPr>
        <w:pStyle w:val="Heading2"/>
      </w:pPr>
      <w:r>
        <w:t>Feasibility and medication safeguards</w:t>
      </w:r>
    </w:p>
    <w:p>
      <w:r>
        <w:t>Avoid concurrent bevacizumab with HAI floxuridine because of increased biliary toxicity (PMID 24154839). Retain the broader no-concurrent-VEGF wording in the existing NCCN CRLM row. Assess hepatic reserve, portal hypertension/portal inflow, arterial anatomy, biliary obstruction or infection, prior liver radiation, operative fitness and reliable refill access. Age under 80 and lecture shunt cutoffs are centre practices, not universal evidence-based thresholds.</w:t>
      </w:r>
    </w:p>
    <w:p>
      <w:pPr>
        <w:pStyle w:val="Heading2"/>
      </w:pPr>
      <w:r>
        <w:t>Additional reference register</w:t>
      </w:r>
    </w:p>
    <w:p>
      <w:r>
        <w:t>Phase II trial of hepatic artery infusional and systemic chemotherapy for patients with unresectable hepatic metastases from colorectal cancer: conversion to resection and long-term outcomes. PMID 24646562. DOI 10.1097/SLA.0000000000000614.</w:t>
      </w:r>
    </w:p>
    <w:p>
      <w:r>
        <w:t>Response rates of hepatic arterial infusion pump therapy in patients with metastatic colorectal cancer liver metastases refractory to all standard chemotherapies. PMID 27566258. DOI 10.1002/jso.24399.</w:t>
      </w:r>
    </w:p>
    <w:p>
      <w:r>
        <w:t>Perioperative and Oncologic Outcomes of Hepatic Arterial Infusion (HAI) Pump Chemotherapy for Patients with Unresectable Colorectal Liver Metastases at an Expanding HAI Program. PMID 39565488. DOI 10.1245/s10434-024-16488-y.</w:t>
      </w:r>
    </w:p>
    <w:p>
      <w:r>
        <w:t>Minimum Requirements to Safely Establish and Sustain New Hepatic Arterial Infusion Pump Programs: An International Expert Perspective. PMID 39962001. DOI 10.1245/s10434-025-17009-1.</w:t>
      </w:r>
    </w:p>
    <w:p>
      <w:r>
        <w:t>Hepatic Artery Infusion Pumps: A Surgical Toolkit for Intraoperative Decision-Making and Management of Hepatic Artery Infusion-Specific Complications. PMID 36346892. DOI 10.1097/SLA.0000000000005434.</w:t>
      </w:r>
    </w:p>
    <w:p>
      <w:r>
        <w:t>Liver Transplantation After Hepatic Artery Infusion Pump Therapy: Single-Center Experience and Technical Considerations. PMID 37210451. DOI 10.1245/s10434-023-13652-8.</w:t>
      </w:r>
    </w:p>
    <w:p>
      <w:r>
        <w:t>Floxuridine hepatic arterial infusion associated biliary toxicity is increased by concurrent administration of systemic bevacizumab. PMID 24154839. DOI 10.1245/s10434-013-3275-0.</w:t>
      </w:r>
    </w:p>
    <w:p>
      <w:r>
        <w:t>Outmani et al. Dutch PUMP randomized trial, ASCO 2026 abstract LBA3506 PMID not assigned (meeting abstract). DOI 10.1200/JCO.2026.44.17_suppl.LBA3506.</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[V12-1] Nordlinger B; Sorbye H; Glimelius B; et al. Perioperative FOLFOX4 chemotherapy and surgery versus surgery alone for resectable liver metastases from colorectal cancer (EORTC 40983): long-term results of a randomised, controlled, phase 3 trial.. The Lancet. Oncology. 2013; 14(12):1208-15. </w:t>
      </w:r>
      <w:hyperlink r:id="rId70">
        <w:r>
          <w:rPr>
            <w:color w:val="0563C1"/>
            <w:u w:val="single"/>
          </w:rPr>
          <w:t>Source</w:t>
        </w:r>
      </w:hyperlink>
      <w:r>
        <w:t xml:space="preserve"> | </w:t>
      </w:r>
      <w:hyperlink r:id="rId71">
        <w:r>
          <w:rPr>
            <w:color w:val="0563C1"/>
            <w:u w:val="single"/>
          </w:rPr>
          <w:t>Full-text access</w:t>
        </w:r>
      </w:hyperlink>
    </w:p>
    <w:p>
      <w:pPr>
        <w:pStyle w:val="Normal"/>
        <w:widowControl/>
        <w:spacing w:after="120"/>
      </w:pPr>
      <w:r>
        <w:t xml:space="preserve"/>
      </w:r>
      <w:r>
        <w:t xml:space="preserve">[V12-2] Bridgewater JA; Pugh SA; Maishman T; et al. Systemic chemotherapy with or without cetuximab in patients with resectable colorectal liver metastasis (New EPOC): long-term results of a multicentre, randomised, controlled, phase 3 trial.. The Lancet. Oncology. 2020; 21(3):398-411. </w:t>
      </w:r>
      <w:hyperlink r:id="rId72">
        <w:r>
          <w:rPr>
            <w:color w:val="0563C1"/>
            <w:u w:val="single"/>
          </w:rPr>
          <w:t>Source</w:t>
        </w:r>
      </w:hyperlink>
      <w:r>
        <w:t xml:space="preserve"> | </w:t>
      </w:r>
      <w:hyperlink r:id="rId73">
        <w:r>
          <w:rPr>
            <w:color w:val="0563C1"/>
            <w:u w:val="single"/>
          </w:rPr>
          <w:t>Full-text access</w:t>
        </w:r>
      </w:hyperlink>
    </w:p>
    <w:p>
      <w:pPr>
        <w:pStyle w:val="Normal"/>
        <w:widowControl/>
        <w:spacing w:after="120"/>
      </w:pPr>
      <w:r>
        <w:t xml:space="preserve"/>
      </w:r>
      <w:r>
        <w:t xml:space="preserve">[V12-3] Cremolini C; Chalabi M; Elez E; et al. Metastatic colorectal cancer: ESMO Clinical Practice Guideline for diagnosis, treatment and follow-up.. Annals of oncology : official journal of the European Society for Medical Oncology. 2026; 37(6):759-776. </w:t>
      </w:r>
      <w:hyperlink r:id="rId74">
        <w:r>
          <w:rPr>
            <w:color w:val="0563C1"/>
            <w:u w:val="single"/>
          </w:rPr>
          <w:t>Source</w:t>
        </w:r>
      </w:hyperlink>
      <w:r>
        <w:t xml:space="preserve"> | </w:t>
      </w:r>
      <w:hyperlink r:id="rId75">
        <w:r>
          <w:rPr>
            <w:color w:val="0563C1"/>
            <w:u w:val="single"/>
          </w:rPr>
          <w:t>Full-text access</w:t>
        </w:r>
      </w:hyperlink>
    </w:p>
    <w:p>
      <w:pPr>
        <w:pStyle w:val="Normal"/>
        <w:widowControl/>
        <w:spacing w:after="120"/>
      </w:pPr>
      <w:r>
        <w:t xml:space="preserve"/>
      </w:r>
      <w:r>
        <w:t xml:space="preserve">[V12-4] Bond MJG; Bolhuis K; Loosveld OJL; et al. First-line systemic treatment strategies in patients with initially unresectable colorectal cancer liver metastases (CAIRO5): an open-label, multicentre, randomised, controlled, phase 3 study from the Dutch Colorectal Cancer Group.. The Lancet. Oncology. 2023; 24(7):757-771. </w:t>
      </w:r>
      <w:hyperlink r:id="rId76">
        <w:r>
          <w:rPr>
            <w:color w:val="0563C1"/>
            <w:u w:val="single"/>
          </w:rPr>
          <w:t>Source</w:t>
        </w:r>
      </w:hyperlink>
      <w:r>
        <w:t xml:space="preserve"> | </w:t>
      </w:r>
      <w:hyperlink r:id="rId77">
        <w:r>
          <w:rPr>
            <w:color w:val="0563C1"/>
            <w:u w:val="single"/>
          </w:rPr>
          <w:t>Full-text access</w:t>
        </w:r>
      </w:hyperlink>
    </w:p>
    <w:p>
      <w:pPr>
        <w:pStyle w:val="Normal"/>
        <w:widowControl/>
        <w:spacing w:after="120"/>
      </w:pPr>
      <w:r>
        <w:t xml:space="preserve"/>
      </w:r>
      <w:r>
        <w:t xml:space="preserve">[V12-5] Venook AP; Niedzwiecki D; Lenz HJ; et al. Effect of First-Line Chemotherapy Combined With Cetuximab or Bevacizumab on Overall Survival in Patients With KRAS Wild-Type Advanced or Metastatic Colorectal Cancer: A Randomized Clinical Trial.. JAMA. 2017; 317(23):2392-2401. </w:t>
      </w:r>
      <w:hyperlink r:id="rId78">
        <w:r>
          <w:rPr>
            <w:color w:val="0563C1"/>
            <w:u w:val="single"/>
          </w:rPr>
          <w:t>Source</w:t>
        </w:r>
      </w:hyperlink>
      <w:r>
        <w:t xml:space="preserve"> | </w:t>
      </w:r>
      <w:hyperlink r:id="rId79">
        <w:r>
          <w:rPr>
            <w:color w:val="0563C1"/>
            <w:u w:val="single"/>
          </w:rPr>
          <w:t>Full-text access</w:t>
        </w:r>
      </w:hyperlink>
    </w:p>
    <w:p>
      <w:pPr>
        <w:pStyle w:val="Normal"/>
        <w:widowControl/>
        <w:spacing w:after="120"/>
      </w:pPr>
      <w:r>
        <w:t xml:space="preserve"/>
      </w:r>
      <w:r>
        <w:t xml:space="preserve">[V12-6] Genentech. Avastin bevacizumab US prescribing information. US prescribing information. 2022. </w:t>
      </w:r>
      <w:hyperlink r:id="rId80">
        <w:r>
          <w:rPr>
            <w:color w:val="0563C1"/>
            <w:u w:val="single"/>
          </w:rPr>
          <w:t>Source</w:t>
        </w:r>
      </w:hyperlink>
      <w:r>
        <w:t xml:space="preserve"> | </w:t>
      </w:r>
      <w:hyperlink r:id="rId81">
        <w:r>
          <w:rPr>
            <w:color w:val="0563C1"/>
            <w:u w:val="single"/>
          </w:rPr>
          <w:t>Full-text access</w:t>
        </w:r>
      </w:hyperlink>
    </w:p>
    <w:p>
      <w:pPr>
        <w:pStyle w:val="Normal"/>
        <w:widowControl/>
        <w:spacing w:after="120"/>
      </w:pPr>
      <w:r>
        <w:t xml:space="preserve"/>
      </w:r>
      <w:r>
        <w:t xml:space="preserve">[V12-7] André T; Elez E; Lenz HJ; et al. Nivolumab plus ipilimumab versus nivolumab in microsatellite instability-high metastatic colorectal cancer (CheckMate 8HW): a randomised, open-label, phase 3 trial.. Lancet (London, England). 2025; 405(10476):383-395. </w:t>
      </w:r>
      <w:hyperlink r:id="rId82">
        <w:r>
          <w:rPr>
            <w:color w:val="0563C1"/>
            <w:u w:val="single"/>
          </w:rPr>
          <w:t>Source</w:t>
        </w:r>
      </w:hyperlink>
      <w:r>
        <w:t xml:space="preserve"> | </w:t>
      </w:r>
      <w:hyperlink r:id="rId83">
        <w:r>
          <w:rPr>
            <w:color w:val="0563C1"/>
            <w:u w:val="single"/>
          </w:rPr>
          <w:t>Full-text access</w:t>
        </w:r>
      </w:hyperlink>
    </w:p>
    <w:p>
      <w:pPr>
        <w:pStyle w:val="Normal"/>
        <w:widowControl/>
        <w:spacing w:after="120"/>
      </w:pPr>
      <w:r>
        <w:t xml:space="preserve"/>
      </w:r>
      <w:r>
        <w:t xml:space="preserve">[V12-8] André T; Shiu KK; Kim TW; et al. Pembrolizumab in Microsatellite-Instability-High Advanced Colorectal Cancer.. The New England journal of medicine. 2020; 383(23):2207-2218. </w:t>
      </w:r>
      <w:hyperlink r:id="rId84">
        <w:r>
          <w:rPr>
            <w:color w:val="0563C1"/>
            <w:u w:val="single"/>
          </w:rPr>
          <w:t>Source</w:t>
        </w:r>
      </w:hyperlink>
      <w:r>
        <w:t xml:space="preserve"> | </w:t>
      </w:r>
      <w:hyperlink r:id="rId85">
        <w:r>
          <w:rPr>
            <w:color w:val="0563C1"/>
            <w:u w:val="single"/>
          </w:rPr>
          <w:t>Full-text access</w:t>
        </w:r>
      </w:hyperlink>
    </w:p>
    <w:p>
      <w:pPr>
        <w:pStyle w:val="Normal"/>
        <w:widowControl/>
        <w:spacing w:after="120"/>
      </w:pPr>
      <w:r>
        <w:t xml:space="preserve"/>
      </w:r>
      <w:r>
        <w:t xml:space="preserve">[V12-9] Elez E; Yoshino T; Shen L; et al. Encorafenib, Cetuximab, and mFOLFOX6 in BRAF-Mutated Colorectal Cancer.. The New England journal of medicine. 2025; 392(24):2425-2437. </w:t>
      </w:r>
      <w:hyperlink r:id="rId86">
        <w:r>
          <w:rPr>
            <w:color w:val="0563C1"/>
            <w:u w:val="single"/>
          </w:rPr>
          <w:t>Source</w:t>
        </w:r>
      </w:hyperlink>
      <w:r>
        <w:t xml:space="preserve"> | </w:t>
      </w:r>
      <w:hyperlink r:id="rId87">
        <w:r>
          <w:rPr>
            <w:color w:val="0563C1"/>
            <w:u w:val="single"/>
          </w:rPr>
          <w:t>Full-text access</w:t>
        </w:r>
      </w:hyperlink>
    </w:p>
    <w:p>
      <w:pPr>
        <w:pStyle w:val="Normal"/>
        <w:widowControl/>
        <w:spacing w:after="120"/>
      </w:pPr>
      <w:r>
        <w:t xml:space="preserve"/>
      </w:r>
      <w:r>
        <w:t xml:space="preserve">[V12-10] US Food and Drug Administration. FDA grants traditional approval to encorafenib for metastatic colorectal cancer with a BRAF V600E mutation. FDA approval announcement. 2026. </w:t>
      </w:r>
      <w:hyperlink r:id="rId88">
        <w:r>
          <w:rPr>
            <w:color w:val="0563C1"/>
            <w:u w:val="single"/>
          </w:rPr>
          <w:t>Source</w:t>
        </w:r>
      </w:hyperlink>
      <w:r>
        <w:t xml:space="preserve"> | Local PDF not available in this update</w:t>
      </w:r>
    </w:p>
    <w:p>
      <w:pPr>
        <w:pStyle w:val="Normal"/>
        <w:widowControl/>
        <w:spacing w:after="120"/>
      </w:pPr>
      <w:r>
        <w:t xml:space="preserve"/>
      </w:r>
      <w:r>
        <w:t xml:space="preserve">[V12-11] Strickler JH; Cercek A; Siena S; et al. Tucatinib plus trastuzumab for chemotherapy-refractory, HER2 + , RAS wild-type metastatic colorectal cancer (MOUNTAINEER): final analysis.. Nature communications. 2026; 17(1):1068. </w:t>
      </w:r>
      <w:hyperlink r:id="rId89">
        <w:r>
          <w:rPr>
            <w:color w:val="0563C1"/>
            <w:u w:val="single"/>
          </w:rPr>
          <w:t>Source</w:t>
        </w:r>
      </w:hyperlink>
      <w:r>
        <w:t xml:space="preserve"> | </w:t>
      </w:r>
      <w:hyperlink r:id="rId90">
        <w:r>
          <w:rPr>
            <w:color w:val="0563C1"/>
            <w:u w:val="single"/>
          </w:rPr>
          <w:t>Full-text access</w:t>
        </w:r>
      </w:hyperlink>
    </w:p>
    <w:p>
      <w:pPr>
        <w:pStyle w:val="Normal"/>
        <w:widowControl/>
        <w:spacing w:after="120"/>
      </w:pPr>
      <w:r>
        <w:t xml:space="preserve"/>
      </w:r>
      <w:r>
        <w:t xml:space="preserve">[V12-12] Fakih MG; Salvatore L; Esaki T; et al. Sotorasib plus Panitumumab in Refractory Colorectal Cancer with Mutated KRAS G12C.. The New England journal of medicine. 2023; 389(23):2125-2139. </w:t>
      </w:r>
      <w:hyperlink r:id="rId91">
        <w:r>
          <w:rPr>
            <w:color w:val="0563C1"/>
            <w:u w:val="single"/>
          </w:rPr>
          <w:t>Source</w:t>
        </w:r>
      </w:hyperlink>
      <w:r>
        <w:t xml:space="preserve"> | </w:t>
      </w:r>
      <w:hyperlink r:id="rId92">
        <w:r>
          <w:rPr>
            <w:color w:val="0563C1"/>
            <w:u w:val="single"/>
          </w:rPr>
          <w:t>Full-text access</w:t>
        </w:r>
      </w:hyperlink>
    </w:p>
    <w:p>
      <w:pPr>
        <w:pStyle w:val="Normal"/>
        <w:widowControl/>
        <w:spacing w:after="120"/>
      </w:pPr>
      <w:r>
        <w:t xml:space="preserve"/>
      </w:r>
      <w:r>
        <w:t xml:space="preserve">[V12-13] US Food and Drug Administration. FDA approves sotorasib with panitumumab for KRAS G12C mutated colorectal cancer. FDA approval announcement. 2025. </w:t>
      </w:r>
      <w:hyperlink r:id="rId93">
        <w:r>
          <w:rPr>
            <w:color w:val="0563C1"/>
            <w:u w:val="single"/>
          </w:rPr>
          <w:t>Source</w:t>
        </w:r>
      </w:hyperlink>
      <w:r>
        <w:t xml:space="preserve"> | Local PDF not available in this update</w:t>
      </w:r>
    </w:p>
    <w:p>
      <w:pPr>
        <w:pStyle w:val="Normal"/>
        <w:widowControl/>
        <w:spacing w:after="120"/>
      </w:pPr>
      <w:r>
        <w:t xml:space="preserve"/>
      </w:r>
      <w:r>
        <w:t xml:space="preserve">[V12-14] Prager GW; Taieb J; Fakih M; et al. Trifluridine-Tipiracil and Bevacizumab in Refractory Metastatic Colorectal Cancer.. The New England journal of medicine. 2023; 388(18):1657-1667. </w:t>
      </w:r>
      <w:hyperlink r:id="rId94">
        <w:r>
          <w:rPr>
            <w:color w:val="0563C1"/>
            <w:u w:val="single"/>
          </w:rPr>
          <w:t>Source</w:t>
        </w:r>
      </w:hyperlink>
      <w:r>
        <w:t xml:space="preserve"> | </w:t>
      </w:r>
      <w:hyperlink r:id="rId95">
        <w:r>
          <w:rPr>
            <w:color w:val="0563C1"/>
            <w:u w:val="single"/>
          </w:rPr>
          <w:t>Full-text access</w:t>
        </w:r>
      </w:hyperlink>
    </w:p>
    <w:p>
      <w:pPr>
        <w:pStyle w:val="Normal"/>
        <w:widowControl/>
        <w:spacing w:after="120"/>
      </w:pPr>
      <w:r>
        <w:t xml:space="preserve"/>
      </w:r>
      <w:r>
        <w:t xml:space="preserve">[V12-15] Dasari A; Lonardi S; Garcia-Carbonero R; et al. Fruquintinib versus placebo in patients with refractory metastatic colorectal cancer (FRESCO-2): an international, multicentre, randomised, double-blind, phase 3 study.. Lancet (London, England). 2023; 402(10395):41-53. </w:t>
      </w:r>
      <w:hyperlink r:id="rId96">
        <w:r>
          <w:rPr>
            <w:color w:val="0563C1"/>
            <w:u w:val="single"/>
          </w:rPr>
          <w:t>Source</w:t>
        </w:r>
      </w:hyperlink>
      <w:r>
        <w:t xml:space="preserve"> | </w:t>
      </w:r>
      <w:hyperlink r:id="rId97">
        <w:r>
          <w:rPr>
            <w:color w:val="0563C1"/>
            <w:u w:val="single"/>
          </w:rPr>
          <w:t>Full-text access</w:t>
        </w:r>
      </w:hyperlink>
      <w:r>
        <w:fldChar w:fldCharType="end"/>
      </w:r>
    </w:p>
    <w:p>
      <w:pPr>
        <w:pStyle w:val="Heading1"/>
        <w:widowControl/>
        <w:keepNext/>
      </w:pPr>
      <w:r>
        <w:t xml:space="preserve">Revision history</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Later-line efficacy does not define persistent unresectability. HPB MDT must document why complete clearance of every original disease site cannot be achieved with a credible resection/ablation strategy, liver reserve and staged options. Treated/nonviable lesions alone are not proof of active unresectable disease. Preserve all biology, extrahepatic and allocation gates.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p>
      <w:pPr>
        <w:pStyle w:val="Normal"/>
      </w:pPr>
      <w:r>
        <w:t>26 October 2026, 09:30 CDT. Presentation revision: removed release-specific emphasis and grouped evidence with the clinical question it informs. Website navigation is separate from patient findings; selecting a topic or opening a care plan does not establish eligibility. Clinical thresholds, negative results, uncertainty, source links, EndNote field data and OPEN decision status are retained.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CRLM system roadmap V12 · Batch 09, 15 October 2026 · draft, not ratified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keepNext/>
    </w:pPr>
    <w:rPr>
      <w:rFonts w:ascii="Arial" w:hAnsi="Arial"/>
      <w:b/>
      <w:sz w:val="36"/>
    </w:rPr>
  </w:style>
  <w:style w:type="paragraph" w:customStyle="1" w:styleId="Heading2">
    <w:name w:val="heading 2"/>
    <w:pPr>
      <w:keepNext/>
    </w:pPr>
    <w:rPr>
      <w:rFonts w:ascii="Arial" w:hAnsi="Arial"/>
      <w:b/>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16/S1470-2045(13)70447-9" TargetMode="External"/><Relationship Id="rId10" Type="http://schemas.openxmlformats.org/officeDocument/2006/relationships/hyperlink" Target="https://libkey.io/libraries/480/10.1016/S1470-2045(13)70447-9" TargetMode="External"/><Relationship Id="rId11" Type="http://schemas.openxmlformats.org/officeDocument/2006/relationships/hyperlink" Target="https://doi.org/10.1016/S1470-2045(19)30798-3" TargetMode="External"/><Relationship Id="rId12" Type="http://schemas.openxmlformats.org/officeDocument/2006/relationships/hyperlink" Target="https://libkey.io/libraries/480/10.1016/S1470-2045(19)30798-3" TargetMode="External"/><Relationship Id="rId13" Type="http://schemas.openxmlformats.org/officeDocument/2006/relationships/hyperlink" Target="https://doi.org/10.1016/j.annonc.2026.03.005" TargetMode="External"/><Relationship Id="rId14" Type="http://schemas.openxmlformats.org/officeDocument/2006/relationships/hyperlink" Target="https://libkey.io/libraries/480/10.1016/j.annonc.2026.03.005" TargetMode="External"/><Relationship Id="rId15" Type="http://schemas.openxmlformats.org/officeDocument/2006/relationships/hyperlink" Target="https://doi.org/10.1016/j.annonc.2026.03.005" TargetMode="External"/><Relationship Id="rId16" Type="http://schemas.openxmlformats.org/officeDocument/2006/relationships/hyperlink" Target="https://libkey.io/libraries/480/10.1016/j.annonc.2026.03.005" TargetMode="External"/><Relationship Id="rId17" Type="http://schemas.openxmlformats.org/officeDocument/2006/relationships/hyperlink" Target="https://doi.org/10.1016/S1470-2045(23)00219-X" TargetMode="External"/><Relationship Id="rId18" Type="http://schemas.openxmlformats.org/officeDocument/2006/relationships/hyperlink" Target="https://libkey.io/libraries/480/10.1016/S1470-2045(23)00219-X" TargetMode="External"/><Relationship Id="rId19" Type="http://schemas.openxmlformats.org/officeDocument/2006/relationships/hyperlink" Target="https://doi.org/10.1001/jama.2017.7105" TargetMode="External"/><Relationship Id="rId20" Type="http://schemas.openxmlformats.org/officeDocument/2006/relationships/hyperlink" Target="https://libkey.io/libraries/480/10.1001/jama.2017.7105" TargetMode="External"/><Relationship Id="rId21" Type="http://schemas.openxmlformats.org/officeDocument/2006/relationships/hyperlink" Target="https://doi.org/10.1016/j.annonc.2026.03.005" TargetMode="External"/><Relationship Id="rId22" Type="http://schemas.openxmlformats.org/officeDocument/2006/relationships/hyperlink" Target="https://libkey.io/libraries/480/10.1016/j.annonc.2026.03.005" TargetMode="External"/><Relationship Id="rId23" Type="http://schemas.openxmlformats.org/officeDocument/2006/relationships/hyperlink" Target="https://www.gene.com/download/pdf/avastin_prescribing.pdf" TargetMode="External"/><Relationship Id="rId24" Type="http://schemas.openxmlformats.org/officeDocument/2006/relationships/hyperlink" Target="https://drliuhao.github.io/mh-liver-pathways/evidence/2026-10-25/" TargetMode="External"/><Relationship Id="rId25" Type="http://schemas.openxmlformats.org/officeDocument/2006/relationships/hyperlink" Target="https://doi.org/10.1016/S1470-2045(23)00219-X" TargetMode="External"/><Relationship Id="rId26" Type="http://schemas.openxmlformats.org/officeDocument/2006/relationships/hyperlink" Target="https://libkey.io/libraries/480/10.1016/S1470-2045(23)00219-X" TargetMode="External"/><Relationship Id="rId27" Type="http://schemas.openxmlformats.org/officeDocument/2006/relationships/hyperlink" Target="https://doi.org/10.1016/j.annonc.2026.03.005" TargetMode="External"/><Relationship Id="rId28" Type="http://schemas.openxmlformats.org/officeDocument/2006/relationships/hyperlink" Target="https://libkey.io/libraries/480/10.1016/j.annonc.2026.03.005" TargetMode="External"/><Relationship Id="rId29" Type="http://schemas.openxmlformats.org/officeDocument/2006/relationships/hyperlink" Target="https://doi.org/10.1016/S0140-6736(24)02848-4" TargetMode="External"/><Relationship Id="rId30" Type="http://schemas.openxmlformats.org/officeDocument/2006/relationships/hyperlink" Target="https://libkey.io/libraries/480/10.1016/S0140-6736(24)02848-4" TargetMode="External"/><Relationship Id="rId31" Type="http://schemas.openxmlformats.org/officeDocument/2006/relationships/hyperlink" Target="https://doi.org/10.1056/NEJMoa2017699" TargetMode="External"/><Relationship Id="rId32" Type="http://schemas.openxmlformats.org/officeDocument/2006/relationships/hyperlink" Target="https://libkey.io/libraries/480/10.1056/NEJMoa2017699" TargetMode="External"/><Relationship Id="rId33" Type="http://schemas.openxmlformats.org/officeDocument/2006/relationships/hyperlink" Target="https://doi.org/10.1016/j.annonc.2026.03.005" TargetMode="External"/><Relationship Id="rId34" Type="http://schemas.openxmlformats.org/officeDocument/2006/relationships/hyperlink" Target="https://libkey.io/libraries/480/10.1016/j.annonc.2026.03.005" TargetMode="External"/><Relationship Id="rId35" Type="http://schemas.openxmlformats.org/officeDocument/2006/relationships/hyperlink" Target="https://doi.org/10.1056/NEJMoa2501912" TargetMode="External"/><Relationship Id="rId36" Type="http://schemas.openxmlformats.org/officeDocument/2006/relationships/hyperlink" Target="https://libkey.io/libraries/480/10.1056/NEJMoa2501912" TargetMode="External"/><Relationship Id="rId37" Type="http://schemas.openxmlformats.org/officeDocument/2006/relationships/hyperlink" Target="https://www.fda.gov/drugs/resources-information-approved-drugs/fda-grants-traditional-approval-encorafenib-metastatic-colorectal-cancer-braf-v600e-mutation" TargetMode="External"/><Relationship Id="rId38" Type="http://schemas.openxmlformats.org/officeDocument/2006/relationships/hyperlink" Target="https://doi.org/10.1016/j.annonc.2026.03.005" TargetMode="External"/><Relationship Id="rId39" Type="http://schemas.openxmlformats.org/officeDocument/2006/relationships/hyperlink" Target="https://libkey.io/libraries/480/10.1016/j.annonc.2026.03.005" TargetMode="External"/><Relationship Id="rId40" Type="http://schemas.openxmlformats.org/officeDocument/2006/relationships/hyperlink" Target="https://doi.org/10.1016/j.annonc.2026.03.005" TargetMode="External"/><Relationship Id="rId41" Type="http://schemas.openxmlformats.org/officeDocument/2006/relationships/hyperlink" Target="https://libkey.io/libraries/480/10.1016/j.annonc.2026.03.005" TargetMode="External"/><Relationship Id="rId42" Type="http://schemas.openxmlformats.org/officeDocument/2006/relationships/hyperlink" Target="https://doi.org/10.1016/j.annonc.2026.03.005" TargetMode="External"/><Relationship Id="rId43" Type="http://schemas.openxmlformats.org/officeDocument/2006/relationships/hyperlink" Target="https://libkey.io/libraries/480/10.1016/j.annonc.2026.03.005" TargetMode="External"/><Relationship Id="rId44" Type="http://schemas.openxmlformats.org/officeDocument/2006/relationships/hyperlink" Target="https://doi.org/10.1016/j.annonc.2026.03.005" TargetMode="External"/><Relationship Id="rId45" Type="http://schemas.openxmlformats.org/officeDocument/2006/relationships/hyperlink" Target="https://libkey.io/libraries/480/10.1016/j.annonc.2026.03.005" TargetMode="External"/><Relationship Id="rId46" Type="http://schemas.openxmlformats.org/officeDocument/2006/relationships/hyperlink" Target="https://www.fda.gov/drugs/resources-information-approved-drugs/fda-grants-traditional-approval-encorafenib-metastatic-colorectal-cancer-braf-v600e-mutation" TargetMode="External"/><Relationship Id="rId47" Type="http://schemas.openxmlformats.org/officeDocument/2006/relationships/hyperlink" Target="https://doi.org/10.1038/s41467-025-67824-z" TargetMode="External"/><Relationship Id="rId48" Type="http://schemas.openxmlformats.org/officeDocument/2006/relationships/hyperlink" Target="https://libkey.io/libraries/480/10.1038/s41467-025-67824-z" TargetMode="External"/><Relationship Id="rId49" Type="http://schemas.openxmlformats.org/officeDocument/2006/relationships/hyperlink" Target="https://doi.org/10.1016/j.annonc.2026.03.005" TargetMode="External"/><Relationship Id="rId50" Type="http://schemas.openxmlformats.org/officeDocument/2006/relationships/hyperlink" Target="https://libkey.io/libraries/480/10.1016/j.annonc.2026.03.005" TargetMode="External"/><Relationship Id="rId51" Type="http://schemas.openxmlformats.org/officeDocument/2006/relationships/hyperlink" Target="https://doi.org/10.1056/NEJMoa2308795" TargetMode="External"/><Relationship Id="rId52" Type="http://schemas.openxmlformats.org/officeDocument/2006/relationships/hyperlink" Target="https://libkey.io/libraries/480/10.1056/NEJMoa2308795" TargetMode="External"/><Relationship Id="rId53" Type="http://schemas.openxmlformats.org/officeDocument/2006/relationships/hyperlink" Target="https://www.fda.gov/drugs/resources-information-approved-drugs/fda-approves-sotorasib-panitumumab-kras-g12c-mutated-colorectal-cancer" TargetMode="External"/><Relationship Id="rId54" Type="http://schemas.openxmlformats.org/officeDocument/2006/relationships/hyperlink" Target="https://doi.org/10.1016/j.annonc.2026.03.005" TargetMode="External"/><Relationship Id="rId55" Type="http://schemas.openxmlformats.org/officeDocument/2006/relationships/hyperlink" Target="https://libkey.io/libraries/480/10.1016/j.annonc.2026.03.005" TargetMode="External"/><Relationship Id="rId56" Type="http://schemas.openxmlformats.org/officeDocument/2006/relationships/hyperlink" Target="https://doi.org/10.1056/NEJMoa2214963" TargetMode="External"/><Relationship Id="rId57" Type="http://schemas.openxmlformats.org/officeDocument/2006/relationships/hyperlink" Target="https://libkey.io/libraries/480/10.1056/NEJMoa2214963" TargetMode="External"/><Relationship Id="rId58" Type="http://schemas.openxmlformats.org/officeDocument/2006/relationships/hyperlink" Target="https://doi.org/10.1016/j.annonc.2026.03.005" TargetMode="External"/><Relationship Id="rId59" Type="http://schemas.openxmlformats.org/officeDocument/2006/relationships/hyperlink" Target="https://libkey.io/libraries/480/10.1016/j.annonc.2026.03.005" TargetMode="External"/><Relationship Id="rId60" Type="http://schemas.openxmlformats.org/officeDocument/2006/relationships/hyperlink" Target="https://doi.org/10.1016/S0140-6736(23)00772-9" TargetMode="External"/><Relationship Id="rId61" Type="http://schemas.openxmlformats.org/officeDocument/2006/relationships/hyperlink" Target="https://libkey.io/libraries/480/10.1016/S0140-6736(23)00772-9" TargetMode="External"/><Relationship Id="rId62" Type="http://schemas.openxmlformats.org/officeDocument/2006/relationships/hyperlink" Target="https://doi.org/10.1016/j.annonc.2026.03.005" TargetMode="External"/><Relationship Id="rId63" Type="http://schemas.openxmlformats.org/officeDocument/2006/relationships/hyperlink" Target="https://libkey.io/libraries/480/10.1016/j.annonc.2026.03.005" TargetMode="External"/><Relationship Id="rId64" Type="http://schemas.openxmlformats.org/officeDocument/2006/relationships/hyperlink" Target="https://doi.org/10.1038/s41467-025-67824-z" TargetMode="External"/><Relationship Id="rId65" Type="http://schemas.openxmlformats.org/officeDocument/2006/relationships/hyperlink" Target="https://libkey.io/libraries/480/10.1038/s41467-025-67824-z" TargetMode="External"/><Relationship Id="rId66" Type="http://schemas.openxmlformats.org/officeDocument/2006/relationships/hyperlink" Target="https://doi.org/10.1056/NEJMoa2214963" TargetMode="External"/><Relationship Id="rId67" Type="http://schemas.openxmlformats.org/officeDocument/2006/relationships/hyperlink" Target="https://libkey.io/libraries/480/10.1056/NEJMoa2214963" TargetMode="External"/><Relationship Id="rId68" Type="http://schemas.openxmlformats.org/officeDocument/2006/relationships/hyperlink" Target="https://doi.org/10.1016/S0140-6736(23)00772-9" TargetMode="External"/><Relationship Id="rId69" Type="http://schemas.openxmlformats.org/officeDocument/2006/relationships/hyperlink" Target="https://libkey.io/libraries/480/10.1016/S0140-6736(23)00772-9" TargetMode="External"/><Relationship Id="rId70" Type="http://schemas.openxmlformats.org/officeDocument/2006/relationships/hyperlink" Target="https://doi.org/10.1016/S1470-2045(13)70447-9" TargetMode="External"/><Relationship Id="rId71" Type="http://schemas.openxmlformats.org/officeDocument/2006/relationships/hyperlink" Target="https://libkey.io/libraries/480/10.1016/S1470-2045(13)70447-9" TargetMode="External"/><Relationship Id="rId72" Type="http://schemas.openxmlformats.org/officeDocument/2006/relationships/hyperlink" Target="https://doi.org/10.1016/S1470-2045(19)30798-3" TargetMode="External"/><Relationship Id="rId73" Type="http://schemas.openxmlformats.org/officeDocument/2006/relationships/hyperlink" Target="https://libkey.io/libraries/480/10.1016/S1470-2045(19)30798-3" TargetMode="External"/><Relationship Id="rId74" Type="http://schemas.openxmlformats.org/officeDocument/2006/relationships/hyperlink" Target="https://doi.org/10.1016/j.annonc.2026.03.005" TargetMode="External"/><Relationship Id="rId75" Type="http://schemas.openxmlformats.org/officeDocument/2006/relationships/hyperlink" Target="https://libkey.io/libraries/480/10.1016/j.annonc.2026.03.005" TargetMode="External"/><Relationship Id="rId76" Type="http://schemas.openxmlformats.org/officeDocument/2006/relationships/hyperlink" Target="https://doi.org/10.1016/S1470-2045(23)00219-X" TargetMode="External"/><Relationship Id="rId77" Type="http://schemas.openxmlformats.org/officeDocument/2006/relationships/hyperlink" Target="https://libkey.io/libraries/480/10.1016/S1470-2045(23)00219-X" TargetMode="External"/><Relationship Id="rId78" Type="http://schemas.openxmlformats.org/officeDocument/2006/relationships/hyperlink" Target="https://doi.org/10.1001/jama.2017.7105" TargetMode="External"/><Relationship Id="rId79" Type="http://schemas.openxmlformats.org/officeDocument/2006/relationships/hyperlink" Target="https://libkey.io/libraries/480/10.1001/jama.2017.7105" TargetMode="External"/><Relationship Id="rId80" Type="http://schemas.openxmlformats.org/officeDocument/2006/relationships/hyperlink" Target="https://www.gene.com/download/pdf/avastin_prescribing.pdf" TargetMode="External"/><Relationship Id="rId81" Type="http://schemas.openxmlformats.org/officeDocument/2006/relationships/hyperlink" Target="https://drliuhao.github.io/mh-liver-pathways/evidence/2026-10-25/" TargetMode="External"/><Relationship Id="rId82" Type="http://schemas.openxmlformats.org/officeDocument/2006/relationships/hyperlink" Target="https://doi.org/10.1016/S0140-6736(24)02848-4" TargetMode="External"/><Relationship Id="rId83" Type="http://schemas.openxmlformats.org/officeDocument/2006/relationships/hyperlink" Target="https://libkey.io/libraries/480/10.1016/S0140-6736(24)02848-4" TargetMode="External"/><Relationship Id="rId84" Type="http://schemas.openxmlformats.org/officeDocument/2006/relationships/hyperlink" Target="https://doi.org/10.1056/NEJMoa2017699" TargetMode="External"/><Relationship Id="rId85" Type="http://schemas.openxmlformats.org/officeDocument/2006/relationships/hyperlink" Target="https://libkey.io/libraries/480/10.1056/NEJMoa2017699" TargetMode="External"/><Relationship Id="rId86" Type="http://schemas.openxmlformats.org/officeDocument/2006/relationships/hyperlink" Target="https://doi.org/10.1056/NEJMoa2501912" TargetMode="External"/><Relationship Id="rId87" Type="http://schemas.openxmlformats.org/officeDocument/2006/relationships/hyperlink" Target="https://libkey.io/libraries/480/10.1056/NEJMoa2501912" TargetMode="External"/><Relationship Id="rId88" Type="http://schemas.openxmlformats.org/officeDocument/2006/relationships/hyperlink" Target="https://www.fda.gov/drugs/resources-information-approved-drugs/fda-grants-traditional-approval-encorafenib-metastatic-colorectal-cancer-braf-v600e-mutation" TargetMode="External"/><Relationship Id="rId89" Type="http://schemas.openxmlformats.org/officeDocument/2006/relationships/hyperlink" Target="https://doi.org/10.1038/s41467-025-67824-z" TargetMode="External"/><Relationship Id="rId90" Type="http://schemas.openxmlformats.org/officeDocument/2006/relationships/hyperlink" Target="https://libkey.io/libraries/480/10.1038/s41467-025-67824-z" TargetMode="External"/><Relationship Id="rId91" Type="http://schemas.openxmlformats.org/officeDocument/2006/relationships/hyperlink" Target="https://doi.org/10.1056/NEJMoa2308795" TargetMode="External"/><Relationship Id="rId92" Type="http://schemas.openxmlformats.org/officeDocument/2006/relationships/hyperlink" Target="https://libkey.io/libraries/480/10.1056/NEJMoa2308795" TargetMode="External"/><Relationship Id="rId93" Type="http://schemas.openxmlformats.org/officeDocument/2006/relationships/hyperlink" Target="https://www.fda.gov/drugs/resources-information-approved-drugs/fda-approves-sotorasib-panitumumab-kras-g12c-mutated-colorectal-cancer" TargetMode="External"/><Relationship Id="rId94" Type="http://schemas.openxmlformats.org/officeDocument/2006/relationships/hyperlink" Target="https://doi.org/10.1056/NEJMoa2214963" TargetMode="External"/><Relationship Id="rId95" Type="http://schemas.openxmlformats.org/officeDocument/2006/relationships/hyperlink" Target="https://libkey.io/libraries/480/10.1056/NEJMoa2214963" TargetMode="External"/><Relationship Id="rId96" Type="http://schemas.openxmlformats.org/officeDocument/2006/relationships/hyperlink" Target="https://doi.org/10.1016/S0140-6736(23)00772-9" TargetMode="External"/><Relationship Id="rId97" Type="http://schemas.openxmlformats.org/officeDocument/2006/relationships/hyperlink" Target="https://libkey.io/libraries/480/10.1016/S0140-6736(23)00772-9"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CRLM system roadmap v0.7</dc:title>
  <dc:subject>Colorectal liver metastases</dc:subject>
  <dc:creator>Memorial Hermann / UTHealth Houston tumour roadmap programme</dc:creator>
  <dc:description>Draft under development. Not ratified clinical policy.</dc:description>
  <cp:lastModifiedBy>Un-named</cp:lastModifiedBy>
  <cp:revision>1</cp:revision>
  <dcterms:created xsi:type="dcterms:W3CDTF">2026-10-10T04:29:15.709Z</dcterms:created>
  <dcterms:modified xsi:type="dcterms:W3CDTF">2026-10-25T09:38:08Z</dcterms:modified>
</cp:coreProperties>
</file>

<file path=docProps/custom.xml><?xml version="1.0" encoding="utf-8"?>
<Properties xmlns="http://schemas.openxmlformats.org/officeDocument/2006/custom-properties" xmlns:vt="http://schemas.openxmlformats.org/officeDocument/2006/docPropsVTypes"/>
</file>