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Intrahepatic cholangiocarcinoma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Intrahepatic cholangiocarcinoma · system roadmap</w:t>
      </w:r>
    </w:p>
    <w:p>
      <w:pPr>
        <w:spacing w:after="320" w:line="276"/>
      </w:pPr>
      <w:r>
        <w:rPr>
          <w:color w:val="5A6069"/>
          <w:sz w:val="20"/>
          <w:szCs w:val="20"/>
        </w:rPr>
        <w:t xml:space="preserve">Original pathway: 10 gates · 43 cited sources · 30 stated uncertainties · 14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Where this patient sits in the intrahepatic cholangiocarcinoma pathway, and what the evidence behind the next step actually shows.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Diagnosis confirmed and staged</w:t>
      </w:r>
    </w:p>
    <w:p>
      <w:pPr>
        <w:spacing w:after="140"/>
      </w:pPr>
      <w:r>
        <w:rPr>
          <w:b/>
          <w:bCs/>
          <w:color w:val="176A87"/>
          <w:sz w:val="19"/>
          <w:szCs w:val="19"/>
        </w:rPr>
        <w:t xml:space="preserve">The question. </w:t>
      </w:r>
      <w:r>
        <w:rPr>
          <w:sz w:val="19"/>
          <w:szCs w:val="19"/>
        </w:rPr>
        <w:t xml:space="preserve">Do I actually know this is intrahepatic cholangiocarcinoma, and do I have the imaging to plan an operation?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Histology consistent with intrahepatic cholangiocarcinoma, or a high-suspicion mass accepted for direct resection after multidisciplinary HPB review</w:t>
      </w:r>
    </w:p>
    <w:p>
      <w:pPr>
        <w:pStyle w:val="ListParagraph"/>
        <w:numPr>
          <w:ilvl w:val="0"/>
          <w:numId w:val="2"/>
        </w:numPr>
        <w:spacing w:after="60" w:line="268"/>
      </w:pPr>
      <w:r>
        <w:rPr>
          <w:color w:val="15181F"/>
          <w:sz w:val="18"/>
          <w:szCs w:val="18"/>
        </w:rPr>
        <w:t xml:space="preserve">Multiphase CT of chest, abdomen and pelvis plus liver MRI with cholangiographic (MRCP) sequences, completed before any stent is placed</w:t>
      </w:r>
    </w:p>
    <w:p>
      <w:pPr>
        <w:pStyle w:val="ListParagraph"/>
        <w:numPr>
          <w:ilvl w:val="0"/>
          <w:numId w:val="2"/>
        </w:numPr>
        <w:spacing w:after="60" w:line="268"/>
      </w:pPr>
      <w:r>
        <w:rPr>
          <w:color w:val="15181F"/>
          <w:sz w:val="18"/>
          <w:szCs w:val="18"/>
        </w:rPr>
        <w:t xml:space="preserve">Another primary excluded — colonoscopy, age-appropriate breast imaging and a CK7/CK20/CDX2-type panel as indicated</w:t>
      </w:r>
    </w:p>
    <w:p>
      <w:pPr>
        <w:pStyle w:val="ListParagraph"/>
        <w:numPr>
          <w:ilvl w:val="0"/>
          <w:numId w:val="2"/>
        </w:numPr>
        <w:spacing w:after="60" w:line="268"/>
      </w:pPr>
      <w:r>
        <w:rPr>
          <w:color w:val="15181F"/>
          <w:sz w:val="18"/>
          <w:szCs w:val="18"/>
        </w:rPr>
        <w:t xml:space="preserve">Perihilar and distal cholangiocarcinoma, gallbladder cancer and mixed hepatocellular-cholangiocarcinoma recognised as outside this pathway</w:t>
      </w:r>
    </w:p>
    <w:p>
      <w:pPr>
        <w:pStyle w:val="ListParagraph"/>
        <w:numPr>
          <w:ilvl w:val="0"/>
          <w:numId w:val="2"/>
        </w:numPr>
        <w:spacing w:after="60" w:line="268"/>
      </w:pPr>
      <w:r>
        <w:rPr>
          <w:color w:val="15181F"/>
          <w:sz w:val="18"/>
          <w:szCs w:val="18"/>
        </w:rPr>
        <w:t xml:space="preserve">Recorded: tumour number and size, vascular and biliary involvement, nodal status, extrahepatic sites, ECOG, Child-Pugh and bilirubin, CA 19-9 and CEA, hepatitis serology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There is no imaging-only diagnosis of intrahepatic cholangiocarcinoma: unlike hepatocellular carcinoma, where LR-5 imaging in an at-risk population is diagnostic, a mass suspected of being iCCA requires histologic confirmation before a treatment pathway is assigned.</w:t>
      </w:r>
    </w:p>
    <w:p>
      <w:pPr>
        <w:spacing w:after="50" w:line="276"/>
        <w:ind w:left="240"/>
      </w:pPr>
      <w:r>
        <w:rPr>
          <w:color w:val="15181F"/>
          <w:sz w:val="18"/>
          <w:szCs w:val="18"/>
        </w:rPr>
        <w:t xml:space="preserve">Every patient whose next step is systemic therapy, trial entry or tissue-defined transplant assessment — in those destinations the tissue criteria are not optional, and transplant assessment additionally needs the biopsy to grade differentiation and to exclude a mixed hepatocellular-cholangiocarcinoma.</w:t>
      </w:r>
    </w:p>
    <w:p>
      <w:pPr>
        <w:spacing w:after="50"/>
        <w:ind w:left="240"/>
      </w:pPr>
      <w:r>
        <w:rPr>
          <w:b/>
          <w:bCs/>
          <w:color w:val="8C2F26"/>
          <w:sz w:val="18"/>
          <w:szCs w:val="18"/>
        </w:rPr>
        <w:t xml:space="preserve">Caveat. </w:t>
      </w:r>
      <w:r>
        <w:rPr>
          <w:color w:val="15181F"/>
          <w:sz w:val="18"/>
          <w:szCs w:val="18"/>
        </w:rPr>
        <w:t xml:space="preserve">Do not demand a core from a high-suspicion, clearly resectable mass as a universal rule. NCCN states a suspicious mass on imaging in the proper clinical setting should be treated as malignant, and multidisciplinary HPB review may permit direct resection; the roadmap replaces universal pre-treatment biopsy with destination-specific confirmation.</w:t>
      </w:r>
    </w:p>
    <w:p>
      <w:pPr>
        <w:spacing w:after="50" w:line="276"/>
        <w:ind w:left="240"/>
      </w:pPr>
      <w:r>
        <w:rPr>
          <w:i/>
          <w:iCs/>
          <w:color w:val="5A6069"/>
          <w:sz w:val="17"/>
          <w:szCs w:val="17"/>
        </w:rPr>
        <w:t xml:space="preserve">AASLD 2023 and BSG 2023 require histological confirmation and LCSGJ 2022 regards biopsy as basically unnecessary for a typical resectable mass, so whether a core stays mandatory before resection is a ratification item (alignment worksheet, area 1). CEA and CA 19-9 are baseline and monitoring tests and never establish the diagnosis; CA 19-9 rises with biliary obstruction or cholangitis, so record it alongside the bilirubin and repeat it once the obstruction is relieved.</w:t>
      </w:r>
    </w:p>
    <w:p>
      <w:pPr>
        <w:spacing w:after="60" w:line="276"/>
        <w:ind w:left="240"/>
      </w:pPr>
      <w:r>
        <w:rPr>
          <w:color w:val="5A6069"/>
          <w:sz w:val="16"/>
          <w:szCs w:val="16"/>
        </w:rPr>
        <w:t xml:space="preserve">Sources: NCCN BTC v1.2026; AASLD PSC/CCA 2023; BSG CCA 2023; EASL-ILCA iCCA 2023; MH iCCA roadmap v0.6</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Image before you instrument: complete the biliary-protocol imaging, and measure the future liver remnant on the same study where a major hepatectomy is contemplated.</w:t>
      </w:r>
    </w:p>
    <w:p>
      <w:pPr>
        <w:spacing w:after="50" w:line="276"/>
        <w:ind w:left="240"/>
      </w:pPr>
      <w:r>
        <w:rPr>
          <w:color w:val="15181F"/>
          <w:sz w:val="18"/>
          <w:szCs w:val="18"/>
        </w:rPr>
        <w:t xml:space="preserve">Any patient with a tumour obstructing the biliary tree who might be resected — reactive change from a stent obscures ductal extent, which is exactly what decides whether biliary resection and reconstruction are needed. MRI is the study that characterises the biliary and vascular relationships that determine resectability, and EASL-ILCA prefers it over CT for intrahepatic staging.</w:t>
      </w:r>
    </w:p>
    <w:p>
      <w:pPr>
        <w:spacing w:after="50"/>
        <w:ind w:left="240"/>
      </w:pPr>
      <w:r>
        <w:rPr>
          <w:b/>
          <w:bCs/>
          <w:color w:val="8C2F26"/>
          <w:sz w:val="18"/>
          <w:szCs w:val="18"/>
        </w:rPr>
        <w:t xml:space="preserve">Caveat. </w:t>
      </w:r>
      <w:r>
        <w:rPr>
          <w:color w:val="15181F"/>
          <w:sz w:val="18"/>
          <w:szCs w:val="18"/>
        </w:rPr>
        <w:t xml:space="preserve">Do not wait for imaging in cholangitis — that is drained without waiting for the discussion, and urgent sepsis treatment takes priority over the elective sequence.</w:t>
      </w:r>
    </w:p>
    <w:p>
      <w:pPr>
        <w:spacing w:after="50" w:line="276"/>
        <w:ind w:left="240"/>
      </w:pPr>
      <w:r>
        <w:rPr>
          <w:i/>
          <w:iCs/>
          <w:color w:val="5A6069"/>
          <w:sz w:val="17"/>
          <w:szCs w:val="17"/>
        </w:rPr>
        <w:t xml:space="preserve">Where the tumour obstructs the biliary tree, the need for drainage, its route and its side are decided with the hepatobiliary surgeon before any non-emergency procedure; resection without preoperative drainage can be considered when the future remnant is large. That drainage rule is grade D on its own — no comparative outcome data in intrahepatic disease were identified for it — while the grade B on this string covers the imaging sequence, which BSG 2023 and EASL-ILCA both recommend.</w:t>
      </w:r>
    </w:p>
    <w:p>
      <w:pPr>
        <w:spacing w:after="60" w:line="276"/>
        <w:ind w:left="240"/>
      </w:pPr>
      <w:r>
        <w:rPr>
          <w:color w:val="5A6069"/>
          <w:sz w:val="16"/>
          <w:szCs w:val="16"/>
        </w:rPr>
        <w:t xml:space="preserve">Sources: NCCN BTC v1.2026; BSG CCA 2023;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Exclude another primary before committing to this pathway, because metastatic adenocarcinoma can be histologically indistinguishable from intrahepatic cholangiocarcinoma.</w:t>
      </w:r>
    </w:p>
    <w:p>
      <w:pPr>
        <w:spacing w:after="50" w:line="276"/>
        <w:ind w:left="240"/>
      </w:pPr>
      <w:r>
        <w:rPr>
          <w:color w:val="15181F"/>
          <w:sz w:val="18"/>
          <w:szCs w:val="18"/>
        </w:rPr>
        <w:t xml:space="preserve">Any adenocarcinoma in the liver without an established primary, and particularly before a patient is started on a biliary-tract regimen or entered into a biliary trial.</w:t>
      </w:r>
    </w:p>
    <w:p>
      <w:pPr>
        <w:spacing w:after="50"/>
        <w:ind w:left="240"/>
      </w:pPr>
      <w:r>
        <w:rPr>
          <w:b/>
          <w:bCs/>
          <w:color w:val="8C2F26"/>
          <w:sz w:val="18"/>
          <w:szCs w:val="18"/>
        </w:rPr>
        <w:t xml:space="preserve">Caveat. </w:t>
      </w:r>
      <w:r>
        <w:rPr>
          <w:color w:val="15181F"/>
          <w:sz w:val="18"/>
          <w:szCs w:val="18"/>
        </w:rPr>
        <w:t xml:space="preserve">Do not let the immunohistochemical panel consume the whole core: BSG 2023 asks that tissue be reserved for molecular profiling when immunohistochemistry is planned, and whether to add that instruction is a ratification item (alignment worksheet, area 12).</w:t>
      </w:r>
    </w:p>
    <w:p>
      <w:pPr>
        <w:spacing w:after="50" w:line="276"/>
        <w:ind w:left="240"/>
      </w:pPr>
      <w:r>
        <w:rPr>
          <w:i/>
          <w:iCs/>
          <w:color w:val="5A6069"/>
          <w:sz w:val="17"/>
          <w:szCs w:val="17"/>
        </w:rPr>
        <w:t xml:space="preserve">Treating a colorectal or pancreatic metastasis as intrahepatic cholangiocarcinoma is a recognised and consequential error. Hepatitis B and C status and any cirrhosis are established at entry: they change operative risk and, where a mixed tumour is possible, the differential.</w:t>
      </w:r>
    </w:p>
    <w:p>
      <w:pPr>
        <w:spacing w:after="60" w:line="276"/>
        <w:ind w:left="240"/>
      </w:pPr>
      <w:r>
        <w:rPr>
          <w:color w:val="5A6069"/>
          <w:sz w:val="16"/>
          <w:szCs w:val="16"/>
        </w:rPr>
        <w:t xml:space="preserve">Sources: MH iCCA roadmap v0.6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Plan molecular testing of a dedicated biliary specimen at the index ERCP where the disease presents as an indeterminate stricture rather than a mass and the alternative is a repeat procedure.</w:t>
      </w:r>
    </w:p>
    <w:p>
      <w:pPr>
        <w:spacing w:after="50" w:line="276"/>
        <w:ind w:left="240"/>
      </w:pPr>
      <w:r>
        <w:rPr>
          <w:color w:val="15181F"/>
          <w:sz w:val="18"/>
          <w:szCs w:val="18"/>
        </w:rPr>
        <w:t xml:space="preserve">The patient entering the pathway as an indeterminate stricture, where pathology alone is weakest: in a 6-year prospective study of 2,116 patients across 28 institutions, pathologic assessment of ERCP brushings and biopsies had 44% sensitivity overall and 36% for intrahepatic or hilar strictures, while a DNA/RNA sequencing panel on separately collected specimens in a dedicated nucleic-acid buffer reached 82% sensitivity at 98% specificity and the combination 88% at 97%. Specificity was 99% for pathology, so sequencing bought sensitivity and gave up almost nothing.</w:t>
      </w:r>
    </w:p>
    <w:p>
      <w:pPr>
        <w:spacing w:after="50"/>
        <w:ind w:left="240"/>
      </w:pPr>
      <w:r>
        <w:rPr>
          <w:b/>
          <w:bCs/>
          <w:color w:val="8C2F26"/>
          <w:sz w:val="18"/>
          <w:szCs w:val="18"/>
        </w:rPr>
        <w:t xml:space="preserve">Caveat. </w:t>
      </w:r>
      <w:r>
        <w:rPr>
          <w:color w:val="15181F"/>
          <w:sz w:val="18"/>
          <w:szCs w:val="18"/>
        </w:rPr>
        <w:t xml:space="preserve">Do not read a negative molecular result as excluding malignancy — in the original single-centre cohort there were 37 false negatives (25%) and the negative predictive value was only 63%, with sampling failure the usual explanation; in 12 of those cases the same panel found an alteration in the resected tumour. Only 2% of neoplastic strictures in the 2026 study were purely dysplastic, so outside primary sclerosing cholangitis this is earlier diagnosis of established cancer, not early detection, and no resectability or survival benefit has been shown. Payer authorisation and the dedicated collection buffer have to be arranged before the procedure, not after.</w:t>
      </w:r>
    </w:p>
    <w:p>
      <w:pPr>
        <w:spacing w:after="50" w:line="276"/>
        <w:ind w:left="240"/>
      </w:pPr>
      <w:r>
        <w:rPr>
          <w:i/>
          <w:iCs/>
          <w:color w:val="5A6069"/>
          <w:sz w:val="17"/>
          <w:szCs w:val="17"/>
        </w:rPr>
        <w:t xml:space="preserve">Correct the yield figure: therapeutically relevant alterations were reported in 20 of 150 cancers (13%) in the original single-centre cohort, and in the 2026 multi-institutional study in 137 of 458 cholangiocarcinomas (30%) — but only on the 161-gene version of the panel. The 28-gene version used in the original cohort did not detect FGFR2 fusions at all, which with chromatin-remodelling genes accounts for up to 20% of intrahepatic tumours, so a biliary specimen substitutes for the gate 2 profile only if the panel actually run reports fusions. Downgraded from B: specimens were submitted at the endoscopist's discretion rather than consecutively, a stricture could be classified neoplastic on 12 months of clinical or radiographic progression rather than on tissue, and all testing was done in the laboratory that developed the assay.</w:t>
      </w:r>
    </w:p>
    <w:p>
      <w:pPr>
        <w:spacing w:after="60" w:line="276"/>
        <w:ind w:left="240"/>
      </w:pPr>
      <w:r>
        <w:rPr>
          <w:color w:val="5A6069"/>
          <w:sz w:val="16"/>
          <w:szCs w:val="16"/>
        </w:rPr>
        <w:t xml:space="preserve">Sources: Biliary-stricture NGS; BiliSeq original cohort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FDG-PET selectively, for suspected occult spread and for transplant staging.</w:t>
      </w:r>
    </w:p>
    <w:p>
      <w:pPr>
        <w:spacing w:after="50" w:line="276"/>
        <w:ind w:left="240"/>
      </w:pPr>
      <w:r>
        <w:rPr>
          <w:color w:val="15181F"/>
          <w:sz w:val="18"/>
          <w:szCs w:val="18"/>
        </w:rPr>
        <w:t xml:space="preserve">Where occult nodal or distant disease would change the operation, and in any patient being staged for a transplant protocol.</w:t>
      </w:r>
    </w:p>
    <w:p>
      <w:pPr>
        <w:spacing w:after="50"/>
        <w:ind w:left="240"/>
      </w:pPr>
      <w:r>
        <w:rPr>
          <w:b/>
          <w:bCs/>
          <w:color w:val="8C2F26"/>
          <w:sz w:val="18"/>
          <w:szCs w:val="18"/>
        </w:rPr>
        <w:t xml:space="preserve">Caveat. </w:t>
      </w:r>
      <w:r>
        <w:rPr>
          <w:color w:val="15181F"/>
          <w:sz w:val="18"/>
          <w:szCs w:val="18"/>
        </w:rPr>
        <w:t xml:space="preserve">Do not substitute PET for MRI with MRCP in local planning; MRCP is preferred for biliary anatomy and ERCP or PTC are used more for therapeutic intervention.</w:t>
      </w:r>
    </w:p>
    <w:p>
      <w:pPr>
        <w:spacing w:after="50" w:line="276"/>
        <w:ind w:left="240"/>
      </w:pPr>
      <w:r>
        <w:rPr>
          <w:i/>
          <w:iCs/>
          <w:color w:val="5A6069"/>
          <w:sz w:val="17"/>
          <w:szCs w:val="17"/>
        </w:rPr>
        <w:t xml:space="preserve">BSG 2023 recommends FDG-PET-CT for nodal and distant disease as part of staging and EASL-ILCA recommends it routinely in apparently resectable patients, both more broadly than our selective wording — alignment worksheet, area 2. Read the strength of the broader recommendation honestly: the EASL-ILCA routine-PET statement passed its Delphi panel with only 78% agreement, the weakest consensus in that guideline's staging section, and AASLD 2023 states PET should not be used to assess the primary tumour.</w:t>
      </w:r>
    </w:p>
    <w:p>
      <w:pPr>
        <w:spacing w:after="60" w:line="276"/>
        <w:ind w:left="240"/>
      </w:pPr>
      <w:r>
        <w:rPr>
          <w:color w:val="5A6069"/>
          <w:sz w:val="16"/>
          <w:szCs w:val="16"/>
        </w:rPr>
        <w:t xml:space="preserve">Sources: NCCN BTC v1.2026; BSG CCA 2023; EASL-ILCA iCCA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place a biliary stent in a potentially resectable patient before the biliary-protocol imaging is complete and the drainage plan is agreed with the hepatobiliary surgeon.</w:t>
      </w:r>
    </w:p>
    <w:p>
      <w:pPr>
        <w:spacing w:after="50" w:line="276"/>
        <w:ind w:left="240"/>
      </w:pPr>
      <w:r>
        <w:rPr>
          <w:color w:val="15181F"/>
          <w:sz w:val="18"/>
          <w:szCs w:val="18"/>
        </w:rPr>
        <w:t xml:space="preserve">The only exception is cholangitis, which is drained immediately.</w:t>
      </w:r>
    </w:p>
    <w:p>
      <w:pPr>
        <w:spacing w:after="50"/>
        <w:ind w:left="240"/>
      </w:pPr>
      <w:r>
        <w:rPr>
          <w:b/>
          <w:bCs/>
          <w:color w:val="8C2F26"/>
          <w:sz w:val="18"/>
          <w:szCs w:val="18"/>
        </w:rPr>
        <w:t xml:space="preserve">Caveat. </w:t>
      </w:r>
      <w:r>
        <w:rPr>
          <w:color w:val="15181F"/>
          <w:sz w:val="18"/>
          <w:szCs w:val="18"/>
        </w:rPr>
        <w:t xml:space="preserve">Stent-related inflammation obscures ductal extent, and drainage of the wrong side or an unnecessary procedure adds cholangitis risk and can delay both surgery and systemic therapy.</w:t>
      </w:r>
    </w:p>
    <w:p>
      <w:pPr>
        <w:spacing w:after="60" w:line="276"/>
        <w:ind w:left="240"/>
      </w:pPr>
      <w:r>
        <w:rPr>
          <w:color w:val="5A6069"/>
          <w:sz w:val="16"/>
          <w:szCs w:val="16"/>
        </w:rPr>
        <w:t xml:space="preserve">Sources: NCCN BTC v1.2026;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assign this pathway to perihilar or distal cholangiocarcinoma — the drainage problem, the operation and the transplant question all differ.</w:t>
      </w:r>
    </w:p>
    <w:p>
      <w:pPr>
        <w:spacing w:after="50" w:line="276"/>
        <w:ind w:left="240"/>
      </w:pPr>
      <w:r>
        <w:rPr>
          <w:color w:val="15181F"/>
          <w:sz w:val="18"/>
          <w:szCs w:val="18"/>
        </w:rPr>
        <w:t xml:space="preserve">Use the separate perihilar roadmap; gallbladder cancer, mixed hepatocellular-cholangiocarcinoma and paediatric disease are out of scope here.</w:t>
      </w:r>
    </w:p>
    <w:p>
      <w:pPr>
        <w:spacing w:after="50"/>
        <w:ind w:left="240"/>
      </w:pPr>
      <w:r>
        <w:rPr>
          <w:b/>
          <w:bCs/>
          <w:color w:val="8C2F26"/>
          <w:sz w:val="18"/>
          <w:szCs w:val="18"/>
        </w:rPr>
        <w:t xml:space="preserve">Caveat. </w:t>
      </w:r>
      <w:r>
        <w:rPr>
          <w:color w:val="15181F"/>
          <w:sz w:val="18"/>
          <w:szCs w:val="18"/>
        </w:rPr>
        <w:t xml:space="preserve">In particular, the standardised perihilar MELD exception and its neoadjuvant/stricture protocol do not transfer to intrahepatic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Molecular profile ordered at diagnosis</w:t>
      </w:r>
    </w:p>
    <w:p>
      <w:pPr>
        <w:spacing w:after="140"/>
      </w:pPr>
      <w:r>
        <w:rPr>
          <w:b/>
          <w:bCs/>
          <w:color w:val="176A87"/>
          <w:sz w:val="19"/>
          <w:szCs w:val="19"/>
        </w:rPr>
        <w:t xml:space="preserve">The question. </w:t>
      </w:r>
      <w:r>
        <w:rPr>
          <w:sz w:val="19"/>
          <w:szCs w:val="19"/>
        </w:rPr>
        <w:t xml:space="preserve">Will the molecular result be in my hand at the moment the second-line decision is made?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at diagnosis — order now, not at the point of second-line progression</w:t>
      </w:r>
    </w:p>
    <w:p>
      <w:pPr>
        <w:pStyle w:val="ListParagraph"/>
        <w:numPr>
          <w:ilvl w:val="0"/>
          <w:numId w:val="2"/>
        </w:numPr>
        <w:spacing w:after="60" w:line="268"/>
      </w:pPr>
      <w:r>
        <w:rPr>
          <w:color w:val="15181F"/>
          <w:sz w:val="18"/>
          <w:szCs w:val="18"/>
        </w:rPr>
        <w:t xml:space="preserve">Borderline or locally advanced disease where systemic therapy is the first step</w:t>
      </w:r>
    </w:p>
    <w:p>
      <w:pPr>
        <w:pStyle w:val="ListParagraph"/>
        <w:numPr>
          <w:ilvl w:val="0"/>
          <w:numId w:val="2"/>
        </w:numPr>
        <w:spacing w:after="60" w:line="268"/>
      </w:pPr>
      <w:r>
        <w:rPr>
          <w:color w:val="15181F"/>
          <w:sz w:val="18"/>
          <w:szCs w:val="18"/>
        </w:rPr>
        <w:t xml:space="preserve">Recurrence after resection that will be treated systemically</w:t>
      </w:r>
    </w:p>
    <w:p>
      <w:pPr>
        <w:pStyle w:val="ListParagraph"/>
        <w:numPr>
          <w:ilvl w:val="0"/>
          <w:numId w:val="2"/>
        </w:numPr>
        <w:spacing w:after="60" w:line="268"/>
      </w:pPr>
      <w:r>
        <w:rPr>
          <w:color w:val="15181F"/>
          <w:sz w:val="18"/>
          <w:szCs w:val="18"/>
        </w:rPr>
        <w:t xml:space="preserve">Adequate tissue preserved from the diagnostic core, or plasma where tissue is inadequate or a biopsy would delay treatment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broad molecular profiling at the diagnosis of unresectable or metastatic disease, not at the point of second-line progression.</w:t>
      </w:r>
    </w:p>
    <w:p>
      <w:pPr>
        <w:spacing w:after="50" w:line="276"/>
        <w:ind w:left="240"/>
      </w:pPr>
      <w:r>
        <w:rPr>
          <w:color w:val="15181F"/>
          <w:sz w:val="18"/>
          <w:szCs w:val="18"/>
        </w:rPr>
        <w:t xml:space="preserve">Everyone who will receive systemic therapy. The rationale is operational rather than biological: turnaround is typically two to four weeks, and a patient who progresses on first-line chemo-immunotherapy needs the result in hand at that moment.</w:t>
      </w:r>
    </w:p>
    <w:p>
      <w:pPr>
        <w:spacing w:after="50"/>
        <w:ind w:left="240"/>
      </w:pPr>
      <w:r>
        <w:rPr>
          <w:b/>
          <w:bCs/>
          <w:color w:val="8C2F26"/>
          <w:sz w:val="18"/>
          <w:szCs w:val="18"/>
        </w:rPr>
        <w:t xml:space="preserve">Caveat. </w:t>
      </w:r>
      <w:r>
        <w:rPr>
          <w:color w:val="15181F"/>
          <w:sz w:val="18"/>
          <w:szCs w:val="18"/>
        </w:rPr>
        <w:t xml:space="preserve">Ordering it at progression means the second-line decision is made without it, and the default becomes FOLFOX by omission rather than by choice. The obstacle here is payer authorisation and ordering discipline, not the clinical argument.</w:t>
      </w:r>
    </w:p>
    <w:p>
      <w:pPr>
        <w:spacing w:after="50" w:line="276"/>
        <w:ind w:left="240"/>
      </w:pPr>
      <w:r>
        <w:rPr>
          <w:i/>
          <w:iCs/>
          <w:color w:val="5A6069"/>
          <w:sz w:val="17"/>
          <w:szCs w:val="17"/>
        </w:rPr>
        <w:t xml:space="preserve">Our grade B is lower than ESMO 2024's [I, A] and BSG 2023's strong recommendation on high-quality evidence. ILTS-ILCA 2024 recommends comprehensive sequencing in unresectable or metastatic iCCA but finds no evidence for using it to select transplant candidates. Capture NRG1 and other actionable findings on the same panel; do not label each matched agent category 1 merely because testing is recommended.</w:t>
      </w:r>
    </w:p>
    <w:p>
      <w:pPr>
        <w:spacing w:after="60" w:line="276"/>
        <w:ind w:left="240"/>
      </w:pPr>
      <w:r>
        <w:rPr>
          <w:color w:val="5A6069"/>
          <w:sz w:val="16"/>
          <w:szCs w:val="16"/>
        </w:rPr>
        <w:t xml:space="preserve">Sources: NCCN BTC v1.2026; ESMO BTC 2024 interim; BSG CCA 2023; AASLD PSC/CCA 2023; ILTS-ILCA 2024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This order reproduces the roadmap's table. It is not a ranking: each option applies only to the patient whose tumour carries that alteration, and there is no randomised evidence establishing a sequence among the targeted options. Only ivosidenib comes from a randomised trial, and that trial was positive on progression-free survival and not on intention-to-treat overall survival; the others are single-arm response data, not comparative survival data.</w:t>
      </w:r>
    </w:p>
    <w:p>
      <w:pPr>
        <w:spacing w:after="50" w:before="120"/>
        <w:ind w:left="240"/>
      </w:pPr>
      <w:r>
        <w:rPr>
          <w:b/>
          <w:bCs/>
          <w:color w:val="15181F"/>
          <w:sz w:val="19"/>
          <w:szCs w:val="19"/>
        </w:rPr>
        <w:t xml:space="preserve">FGFR2 fusion or rearrangement</w:t>
      </w:r>
      <w:r>
        <w:rPr>
          <w:color w:val="5A6069"/>
          <w:sz w:val="15"/>
          <w:szCs w:val="15"/>
        </w:rPr>
        <w:t xml:space="preserve">   grade C</w:t>
      </w:r>
    </w:p>
    <w:p>
      <w:pPr>
        <w:spacing w:after="50" w:line="276"/>
        <w:ind w:left="240"/>
      </w:pPr>
      <w:r>
        <w:rPr>
          <w:color w:val="15181F"/>
          <w:sz w:val="18"/>
          <w:szCs w:val="18"/>
        </w:rPr>
        <w:t xml:space="preserve">Preferred for a defined phenotype. Pemigatinib after prior systemic therapy, or futibatinib after gemcitabine–platinum. At final FIGHT-202 analysis, independently reviewed response was 37.0% with median progression-free survival 7.0 months and median overall survival 17.5 months in 108 patients; FOENIX-CCA2 gave response 42%, median progression-free survival 9.0 months and median overall survival 21.7 months in 103 patients.</w:t>
      </w:r>
    </w:p>
    <w:p>
      <w:pPr>
        <w:spacing w:after="50" w:line="276"/>
        <w:ind w:left="240"/>
      </w:pPr>
      <w:r>
        <w:rPr>
          <w:color w:val="15181F"/>
          <w:sz w:val="18"/>
          <w:szCs w:val="18"/>
        </w:rPr>
        <w:t xml:space="preserve">Second line or later in a patient fit for an oral targeted agent, where the alteration reported is a fusion or rearrangement — 90% of FIGHT-202 and the whole of FOENIX-CCA2 was intrahepatic disease, so this is the alteration with the most directly applicable data.</w:t>
      </w:r>
    </w:p>
    <w:p>
      <w:pPr>
        <w:spacing w:after="50"/>
        <w:ind w:left="240"/>
      </w:pPr>
      <w:r>
        <w:rPr>
          <w:b/>
          <w:bCs/>
          <w:color w:val="8C2F26"/>
          <w:sz w:val="18"/>
          <w:szCs w:val="18"/>
        </w:rPr>
        <w:t xml:space="preserve">Caveat. </w:t>
      </w:r>
      <w:r>
        <w:rPr>
          <w:color w:val="15181F"/>
          <w:sz w:val="18"/>
          <w:szCs w:val="18"/>
        </w:rPr>
        <w:t xml:space="preserve">Do not infer superiority over second-line chemotherapy: both trials are single-arm, neither has been compared with it, and the pemigatinib investigators explicitly warn against the cross-study comparison with pooled second-line chemotherapy (response 9.5%, progression-free survival 2.6 months) that makes the agent look better. Both drugs were approved on these single-arm data. Do not expect the alteration in an untested patient — 783 patients were screened to enrol 103 in FOENIX-CCA2, and 1,206 were prescreened to find 107 fusion-positive patients for FIGHT-202.</w:t>
      </w:r>
    </w:p>
    <w:p>
      <w:pPr>
        <w:spacing w:after="60" w:line="276"/>
        <w:ind w:left="240"/>
      </w:pPr>
      <w:r>
        <w:rPr>
          <w:color w:val="5A6069"/>
          <w:sz w:val="16"/>
          <w:szCs w:val="16"/>
        </w:rPr>
        <w:t xml:space="preserve">Sources: FIGHT-202 final; FIGHT-202; FOENIX-CCA2</w:t>
      </w:r>
    </w:p>
    <w:p>
      <w:pPr>
        <w:spacing w:after="50" w:before="120"/>
        <w:ind w:left="240"/>
      </w:pPr>
      <w:r>
        <w:rPr>
          <w:b/>
          <w:bCs/>
          <w:color w:val="15181F"/>
          <w:sz w:val="19"/>
          <w:szCs w:val="19"/>
        </w:rPr>
        <w:t xml:space="preserve">IDH1 mutation</w:t>
      </w:r>
      <w:r>
        <w:rPr>
          <w:color w:val="5A6069"/>
          <w:sz w:val="15"/>
          <w:szCs w:val="15"/>
        </w:rPr>
        <w:t xml:space="preserve">   grade B</w:t>
      </w:r>
    </w:p>
    <w:p>
      <w:pPr>
        <w:spacing w:after="50" w:line="276"/>
        <w:ind w:left="240"/>
      </w:pPr>
      <w:r>
        <w:rPr>
          <w:color w:val="15181F"/>
          <w:sz w:val="18"/>
          <w:szCs w:val="18"/>
        </w:rPr>
        <w:t xml:space="preserve">Preferred for a defined phenotype, positioned on progression-free survival grounds only. ClarIDHy met its primary endpoint — median progression-free survival 2.7 versus 1.4 months, hazard ratio 0.37 — but the final intention-to-treat overall survival was 10.3 versus 7.5 months, hazard ratio 0.79 (95% CI 0.56–1.12), p=0.09, not significant, with 70% of placebo patients crossing over.</w:t>
      </w:r>
    </w:p>
    <w:p>
      <w:pPr>
        <w:spacing w:after="50" w:line="276"/>
        <w:ind w:left="240"/>
      </w:pPr>
      <w:r>
        <w:rPr>
          <w:color w:val="15181F"/>
          <w:sz w:val="18"/>
          <w:szCs w:val="18"/>
        </w:rPr>
        <w:t xml:space="preserve">A chemotherapy-refractory patient with an IDH1 mutation who understands that the benefit is disease stabilisation: objective response was 2% and the signal came from stable disease, 51% versus 28%. Physical functioning was better preserved than on placebo.</w:t>
      </w:r>
    </w:p>
    <w:p>
      <w:pPr>
        <w:spacing w:after="50"/>
        <w:ind w:left="240"/>
      </w:pPr>
      <w:r>
        <w:rPr>
          <w:b/>
          <w:bCs/>
          <w:color w:val="8C2F26"/>
          <w:sz w:val="18"/>
          <w:szCs w:val="18"/>
        </w:rPr>
        <w:t xml:space="preserve">Caveat. </w:t>
      </w:r>
      <w:r>
        <w:rPr>
          <w:color w:val="15181F"/>
          <w:sz w:val="18"/>
          <w:szCs w:val="18"/>
        </w:rPr>
        <w:t xml:space="preserve">Do not use it to convert unresectable disease — response is almost absent, so it is useless as an on-treatment surgical decision point. Do not quote the crossover-adjusted survival figure (hazard ratio 0.49) as the trial result; it comes from a model that assumes the effect is identical whenever given.</w:t>
      </w:r>
    </w:p>
    <w:p>
      <w:pPr>
        <w:spacing w:after="60" w:line="276"/>
        <w:ind w:left="240"/>
      </w:pPr>
      <w:r>
        <w:rPr>
          <w:color w:val="5A6069"/>
          <w:sz w:val="16"/>
          <w:szCs w:val="16"/>
        </w:rPr>
        <w:t xml:space="preserve">Sources: ClarIDHy; ClarIDHy final OS</w:t>
      </w:r>
    </w:p>
    <w:p>
      <w:pPr>
        <w:spacing w:after="50" w:before="120"/>
        <w:ind w:left="240"/>
      </w:pPr>
      <w:r>
        <w:rPr>
          <w:b/>
          <w:bCs/>
          <w:color w:val="15181F"/>
          <w:sz w:val="19"/>
          <w:szCs w:val="19"/>
        </w:rPr>
        <w:t xml:space="preserve">BRAF V600E</w:t>
      </w:r>
      <w:r>
        <w:rPr>
          <w:color w:val="5A6069"/>
          <w:sz w:val="15"/>
          <w:szCs w:val="15"/>
        </w:rPr>
        <w:t xml:space="preserve">   grade C</w:t>
      </w:r>
    </w:p>
    <w:p>
      <w:pPr>
        <w:spacing w:after="50" w:line="276"/>
        <w:ind w:left="240"/>
      </w:pPr>
      <w:r>
        <w:rPr>
          <w:color w:val="15181F"/>
          <w:sz w:val="18"/>
          <w:szCs w:val="18"/>
        </w:rPr>
        <w:t xml:space="preserve">Preferred for a defined phenotype. Dabrafenib plus trametinib: single-arm, 43 patients, response 51% by investigator and 47% by independent review, median progression-free survival 9 months and median overall survival 14 months — interim analysis.</w:t>
      </w:r>
    </w:p>
    <w:p>
      <w:pPr>
        <w:spacing w:after="50" w:line="276"/>
        <w:ind w:left="240"/>
      </w:pPr>
      <w:r>
        <w:rPr>
          <w:color w:val="15181F"/>
          <w:sz w:val="18"/>
          <w:szCs w:val="18"/>
        </w:rPr>
        <w:t xml:space="preserve">A previously treated patient with a centrally confirmable V600E mutation; 39 of the 43 patients (91%) had intrahepatic disease, so the population matches.</w:t>
      </w:r>
    </w:p>
    <w:p>
      <w:pPr>
        <w:spacing w:after="50"/>
        <w:ind w:left="240"/>
      </w:pPr>
      <w:r>
        <w:rPr>
          <w:b/>
          <w:bCs/>
          <w:color w:val="8C2F26"/>
          <w:sz w:val="18"/>
          <w:szCs w:val="18"/>
        </w:rPr>
        <w:t xml:space="preserve">Caveat. </w:t>
      </w:r>
      <w:r>
        <w:rPr>
          <w:color w:val="15181F"/>
          <w:sz w:val="18"/>
          <w:szCs w:val="18"/>
        </w:rPr>
        <w:t xml:space="preserve">Do not expect the trial's 9% screening yield in practice — several sites entered already-known positives and the real rate is nearer 5–7%. Patients with bilirubin above three times normal or untreatable biliary obstruction were excluded, so this says nothing about the jaundiced patient.</w:t>
      </w:r>
    </w:p>
    <w:p>
      <w:pPr>
        <w:spacing w:after="60" w:line="276"/>
        <w:ind w:left="240"/>
      </w:pPr>
      <w:r>
        <w:rPr>
          <w:color w:val="5A6069"/>
          <w:sz w:val="16"/>
          <w:szCs w:val="16"/>
        </w:rPr>
        <w:t xml:space="preserve">Sources: ROAR</w:t>
      </w:r>
    </w:p>
    <w:p>
      <w:pPr>
        <w:spacing w:after="50" w:before="120"/>
        <w:ind w:left="240"/>
      </w:pPr>
      <w:r>
        <w:rPr>
          <w:b/>
          <w:bCs/>
          <w:color w:val="15181F"/>
          <w:sz w:val="19"/>
          <w:szCs w:val="19"/>
        </w:rPr>
        <w:t xml:space="preserve">HER2 amplification or overexpression</w:t>
      </w:r>
      <w:r>
        <w:rPr>
          <w:color w:val="5A6069"/>
          <w:sz w:val="15"/>
          <w:szCs w:val="15"/>
        </w:rPr>
        <w:t xml:space="preserve">   grade C</w:t>
      </w:r>
    </w:p>
    <w:p>
      <w:pPr>
        <w:spacing w:after="50" w:line="276"/>
        <w:ind w:left="240"/>
      </w:pPr>
      <w:r>
        <w:rPr>
          <w:color w:val="15181F"/>
          <w:sz w:val="18"/>
          <w:szCs w:val="18"/>
        </w:rPr>
        <w:t xml:space="preserve">Preferred for a defined phenotype. Zanidatamab: single-arm; at final analysis (median follow-up 33.4 months, 80 ERBB2-amplified patients) confirmed response was 41% (33 of 80, 95% CI 30–53) and median overall survival 15.5 months.</w:t>
      </w:r>
    </w:p>
    <w:p>
      <w:pPr>
        <w:spacing w:after="50" w:line="276"/>
        <w:ind w:left="240"/>
      </w:pPr>
      <w:r>
        <w:rPr>
          <w:color w:val="15181F"/>
          <w:sz w:val="18"/>
          <w:szCs w:val="18"/>
        </w:rPr>
        <w:t xml:space="preserve">An IHC 3+ tumour, where the activity is concentrated: response 52% (32 of 62) versus 6% (1 of 18) at IHC 2+, disease control 79% versus 33%, and median overall survival 18.1 versus 5.2 months — a post hoc split the authors themselves label as such.</w:t>
      </w:r>
    </w:p>
    <w:p>
      <w:pPr>
        <w:spacing w:after="50"/>
        <w:ind w:left="240"/>
      </w:pPr>
      <w:r>
        <w:rPr>
          <w:b/>
          <w:bCs/>
          <w:color w:val="8C2F26"/>
          <w:sz w:val="18"/>
          <w:szCs w:val="18"/>
        </w:rPr>
        <w:t xml:space="preserve">Caveat. </w:t>
      </w:r>
      <w:r>
        <w:rPr>
          <w:color w:val="15181F"/>
          <w:sz w:val="18"/>
          <w:szCs w:val="18"/>
        </w:rPr>
        <w:t xml:space="preserve">Do not offer it on an IHC 2+ result as though the trial supported it, and do not read the 15.5-month survival as attributable to the drug: there was no control group and 44% of patients received further anticancer therapy afterwards.</w:t>
      </w:r>
    </w:p>
    <w:p>
      <w:pPr>
        <w:spacing w:after="60" w:line="276"/>
        <w:ind w:left="240"/>
      </w:pPr>
      <w:r>
        <w:rPr>
          <w:color w:val="5A6069"/>
          <w:sz w:val="16"/>
          <w:szCs w:val="16"/>
        </w:rPr>
        <w:t xml:space="preserve">Sources: HERIZON-BTC-01; ESMO BTC 2024 interim</w:t>
      </w:r>
    </w:p>
    <w:p>
      <w:pPr>
        <w:spacing w:after="50" w:before="120"/>
        <w:ind w:left="240"/>
      </w:pPr>
      <w:r>
        <w:rPr>
          <w:b/>
          <w:bCs/>
          <w:color w:val="15181F"/>
          <w:sz w:val="19"/>
          <w:szCs w:val="19"/>
        </w:rPr>
        <w:t xml:space="preserve">MSI-high or mismatch-repair deficient</w:t>
      </w:r>
      <w:r>
        <w:rPr>
          <w:color w:val="5A6069"/>
          <w:sz w:val="15"/>
          <w:szCs w:val="15"/>
        </w:rPr>
        <w:t xml:space="preserve">   grade C</w:t>
      </w:r>
    </w:p>
    <w:p>
      <w:pPr>
        <w:spacing w:after="50" w:line="276"/>
        <w:ind w:left="240"/>
      </w:pPr>
      <w:r>
        <w:rPr>
          <w:color w:val="15181F"/>
          <w:sz w:val="18"/>
          <w:szCs w:val="18"/>
        </w:rPr>
        <w:t xml:space="preserve">Preferred for a defined phenotype. Checkpoint blockade, consistent with tumour-agnostic practice.</w:t>
      </w:r>
    </w:p>
    <w:p>
      <w:pPr>
        <w:spacing w:after="50" w:line="276"/>
        <w:ind w:left="240"/>
      </w:pPr>
      <w:r>
        <w:rPr>
          <w:color w:val="15181F"/>
          <w:sz w:val="18"/>
          <w:szCs w:val="18"/>
        </w:rPr>
        <w:t xml:space="preserve">The small hypermutated subset — and it is small: only 5 of 333 evaluable patients in TOPAZ-1 and 10 in KEYNOTE-966 were MSI-high.</w:t>
      </w:r>
    </w:p>
    <w:p>
      <w:pPr>
        <w:spacing w:after="50"/>
        <w:ind w:left="240"/>
      </w:pPr>
      <w:r>
        <w:rPr>
          <w:b/>
          <w:bCs/>
          <w:color w:val="8C2F26"/>
          <w:sz w:val="18"/>
          <w:szCs w:val="18"/>
        </w:rPr>
        <w:t xml:space="preserve">Caveat. </w:t>
      </w:r>
      <w:r>
        <w:rPr>
          <w:color w:val="15181F"/>
          <w:sz w:val="18"/>
          <w:szCs w:val="18"/>
        </w:rPr>
        <w:t xml:space="preserve">Do not recycle checkpoint blockade without accounting for prior exposure to first-line durvalumab or pembrolizumab.</w:t>
      </w:r>
    </w:p>
    <w:p>
      <w:pPr>
        <w:spacing w:after="60" w:line="276"/>
        <w:ind w:left="240"/>
      </w:pPr>
      <w:r>
        <w:rPr>
          <w:color w:val="5A6069"/>
          <w:sz w:val="16"/>
          <w:szCs w:val="16"/>
        </w:rPr>
        <w:t xml:space="preserve">Sources: NCCN BTC v1.2026; TOPAZ-1; KEYNOTE-966</w:t>
      </w:r>
    </w:p>
    <w:p>
      <w:pPr>
        <w:spacing w:after="50" w:before="120"/>
        <w:ind w:left="240"/>
      </w:pPr>
      <w:r>
        <w:rPr>
          <w:b/>
          <w:bCs/>
          <w:color w:val="15181F"/>
          <w:sz w:val="19"/>
          <w:szCs w:val="19"/>
        </w:rPr>
        <w:t xml:space="preserve">NTRK fusion, RET fusion, other actionable alterations</w:t>
      </w:r>
      <w:r>
        <w:rPr>
          <w:color w:val="5A6069"/>
          <w:sz w:val="15"/>
          <w:szCs w:val="15"/>
        </w:rPr>
        <w:t xml:space="preserve">   grade C</w:t>
      </w:r>
    </w:p>
    <w:p>
      <w:pPr>
        <w:spacing w:after="50" w:line="276"/>
        <w:ind w:left="240"/>
      </w:pPr>
      <w:r>
        <w:rPr>
          <w:color w:val="15181F"/>
          <w:sz w:val="18"/>
          <w:szCs w:val="18"/>
        </w:rPr>
        <w:t xml:space="preserve">Reasonable consideration. Capture on the same broad panel so a later line is not delayed by re-testing.</w:t>
      </w:r>
    </w:p>
    <w:p>
      <w:pPr>
        <w:spacing w:after="50" w:line="276"/>
        <w:ind w:left="240"/>
      </w:pPr>
      <w:r>
        <w:rPr>
          <w:color w:val="15181F"/>
          <w:sz w:val="18"/>
          <w:szCs w:val="18"/>
        </w:rPr>
        <w:t xml:space="preserve">Any patient being profiled — the panel costs nothing extra and removes a re-testing delay.</w:t>
      </w:r>
    </w:p>
    <w:p>
      <w:pPr>
        <w:spacing w:after="50"/>
        <w:ind w:left="240"/>
      </w:pPr>
      <w:r>
        <w:rPr>
          <w:b/>
          <w:bCs/>
          <w:color w:val="8C2F26"/>
          <w:sz w:val="18"/>
          <w:szCs w:val="18"/>
        </w:rPr>
        <w:t xml:space="preserve">Caveat. </w:t>
      </w:r>
      <w:r>
        <w:rPr>
          <w:color w:val="15181F"/>
          <w:sz w:val="18"/>
          <w:szCs w:val="18"/>
        </w:rPr>
        <w:t xml:space="preserve">Do not treat capture as a licence to prescribe: ESMO 2024 recommends NTRK inhibitors and selpercatinib for RET fusions on level III evidence, while our table only requires that these alterations be captured. Whether to name the agents is a ratification item.</w:t>
      </w:r>
    </w:p>
    <w:p>
      <w:pPr>
        <w:spacing w:after="60" w:line="276"/>
        <w:ind w:left="240"/>
      </w:pPr>
      <w:r>
        <w:rPr>
          <w:color w:val="5A6069"/>
          <w:sz w:val="16"/>
          <w:szCs w:val="16"/>
        </w:rPr>
        <w:t xml:space="preserve">Sources: ESMO BTC 2024 interim</w:t>
      </w:r>
    </w:p>
    <w:p>
      <w:pPr>
        <w:spacing w:after="60" w:line="276"/>
        <w:ind w:left="240"/>
      </w:pPr>
      <w:r>
        <w:rPr>
          <w:i/>
          <w:iCs/>
          <w:color w:val="5A6069"/>
          <w:sz w:val="16"/>
          <w:szCs w:val="16"/>
        </w:rPr>
        <w:t xml:space="preserve">Match treatment to the alteration class reported, not to the gene name. The evidence above is for FGFR2 fusions or rearrangements, IDH1 mutation, BRAF V600E, HER2 amplification or overexpression, and MSI-high or mismatch-repair deficiency; other alterations in the same genes are not interchangeable and should be reviewed with a clinician experienced in molecular oncology before a matched agent is chosen — Standard, grade D. Whether the HER2 row names trastuzumab deruxtecan and the NTRK/RET row names agents, as ESMO 2024 does, is a ratification item (alignment worksheet, area 14).</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Use circulating tumour DNA when tissue is inadequate or the biopsy would delay treatment.</w:t>
      </w:r>
    </w:p>
    <w:p>
      <w:pPr>
        <w:spacing w:after="50" w:line="276"/>
        <w:ind w:left="240"/>
      </w:pPr>
      <w:r>
        <w:rPr>
          <w:color w:val="15181F"/>
          <w:sz w:val="18"/>
          <w:szCs w:val="18"/>
        </w:rPr>
        <w:t xml:space="preserve">The patient whose core is exhausted or whose repeat biopsy would push the start of treatment out by weeks.</w:t>
      </w:r>
    </w:p>
    <w:p>
      <w:pPr>
        <w:spacing w:after="50"/>
        <w:ind w:left="240"/>
      </w:pPr>
      <w:r>
        <w:rPr>
          <w:b/>
          <w:bCs/>
          <w:color w:val="8C2F26"/>
          <w:sz w:val="18"/>
          <w:szCs w:val="18"/>
        </w:rPr>
        <w:t xml:space="preserve">Caveat. </w:t>
      </w:r>
      <w:r>
        <w:rPr>
          <w:color w:val="15181F"/>
          <w:sz w:val="18"/>
          <w:szCs w:val="18"/>
        </w:rPr>
        <w:t xml:space="preserve">Do not accept a negative plasma result as excluding a target — BSG 2023 notes DNA-based panels and most liquid biopsies are weaker at detecting fusions, so a negative plasma result should prompt tissue testing where it would change management.</w:t>
      </w:r>
    </w:p>
    <w:p>
      <w:pPr>
        <w:spacing w:after="50" w:line="276"/>
        <w:ind w:left="240"/>
      </w:pPr>
      <w:r>
        <w:rPr>
          <w:i/>
          <w:iCs/>
          <w:color w:val="5A6069"/>
          <w:sz w:val="17"/>
          <w:szCs w:val="17"/>
        </w:rPr>
        <w:t xml:space="preserve">Read the plasma figure for what it is: the FGFR2 fusion or rearrangement was detectable in plasma in 83 of 95 FOENIX-CCA2 patients tested (87%), but those patients were already known to be tissue-positive, so 87% is concordance in a positive population and not the chance of finding a target de novo in an unselected patient. No study in this disease reports the latter.</w:t>
      </w:r>
    </w:p>
    <w:p>
      <w:pPr>
        <w:spacing w:after="60" w:line="276"/>
        <w:ind w:left="240"/>
      </w:pPr>
      <w:r>
        <w:rPr>
          <w:color w:val="5A6069"/>
          <w:sz w:val="16"/>
          <w:szCs w:val="16"/>
        </w:rPr>
        <w:t xml:space="preserve">Sources: BSG CCA 2023; FOENIX-CCA2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defer profiling to the point of second-line progression.</w:t>
      </w:r>
    </w:p>
    <w:p>
      <w:pPr>
        <w:spacing w:after="50" w:line="276"/>
        <w:ind w:left="240"/>
      </w:pPr>
      <w:r>
        <w:rPr>
          <w:color w:val="15181F"/>
          <w:sz w:val="18"/>
          <w:szCs w:val="18"/>
        </w:rPr>
        <w:t xml:space="preserve">Order it at diagnosis of unresectable or metastatic disease; audit the proportion profiled before the second-line decision.</w:t>
      </w:r>
    </w:p>
    <w:p>
      <w:pPr>
        <w:spacing w:after="50"/>
        <w:ind w:left="240"/>
      </w:pPr>
      <w:r>
        <w:rPr>
          <w:b/>
          <w:bCs/>
          <w:color w:val="8C2F26"/>
          <w:sz w:val="18"/>
          <w:szCs w:val="18"/>
        </w:rPr>
        <w:t xml:space="preserve">Caveat. </w:t>
      </w:r>
      <w:r>
        <w:rPr>
          <w:color w:val="15181F"/>
          <w:sz w:val="18"/>
          <w:szCs w:val="18"/>
        </w:rPr>
        <w:t xml:space="preserve">The failure mode is not a wrong choice but no choice: the second-line decision gets made without the result, and FOLFOX becomes the default by omission.</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now</w:t>
      </w:r>
    </w:p>
    <w:p>
      <w:pPr>
        <w:spacing w:after="140"/>
      </w:pPr>
      <w:r>
        <w:rPr>
          <w:b/>
          <w:bCs/>
          <w:color w:val="176A87"/>
          <w:sz w:val="19"/>
          <w:szCs w:val="19"/>
        </w:rPr>
        <w:t xml:space="preserve">The question. </w:t>
      </w:r>
      <w:r>
        <w:rPr>
          <w:sz w:val="19"/>
          <w:szCs w:val="19"/>
        </w:rPr>
        <w:t xml:space="preserve">Can I take all of this out with a negative margin and leave enough working liver?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R0 achievable: solitary or clustered disease clearable with an adequate functional remnant</w:t>
      </w:r>
    </w:p>
    <w:p>
      <w:pPr>
        <w:pStyle w:val="ListParagraph"/>
        <w:numPr>
          <w:ilvl w:val="0"/>
          <w:numId w:val="2"/>
        </w:numPr>
        <w:spacing w:after="60" w:line="268"/>
      </w:pPr>
      <w:r>
        <w:rPr>
          <w:color w:val="15181F"/>
          <w:sz w:val="18"/>
          <w:szCs w:val="18"/>
        </w:rPr>
        <w:t xml:space="preserve">Inflow, outflow and biliary drainage preservable or reconstructable</w:t>
      </w:r>
    </w:p>
    <w:p>
      <w:pPr>
        <w:pStyle w:val="ListParagraph"/>
        <w:numPr>
          <w:ilvl w:val="0"/>
          <w:numId w:val="2"/>
        </w:numPr>
        <w:spacing w:after="60" w:line="268"/>
      </w:pPr>
      <w:r>
        <w:rPr>
          <w:color w:val="15181F"/>
          <w:sz w:val="18"/>
          <w:szCs w:val="18"/>
        </w:rPr>
        <w:t xml:space="preserve">No nodal disease beyond the regional basin — no retroperitoneal or coeliac stations</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Adequate reserve and performance status for the operation the anatomy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Resection is first because it is the established curative standard, not because the alternatives have been shown to be inferior in a randomised trial — none exists in this disease. Ablation sits second on one large propensity-matched cohort plus guideline wording, ablative radiotherapy third on retrospective dose-response and single-arm phase II data with explicitly weaker cure evidence. The order reflects the guidelines' wording and the depth of each dataset, not a demonstrated survival advantage.</w:t>
      </w:r>
    </w:p>
    <w:p>
      <w:pPr>
        <w:spacing w:after="50" w:before="120"/>
        <w:ind w:left="240"/>
      </w:pPr>
      <w:r>
        <w:rPr>
          <w:b/>
          <w:bCs/>
          <w:color w:val="15181F"/>
          <w:sz w:val="19"/>
          <w:szCs w:val="19"/>
        </w:rPr>
        <w:t xml:space="preserve">Resection with regional lymphadenectomy</w:t>
      </w:r>
      <w:r>
        <w:rPr>
          <w:color w:val="5A6069"/>
          <w:sz w:val="15"/>
          <w:szCs w:val="15"/>
        </w:rPr>
        <w:t xml:space="preserve">   grade B</w:t>
      </w:r>
    </w:p>
    <w:p>
      <w:pPr>
        <w:spacing w:after="50" w:line="276"/>
        <w:ind w:left="240"/>
      </w:pPr>
      <w:r>
        <w:rPr>
          <w:color w:val="15181F"/>
          <w:sz w:val="18"/>
          <w:szCs w:val="18"/>
        </w:rPr>
        <w:t xml:space="preserve">The established curative standard. Hepatic resection with negative margins is the goal; major resections are often necessary but wedge and segmental resections are appropriate where a negative margin can be achieved, and a regional lymphadenectomy of the porta hepatis is carried out.</w:t>
      </w:r>
    </w:p>
    <w:p>
      <w:pPr>
        <w:spacing w:after="50" w:line="276"/>
        <w:ind w:left="240"/>
      </w:pPr>
      <w:r>
        <w:rPr>
          <w:color w:val="15181F"/>
          <w:sz w:val="18"/>
          <w:szCs w:val="18"/>
        </w:rPr>
        <w:t xml:space="preserve">Liver-confined disease where R0 is achievable with an adequate remnant and preserved or reconstructable biliary drainage, in a patient fit for the operation. Lymphadenectomy is part of the operation and informs the adjuvant decision in gate 8 — nodal status is the main staging variable afterwards and clinical nodal staging is insensitive.</w:t>
      </w:r>
    </w:p>
    <w:p>
      <w:pPr>
        <w:spacing w:after="50"/>
        <w:ind w:left="240"/>
      </w:pPr>
      <w:r>
        <w:rPr>
          <w:b/>
          <w:bCs/>
          <w:color w:val="8C2F26"/>
          <w:sz w:val="18"/>
          <w:szCs w:val="18"/>
        </w:rPr>
        <w:t xml:space="preserve">Caveat. </w:t>
      </w:r>
      <w:r>
        <w:rPr>
          <w:color w:val="15181F"/>
          <w:sz w:val="18"/>
          <w:szCs w:val="18"/>
        </w:rPr>
        <w:t xml:space="preserve">Multifocal disease across both lobes, satellite pattern implying field disease, encasement precluding reconstruction, bilateral second-order biliary involvement, nodal disease beyond the regional basin, any extrahepatic disease, or reserve that makes the necessary resection unsafe.</w:t>
      </w:r>
    </w:p>
    <w:p>
      <w:pPr>
        <w:spacing w:after="60" w:line="276"/>
        <w:ind w:left="240"/>
      </w:pPr>
      <w:r>
        <w:rPr>
          <w:color w:val="5A6069"/>
          <w:sz w:val="16"/>
          <w:szCs w:val="16"/>
        </w:rPr>
        <w:t xml:space="preserve">Sources: NCCN BTC v1.2026; AASLD PSC/CCA 2023; BSG CCA 2023; LCSGJ iCCA 2022; ESMO BTC 2023 guideline</w:t>
      </w:r>
    </w:p>
    <w:p>
      <w:pPr>
        <w:spacing w:after="50" w:before="120"/>
        <w:ind w:left="240"/>
      </w:pPr>
      <w:r>
        <w:rPr>
          <w:b/>
          <w:bCs/>
          <w:color w:val="15181F"/>
          <w:sz w:val="19"/>
          <w:szCs w:val="19"/>
        </w:rPr>
        <w:t xml:space="preserve">Definitive thermal ablation</w:t>
      </w:r>
      <w:r>
        <w:rPr>
          <w:color w:val="5A6069"/>
          <w:sz w:val="15"/>
          <w:szCs w:val="15"/>
        </w:rPr>
        <w:t xml:space="preserve">   grade C</w:t>
      </w:r>
    </w:p>
    <w:p>
      <w:pPr>
        <w:spacing w:after="50" w:line="276"/>
        <w:ind w:left="240"/>
      </w:pPr>
      <w:r>
        <w:rPr>
          <w:color w:val="15181F"/>
          <w:sz w:val="18"/>
          <w:szCs w:val="18"/>
        </w:rPr>
        <w:t xml:space="preserve">Potentially curative in a narrow nonsurgical group: solitary tumour under 3 cm with a complete safe margin. NCCN accepts thermal ablation for a small single primary or recurrent iCCA under 3 cm, particularly where surgery carries high risk; EASL-ILCA is narrower at single lesions under 2 cm, unresectable or inoperable, on low-level evidence.</w:t>
      </w:r>
    </w:p>
    <w:p>
      <w:pPr>
        <w:spacing w:after="50" w:line="276"/>
        <w:ind w:left="240"/>
      </w:pPr>
      <w:r>
        <w:rPr>
          <w:color w:val="15181F"/>
          <w:sz w:val="18"/>
          <w:szCs w:val="18"/>
        </w:rPr>
        <w:t xml:space="preserve">The small single lesion in a patient whose reserve or comorbidity makes resection unsuitable, where all disease can be treated with a margin of 5 mm or more and there is no uncontrolled nodal or distant disease. In a ten-centre propensity-matched cohort, microwave ablation gave 5-year overall survival of 44.8% versus 40.4% for resection (HR 0.96, 95% CI 0.71–1.29, p=0.761), and when both ablative and surgical margins exceeded 5 mm disease-free survival was also similar (HR 0.83, 95% CI 0.52–1.32, p=0.41).</w:t>
      </w:r>
    </w:p>
    <w:p>
      <w:pPr>
        <w:spacing w:after="50"/>
        <w:ind w:left="240"/>
      </w:pPr>
      <w:r>
        <w:rPr>
          <w:b/>
          <w:bCs/>
          <w:color w:val="8C2F26"/>
          <w:sz w:val="18"/>
          <w:szCs w:val="18"/>
        </w:rPr>
        <w:t xml:space="preserve">Caveat. </w:t>
      </w:r>
      <w:r>
        <w:rPr>
          <w:color w:val="15181F"/>
          <w:sz w:val="18"/>
          <w:szCs w:val="18"/>
        </w:rPr>
        <w:t xml:space="preserve">No safe margin obtainable, central bile duct injury risk, or disease left unaddressed. Do not extrapolate to large or multifocal tumours: in meta-analysis, tumours over 3 cm (HR 2.12) and multiple tumours (HR 1.67) carried shorter survival, and pooled 5-year survival after ablation was 28.5%.</w:t>
      </w:r>
    </w:p>
    <w:p>
      <w:pPr>
        <w:spacing w:after="60" w:line="276"/>
        <w:ind w:left="240"/>
      </w:pPr>
      <w:r>
        <w:rPr>
          <w:color w:val="5A6069"/>
          <w:sz w:val="16"/>
          <w:szCs w:val="16"/>
        </w:rPr>
        <w:t xml:space="preserve">Sources: NCCN BTC v1.2026; EASL-ILCA iCCA 2023; MALRIC primary; Ablation meta-analysis; BSG CCA 2023</w:t>
      </w:r>
    </w:p>
    <w:p>
      <w:pPr>
        <w:spacing w:after="50" w:before="120"/>
        <w:ind w:left="240"/>
      </w:pPr>
      <w:r>
        <w:rPr>
          <w:b/>
          <w:bCs/>
          <w:color w:val="15181F"/>
          <w:sz w:val="19"/>
          <w:szCs w:val="19"/>
        </w:rPr>
        <w:t xml:space="preserve">Ablative radiotherapy for inoperable localized disease</w:t>
      </w:r>
      <w:r>
        <w:rPr>
          <w:color w:val="5A6069"/>
          <w:sz w:val="15"/>
          <w:szCs w:val="15"/>
        </w:rPr>
        <w:t xml:space="preserve">   grade C</w:t>
      </w:r>
    </w:p>
    <w:p>
      <w:pPr>
        <w:spacing w:after="50" w:line="276"/>
        <w:ind w:left="240"/>
      </w:pPr>
      <w:r>
        <w:rPr>
          <w:color w:val="15181F"/>
          <w:sz w:val="18"/>
          <w:szCs w:val="18"/>
        </w:rPr>
        <w:t xml:space="preserve">Selected definitive or consolidative treatment where the disease is localized but the patient is inoperable; cure evidence is limited. It may be selected directly on geometry and reserve — unsuccessful catheter therapy is not a prerequisite.</w:t>
      </w:r>
    </w:p>
    <w:p>
      <w:pPr>
        <w:spacing w:after="50" w:line="276"/>
        <w:ind w:left="240"/>
      </w:pPr>
      <w:r>
        <w:rPr>
          <w:color w:val="15181F"/>
          <w:sz w:val="18"/>
          <w:szCs w:val="18"/>
        </w:rPr>
        <w:t xml:space="preserve">Localized, liver-confined disease in a patient who cannot have an operation or an ablation, with adequate uninvolved liver, relieved biliary obstruction and safe gastrointestinal and biliary doses. A retrospective dose-response analysis of 79 patients found 3-year overall survival of 73% with a biologic equivalent dose above 80.5 Gy versus 38% below it (p=0.017) and 3-year local control 78% versus 45% (p=0.04); a multi-institutional phase II proton study reported 2-year local control of 94.1% in its 39 iCCA patients with grade 3 toxicity in 7.7%.</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60" w:line="276"/>
        <w:ind w:left="240"/>
      </w:pPr>
      <w:r>
        <w:rPr>
          <w:i/>
          <w:iCs/>
          <w:color w:val="5A6069"/>
          <w:sz w:val="16"/>
          <w:szCs w:val="16"/>
        </w:rPr>
        <w:t xml:space="preserve">Three ratification items sit on this gate. First, 'regional basin' is undefined in v0.6; AASLD 2023 draws the boundary at nodal metastasis beyond the hepatoduodenal and gastrohepatic ligaments, and an undefined basin is hard to audit (area 3). Second, the roadmap is silent on portal hypertension while AASLD 2023 names decompensated cirrhosis and/or portal hypertension contraindications to resection; numeric reserve rules remain specialty-approved local implementation (area 4). Third, routine lymphadenectomy is kept for every resection, where LCSGJ 2022 makes no recommendation and warns that prophylactic dissection in cirrhosis increases complications (area 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resection for limited multifocal disease only in highly selected cases, as an explicit exception rather than a rule.</w:t>
      </w:r>
    </w:p>
    <w:p>
      <w:pPr>
        <w:spacing w:after="50" w:line="276"/>
        <w:ind w:left="240"/>
      </w:pPr>
      <w:r>
        <w:rPr>
          <w:color w:val="15181F"/>
          <w:sz w:val="18"/>
          <w:szCs w:val="18"/>
        </w:rPr>
        <w:t xml:space="preserve">Unilobar limited multifocal disease in a fit patient where an R0 clearance with an adequate remnant is genuinely achievable — EASL-ILCA suggests resection may be considered in selected patients with multifocal unilobar iCCA (weak recommendation), and LCSGJ 2022 accepts resection for some node-positive patients.</w:t>
      </w:r>
    </w:p>
    <w:p>
      <w:pPr>
        <w:spacing w:after="50"/>
        <w:ind w:left="240"/>
      </w:pPr>
      <w:r>
        <w:rPr>
          <w:b/>
          <w:bCs/>
          <w:color w:val="8C2F26"/>
          <w:sz w:val="18"/>
          <w:szCs w:val="18"/>
        </w:rPr>
        <w:t xml:space="preserve">Caveat. </w:t>
      </w:r>
      <w:r>
        <w:rPr>
          <w:color w:val="15181F"/>
          <w:sz w:val="18"/>
          <w:szCs w:val="18"/>
        </w:rPr>
        <w:t xml:space="preserve">NCCN states that multifocal liver disease is generally representative of metastatic disease and is a contraindication to resection. Do not turn a narrow exception into unrestricted eligibility; a satellite pattern implying field disease belongs in gate 4 or 5.</w:t>
      </w:r>
    </w:p>
    <w:p>
      <w:pPr>
        <w:spacing w:after="60" w:line="276"/>
        <w:ind w:left="240"/>
      </w:pPr>
      <w:r>
        <w:rPr>
          <w:color w:val="5A6069"/>
          <w:sz w:val="16"/>
          <w:szCs w:val="16"/>
        </w:rPr>
        <w:t xml:space="preserve">Sources: NCCN BTC v1.2026; EASL-ILCA iCCA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neoadjuvant systemic chemotherapy where the disease is technically resectable but only an R1 resection looks achievable.</w:t>
      </w:r>
    </w:p>
    <w:p>
      <w:pPr>
        <w:spacing w:after="50" w:line="276"/>
        <w:ind w:left="240"/>
      </w:pPr>
      <w:r>
        <w:rPr>
          <w:color w:val="15181F"/>
          <w:sz w:val="18"/>
          <w:szCs w:val="18"/>
        </w:rPr>
        <w:t xml:space="preserve">The technically challenging but resectable tumour where the surgeon's honest assessment is that the margin will be positive — EASL-ILCA considers this (weak recommendation, 92% consensus), and BSG 2023 recommends multidisciplinary re-discussion of curative resection in locally advanced disease that responds well.</w:t>
      </w:r>
    </w:p>
    <w:p>
      <w:pPr>
        <w:spacing w:after="50"/>
        <w:ind w:left="240"/>
      </w:pPr>
      <w:r>
        <w:rPr>
          <w:b/>
          <w:bCs/>
          <w:color w:val="8C2F26"/>
          <w:sz w:val="18"/>
          <w:szCs w:val="18"/>
        </w:rPr>
        <w:t xml:space="preserve">Caveat. </w:t>
      </w:r>
      <w:r>
        <w:rPr>
          <w:color w:val="15181F"/>
          <w:sz w:val="18"/>
          <w:szCs w:val="18"/>
        </w:rPr>
        <w:t xml:space="preserve">Not in clearly resectable disease, where the roadmap places neoadjuvant therapy off protocol in the Avoid column and BSG 2023 does not recommend routine neoadjuvant chemotherapy. Record the obstacle to R0 and the reassessment date, exactly as in gate 4.</w:t>
      </w:r>
    </w:p>
    <w:p>
      <w:pPr>
        <w:spacing w:after="60" w:line="276"/>
        <w:ind w:left="240"/>
      </w:pPr>
      <w:r>
        <w:rPr>
          <w:color w:val="5A6069"/>
          <w:sz w:val="16"/>
          <w:szCs w:val="16"/>
        </w:rPr>
        <w:t xml:space="preserve">Sources: EASL-ILCA iCCA 2023;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neoadjuvant therapy off protocol in clearly resectable disease.</w:t>
      </w:r>
    </w:p>
    <w:p>
      <w:pPr>
        <w:spacing w:after="50" w:line="276"/>
        <w:ind w:left="240"/>
      </w:pPr>
      <w:r>
        <w:rPr>
          <w:color w:val="15181F"/>
          <w:sz w:val="18"/>
          <w:szCs w:val="18"/>
        </w:rPr>
        <w:t xml:space="preserve">Operate, then have the adjuvant conversation in gate 8.</w:t>
      </w:r>
    </w:p>
    <w:p>
      <w:pPr>
        <w:spacing w:after="50"/>
        <w:ind w:left="240"/>
      </w:pPr>
      <w:r>
        <w:rPr>
          <w:b/>
          <w:bCs/>
          <w:color w:val="8C2F26"/>
          <w:sz w:val="18"/>
          <w:szCs w:val="18"/>
        </w:rPr>
        <w:t xml:space="preserve">Caveat. </w:t>
      </w:r>
      <w:r>
        <w:rPr>
          <w:color w:val="15181F"/>
          <w:sz w:val="18"/>
          <w:szCs w:val="18"/>
        </w:rPr>
        <w:t xml:space="preserve">BSG 2023 does not recommend routine neoadjuvant chemotherapy for resectable disease (strong recommendation, low-quality evidence) and LCSGJ 2022 found no evidence of benefit; the cost of delay is a resection not performed.</w:t>
      </w:r>
    </w:p>
    <w:p>
      <w:pPr>
        <w:spacing w:after="60" w:line="276"/>
        <w:ind w:left="240"/>
      </w:pPr>
      <w:r>
        <w:rPr>
          <w:color w:val="5A6069"/>
          <w:sz w:val="16"/>
          <w:szCs w:val="16"/>
        </w:rPr>
        <w:t xml:space="preserve">Sources: MH iCCA roadmap v0.6; BSG CCA 2023; LCSGJ iCCA 2022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operate in the presence of nodal disease beyond the regional basin or any extrahepatic disease.</w:t>
      </w:r>
    </w:p>
    <w:p>
      <w:pPr>
        <w:spacing w:after="50" w:line="276"/>
        <w:ind w:left="240"/>
      </w:pPr>
      <w:r>
        <w:rPr>
          <w:color w:val="15181F"/>
          <w:sz w:val="18"/>
          <w:szCs w:val="18"/>
        </w:rPr>
        <w:t xml:space="preserve">Any extrahepatic disease moves the pathway to systemic and molecularly directed therapy — gate 6.</w:t>
      </w:r>
    </w:p>
    <w:p>
      <w:pPr>
        <w:spacing w:after="50"/>
        <w:ind w:left="240"/>
      </w:pPr>
      <w:r>
        <w:rPr>
          <w:b/>
          <w:bCs/>
          <w:color w:val="8C2F26"/>
          <w:sz w:val="18"/>
          <w:szCs w:val="18"/>
        </w:rPr>
        <w:t xml:space="preserve">Caveat. </w:t>
      </w:r>
      <w:r>
        <w:rPr>
          <w:color w:val="15181F"/>
          <w:sz w:val="18"/>
          <w:szCs w:val="18"/>
        </w:rPr>
        <w:t xml:space="preserve">NCCN states lymph node metastases beyond the porta hepatis and distant metastatic disease contraindicate resection; AASLD 2023 prefers upfront chemotherapy and treats later rescue surgery as individualised.</w:t>
      </w:r>
    </w:p>
    <w:p>
      <w:pPr>
        <w:spacing w:after="60" w:line="276"/>
        <w:ind w:left="240"/>
      </w:pPr>
      <w:r>
        <w:rPr>
          <w:color w:val="5A6069"/>
          <w:sz w:val="16"/>
          <w:szCs w:val="16"/>
        </w:rPr>
        <w:t xml:space="preserve">Sources: NCCN BTC v1.2026;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Resectable after conversion</w:t>
      </w:r>
    </w:p>
    <w:p>
      <w:pPr>
        <w:spacing w:after="140"/>
      </w:pPr>
      <w:r>
        <w:rPr>
          <w:b/>
          <w:bCs/>
          <w:color w:val="176A87"/>
          <w:sz w:val="19"/>
          <w:szCs w:val="19"/>
        </w:rPr>
        <w:t xml:space="preserve">The question. </w:t>
      </w:r>
      <w:r>
        <w:rPr>
          <w:sz w:val="19"/>
          <w:szCs w:val="19"/>
        </w:rPr>
        <w:t xml:space="preserve">What exactly has to change for this to become resectable, and when will I look?</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R0 now, and the specific obstacle to R0 is recorded</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What would have to change for resection to become possible is recorded alongside the plan</w:t>
      </w:r>
    </w:p>
    <w:p>
      <w:pPr>
        <w:pStyle w:val="ListParagraph"/>
        <w:numPr>
          <w:ilvl w:val="0"/>
          <w:numId w:val="2"/>
        </w:numPr>
        <w:spacing w:after="60" w:line="268"/>
      </w:pPr>
      <w:r>
        <w:rPr>
          <w:color w:val="15181F"/>
          <w:sz w:val="18"/>
          <w:szCs w:val="18"/>
        </w:rPr>
        <w:t xml:space="preserve">A reassessment date at 2–3 months is declared before treatment starts</w:t>
      </w:r>
    </w:p>
    <w:p>
      <w:pPr>
        <w:pStyle w:val="ListParagraph"/>
        <w:numPr>
          <w:ilvl w:val="0"/>
          <w:numId w:val="2"/>
        </w:numPr>
        <w:spacing w:after="60" w:line="268"/>
      </w:pPr>
      <w:r>
        <w:rPr>
          <w:color w:val="15181F"/>
          <w:sz w:val="18"/>
          <w:szCs w:val="18"/>
        </w:rPr>
        <w:t xml:space="preserve">Fit for the systemic regimen that is the backbone of any conversion attempt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Systemic therapy with a scheduled surgical reassessment at 2–3 months. The obstacle to R0 and what would have to change must both be recorded.</w:t>
      </w:r>
    </w:p>
    <w:p>
      <w:pPr>
        <w:spacing w:after="50" w:line="276"/>
        <w:ind w:left="240"/>
      </w:pPr>
      <w:r>
        <w:rPr>
          <w:color w:val="15181F"/>
          <w:sz w:val="18"/>
          <w:szCs w:val="18"/>
        </w:rPr>
        <w:t xml:space="preserve">Borderline or locally advanced liver-confined disease in a patient fit for chemo-immunotherapy, where conversion is a declared goal rather than a hope. Reassessment at the pre-declared point is a formal surgical re-review, not an imaging report alone.</w:t>
      </w:r>
    </w:p>
    <w:p>
      <w:pPr>
        <w:spacing w:after="50"/>
        <w:ind w:left="240"/>
      </w:pPr>
      <w:r>
        <w:rPr>
          <w:b/>
          <w:bCs/>
          <w:color w:val="8C2F26"/>
          <w:sz w:val="18"/>
          <w:szCs w:val="18"/>
        </w:rPr>
        <w:t xml:space="preserve">Caveat. </w:t>
      </w:r>
      <w:r>
        <w:rPr>
          <w:color w:val="15181F"/>
          <w:sz w:val="18"/>
          <w:szCs w:val="18"/>
        </w:rPr>
        <w:t xml:space="preserve">Do not run conversion therapy open-endedly. If R0 is not achievable at the reassessment, say so and record that the goal has changed from conversion to control — that is the decision the board has to make.</w:t>
      </w:r>
    </w:p>
    <w:p>
      <w:pPr>
        <w:spacing w:after="50" w:line="276"/>
        <w:ind w:left="240"/>
      </w:pPr>
      <w:r>
        <w:rPr>
          <w:i/>
          <w:iCs/>
          <w:color w:val="5A6069"/>
          <w:sz w:val="17"/>
          <w:szCs w:val="17"/>
        </w:rPr>
        <w:t xml:space="preserve">The conversion figures are weaker than they sound. The rates of 36.4% and 53% come from retrospective Japanese series quoted by LCSGJ 2022, which in the same breath records no evidence of benefit for neoadjuvant chemotherapy and makes no recommendation; the denominators are not defined and the series report median survival of 24.1 months in converted patients against 25.7 months in those primarily resectable. AASLD 2023 states the role of neoadjuvant downstaging is not well defined, and BSG 2023 does not recommend routine neoadjuvant chemotherapy. The roadmap grades this pathway C for those reasons. Note also that neither chemo-immunotherapy trial supports it: TOPAZ-1 and KEYNOTE-966 were 86% and 89% metastatic and neither says anything about downstaging.</w:t>
      </w:r>
    </w:p>
    <w:p>
      <w:pPr>
        <w:spacing w:after="60" w:line="276"/>
        <w:ind w:left="240"/>
      </w:pPr>
      <w:r>
        <w:rPr>
          <w:color w:val="5A6069"/>
          <w:sz w:val="16"/>
          <w:szCs w:val="16"/>
        </w:rPr>
        <w:t xml:space="preserve">Sources: MH iCCA roadmap v0.6; ABC-02; TOPAZ-1; KEYNOTE-966; BSG 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No head-to-head comparison exists between these, and none has been tested against a modern chemo-immunotherapy backbone. The order follows the depth of the conversion data specifically — HAI and Y90 both report patients actually taken to resection (4 of 38 and 9 of 41), radiotherapy does not — and the roadmap's own condition that conversion be the explicit goal and the programme exist. It carries no survival claim.</w:t>
      </w:r>
    </w:p>
    <w:p>
      <w:pPr>
        <w:spacing w:after="50" w:before="120"/>
        <w:ind w:left="240"/>
      </w:pPr>
      <w:r>
        <w:rPr>
          <w:b/>
          <w:bCs/>
          <w:color w:val="15181F"/>
          <w:sz w:val="19"/>
          <w:szCs w:val="19"/>
        </w:rPr>
        <w:t xml:space="preserve">Hepatic arterial infusion plus systemic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Conversion or hepatic control in an approved expert programme, generally with systemic therapy; no established cure as monotherapy. In a single-arm, single-institution phase 2 study of 38 treated patients, HAI floxuridine with systemic gemcitabine–oxaliplatin gave partial response in 22 of 38 (58%) and 6-month progression-free survival of 84.1% against an 80% target, with median progression-free survival 11.8 months and median overall survival 25.0 months, and four patients went on to resection.</w:t>
      </w:r>
    </w:p>
    <w:p>
      <w:pPr>
        <w:spacing w:after="50" w:line="276"/>
        <w:ind w:left="240"/>
      </w:pPr>
      <w:r>
        <w:rPr>
          <w:color w:val="15181F"/>
          <w:sz w:val="18"/>
          <w:szCs w:val="18"/>
        </w:rPr>
        <w:t xml:space="preserve">Liver-confined unresectable disease with favourable arterial anatomy in a centre with a functioning pump programme, where conversion or durable hepatic control is the stated goal. It can be considered early rather than only after a systemic line fails.</w:t>
      </w:r>
    </w:p>
    <w:p>
      <w:pPr>
        <w:spacing w:after="50"/>
        <w:ind w:left="240"/>
      </w:pPr>
      <w:r>
        <w:rPr>
          <w:b/>
          <w:bCs/>
          <w:color w:val="8C2F26"/>
          <w:sz w:val="18"/>
          <w:szCs w:val="18"/>
        </w:rPr>
        <w:t xml:space="preserve">Caveat. No dedicated pump programme, distant extrahepatic metastases, or unrelieved biliary obstruction. Do not treat it as interchangeable with a modern chemo-immunotherapy regimen, and do not count response as the curative event — conversion to a complete operation is.</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Y90 radioembolisation with first-line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Control or conversion with selected ablative use under expert review; curative evidence is emerging, not established. MISPHEC, a single-arm phase II study of 41 patients, combined Y90 with gemcitabine–cisplatin: response at 3 months was 39% by investigator assessment and 41% centrally, 9 patients (22%) were downstaged to surgery and 8 (20%) achieved an R0 resection, with median overall survival 22 months.</w:t>
      </w:r>
    </w:p>
    <w:p>
      <w:pPr>
        <w:spacing w:after="50" w:line="276"/>
        <w:ind w:left="240"/>
      </w:pPr>
      <w:r>
        <w:rPr>
          <w:color w:val="15181F"/>
          <w:sz w:val="18"/>
          <w:szCs w:val="18"/>
        </w:rPr>
        <w:t xml:space="preserve">Liver-dominant unresectable disease in a non-cirrhotic patient with personalised dosimetry available, where conversion is the explicit plan — among the 27 patients with disease confined to one hemiliver, 8 (30%) were resected.</w:t>
      </w:r>
    </w:p>
    <w:p>
      <w:pPr>
        <w:spacing w:after="50"/>
        <w:ind w:left="240"/>
      </w:pPr>
      <w:r>
        <w:rPr>
          <w:b/>
          <w:bCs/>
          <w:color w:val="8C2F26"/>
          <w:sz w:val="18"/>
          <w:szCs w:val="18"/>
        </w:rPr>
        <w:t xml:space="preserve">Caveat. </w:t>
      </w:r>
      <w:r>
        <w:rPr>
          <w:color w:val="15181F"/>
          <w:sz w:val="18"/>
          <w:szCs w:val="18"/>
        </w:rPr>
        <w:t xml:space="preserve">Cirrhosis above all: hepatic failure occurred in 9 of 12 cirrhotic patients (75%), irreversible in 5, versus 5 of 29 (17%) without cirrhosis, all reversible, and every irreversible case had whole-liver treatment. The trial's authors advise against radioembolisation plus chemotherapy in cirrhosis. Also avoid with inadequate future remnant or an unsafe shunt fraction.</w:t>
      </w:r>
    </w:p>
    <w:p>
      <w:pPr>
        <w:spacing w:after="60" w:line="276"/>
        <w:ind w:left="240"/>
      </w:pPr>
      <w:r>
        <w:rPr>
          <w:color w:val="5A6069"/>
          <w:sz w:val="16"/>
          <w:szCs w:val="16"/>
        </w:rPr>
        <w:t xml:space="preserve">Sources: MISPHEC; NCCN BTC v1.2026</w:t>
      </w:r>
    </w:p>
    <w:p>
      <w:pPr>
        <w:spacing w:after="50" w:before="120"/>
        <w:ind w:left="240"/>
      </w:pPr>
      <w:r>
        <w:rPr>
          <w:b/>
          <w:bCs/>
          <w:color w:val="15181F"/>
          <w:sz w:val="19"/>
          <w:szCs w:val="19"/>
        </w:rPr>
        <w:t xml:space="preserve">Liver-directed radiotherapy where conversion is the goal</w:t>
      </w:r>
      <w:r>
        <w:rPr>
          <w:color w:val="5A6069"/>
          <w:sz w:val="15"/>
          <w:szCs w:val="15"/>
        </w:rPr>
        <w:t xml:space="preserve">   grade C</w:t>
      </w:r>
    </w:p>
    <w:p>
      <w:pPr>
        <w:spacing w:after="50" w:line="276"/>
        <w:ind w:left="240"/>
      </w:pPr>
      <w:r>
        <w:rPr>
          <w:color w:val="15181F"/>
          <w:sz w:val="18"/>
          <w:szCs w:val="18"/>
        </w:rPr>
        <w:t xml:space="preserve">Ablative or hypofractionated radiotherapy as the liver-directed component of a conversion strategy, selected on geometry and reserve.</w:t>
      </w:r>
    </w:p>
    <w:p>
      <w:pPr>
        <w:spacing w:after="50" w:line="276"/>
        <w:ind w:left="240"/>
      </w:pPr>
      <w:r>
        <w:rPr>
          <w:color w:val="15181F"/>
          <w:sz w:val="18"/>
          <w:szCs w:val="18"/>
        </w:rPr>
        <w:t xml:space="preserve">Disease whose obstacle to resection is a single geometric relationship that dose can address, in a patient with adequate uninvolved liver and relieved biliary obstruction.</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The conversion evidence here is weaker than for HAI or Y90: the dose-response and proton datasets report local control and survival, not resection rates.</w:t>
      </w:r>
    </w:p>
    <w:p>
      <w:pPr>
        <w:spacing w:after="60" w:line="276"/>
        <w:ind w:left="240"/>
      </w:pPr>
      <w:r>
        <w:rPr>
          <w:color w:val="5A6069"/>
          <w:sz w:val="16"/>
          <w:szCs w:val="16"/>
        </w:rPr>
        <w:t xml:space="preserve">Sources: Tao dose-response; Hong proton phase II</w:t>
      </w:r>
    </w:p>
    <w:p>
      <w:pPr>
        <w:spacing w:after="60" w:line="276"/>
        <w:ind w:left="240"/>
      </w:pPr>
      <w:r>
        <w:rPr>
          <w:i/>
          <w:iCs/>
          <w:color w:val="5A6069"/>
          <w:sz w:val="16"/>
          <w:szCs w:val="16"/>
        </w:rPr>
        <w:t xml:space="preserve">Ratify whether the institution can deliver an iCCA HAI service and the selection/sequence criteria. PUMP-2 adds multicentre phase II evidence, but no randomized comparison against modern chemo-immunotherapy establishes a preferred regional modality (PMID 41082695).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open-ended conversion therapy with no defined reassessment.</w:t>
      </w:r>
    </w:p>
    <w:p>
      <w:pPr>
        <w:spacing w:after="50" w:line="276"/>
        <w:ind w:left="240"/>
      </w:pPr>
      <w:r>
        <w:rPr>
          <w:color w:val="15181F"/>
          <w:sz w:val="18"/>
          <w:szCs w:val="18"/>
        </w:rPr>
        <w:t xml:space="preserve">Declare the reassessment point before treatment starts and hold to it;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A patient who drifts through four months of therapy without a surgical re-review has lost the conversion opportunity without anyone deciding to abandon it.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conversion to resection as an expected outcome.</w:t>
      </w:r>
    </w:p>
    <w:p>
      <w:pPr>
        <w:spacing w:after="50" w:line="276"/>
        <w:ind w:left="240"/>
      </w:pPr>
      <w:r>
        <w:rPr>
          <w:color w:val="15181F"/>
          <w:sz w:val="18"/>
          <w:szCs w:val="18"/>
        </w:rPr>
        <w:t xml:space="preserve">Say what the numbers are: 22% downstaged and 20% resected with R0 in the Y90 study, 4 of 38 resected in the HAI study. Conversion treatment is not itself the curative operation.</w:t>
      </w:r>
    </w:p>
    <w:p>
      <w:pPr>
        <w:spacing w:after="50"/>
        <w:ind w:left="240"/>
      </w:pPr>
      <w:r>
        <w:rPr>
          <w:b/>
          <w:bCs/>
          <w:color w:val="8C2F26"/>
          <w:sz w:val="18"/>
          <w:szCs w:val="18"/>
        </w:rPr>
        <w:t xml:space="preserve">Caveat. </w:t>
      </w:r>
      <w:r>
        <w:rPr>
          <w:color w:val="15181F"/>
          <w:sz w:val="18"/>
          <w:szCs w:val="18"/>
        </w:rPr>
        <w:t xml:space="preserve">Promising conversion sets up both the patient and the programme for a decision that cannot be unmade — and a complete radiographic response is not the same outcome as an R0 resection.</w:t>
      </w:r>
    </w:p>
    <w:p>
      <w:pPr>
        <w:spacing w:after="60" w:line="276"/>
        <w:ind w:left="240"/>
      </w:pPr>
      <w:r>
        <w:rPr>
          <w:color w:val="5A6069"/>
          <w:sz w:val="16"/>
          <w:szCs w:val="16"/>
        </w:rPr>
        <w:t xml:space="preserve">Sources: MISPHEC; Cercek HAI phase 2</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Permanently unresectable, liver-confined</w:t>
      </w:r>
    </w:p>
    <w:p>
      <w:pPr>
        <w:spacing w:after="140"/>
      </w:pPr>
      <w:r>
        <w:rPr>
          <w:b/>
          <w:bCs/>
          <w:color w:val="176A87"/>
          <w:sz w:val="19"/>
          <w:szCs w:val="19"/>
        </w:rPr>
        <w:t xml:space="preserve">The question. </w:t>
      </w:r>
      <w:r>
        <w:rPr>
          <w:sz w:val="19"/>
          <w:szCs w:val="19"/>
        </w:rPr>
        <w:t xml:space="preserve">The liver is the whole problem and I cannot operate — what holds this disease, and in what order?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convertible at formal surgical re-review, not on an imaging report alone</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Liver function and performance status adequate for systemic therapy</w:t>
      </w:r>
    </w:p>
    <w:p>
      <w:pPr>
        <w:pStyle w:val="ListParagraph"/>
        <w:numPr>
          <w:ilvl w:val="0"/>
          <w:numId w:val="2"/>
        </w:numPr>
        <w:spacing w:after="60" w:line="268"/>
      </w:pPr>
      <w:r>
        <w:rPr>
          <w:color w:val="15181F"/>
          <w:sz w:val="18"/>
          <w:szCs w:val="18"/>
        </w:rPr>
        <w:t xml:space="preserve">Biliary obstruction relieved, or a drainage plan agreed with the hepatobiliary surgeon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Systemic therapy is the backbone: gemcitabine and cisplatin with durvalumab, or with pembrolizumab.</w:t>
      </w:r>
    </w:p>
    <w:p>
      <w:pPr>
        <w:spacing w:after="50" w:line="276"/>
        <w:ind w:left="240"/>
      </w:pPr>
      <w:r>
        <w:rPr>
          <w:color w:val="15181F"/>
          <w:sz w:val="18"/>
          <w:szCs w:val="18"/>
        </w:rPr>
        <w:t xml:space="preserve">Every patient fit for it. The regimens and the fitness question are in gate 9; what this gate settles is that systemic therapy is the backbone and any liver-directed treatment is added to it, not substituted for it.</w:t>
      </w:r>
    </w:p>
    <w:p>
      <w:pPr>
        <w:spacing w:after="50"/>
        <w:ind w:left="240"/>
      </w:pPr>
      <w:r>
        <w:rPr>
          <w:b/>
          <w:bCs/>
          <w:color w:val="8C2F26"/>
          <w:sz w:val="18"/>
          <w:szCs w:val="18"/>
        </w:rPr>
        <w:t xml:space="preserve">Caveat. </w:t>
      </w:r>
      <w:r>
        <w:rPr>
          <w:color w:val="15181F"/>
          <w:sz w:val="18"/>
          <w:szCs w:val="18"/>
        </w:rPr>
        <w:t xml:space="preserve">A patient whose performance status, renal or hepatic function, or contraindication to checkpoint inhibition rules out the full regimen still gets a systemic plan, modified with the reason recorded — not a catheter instead.</w:t>
      </w:r>
    </w:p>
    <w:p>
      <w:pPr>
        <w:spacing w:after="50" w:line="276"/>
        <w:ind w:left="240"/>
      </w:pPr>
      <w:r>
        <w:rPr>
          <w:i/>
          <w:iCs/>
          <w:color w:val="5A6069"/>
          <w:sz w:val="17"/>
          <w:szCs w:val="17"/>
        </w:rPr>
        <w:t xml:space="preserve">Downgraded from A. The two trials that carry the grade did not study this gate's population. TOPAZ-1 was 86% metastatic and KEYNOTE-966 89%, both restricted to ECOG 0–1, and the TOPAZ-1 investigators state explicitly that the trial says nothing about neoadjuvant, downstaging or peri-transplant use in liver-confined disease, which is where this regimen is now borrowed. Grade A remains right for gate 9, where the population matches. Clinical trial eligibility is checked at diagnosis and at each progression — Standard, grade D.</w:t>
      </w:r>
    </w:p>
    <w:p>
      <w:pPr>
        <w:spacing w:after="60" w:line="276"/>
        <w:ind w:left="240"/>
      </w:pPr>
      <w:r>
        <w:rPr>
          <w:color w:val="5A6069"/>
          <w:sz w:val="16"/>
          <w:szCs w:val="16"/>
        </w:rPr>
        <w:t xml:space="preserve">Sources: NCCN BTC v1.2026; ABC-02; TOPAZ-1; KEYNOTE-966; ESMO BTC 2024 interim;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This is the weakest evidence zone in the pathway. No randomised trial compares any two of these modalities in intrahepatic cholangiocarcinoma and none has been tested against a modern chemo-immunotherapy backbone, so selection is driven by treatment goal, target geometry, liver reserve and what the institution can actually deliver. The order below reproduces the roadmap's listing and the size of each dataset; it is not a hierarchy of evidence, because no such hierarchy exists.</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Preferred for a defined phenotype: liver-confined unresectable disease, favourable arterial anatomy, with durable hepatic control or conversion as the stated goal. 6-month progression-free survival 84.1% and median overall survival 25.0 months in a 38-patient phase 2 cohort; 30.8 versus 18.4 months against systemic therapy alone in a retrospective liver-confined comparison.</w:t>
      </w:r>
    </w:p>
    <w:p>
      <w:pPr>
        <w:spacing w:after="50" w:line="276"/>
        <w:ind w:left="240"/>
      </w:pPr>
      <w:r>
        <w:rPr>
          <w:color w:val="15181F"/>
          <w:sz w:val="18"/>
          <w:szCs w:val="18"/>
        </w:rPr>
        <w:t xml:space="preserve">An expanded prospective HAI evidence base now includes PUMP-2 and pooled phase II follow-up (PMIDs 41082695, 42331230). No head-to-head trial establishes superiority over other regional options. Selected resectable regional nodes were included; this does not establish nodal equivalence or transplant candidacy.</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 and in 30% of the 10-patient confirmatory cohort.</w:t>
      </w:r>
      <w:r>
        <w:rPr>
          <w:color w:val="15181F"/>
          <w:sz w:val="18"/>
          <w:szCs w:val="18"/>
        </w:rPr>
        <w:t xml:space="preserve"/>
      </w:r>
    </w:p>
    <w:p>
      <w:pPr>
        <w:spacing w:after="60" w:line="276"/>
        <w:ind w:left="240"/>
      </w:pPr>
      <w:r>
        <w:rPr>
          <w:color w:val="5A6069"/>
          <w:sz w:val="16"/>
          <w:szCs w:val="16"/>
        </w:rPr>
        <w:t xml:space="preserve">Sources: Cercek HAI phase 2; Konstantinidis HAI cohort</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Hepatic control. Liver-dominant disease with hepatic control as the goal, portal flow preserved and dosimetry planning available. Median overall survival was 22 months with Y90 plus gemcitabine–cisplatin in a 41-patient phase II, and 20 months from diagnosis in a 62-patient two-centre chemoembolisation cohort, where the 18 patients who also had systemic chemotherapy survived 28 versus 16 months (HR 1.94, p=0.02).</w:t>
      </w:r>
    </w:p>
    <w:p>
      <w:pPr>
        <w:spacing w:after="50" w:line="276"/>
        <w:ind w:left="240"/>
      </w:pPr>
      <w:r>
        <w:rPr>
          <w:color w:val="15181F"/>
          <w:sz w:val="18"/>
          <w:szCs w:val="18"/>
        </w:rPr>
        <w:t xml:space="preserve">Hepatic-dominant disease where selective delivery and reserve are adequate and the goal is stated as control, with the systemic plan running alongside. Procedural safety was the strongest chemoembolisation finding: major complications after 5 of 165 procedures (3%), 0% 30-day disease-specific mortality.</w:t>
      </w:r>
    </w:p>
    <w:p>
      <w:pPr>
        <w:spacing w:after="50"/>
        <w:ind w:left="240"/>
      </w:pPr>
      <w:r>
        <w:rPr>
          <w:b/>
          <w:bCs/>
          <w:color w:val="8C2F26"/>
          <w:sz w:val="18"/>
          <w:szCs w:val="18"/>
        </w:rPr>
        <w:t xml:space="preserve">Caveat. </w:t>
      </w:r>
      <w:r>
        <w:rPr>
          <w:color w:val="15181F"/>
          <w:sz w:val="18"/>
          <w:szCs w:val="18"/>
        </w:rPr>
        <w:t xml:space="preserve">Substitution for systemic therapy; use while extrahepatic disease progresses; inadequate future remnant or unsafe shunt fraction; biliary obstruction and infection risk. Avoid radioembolisation plus chemotherapy in cirrhosis, where hepatic failure occurred in 75% of cirrhotic patients and was irreversible in 5.</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Selected definitive or consolidative local treatment for localized inoperable disease; cure evidence limited. 3-year local control 78% and 3-year overall survival 73% above a biologic equivalent dose of 80.5 Gy in a retrospective series of 79; 2-year local control 94.1% and median overall survival 22.5 months in the 39 iCCA patients of a phase II proton study.</w:t>
      </w:r>
    </w:p>
    <w:p>
      <w:pPr>
        <w:spacing w:after="50" w:line="276"/>
        <w:ind w:left="240"/>
      </w:pPr>
      <w:r>
        <w:rPr>
          <w:color w:val="15181F"/>
          <w:sz w:val="18"/>
          <w:szCs w:val="18"/>
        </w:rPr>
        <w:t xml:space="preserve">Liver-confined, unresectable disease without nodal or extrahepatic involvement, where the geometry allows an ablative dose with safe gastrointestinal and biliary doses. It may be chosen directly on geometry and reserve; an unsuccessful catheter therapy is not a prerequisite.</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Potentially curative intent in a narrow group: solitary tumour under 3 cm with a complete safe margin. Pooled survival after ablation across 20 retrospective studies and 917 patients was 82.4% at 1 year, 42.1% at 3 years and 28.5% at 5 years, with technical efficacy 91.9% and major complications 5.7%.</w:t>
      </w:r>
    </w:p>
    <w:p>
      <w:pPr>
        <w:spacing w:after="50" w:line="276"/>
        <w:ind w:left="240"/>
      </w:pPr>
      <w:r>
        <w:rPr>
          <w:color w:val="15181F"/>
          <w:sz w:val="18"/>
          <w:szCs w:val="18"/>
        </w:rPr>
        <w:t xml:space="preserve">The small solitary lesion in a patient unsuitable for resection, where every lesion can be covered with a margin. It is a selected definitive alternative, not automatically a second systemic line.</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tumours over 3 cm and multiple tumours did worse (HR 2.12 and 1.67). Do not extrapolate to large or multifocal iCCA.</w:t>
      </w:r>
    </w:p>
    <w:p>
      <w:pPr>
        <w:spacing w:after="60" w:line="276"/>
        <w:ind w:left="240"/>
      </w:pPr>
      <w:r>
        <w:rPr>
          <w:color w:val="5A6069"/>
          <w:sz w:val="16"/>
          <w:szCs w:val="16"/>
        </w:rPr>
        <w:t xml:space="preserve">Sources: Ablation meta-analysis; MALRIC primary; EASL-ILCA iCCA 2023</w:t>
      </w:r>
    </w:p>
    <w:p>
      <w:pPr>
        <w:spacing w:after="60" w:line="276"/>
        <w:ind w:left="240"/>
      </w:pPr>
      <w:r>
        <w:rPr>
          <w:i/>
          <w:iCs/>
          <w:color w:val="5A6069"/>
          <w:sz w:val="16"/>
          <w:szCs w:val="16"/>
        </w:rPr>
        <w:t xml:space="preserve">Unresolved decisions 2, 6 and 7: which liver-directed modality is first choice here, what liver-function thresholds bar each modality (no comparative data define the cut-offs — they are safety conventions), and whether ablation is acceptable in iCCA and in whom. Dosimetry capability, device availability and payer authorisation are local dependencies, not universal ones.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substitute liver-directed therapy for systemic therapy.</w:t>
      </w:r>
    </w:p>
    <w:p>
      <w:pPr>
        <w:spacing w:after="50" w:line="276"/>
        <w:ind w:left="240"/>
      </w:pPr>
      <w:r>
        <w:rPr>
          <w:color w:val="15181F"/>
          <w:sz w:val="18"/>
          <w:szCs w:val="18"/>
        </w:rPr>
        <w:t xml:space="preserve">Keep the systemic backbone and add hepatic control to it; coordinate the two rather than choosing between them.</w:t>
      </w:r>
    </w:p>
    <w:p>
      <w:pPr>
        <w:spacing w:after="50"/>
        <w:ind w:left="240"/>
      </w:pPr>
      <w:r>
        <w:rPr>
          <w:b/>
          <w:bCs/>
          <w:color w:val="8C2F26"/>
          <w:sz w:val="18"/>
          <w:szCs w:val="18"/>
        </w:rPr>
        <w:t xml:space="preserve">Caveat. </w:t>
      </w:r>
      <w:r>
        <w:rPr>
          <w:color w:val="15181F"/>
          <w:sz w:val="18"/>
          <w:szCs w:val="18"/>
        </w:rPr>
        <w:t xml:space="preserve">AASLD 2023 states data are insufficient to recommend liver-directed therapy as a standard therapy for locally advanced unresectable iCCA. NCCN's wording that arterially directed therapies may be used alone can be read as permitting substitution; the roadmap keeps the Avoid label and puts that disagreement to a decision (alignment worksheet, area 9) — it is the one area where NCCN and this roadmap differ.</w:t>
      </w:r>
    </w:p>
    <w:p>
      <w:pPr>
        <w:spacing w:after="60" w:line="276"/>
        <w:ind w:left="240"/>
      </w:pPr>
      <w:r>
        <w:rPr>
          <w:color w:val="5A6069"/>
          <w:sz w:val="16"/>
          <w:szCs w:val="16"/>
        </w:rPr>
        <w:t xml:space="preserve">Sources: AASLD PSC/CCA 2023; NCCN BTC v1.2026; MH iCCA alignment worksheet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outside a protocol.</w:t>
      </w:r>
    </w:p>
    <w:p>
      <w:pPr>
        <w:spacing w:after="50" w:line="276"/>
        <w:ind w:left="240"/>
      </w:pPr>
      <w:r>
        <w:rPr>
          <w:color w:val="15181F"/>
          <w:sz w:val="18"/>
          <w:szCs w:val="18"/>
        </w:rPr>
        <w:t xml:space="preserve">Gate 10 sets out the narrow phenotype and the route. A local complete response is not an automatic transplant exception.</w:t>
      </w:r>
    </w:p>
    <w:p>
      <w:pPr>
        <w:spacing w:after="50"/>
        <w:ind w:left="240"/>
      </w:pPr>
      <w:r>
        <w:rPr>
          <w:b/>
          <w:bCs/>
          <w:color w:val="8C2F26"/>
          <w:sz w:val="18"/>
          <w:szCs w:val="18"/>
        </w:rPr>
        <w:t xml:space="preserve">Caveat. </w:t>
      </w:r>
      <w:r>
        <w:rPr>
          <w:color w:val="15181F"/>
          <w:sz w:val="18"/>
          <w:szCs w:val="18"/>
        </w:rPr>
        <w:t xml:space="preserve">Record bridge and downstaging treatment separately from definitive local treatment, protect liver reserve, and preserve future resection and transplant options.</w:t>
      </w:r>
    </w:p>
    <w:p>
      <w:pPr>
        <w:spacing w:after="60" w:line="276"/>
        <w:ind w:left="240"/>
      </w:pPr>
      <w:r>
        <w:rPr>
          <w:color w:val="5A6069"/>
          <w:sz w:val="16"/>
          <w:szCs w:val="16"/>
        </w:rPr>
        <w:t xml:space="preserve">Sources: MH iCCA roadmap v0.6; OPTN transplant-oncology guidance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repeat the same procedure after progression without restaging and reconsidering the whole treatment plan.</w:t>
      </w:r>
    </w:p>
    <w:p>
      <w:pPr>
        <w:spacing w:after="50" w:line="276"/>
        <w:ind w:left="240"/>
      </w:pPr>
      <w:r>
        <w:rPr>
          <w:color w:val="15181F"/>
          <w:sz w:val="18"/>
          <w:szCs w:val="18"/>
        </w:rPr>
        <w:t xml:space="preserve">After progression or toxicity, restage and reconsider complete treatment; an upfront alternative chosen because of anatomy or organ reserve is not a post-progression second line.</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 there is no such ladder in this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Metastatic — extrahepatic disease present</w:t>
      </w:r>
    </w:p>
    <w:p>
      <w:pPr>
        <w:spacing w:after="140"/>
      </w:pPr>
      <w:r>
        <w:rPr>
          <w:b/>
          <w:bCs/>
          <w:color w:val="176A87"/>
          <w:sz w:val="19"/>
          <w:szCs w:val="19"/>
        </w:rPr>
        <w:t xml:space="preserve">The question. </w:t>
      </w:r>
      <w:r>
        <w:rPr>
          <w:sz w:val="19"/>
          <w:szCs w:val="19"/>
        </w:rPr>
        <w:t xml:space="preserve">Extrahepatic disease is present — what is the systemic plan, and what should I stop doing to the liver?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Any extrahepatic disease on staging imaging</w:t>
      </w:r>
    </w:p>
    <w:p>
      <w:pPr>
        <w:pStyle w:val="ListParagraph"/>
        <w:numPr>
          <w:ilvl w:val="0"/>
          <w:numId w:val="2"/>
        </w:numPr>
        <w:spacing w:after="60" w:line="268"/>
      </w:pPr>
      <w:r>
        <w:rPr>
          <w:color w:val="15181F"/>
          <w:sz w:val="18"/>
          <w:szCs w:val="18"/>
        </w:rPr>
        <w:t xml:space="preserve">Nodal disease beyond the regional basin, including retroperitoneal or coeliac stations</w:t>
      </w:r>
    </w:p>
    <w:p>
      <w:pPr>
        <w:pStyle w:val="ListParagraph"/>
        <w:numPr>
          <w:ilvl w:val="0"/>
          <w:numId w:val="2"/>
        </w:numPr>
        <w:spacing w:after="60" w:line="268"/>
      </w:pPr>
      <w:r>
        <w:rPr>
          <w:color w:val="15181F"/>
          <w:sz w:val="18"/>
          <w:szCs w:val="18"/>
        </w:rPr>
        <w:t xml:space="preserve">A new extrahepatic site found at reassessment</w:t>
      </w:r>
    </w:p>
    <w:p>
      <w:pPr>
        <w:pStyle w:val="ListParagraph"/>
        <w:numPr>
          <w:ilvl w:val="0"/>
          <w:numId w:val="2"/>
        </w:numPr>
        <w:spacing w:after="60" w:line="268"/>
      </w:pPr>
      <w:r>
        <w:rPr>
          <w:color w:val="15181F"/>
          <w:sz w:val="18"/>
          <w:szCs w:val="18"/>
        </w:rPr>
        <w:t xml:space="preserve">Distant metastatic disease at recurrence after resection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 roadmap does not rank them. Both improved survival against chemotherapy alone and there is no head-to-head comparison, so the choice is made on toxicity profile, schedule and access — exactly ESMO 2024's position, which states no biomarker and no difference in efficacy or toxicity favours one checkpoint inhibitor over the other. Nothing in this order implies a survival advantage for either.</w:t>
      </w:r>
    </w:p>
    <w:p>
      <w:pPr>
        <w:spacing w:after="50" w:before="120"/>
        <w:ind w:left="240"/>
      </w:pPr>
      <w:r>
        <w:rPr>
          <w:b/>
          <w:bCs/>
          <w:color w:val="15181F"/>
          <w:sz w:val="19"/>
          <w:szCs w:val="19"/>
        </w:rPr>
        <w:t xml:space="preserve">Gemcitabine and cisplatin plus durvalumab (TOPAZ-1)</w:t>
      </w:r>
      <w:r>
        <w:rPr>
          <w:color w:val="5A6069"/>
          <w:sz w:val="15"/>
          <w:szCs w:val="15"/>
        </w:rPr>
        <w:t xml:space="preserve">   grade A</w:t>
      </w:r>
    </w:p>
    <w:p>
      <w:pPr>
        <w:spacing w:after="50" w:line="276"/>
        <w:ind w:left="240"/>
      </w:pPr>
      <w:r>
        <w:rPr>
          <w:color w:val="15181F"/>
          <w:sz w:val="18"/>
          <w:szCs w:val="18"/>
        </w:rPr>
        <w:t xml:space="preserve">Overall survival hazard ratio 0.80 (95% CI 0.66–0.97), median 12.8 versus 11.5 months, with 24-month survival 24.9% versus 10.4% in 685 patients. In the intrahepatic subgroup (n=383) the hazard ratio was 0.76 (0.58–0.98).</w:t>
      </w:r>
    </w:p>
    <w:p>
      <w:pPr>
        <w:spacing w:after="50" w:line="276"/>
        <w:ind w:left="240"/>
      </w:pPr>
      <w:r>
        <w:rPr>
          <w:color w:val="15181F"/>
          <w:sz w:val="18"/>
          <w:szCs w:val="18"/>
        </w:rPr>
        <w:t xml:space="preserve">A patient fit for platinum and for checkpoint inhibition who wants the regimen with the longer tail: almost all of the benefit accrues after 6 months (hazard ratio 0.91 up to 6 months, 0.74 thereafter), and gemcitabine is capped at eight cycles.</w:t>
      </w:r>
    </w:p>
    <w:p>
      <w:pPr>
        <w:spacing w:after="50"/>
        <w:ind w:left="240"/>
      </w:pPr>
      <w:r>
        <w:rPr>
          <w:b/>
          <w:bCs/>
          <w:color w:val="8C2F26"/>
          <w:sz w:val="18"/>
          <w:szCs w:val="18"/>
        </w:rPr>
        <w:t xml:space="preserve">Caveat. </w:t>
      </w:r>
      <w:r>
        <w:rPr>
          <w:color w:val="15181F"/>
          <w:sz w:val="18"/>
          <w:szCs w:val="18"/>
        </w:rPr>
        <w:t xml:space="preserve">Active or prior autoimmune or inflammatory disorders, or any contraindication to checkpoint inhibition. Do not promise the median — the absolute gain in median survival is 1.3 months, the proportional-hazards assumption was formally violated on kernel-smoothed and log-log plots so a single hazard ratio misrepresents a time-varying effect, and this was a prespecified interim analysis at 424 of 496 planned deaths, powered to about 75%. The 24-month figures are Kaplan-Meier estimates, not counted survivors.</w:t>
      </w:r>
    </w:p>
    <w:p>
      <w:pPr>
        <w:spacing w:after="60" w:line="276"/>
        <w:ind w:left="240"/>
      </w:pPr>
      <w:r>
        <w:rPr>
          <w:color w:val="5A6069"/>
          <w:sz w:val="16"/>
          <w:szCs w:val="16"/>
        </w:rPr>
        <w:t xml:space="preserve">Sources: TOPAZ-1</w:t>
      </w:r>
    </w:p>
    <w:p>
      <w:pPr>
        <w:spacing w:after="50" w:before="120"/>
        <w:ind w:left="240"/>
      </w:pPr>
      <w:r>
        <w:rPr>
          <w:b/>
          <w:bCs/>
          <w:color w:val="15181F"/>
          <w:sz w:val="19"/>
          <w:szCs w:val="19"/>
        </w:rPr>
        <w:t xml:space="preserve">Gemcitabine and cisplatin plus pembrolizumab (KEYNOTE-966)</w:t>
      </w:r>
      <w:r>
        <w:rPr>
          <w:color w:val="5A6069"/>
          <w:sz w:val="15"/>
          <w:szCs w:val="15"/>
        </w:rPr>
        <w:t xml:space="preserve">   grade A</w:t>
      </w:r>
    </w:p>
    <w:p>
      <w:pPr>
        <w:spacing w:after="50" w:line="276"/>
        <w:ind w:left="240"/>
      </w:pPr>
      <w:r>
        <w:rPr>
          <w:color w:val="15181F"/>
          <w:sz w:val="18"/>
          <w:szCs w:val="18"/>
        </w:rPr>
        <w:t xml:space="preserve">Median overall survival 12.7 versus 10.9 months, hazard ratio 0.83 (95% CI 0.72–0.95) in 1069 patients, with 24-month survival 25% versus 18%. The intrahepatic subgroup (n=633) carried the effect: hazard ratio 0.76 (0.64–0.91), against 0.99 extrahepatic and 0.96 gallbladder.</w:t>
      </w:r>
    </w:p>
    <w:p>
      <w:pPr>
        <w:spacing w:after="50" w:line="276"/>
        <w:ind w:left="240"/>
      </w:pPr>
      <w:r>
        <w:rPr>
          <w:color w:val="15181F"/>
          <w:sz w:val="18"/>
          <w:szCs w:val="18"/>
        </w:rPr>
        <w:t xml:space="preserve">A patient fit for checkpoint inhibition where gemcitabine continued to progression without a cycle cap suits the plan, and where the largest intrahepatic dataset is the reassurance wanted.</w:t>
      </w:r>
    </w:p>
    <w:p>
      <w:pPr>
        <w:spacing w:after="50"/>
        <w:ind w:left="240"/>
      </w:pPr>
      <w:r>
        <w:rPr>
          <w:b/>
          <w:bCs/>
          <w:color w:val="8C2F26"/>
          <w:sz w:val="18"/>
          <w:szCs w:val="18"/>
        </w:rPr>
        <w:t xml:space="preserve">Caveat. </w:t>
      </w:r>
      <w:r>
        <w:rPr>
          <w:color w:val="15181F"/>
          <w:sz w:val="18"/>
          <w:szCs w:val="18"/>
        </w:rPr>
        <w:t xml:space="preserve">Contraindication to checkpoint inhibition, or prior systemic therapy for advanced disease. The absolute gain is 1.8 months of median survival, and both supporting endpoints failed their prespecified boundaries — progression-free survival hazard ratio 0.86 (p=0.023 against 0.0125) and objective response 29% versus 29% (p=0.47) — so the benefit rests on overall survival with no response signal behind it. Treatment-related deaths were 8 (2%) versus 3 (1%), immune-mediated events 22% versus 13%, and quality of life did not improve (EORTC QLQ-C30 global health change −2.5 in both arms).</w:t>
      </w:r>
    </w:p>
    <w:p>
      <w:pPr>
        <w:spacing w:after="60" w:line="276"/>
        <w:ind w:left="240"/>
      </w:pPr>
      <w:r>
        <w:rPr>
          <w:color w:val="5A6069"/>
          <w:sz w:val="16"/>
          <w:szCs w:val="16"/>
        </w:rPr>
        <w:t xml:space="preserve">Sources: KEYNOTE-966</w:t>
      </w:r>
    </w:p>
    <w:p>
      <w:pPr>
        <w:spacing w:after="60" w:line="276"/>
        <w:ind w:left="240"/>
      </w:pPr>
      <w:r>
        <w:rPr>
          <w:i/>
          <w:iCs/>
          <w:color w:val="5A6069"/>
          <w:sz w:val="16"/>
          <w:szCs w:val="16"/>
        </w:rPr>
        <w:t xml:space="preserve">Our position retains an unranked checkpoint-combination choice and leaves modification to the treating oncologist; BSG 2023 regards oxaliplatin substitution in renal impairment and gemcitabine alone in poor performance status as reasonable, and whether to name those defaults is a ratification item (alignment worksheet, area 13). Reserve, infection control and transplant intent affect eligibility.</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 order follows the roadmap's wording — use the matched agent where a driver is present, otherwise FOLFOX — not a survival comparison. FOLFOX carries the only randomised second-line evidence in this disease; the matched agents carry larger single-arm response and survival figures that have never been tested against chemotherapy. No randomised evidence establishes a sequence among the targeted options.</w:t>
      </w:r>
    </w:p>
    <w:p>
      <w:pPr>
        <w:spacing w:after="50" w:before="120"/>
        <w:ind w:left="240"/>
      </w:pPr>
      <w:r>
        <w:rPr>
          <w:b/>
          <w:bCs/>
          <w:color w:val="15181F"/>
          <w:sz w:val="19"/>
          <w:szCs w:val="19"/>
        </w:rPr>
        <w:t xml:space="preserve">A matched targeted agent, if a driver is present</w:t>
      </w:r>
      <w:r>
        <w:rPr>
          <w:color w:val="5A6069"/>
          <w:sz w:val="15"/>
          <w:szCs w:val="15"/>
        </w:rPr>
        <w:t xml:space="preserve">   grade C</w:t>
      </w:r>
    </w:p>
    <w:p>
      <w:pPr>
        <w:spacing w:after="50" w:line="276"/>
        <w:ind w:left="240"/>
      </w:pPr>
      <w:r>
        <w:rPr>
          <w:color w:val="15181F"/>
          <w:sz w:val="18"/>
          <w:szCs w:val="18"/>
        </w:rPr>
        <w:t xml:space="preserve">Second line, where the molecular result from gate 2 shows an alteration of the class the evidence covers. These are single-arm response data — pemigatinib 37.0% response and 17.5 months median survival, futibatinib 42% and 21.7 months, zanidatamab 41% and 15.5 months, dabrafenib–trametinib 51% by investigator and 47% centrally — not comparative survival data.</w:t>
      </w:r>
    </w:p>
    <w:p>
      <w:pPr>
        <w:spacing w:after="50" w:line="276"/>
        <w:ind w:left="240"/>
      </w:pPr>
      <w:r>
        <w:rPr>
          <w:color w:val="15181F"/>
          <w:sz w:val="18"/>
          <w:szCs w:val="18"/>
        </w:rPr>
        <w:t xml:space="preserve">The patient whose tumour carries an FGFR2 fusion or rearrangement, IDH1 mutation, BRAF V600E, HER2 amplification or overexpression, or MSI-high disease, and whose result is already in hand.</w:t>
      </w:r>
    </w:p>
    <w:p>
      <w:pPr>
        <w:spacing w:after="50"/>
        <w:ind w:left="240"/>
      </w:pPr>
      <w:r>
        <w:rPr>
          <w:b/>
          <w:bCs/>
          <w:color w:val="8C2F26"/>
          <w:sz w:val="18"/>
          <w:szCs w:val="18"/>
        </w:rPr>
        <w:t xml:space="preserve">Caveat. </w:t>
      </w:r>
      <w:r>
        <w:rPr>
          <w:color w:val="15181F"/>
          <w:sz w:val="18"/>
          <w:szCs w:val="18"/>
        </w:rPr>
        <w:t xml:space="preserve">Do not substitute a gene name for an alteration class, and do not read the single-arm survival figures as showing superiority over FOLFOX. Ivosidenib is the only randomised option and it met progression-free survival, not intention-to-treat overall survival.</w:t>
      </w:r>
    </w:p>
    <w:p>
      <w:pPr>
        <w:spacing w:after="60" w:line="276"/>
        <w:ind w:left="240"/>
      </w:pPr>
      <w:r>
        <w:rPr>
          <w:color w:val="5A6069"/>
          <w:sz w:val="16"/>
          <w:szCs w:val="16"/>
        </w:rPr>
        <w:t xml:space="preserve">Sources: FIGHT-202 final; FOENIX-CCA2; HERIZON-BTC-01; ROAR; ClarIDHy final OS; ESMO BTC 2024 interim</w:t>
      </w:r>
    </w:p>
    <w:p>
      <w:pPr>
        <w:spacing w:after="50" w:before="120"/>
        <w:ind w:left="240"/>
      </w:pPr>
      <w:r>
        <w:rPr>
          <w:b/>
          <w:bCs/>
          <w:color w:val="15181F"/>
          <w:sz w:val="19"/>
          <w:szCs w:val="19"/>
        </w:rPr>
        <w:t xml:space="preserve">FOLFOX, where no driver is present</w:t>
      </w:r>
      <w:r>
        <w:rPr>
          <w:color w:val="5A6069"/>
          <w:sz w:val="15"/>
          <w:szCs w:val="15"/>
        </w:rPr>
        <w:t xml:space="preserve">   grade B</w:t>
      </w:r>
    </w:p>
    <w:p>
      <w:pPr>
        <w:spacing w:after="50" w:line="276"/>
        <w:ind w:left="240"/>
      </w:pPr>
      <w:r>
        <w:rPr>
          <w:color w:val="15181F"/>
          <w:sz w:val="18"/>
          <w:szCs w:val="18"/>
        </w:rPr>
        <w:t xml:space="preserve">ABC-06 gave median overall survival 6.2 versus 5.3 months against active symptom control, adjusted hazard ratio 0.69 (95% CI 0.50–0.97), p=0.031 — an absolute median gain of 0.9 months, open label, with grade 3–5 events in 69% versus 52% and three chemotherapy-related deaths (infection, acute kidney injury, febrile neutropenia).</w:t>
      </w:r>
    </w:p>
    <w:p>
      <w:pPr>
        <w:spacing w:after="50" w:line="276"/>
        <w:ind w:left="240"/>
      </w:pPr>
      <w:r>
        <w:rPr>
          <w:color w:val="15181F"/>
          <w:sz w:val="18"/>
          <w:szCs w:val="18"/>
        </w:rPr>
        <w:t xml:space="preserve">A fit patient after progression on gemcitabine–platinum with no actionable alteration; the gain is clearest in survival rates, 25.9% versus 11.4% alive at 12 months, and albumin of 35 g/L or above was independently prognostic.</w:t>
      </w:r>
    </w:p>
    <w:p>
      <w:pPr>
        <w:spacing w:after="50"/>
        <w:ind w:left="240"/>
      </w:pPr>
      <w:r>
        <w:rPr>
          <w:b/>
          <w:bCs/>
          <w:color w:val="8C2F26"/>
          <w:sz w:val="18"/>
          <w:szCs w:val="18"/>
        </w:rPr>
        <w:t xml:space="preserve">Caveat. </w:t>
      </w:r>
      <w:r>
        <w:rPr>
          <w:color w:val="15181F"/>
          <w:sz w:val="18"/>
          <w:szCs w:val="18"/>
        </w:rPr>
        <w:t xml:space="preserve">A patient whose performance status or albumin makes 69% grade 3–5 toxicity the dominant outcome. Objective response was 5% and disease control 33%, so this is not a conversion strategy.</w:t>
      </w:r>
    </w:p>
    <w:p>
      <w:pPr>
        <w:spacing w:after="60" w:line="276"/>
        <w:ind w:left="240"/>
      </w:pPr>
      <w:r>
        <w:rPr>
          <w:color w:val="5A6069"/>
          <w:sz w:val="16"/>
          <w:szCs w:val="16"/>
        </w:rPr>
        <w:t xml:space="preserve">Sources: ABC-06; AASLD PSC/CCA 2023; BSG CCA 2023</w:t>
      </w:r>
    </w:p>
    <w:p>
      <w:pPr>
        <w:spacing w:after="60" w:line="276"/>
        <w:ind w:left="240"/>
      </w:pPr>
      <w:r>
        <w:rPr>
          <w:i/>
          <w:iCs/>
          <w:color w:val="5A6069"/>
          <w:sz w:val="16"/>
          <w:szCs w:val="16"/>
        </w:rPr>
        <w:t xml:space="preserve">The molecular result should already be in hand at this point; if it is not, the omission in gate 2 has made this decision for you. Do not recycle immunotherapy without considering prior exposure.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liver-directed therapy for hepatic control while extrahepatic disease is progressing.</w:t>
      </w:r>
    </w:p>
    <w:p>
      <w:pPr>
        <w:spacing w:after="50" w:line="276"/>
        <w:ind w:left="240"/>
      </w:pPr>
      <w:r>
        <w:rPr>
          <w:color w:val="15181F"/>
          <w:sz w:val="18"/>
          <w:szCs w:val="18"/>
        </w:rPr>
        <w:t xml:space="preserve">If the liver is causing the symptoms and the extrahepatic disease is controlled, hepatic control can be discussed at the board with the goal stated explicitly.</w:t>
      </w:r>
    </w:p>
    <w:p>
      <w:pPr>
        <w:spacing w:after="50"/>
        <w:ind w:left="240"/>
      </w:pPr>
      <w:r>
        <w:rPr>
          <w:b/>
          <w:bCs/>
          <w:color w:val="8C2F26"/>
          <w:sz w:val="18"/>
          <w:szCs w:val="18"/>
        </w:rPr>
        <w:t xml:space="preserve">Caveat. </w:t>
      </w:r>
      <w:r>
        <w:rPr>
          <w:color w:val="15181F"/>
          <w:sz w:val="18"/>
          <w:szCs w:val="18"/>
        </w:rPr>
        <w:t xml:space="preserve">Treating the liver while the disease progresses elsewhere spends liver reserve and time on an outcome that will not change the course.</w:t>
      </w:r>
    </w:p>
    <w:p>
      <w:pPr>
        <w:spacing w:after="60" w:line="276"/>
        <w:ind w:left="240"/>
      </w:pPr>
      <w:r>
        <w:rPr>
          <w:color w:val="5A6069"/>
          <w:sz w:val="16"/>
          <w:szCs w:val="16"/>
        </w:rPr>
        <w:t xml:space="preserve">Sources: MH iCCA roadmap v0.6;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Which liver-directed treatment, and for what goal</w:t>
      </w:r>
    </w:p>
    <w:p>
      <w:pPr>
        <w:spacing w:after="140"/>
      </w:pPr>
      <w:r>
        <w:rPr>
          <w:b/>
          <w:bCs/>
          <w:color w:val="176A87"/>
          <w:sz w:val="19"/>
          <w:szCs w:val="19"/>
        </w:rPr>
        <w:t xml:space="preserve">The question. </w:t>
      </w:r>
      <w:r>
        <w:rPr>
          <w:sz w:val="19"/>
          <w:szCs w:val="19"/>
        </w:rPr>
        <w:t xml:space="preserve">What am I trying to achieve in this liver, and which device actually achieves it here?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Treatment intent assigned before a device is chosen — cure, conversion or bridge, or hepatic control</w:t>
      </w:r>
    </w:p>
    <w:p>
      <w:pPr>
        <w:pStyle w:val="ListParagraph"/>
        <w:numPr>
          <w:ilvl w:val="0"/>
          <w:numId w:val="2"/>
        </w:numPr>
        <w:spacing w:after="60" w:line="268"/>
      </w:pPr>
      <w:r>
        <w:rPr>
          <w:color w:val="15181F"/>
          <w:sz w:val="18"/>
          <w:szCs w:val="18"/>
        </w:rPr>
        <w:t xml:space="preserve">Target geometry, liver reserve and biliary drainage assessed, not described from a report</w:t>
      </w:r>
    </w:p>
    <w:p>
      <w:pPr>
        <w:pStyle w:val="ListParagraph"/>
        <w:numPr>
          <w:ilvl w:val="0"/>
          <w:numId w:val="2"/>
        </w:numPr>
        <w:spacing w:after="60" w:line="268"/>
      </w:pPr>
      <w:r>
        <w:rPr>
          <w:color w:val="15181F"/>
          <w:sz w:val="18"/>
          <w:szCs w:val="18"/>
        </w:rPr>
        <w:t xml:space="preserve">What this institution can actually deliver confirmed — pump, personalised dosimetry, device and radiopharmaceutical availability, payer authorisation</w:t>
      </w:r>
    </w:p>
    <w:p>
      <w:pPr>
        <w:pStyle w:val="ListParagraph"/>
        <w:numPr>
          <w:ilvl w:val="0"/>
          <w:numId w:val="2"/>
        </w:numPr>
        <w:spacing w:after="60" w:line="268"/>
      </w:pPr>
      <w:r>
        <w:rPr>
          <w:color w:val="15181F"/>
          <w:sz w:val="18"/>
          <w:szCs w:val="18"/>
        </w:rPr>
        <w:t xml:space="preserve">Resection, local ablation and transplant compared at multidisciplinary review where appropriate</w:t>
      </w:r>
    </w:p>
    <w:p>
      <w:pPr>
        <w:pStyle w:val="ListParagraph"/>
        <w:numPr>
          <w:ilvl w:val="0"/>
          <w:numId w:val="2"/>
        </w:numPr>
        <w:spacing w:after="60" w:line="268"/>
      </w:pPr>
      <w:r>
        <w:rPr>
          <w:color w:val="15181F"/>
          <w:sz w:val="18"/>
          <w:szCs w:val="18"/>
        </w:rPr>
        <w:t xml:space="preserve">Intended outcome, why the alternatives do not fit, the systemic plan, the reassessment date and the next action all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Assign the treatment intent before choosing a device. Curative intent means an attempt to eradicate all known cancer; it does not establish a cure rate.</w:t>
      </w:r>
    </w:p>
    <w:p>
      <w:pPr>
        <w:spacing w:after="50" w:line="276"/>
        <w:ind w:left="240"/>
      </w:pPr>
      <w:r>
        <w:rPr>
          <w:color w:val="15181F"/>
          <w:sz w:val="18"/>
          <w:szCs w:val="18"/>
        </w:rPr>
        <w:t xml:space="preserve">Every liver-directed decision. Local control, complete radiographic response, complete pathologic necrosis in a treated lesion, and overall survival are different outcomes; conflating hepatic control with cure is the commonest reasoning error here. Bridge and downstaging preserve a later transplant or resection opportunity and are recorded separately from definitive local treatment.</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and do not treat an upfront alternative chosen because of anatomy or organ reserve as a post-progression second line.</w:t>
      </w:r>
    </w:p>
    <w:p>
      <w:pPr>
        <w:spacing w:after="50" w:line="276"/>
        <w:ind w:left="240"/>
      </w:pPr>
      <w:r>
        <w:rPr>
          <w:i/>
          <w:iCs/>
          <w:color w:val="5A6069"/>
          <w:sz w:val="17"/>
          <w:szCs w:val="17"/>
        </w:rPr>
        <w:t xml:space="preserve">The categories in the selector are a clinical synthesis, not a new formal evidence-grading system.</w:t>
      </w:r>
    </w:p>
    <w:p>
      <w:pPr>
        <w:spacing w:after="60" w:line="276"/>
        <w:ind w:left="240"/>
      </w:pPr>
      <w:r>
        <w:rPr>
          <w:color w:val="5A6069"/>
          <w:sz w:val="16"/>
          <w:szCs w:val="16"/>
        </w:rPr>
        <w:t xml:space="preserve">Sources: MH iCCA roadmap v0.6</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Intent, target geometry, liver reserve and what the institution can deliver choose the modality — not a hierarchy of evidence, because none exists. No randomised trial compares any two of these in intrahepatic cholangiocarcinoma and none has been tested against a modern chemo-immunotherapy backbone. This order reproduces the roadmap's own selector table and carries no survival claim; resection is first because it is the established curative standard, and transplantation and histotripsy are last because both are protocol-only.</w:t>
      </w:r>
    </w:p>
    <w:p>
      <w:pPr>
        <w:spacing w:after="50" w:before="120"/>
        <w:ind w:left="240"/>
      </w:pPr>
      <w:r>
        <w:rPr>
          <w:b/>
          <w:bCs/>
          <w:color w:val="15181F"/>
          <w:sz w:val="19"/>
          <w:szCs w:val="19"/>
        </w:rPr>
        <w:t xml:space="preserve">Resection</w:t>
      </w:r>
      <w:r>
        <w:rPr>
          <w:color w:val="5A6069"/>
          <w:sz w:val="15"/>
          <w:szCs w:val="15"/>
        </w:rPr>
        <w:t xml:space="preserve">   grade B</w:t>
      </w:r>
    </w:p>
    <w:p>
      <w:pPr>
        <w:spacing w:after="50" w:line="276"/>
        <w:ind w:left="240"/>
      </w:pPr>
      <w:r>
        <w:rPr>
          <w:color w:val="15181F"/>
          <w:sz w:val="18"/>
          <w:szCs w:val="18"/>
        </w:rPr>
        <w:t xml:space="preserve">Goal: curative. Standard in the selector. Fits R0 achievable, liver-confined, adequate remnant and biliary drainage, fit patient.</w:t>
      </w:r>
    </w:p>
    <w:p>
      <w:pPr>
        <w:spacing w:after="50" w:line="276"/>
        <w:ind w:left="240"/>
      </w:pPr>
      <w:r>
        <w:rPr>
          <w:color w:val="15181F"/>
          <w:sz w:val="18"/>
          <w:szCs w:val="18"/>
        </w:rPr>
        <w:t xml:space="preserve">The established curative standard whenever the anatomy and the reserve allow it — gate 3.</w:t>
      </w:r>
    </w:p>
    <w:p>
      <w:pPr>
        <w:spacing w:after="50"/>
        <w:ind w:left="240"/>
      </w:pPr>
      <w:r>
        <w:rPr>
          <w:b/>
          <w:bCs/>
          <w:color w:val="8C2F26"/>
          <w:sz w:val="18"/>
          <w:szCs w:val="18"/>
        </w:rPr>
        <w:t xml:space="preserve">Caveat. </w:t>
      </w:r>
      <w:r>
        <w:rPr>
          <w:color w:val="15181F"/>
          <w:sz w:val="18"/>
          <w:szCs w:val="18"/>
        </w:rPr>
        <w:t xml:space="preserve">Multifocal disease; nodal disease beyond the regional basin; inadequate remnant; any extrahepatic disease.</w:t>
      </w:r>
    </w:p>
    <w:p>
      <w:pPr>
        <w:spacing w:after="60" w:line="276"/>
        <w:ind w:left="240"/>
      </w:pPr>
      <w:r>
        <w:rPr>
          <w:color w:val="5A6069"/>
          <w:sz w:val="16"/>
          <w:szCs w:val="16"/>
        </w:rPr>
        <w:t xml:space="preserve">Sources: NCCN BTC v1.2026; AASLD PSC/CCA 2023</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Goal: hepatic control or conversion. Expert-centre option for a defined phenotype. Fits liver-confined unresectable disease, favourable arterial anatomy, with durable hepatic control or conversion as the stated goal. NCCN permits HAI in trials or experienced centres for carefully selected patients.</w:t>
      </w:r>
    </w:p>
    <w:p>
      <w:pPr>
        <w:spacing w:after="50" w:line="276"/>
        <w:ind w:left="240"/>
      </w:pPr>
      <w:r>
        <w:rPr>
          <w:color w:val="15181F"/>
          <w:sz w:val="18"/>
          <w:szCs w:val="18"/>
        </w:rPr>
        <w:t xml:space="preserve">An approved expert programme with pump and arterial expertise, biliary toxicity monitoring and systemic coverage; it can be considered early rather than as a generic second line.</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Goal: selected definitive or consolidative local treatment. Reasonable consideration. Fits localized inoperable disease; cure evidence limited. Some of the evidence uses longer hypofractionated photon or proton schedules, not only 3–5-fraction SBRT.</w:t>
      </w:r>
    </w:p>
    <w:p>
      <w:pPr>
        <w:spacing w:after="50" w:line="276"/>
        <w:ind w:left="240"/>
      </w:pPr>
      <w:r>
        <w:rPr>
          <w:color w:val="15181F"/>
          <w:sz w:val="18"/>
          <w:szCs w:val="18"/>
        </w:rPr>
        <w:t xml:space="preserve">May be selected directly on geometry and reserve; an unsuccessful catheter therapy is not a prerequisite. Requires adequate liver reserve, biliary drainage and safe gastrointestinal and biliary doses.</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unresectable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Goal: hepatic control. Reasonable consideration. Fits liver-dominant disease with hepatic control as the goal, portal flow preserved and dosimetry planning available. Y90 may also be used in a planned conversion strategy.</w:t>
      </w:r>
    </w:p>
    <w:p>
      <w:pPr>
        <w:spacing w:after="50" w:line="276"/>
        <w:ind w:left="240"/>
      </w:pPr>
      <w:r>
        <w:rPr>
          <w:color w:val="15181F"/>
          <w:sz w:val="18"/>
          <w:szCs w:val="18"/>
        </w:rPr>
        <w:t xml:space="preserve">Selected hepatic-dominant disease where selective delivery and reserve are adequate, with personalised dosimetry and the systemic plan running alongside.</w:t>
      </w:r>
    </w:p>
    <w:p>
      <w:pPr>
        <w:spacing w:after="50"/>
        <w:ind w:left="240"/>
      </w:pPr>
      <w:r>
        <w:rPr>
          <w:b/>
          <w:bCs/>
          <w:color w:val="8C2F26"/>
          <w:sz w:val="18"/>
          <w:szCs w:val="18"/>
        </w:rPr>
        <w:t xml:space="preserve">Caveat. </w:t>
      </w:r>
      <w:r>
        <w:rPr>
          <w:color w:val="15181F"/>
          <w:sz w:val="18"/>
          <w:szCs w:val="18"/>
        </w:rPr>
        <w:t xml:space="preserve">Substituted for systemic therapy; used while extrahepatic disease progresses; inadequate future remnant or unsafe shunt fraction. Cirrhosis is the hard stop for radioembolisation plus chemotherapy — hepatic failure in 75% of cirrhotic patients, irreversible in 5 of 12.</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Goal: potentially curative intent in a narrow group. Reasonable consideration. Fits solitary tumour under 3 cm with a complete safe margin; EASL-ILCA is narrower at under 2 cm. Central ducts often limit feasibility.</w:t>
      </w:r>
    </w:p>
    <w:p>
      <w:pPr>
        <w:spacing w:after="50" w:line="276"/>
        <w:ind w:left="240"/>
      </w:pPr>
      <w:r>
        <w:rPr>
          <w:color w:val="15181F"/>
          <w:sz w:val="18"/>
          <w:szCs w:val="18"/>
        </w:rPr>
        <w:t xml:space="preserve">A small lesion when resection is unsuitable, with all disease treated to a safe margin and no uncontrolled nodal or distant disease; also at a first intrahepatic recurrence, where microwave ablation gave median overall survival 29.8 versus 34.0 months against repeat resection (HR 0.89, p=0.31) with major complications in 5.5% versus 31.3%.</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Evidence is mainly retrospective and weaker than in hepatocellular carcinoma or colorectal liver metastases; do not extrapolate to large or multifocal iCCA. Document why the patient fits the narrower evidence base.</w:t>
      </w:r>
    </w:p>
    <w:p>
      <w:pPr>
        <w:spacing w:after="60" w:line="276"/>
        <w:ind w:left="240"/>
      </w:pPr>
      <w:r>
        <w:rPr>
          <w:color w:val="5A6069"/>
          <w:sz w:val="16"/>
          <w:szCs w:val="16"/>
        </w:rPr>
        <w:t xml:space="preserve">Sources: MALRIC recurrent; MALRIC primary; Ablation meta-analysis; EASL-ILCA iCCA 2023; NCCN BTC v1.2026</w:t>
      </w:r>
    </w:p>
    <w:p>
      <w:pPr>
        <w:spacing w:after="50" w:before="120"/>
        <w:ind w:left="240"/>
      </w:pPr>
      <w:r>
        <w:rPr>
          <w:b/>
          <w:bCs/>
          <w:color w:val="15181F"/>
          <w:sz w:val="19"/>
          <w:szCs w:val="19"/>
        </w:rPr>
        <w:t xml:space="preserve">Liver transplantation</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Goal: total clearance. Trial or registry only. The best-characterised setting is a single tumour of 2 cm or less first diagnosed on cirrhotic explant pathology, most having been seen before transplant as presumed hepatocellular carcinoma — 15 patients in the index series, and mixed hepatocellular-cholangiocarcinoma was excluded from it.</w:t>
      </w:r>
    </w:p>
    <w:p>
      <w:pPr>
        <w:spacing w:after="50" w:line="276"/>
        <w:ind w:left="240"/>
      </w:pPr>
      <w:r>
        <w:rPr>
          <w:color w:val="15181F"/>
          <w:sz w:val="18"/>
          <w:szCs w:val="18"/>
        </w:rPr>
        <w:t xml:space="preserve">Only inside a formally approved protocol with review-board approval and registry entry — gate 10.</w:t>
      </w:r>
    </w:p>
    <w:p>
      <w:pPr>
        <w:spacing w:after="50"/>
        <w:ind w:left="240"/>
      </w:pPr>
      <w:r>
        <w:rPr>
          <w:b/>
          <w:bCs/>
          <w:color w:val="8C2F26"/>
          <w:sz w:val="18"/>
          <w:szCs w:val="18"/>
        </w:rPr>
        <w:t xml:space="preserve">Caveat. </w:t>
      </w:r>
      <w:r>
        <w:rPr>
          <w:color w:val="15181F"/>
          <w:sz w:val="18"/>
          <w:szCs w:val="18"/>
        </w:rPr>
        <w:t xml:space="preserve">Multifocal or larger disease outside a protocol; any extrahepatic disease; no registry entry. A technical response does not establish transplant eligibility.</w:t>
      </w:r>
    </w:p>
    <w:p>
      <w:pPr>
        <w:spacing w:after="60" w:line="276"/>
        <w:ind w:left="240"/>
      </w:pPr>
      <w:r>
        <w:rPr>
          <w:color w:val="5A6069"/>
          <w:sz w:val="16"/>
          <w:szCs w:val="16"/>
        </w:rPr>
        <w:t xml:space="preserve">Sources: Sapisochin very early iCCA; Sapisochin review; OPTN transplant-oncology guidance</w:t>
      </w:r>
    </w:p>
    <w:p>
      <w:pPr>
        <w:spacing w:after="50" w:before="120"/>
        <w:ind w:left="240"/>
      </w:pPr>
      <w:r>
        <w:rPr>
          <w:b/>
          <w:bCs/>
          <w:color w:val="15181F"/>
          <w:sz w:val="19"/>
          <w:szCs w:val="19"/>
        </w:rPr>
        <w:t xml:space="preserve">Histotripsy</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Investigational oncologic role: no tumour-specific curative evidence in intrahepatic cholangiocarcinoma. Consider only under a prospective trial or institutional registry, with explicit consent about oncologic uncertainty, suitable ultrasound visibility and acoustic access, device-compliant target size and depth, and an independent standard-treatment review.</w:t>
      </w:r>
    </w:p>
    <w:p>
      <w:pPr>
        <w:spacing w:after="50" w:line="276"/>
        <w:ind w:left="240"/>
      </w:pPr>
      <w:r>
        <w:rPr>
          <w:color w:val="15181F"/>
          <w:sz w:val="18"/>
          <w:szCs w:val="18"/>
        </w:rPr>
        <w:t xml:space="preserve">Nothing outside a protocol. In the one-year update of the pivotal experience, local control was 63.4% on the primary assessment versus 90% post hoc in 47 patients with 52 tumours.</w:t>
      </w:r>
    </w:p>
    <w:p>
      <w:pPr>
        <w:spacing w:after="50"/>
        <w:ind w:left="240"/>
      </w:pPr>
      <w:r>
        <w:rPr>
          <w:b/>
          <w:bCs/>
          <w:color w:val="8C2F26"/>
          <w:sz w:val="18"/>
          <w:szCs w:val="18"/>
        </w:rPr>
        <w:t xml:space="preserve">Caveat. </w:t>
      </w:r>
      <w:r>
        <w:rPr>
          <w:color w:val="15181F"/>
          <w:sz w:val="18"/>
          <w:szCs w:val="18"/>
        </w:rPr>
        <w:t xml:space="preserve">FDA device clearance for tumour destruction does not establish survival benefit or equivalence to established ablation. Be particularly cautious around central biliary structures and prior instrumentation; a bridge-to-transplant use remains protocol-based.</w:t>
      </w:r>
    </w:p>
    <w:p>
      <w:pPr>
        <w:spacing w:after="60" w:line="276"/>
        <w:ind w:left="240"/>
      </w:pPr>
      <w:r>
        <w:rPr>
          <w:color w:val="5A6069"/>
          <w:sz w:val="16"/>
          <w:szCs w:val="16"/>
        </w:rPr>
        <w:t xml:space="preserve">Sources: HOPE4LIVER one-year update</w:t>
      </w:r>
    </w:p>
    <w:p>
      <w:pPr>
        <w:spacing w:after="60" w:line="276"/>
        <w:ind w:left="240"/>
      </w:pPr>
      <w:r>
        <w:rPr>
          <w:i/>
          <w:iCs/>
          <w:color w:val="5A6069"/>
          <w:sz w:val="16"/>
          <w:szCs w:val="16"/>
        </w:rPr>
        <w:t xml:space="preserve">Unresolved decisions 1, 2, 6 and 7 all live here: whether the programme runs a hepatic arterial infusion service, which modality is first choice for unresectable liver-confined disease, the liver-function thresholds that bar each modality, and whether ablation is acceptable and in whom. The dependency flags the roadmap uses beyond demonstrated expertise — personalised dosimetry, device and radiopharmaceutical availability, payer authorisation and transplant timing — are local feasibility questions, not evidence questions.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Record the decision in the form the registry can audit: intended outcome, why the alternatives fit or do not fit, the systemic-treatment plan, the reassessment date and the next action.</w:t>
      </w:r>
    </w:p>
    <w:p>
      <w:pPr>
        <w:spacing w:after="50" w:line="276"/>
        <w:ind w:left="240"/>
      </w:pPr>
      <w:r>
        <w:rPr>
          <w:color w:val="15181F"/>
          <w:sz w:val="18"/>
          <w:szCs w:val="18"/>
        </w:rPr>
        <w:t xml:space="preserve">Every liver-directed case, because the unresolved questions above can only be answered from the programme's own data — modality, goal, hepatic progression-free survival and change in liver function.</w:t>
      </w:r>
    </w:p>
    <w:p>
      <w:pPr>
        <w:spacing w:after="50"/>
        <w:ind w:left="240"/>
      </w:pPr>
      <w:r>
        <w:rPr>
          <w:b/>
          <w:bCs/>
          <w:color w:val="8C2F26"/>
          <w:sz w:val="18"/>
          <w:szCs w:val="18"/>
        </w:rPr>
        <w:t xml:space="preserve">Caveat. </w:t>
      </w:r>
      <w:r>
        <w:rPr>
          <w:color w:val="15181F"/>
          <w:sz w:val="18"/>
          <w:szCs w:val="18"/>
        </w:rPr>
        <w:t xml:space="preserve">A note that records the device but not the goal makes the case useless for the registry and leaves the next team unable to tell a bridge from a definitive treatment.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complete local response as cure, or as a transplant exception.</w:t>
      </w:r>
    </w:p>
    <w:p>
      <w:pPr>
        <w:spacing w:after="50" w:line="276"/>
        <w:ind w:left="240"/>
      </w:pPr>
      <w:r>
        <w:rPr>
          <w:color w:val="15181F"/>
          <w:sz w:val="18"/>
          <w:szCs w:val="18"/>
        </w:rPr>
        <w:t xml:space="preserve">Reassess at 8–12 weeks allowing for the delayed response pattern after radiation-based therapy; nonprogression is not treatment failure.</w:t>
      </w:r>
    </w:p>
    <w:p>
      <w:pPr>
        <w:spacing w:after="50"/>
        <w:ind w:left="240"/>
      </w:pPr>
      <w:r>
        <w:rPr>
          <w:b/>
          <w:bCs/>
          <w:color w:val="8C2F26"/>
          <w:sz w:val="18"/>
          <w:szCs w:val="18"/>
        </w:rPr>
        <w:t xml:space="preserve">Caveat. </w:t>
      </w:r>
      <w:r>
        <w:rPr>
          <w:color w:val="15181F"/>
          <w:sz w:val="18"/>
          <w:szCs w:val="18"/>
        </w:rPr>
        <w:t xml:space="preserve">A local complete response is not an automatic transplant exception, and a technical response does not establish transplant eligibility.</w:t>
      </w:r>
    </w:p>
    <w:p>
      <w:pPr>
        <w:spacing w:after="60" w:line="276"/>
        <w:ind w:left="240"/>
      </w:pPr>
      <w:r>
        <w:rPr>
          <w:color w:val="5A6069"/>
          <w:sz w:val="16"/>
          <w:szCs w:val="16"/>
        </w:rPr>
        <w:t xml:space="preserve">Sources: MH iCCA roadmap v0.6; OPTN transplant-oncology guidance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Adjuvant therapy after resection</w:t>
      </w:r>
    </w:p>
    <w:p>
      <w:pPr>
        <w:spacing w:after="140"/>
      </w:pPr>
      <w:r>
        <w:rPr>
          <w:b/>
          <w:bCs/>
          <w:color w:val="176A87"/>
          <w:sz w:val="19"/>
          <w:szCs w:val="19"/>
        </w:rPr>
        <w:t xml:space="preserve">The question. </w:t>
      </w:r>
      <w:r>
        <w:rPr>
          <w:sz w:val="19"/>
          <w:szCs w:val="19"/>
        </w:rPr>
        <w:t xml:space="preserve">Do I offer capecitabine, and what do I tell this patient the trial showed?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Macroscopically complete resection with curative intent, R0 or R1</w:t>
      </w:r>
    </w:p>
    <w:p>
      <w:pPr>
        <w:pStyle w:val="ListParagraph"/>
        <w:numPr>
          <w:ilvl w:val="0"/>
          <w:numId w:val="2"/>
        </w:numPr>
        <w:spacing w:after="60" w:line="268"/>
      </w:pPr>
      <w:r>
        <w:rPr>
          <w:color w:val="15181F"/>
          <w:sz w:val="18"/>
          <w:szCs w:val="18"/>
        </w:rPr>
        <w:t xml:space="preserve">Recovered enough to start within 16 weeks of surgery, with performance status and organ function to match</w:t>
      </w:r>
    </w:p>
    <w:p>
      <w:pPr>
        <w:pStyle w:val="ListParagraph"/>
        <w:numPr>
          <w:ilvl w:val="0"/>
          <w:numId w:val="2"/>
        </w:numPr>
        <w:spacing w:after="60" w:line="268"/>
      </w:pPr>
      <w:r>
        <w:rPr>
          <w:color w:val="15181F"/>
          <w:sz w:val="18"/>
          <w:szCs w:val="18"/>
        </w:rPr>
        <w:t xml:space="preserve">Node-positive or R1 disease, where the discussion carries most weight</w:t>
      </w:r>
    </w:p>
    <w:p>
      <w:pPr>
        <w:pStyle w:val="ListParagraph"/>
        <w:numPr>
          <w:ilvl w:val="0"/>
          <w:numId w:val="2"/>
        </w:numPr>
        <w:spacing w:after="60" w:line="268"/>
      </w:pPr>
      <w:r>
        <w:rPr>
          <w:color w:val="15181F"/>
          <w:sz w:val="18"/>
          <w:szCs w:val="18"/>
        </w:rPr>
        <w:t xml:space="preserve">A patient who wants to know what the trial actually showed before deciding</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Have the adjuvant conversation with the numbers in front of you: BILCAP's intention-to-treat primary analysis did </w:t>
      </w:r>
      <w:r>
        <w:rPr>
          <w:b/>
          <w:bCs/>
          <w:color w:val="15181F"/>
          <w:sz w:val="19"/>
          <w:szCs w:val="19"/>
        </w:rPr>
        <w:t xml:space="preserve">not</w:t>
      </w:r>
      <w:r>
        <w:rPr>
          <w:color w:val="15181F"/>
          <w:sz w:val="19"/>
          <w:szCs w:val="19"/>
        </w:rPr>
        <w:t xml:space="preserve"> meet statistical significance — median overall survival 51.1 versus 36.4 months, adjusted hazard ratio 0.81 (95% CI 0.63–1.04), p=0.097.</w:t>
      </w:r>
    </w:p>
    <w:p>
      <w:pPr>
        <w:spacing w:after="50" w:line="276"/>
        <w:ind w:left="240"/>
      </w:pPr>
      <w:r>
        <w:rPr>
          <w:color w:val="15181F"/>
          <w:sz w:val="18"/>
          <w:szCs w:val="18"/>
        </w:rPr>
        <w:t xml:space="preserve">Every patient being offered capecitabine. Significance appeared in the prespecified intention-to-treat sensitivity analysis adjusted for nodal status, tumour grade and sex (hazard ratio 0.71, 95% CI 0.55–0.92, p=0.010) and in the per-protocol analysis (hazard ratio 0.75, 95% CI 0.58–0.97, p=0.028); the trial was unmasked. Say both halves.</w:t>
      </w:r>
    </w:p>
    <w:p>
      <w:pPr>
        <w:spacing w:after="50"/>
        <w:ind w:left="240"/>
      </w:pPr>
      <w:r>
        <w:rPr>
          <w:b/>
          <w:bCs/>
          <w:color w:val="8C2F26"/>
          <w:sz w:val="18"/>
          <w:szCs w:val="18"/>
        </w:rPr>
        <w:t xml:space="preserve">Caveat. </w:t>
      </w:r>
      <w:r>
        <w:rPr>
          <w:color w:val="15181F"/>
          <w:sz w:val="18"/>
          <w:szCs w:val="18"/>
        </w:rPr>
        <w:t xml:space="preserve">Do not present it as settled. Only 84 of 447 patients (19%) had intrahepatic disease and the trial was not powered for site-specific effects, so the iCCA-specific benefit is unproven; LCSGJ 2022 reports no significant benefit in the intrahepatic subgroup, while EASL-ILCA cites an iCCA hazard ratio of 0.65 — the best of the subtypes — and still grades the recommendation on a trial that was negative on intention to treat.</w:t>
      </w:r>
    </w:p>
    <w:p>
      <w:pPr>
        <w:spacing w:after="50" w:line="276"/>
        <w:ind w:left="240"/>
      </w:pPr>
      <w:r>
        <w:rPr>
          <w:i/>
          <w:iCs/>
          <w:color w:val="5A6069"/>
          <w:sz w:val="17"/>
          <w:szCs w:val="17"/>
        </w:rPr>
        <w:t xml:space="preserve">Lymphadenectomy was not mandated for intrahepatic patients in BILCAP, yet nodal status is one of the covariates that turns the sensitivity analysis positive. Recurrence-free survival favoured capecitabine over the first 24 months (median 24.4 versus 17.5 months, adjusted hazard ratio 0.75, 95% CI 0.58–0.98, p=0.033) with no difference from 24 to 60 months (hazard ratio 1.48, 0.80–2.77, p=0.21), which the authors read as deferred rather than prevented recurrence. Recruitment ran nearly nine years with no fully defined analysis plan at the outset and the monitoring committee had to reset the event target when survival on observation proved far better than assumed. Two guideline readings of the same subgroup conflict and should not be presented as two datasets: LCSGJ 2022 reports no significant benefit in the intrahepatic subgroup while EASL-ILCA cites an iCCA hazard ratio of 0.65 as the best of the subtypes — both are unpowered subgroup estimates from the trial that was negative on intention to treat. NCCN Biliary Tract Cancers v1.2026 designates capecitabine preferred, category 1, while acknowledging the nonsignificant intention-to-treat analysis; our Reasonable consideration is deliberately more cautious and requires explicit multidisciplinary ratification (alignment worksheet, area 11).</w:t>
      </w:r>
    </w:p>
    <w:p>
      <w:pPr>
        <w:spacing w:after="60" w:line="276"/>
        <w:ind w:left="240"/>
      </w:pPr>
      <w:r>
        <w:rPr>
          <w:color w:val="5A6069"/>
          <w:sz w:val="16"/>
          <w:szCs w:val="16"/>
        </w:rPr>
        <w:t xml:space="preserve">Sources: BILCAP; NCCN BTC v1.2026; LCSGJ iCCA 2022;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Offer adjuvant capecitabine for 6 months as a reasonable consideration, not an obligation.</w:t>
      </w:r>
    </w:p>
    <w:p>
      <w:pPr>
        <w:spacing w:after="50" w:line="276"/>
        <w:ind w:left="240"/>
      </w:pPr>
      <w:r>
        <w:rPr>
          <w:color w:val="15181F"/>
          <w:sz w:val="18"/>
          <w:szCs w:val="18"/>
        </w:rPr>
        <w:t xml:space="preserve">The fit patient after R0 or R1 resection, particularly node-positive or R1 disease, who has heard the trial endpoints and wants treatment. AASLD 2023 says capecitabine should be considered for all patients with cholangiocarcinoma and BSG 2023 recommends considering 24 weeks (strong recommendation, moderate-quality evidence).</w:t>
      </w:r>
    </w:p>
    <w:p>
      <w:pPr>
        <w:spacing w:after="50"/>
        <w:ind w:left="240"/>
      </w:pPr>
      <w:r>
        <w:rPr>
          <w:b/>
          <w:bCs/>
          <w:color w:val="8C2F26"/>
          <w:sz w:val="18"/>
          <w:szCs w:val="18"/>
        </w:rPr>
        <w:t xml:space="preserve">Caveat. </w:t>
      </w:r>
      <w:r>
        <w:rPr>
          <w:color w:val="15181F"/>
          <w:sz w:val="18"/>
          <w:szCs w:val="18"/>
        </w:rPr>
        <w:t xml:space="preserve">A patient for whom the toxicity outweighs an unproven site-specific gain: grade 3 or worse events affected 44% of the 213 treated patients, most often hand-foot syndrome (20%), 32% stopped for toxicity and only 55% completed all eight cycles. Serious adverse events were 21% versus 10% on observation.</w:t>
      </w:r>
    </w:p>
    <w:p>
      <w:pPr>
        <w:spacing w:after="50" w:line="276"/>
        <w:ind w:left="240"/>
      </w:pPr>
      <w:r>
        <w:rPr>
          <w:i/>
          <w:iCs/>
          <w:color w:val="5A6069"/>
          <w:sz w:val="17"/>
          <w:szCs w:val="17"/>
        </w:rPr>
        <w:t xml:space="preserve">Downgraded from B. The trial that supports it did not meet its primary intention-to-treat endpoint (adjusted hazard ratio 0.81, 95% CI 0.63–1.04, p=0.097), only 84 of 447 patients (19%) had intrahepatic disease and it was not powered for site-specific effects, so for this pathway the benefit is an unpowered subgroup of a negative trial. ACTICCA-1 has not reported. Our label sits closest to LCSGJ 2022's weak recommendation and is more cautious than AASLD 2023, BSG 2023 and EASL-ILCA, each of which grades the recommendation strong. Whether it moves to Standard is unresolved decision 3.</w:t>
      </w:r>
    </w:p>
    <w:p>
      <w:pPr>
        <w:spacing w:after="60" w:line="276"/>
        <w:ind w:left="240"/>
      </w:pPr>
      <w:r>
        <w:rPr>
          <w:color w:val="5A6069"/>
          <w:sz w:val="16"/>
          <w:szCs w:val="16"/>
        </w:rPr>
        <w:t xml:space="preserve">Sources: BILCAP; AASLD PSC/CCA 2023; BSG 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Discuss adjuvant chemoradiotherapy case by case at tumour board after an R1 or node-positive resection; it is not routine.</w:t>
      </w:r>
    </w:p>
    <w:p>
      <w:pPr>
        <w:spacing w:after="50" w:line="276"/>
        <w:ind w:left="240"/>
      </w:pPr>
      <w:r>
        <w:rPr>
          <w:color w:val="15181F"/>
          <w:sz w:val="18"/>
          <w:szCs w:val="18"/>
        </w:rPr>
        <w:t xml:space="preserve">A margin or nodal result that genuinely changes the local-failure risk, discussed as a one-off decision with the radiation oncologist present.</w:t>
      </w:r>
    </w:p>
    <w:p>
      <w:pPr>
        <w:spacing w:after="50"/>
        <w:ind w:left="240"/>
      </w:pPr>
      <w:r>
        <w:rPr>
          <w:b/>
          <w:bCs/>
          <w:color w:val="8C2F26"/>
          <w:sz w:val="18"/>
          <w:szCs w:val="18"/>
        </w:rPr>
        <w:t xml:space="preserve">Caveat. </w:t>
      </w:r>
      <w:r>
        <w:rPr>
          <w:color w:val="15181F"/>
          <w:sz w:val="18"/>
          <w:szCs w:val="18"/>
        </w:rPr>
        <w:t xml:space="preserve">In intrahepatic disease the support is retrospective only, and BSG 2023 confines its recommendation for chemoradiotherapy after an R1 resection to extrahepatic cholangiocarcinoma and gallbladder cancer (alignment worksheet, area 11). Do not make it a standing rule for R1 iCCA.</w:t>
      </w:r>
    </w:p>
    <w:p>
      <w:pPr>
        <w:spacing w:after="60" w:line="276"/>
        <w:ind w:left="240"/>
      </w:pPr>
      <w:r>
        <w:rPr>
          <w:color w:val="5A6069"/>
          <w:sz w:val="16"/>
          <w:szCs w:val="16"/>
        </w:rPr>
        <w:t xml:space="preserve">Sources: MH iCCA alignment worksheet;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adjuvant gemcitabine–oxaliplatin.</w:t>
      </w:r>
    </w:p>
    <w:p>
      <w:pPr>
        <w:spacing w:after="50" w:line="276"/>
        <w:ind w:left="240"/>
      </w:pPr>
      <w:r>
        <w:rPr>
          <w:color w:val="15181F"/>
          <w:sz w:val="18"/>
          <w:szCs w:val="18"/>
        </w:rPr>
        <w:t xml:space="preserve">PRODIGE-12 was negative on both co-primary endpoints: relapse-free survival 30.4 versus 18.5 months, hazard ratio 0.88 (95% CI 0.62–1.25), p=0.48, and median time to definitive quality-of-life deterioration 31.8 versus 32.1 months, hazard ratio 1.28 (0.73–2.26), p=0.39; overall survival numerically favoured surveillance (median 75.8 versus 50.8 months, hazard ratio 1.08, 0.70–1.66).</w:t>
      </w:r>
    </w:p>
    <w:p>
      <w:pPr>
        <w:spacing w:after="50"/>
        <w:ind w:left="240"/>
      </w:pPr>
      <w:r>
        <w:rPr>
          <w:b/>
          <w:bCs/>
          <w:color w:val="8C2F26"/>
          <w:sz w:val="18"/>
          <w:szCs w:val="18"/>
        </w:rPr>
        <w:t xml:space="preserve">Caveat. </w:t>
      </w:r>
      <w:r>
        <w:rPr>
          <w:color w:val="15181F"/>
          <w:sz w:val="18"/>
          <w:szCs w:val="18"/>
        </w:rPr>
        <w:t xml:space="preserve">Grade 3 toxicity affected 62% and grade 4 11%, with grade 3 peripheral sensory neuropathy in 18%. Intrahepatic patients were 86 of 194 (44%) and their relapse-free survival hazard ratio was 0.718 (0.431–1.196), so this is not a population mismatch excuse. Say what kind of negative it is: the trial was powered for a hazard ratio of 0.60 on 126 events, its medians fell on a plateau of the curves, and salvage differed sharply by arm (40 of 41 surveillance relapses received gemcitabine-based salvage versus 9 of 33 after GEMOX), so this is a failed superiority trial in a lower-risk population than BILCAP (13% R1 and 38% node-positive, against 38% and 47%) rather than a demonstration that adjuvant therapy does nothing.</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S-1 as the adjuvant option here, and do not use BCAT to argue against adjuvant therapy in intrahepatic disease.</w:t>
      </w:r>
    </w:p>
    <w:p>
      <w:pPr>
        <w:spacing w:after="50" w:line="276"/>
        <w:ind w:left="240"/>
      </w:pPr>
      <w:r>
        <w:rPr>
          <w:color w:val="15181F"/>
          <w:sz w:val="18"/>
          <w:szCs w:val="18"/>
        </w:rPr>
        <w:t xml:space="preserve">ASCOT met its primary endpoint — 3-year overall survival 77.1% versus 67.6%, stratified hazard ratio 0.69 (95% CI 0.51–0.94) — but relapse-free survival did not reach significance (hazard ratio 0.80, 0.61–1.04, p=0.088) with the curves crossing at 6 years, the analysis was done at 179 deaths, 62.8% of the 285 prespecified events, and the observation arm did far better than the hypothesised 47%. It was conducted entirely in Japan and S-1 is not available in the United States; only 58 of 440 patients (13%) had intrahepatic disease and that subgroup's hazard ratio, 0.75 (95% CI 0.30–1.89), is uninformative.</w:t>
      </w:r>
    </w:p>
    <w:p>
      <w:pPr>
        <w:spacing w:after="50"/>
        <w:ind w:left="240"/>
      </w:pPr>
      <w:r>
        <w:rPr>
          <w:b/>
          <w:bCs/>
          <w:color w:val="8C2F26"/>
          <w:sz w:val="18"/>
          <w:szCs w:val="18"/>
        </w:rPr>
        <w:t xml:space="preserve">Caveat. </w:t>
      </w:r>
      <w:r>
        <w:rPr>
          <w:color w:val="15181F"/>
          <w:sz w:val="18"/>
          <w:szCs w:val="18"/>
        </w:rPr>
        <w:t xml:space="preserve">BCAT found no benefit for gemcitabine (hazard ratio 1.01, 95% CI 0.70–1.45) but enrolled only resected extrahepatic bile duct cancer — intrahepatic disease was not eligible — which is why EASL-ILCA excluded it when answering the adjuvant question for iCCA. It is also underpowered on its own terms: recruitment stopped at 226 of a planned 300 because patients wanted adjuvant chemotherapy, and the authors calculate only a 2.8% probability the result would have reached significance even with the planned 189 deaths. Neither trial can be quoted as evidence that adjuvant therapy is futile.</w:t>
      </w:r>
    </w:p>
    <w:p>
      <w:pPr>
        <w:spacing w:after="60" w:line="276"/>
        <w:ind w:left="240"/>
      </w:pPr>
      <w:r>
        <w:rPr>
          <w:color w:val="5A6069"/>
          <w:sz w:val="16"/>
          <w:szCs w:val="16"/>
        </w:rPr>
        <w:t xml:space="preserve">Sources: ASCOT; BCAT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First line and beyond for advanced disease</w:t>
      </w:r>
    </w:p>
    <w:p>
      <w:pPr>
        <w:spacing w:after="140"/>
      </w:pPr>
      <w:r>
        <w:rPr>
          <w:b/>
          <w:bCs/>
          <w:color w:val="176A87"/>
          <w:sz w:val="19"/>
          <w:szCs w:val="19"/>
        </w:rPr>
        <w:t xml:space="preserve">The question. </w:t>
      </w:r>
      <w:r>
        <w:rPr>
          <w:sz w:val="19"/>
          <w:szCs w:val="19"/>
        </w:rPr>
        <w:t xml:space="preserve">Is this patient fit for the full regimen, and what comes next when it fails?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treated with systemic intent</w:t>
      </w:r>
    </w:p>
    <w:p>
      <w:pPr>
        <w:pStyle w:val="ListParagraph"/>
        <w:numPr>
          <w:ilvl w:val="0"/>
          <w:numId w:val="2"/>
        </w:numPr>
        <w:spacing w:after="60" w:line="268"/>
      </w:pPr>
      <w:r>
        <w:rPr>
          <w:color w:val="15181F"/>
          <w:sz w:val="18"/>
          <w:szCs w:val="18"/>
        </w:rPr>
        <w:t xml:space="preserve">Performance status, renal and hepatic function and contraindications to checkpoint inhibition assessed, including any prior adjuvant therapy</w:t>
      </w:r>
    </w:p>
    <w:p>
      <w:pPr>
        <w:pStyle w:val="ListParagraph"/>
        <w:numPr>
          <w:ilvl w:val="0"/>
          <w:numId w:val="2"/>
        </w:numPr>
        <w:spacing w:after="60" w:line="268"/>
      </w:pPr>
      <w:r>
        <w:rPr>
          <w:color w:val="15181F"/>
          <w:sz w:val="18"/>
          <w:szCs w:val="18"/>
        </w:rPr>
        <w:t xml:space="preserve">Progression on first-line gemcitabine–platinum, with the molecular result already in hand</w:t>
      </w:r>
    </w:p>
    <w:p>
      <w:pPr>
        <w:pStyle w:val="ListParagraph"/>
        <w:numPr>
          <w:ilvl w:val="0"/>
          <w:numId w:val="2"/>
        </w:numPr>
        <w:spacing w:after="60" w:line="268"/>
      </w:pPr>
      <w:r>
        <w:rPr>
          <w:color w:val="15181F"/>
          <w:sz w:val="18"/>
          <w:szCs w:val="18"/>
        </w:rPr>
        <w:t xml:space="preserve">Trial eligibility checked — at diagnosis and again at each progression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Cisplatin–gemcitabine with a checkpoint inhibitor is the first-line standard: ABC-02 established the backbone (overall survival 11.7 versus 8.1 months, hazard ratio 0.64, 95% CI 0.52–0.80), durvalumab added a hazard ratio of 0.80 and pembrolizumab 0.83.</w:t>
      </w:r>
    </w:p>
    <w:p>
      <w:pPr>
        <w:spacing w:after="50" w:line="276"/>
        <w:ind w:left="240"/>
      </w:pPr>
      <w:r>
        <w:rPr>
          <w:color w:val="15181F"/>
          <w:sz w:val="18"/>
          <w:szCs w:val="18"/>
        </w:rPr>
        <w:t xml:space="preserve">Either combination is acceptable and the roadmap does not rank them; no trial compares them, so the choice is made on toxicity profile, schedule and access. ESMO 2024 recommends both [I, A] and states no biomarker favours one checkpoint inhibitor over the other.</w:t>
      </w:r>
    </w:p>
    <w:p>
      <w:pPr>
        <w:spacing w:after="50"/>
        <w:ind w:left="240"/>
      </w:pPr>
      <w:r>
        <w:rPr>
          <w:b/>
          <w:bCs/>
          <w:color w:val="8C2F26"/>
          <w:sz w:val="18"/>
          <w:szCs w:val="18"/>
        </w:rPr>
        <w:t xml:space="preserve">Caveat. </w:t>
      </w:r>
      <w:r>
        <w:rPr>
          <w:color w:val="15181F"/>
          <w:sz w:val="18"/>
          <w:szCs w:val="18"/>
        </w:rPr>
        <w:t xml:space="preserve">Do not read the backbone trial as an iCCA trial. The three trials differ sharply in how much of their population was actually intrahepatic: 80 of 410 patients (20%) in ABC-02, 383 of 685 (55.9%) in TOPAZ-1 and 633 of 1069 (59%) in KEYNOTE-966 — the last enriched because tumour tissue was mandatory and intrahepatic tumours are easier to sample. The modern figures are the ones that apply to this clinic; ABC-02's 11.7 months rests on a population in which gallbladder cancer was the largest single site at 36%, with a median follow-up of only 8.2 months, scans at weeks 12 and 24 by RECIST 1.0, and no molecular selection.</w:t>
      </w:r>
    </w:p>
    <w:p>
      <w:pPr>
        <w:spacing w:after="50" w:line="276"/>
        <w:ind w:left="240"/>
      </w:pPr>
      <w:r>
        <w:rPr>
          <w:i/>
          <w:iCs/>
          <w:color w:val="5A6069"/>
          <w:sz w:val="17"/>
          <w:szCs w:val="17"/>
        </w:rPr>
        <w:t xml:space="preserve">In both chemo-immunotherapy trials the intrahepatic subgroup carried the effect — hazard ratio 0.76 in each — which is the opposite of the adjuvant picture in gate 8, where intrahepatic patients were a small minority. The absolute gains are small: 1.3 months of median survival with durvalumab and 1.8 with pembrolizumab, both bought with immune toxicity and, in KEYNOTE-966, more treatment-related deaths and no quality-of-life gain. The claim that the two are interchangeable is an indirect comparison across trials that differ in chemotherapy duration, geography and population; ESMO states no biomarker or efficacy difference separates them, and no randomised comparison exists.</w:t>
      </w:r>
    </w:p>
    <w:p>
      <w:pPr>
        <w:spacing w:after="60" w:line="276"/>
        <w:ind w:left="240"/>
      </w:pPr>
      <w:r>
        <w:rPr>
          <w:color w:val="5A6069"/>
          <w:sz w:val="16"/>
          <w:szCs w:val="16"/>
        </w:rPr>
        <w:t xml:space="preserve">Sources: ABC-02; TOPAZ-1; KEYNOTE-966; NCCN BTC v1.2026; ESMO BTC 2024 interim;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Performance status, renal and hepatic function, contraindications to checkpoint inhibition and prior therapy determine whether the full regimen is appropriate and at what intensity; any modification is recorded with its reason.</w:t>
      </w:r>
    </w:p>
    <w:p>
      <w:pPr>
        <w:spacing w:after="50" w:line="276"/>
        <w:ind w:left="240"/>
      </w:pPr>
      <w:r>
        <w:rPr>
          <w:color w:val="15181F"/>
          <w:sz w:val="18"/>
          <w:szCs w:val="18"/>
        </w:rPr>
        <w:t xml:space="preserve">Every patient, before the first cycle. Both pivotal trials enrolled only ECOG 0–1 patients, so the standard assumes a patient fit for it.</w:t>
      </w:r>
    </w:p>
    <w:p>
      <w:pPr>
        <w:spacing w:after="50"/>
        <w:ind w:left="240"/>
      </w:pPr>
      <w:r>
        <w:rPr>
          <w:b/>
          <w:bCs/>
          <w:color w:val="8C2F26"/>
          <w:sz w:val="18"/>
          <w:szCs w:val="18"/>
        </w:rPr>
        <w:t xml:space="preserve">Caveat. </w:t>
      </w:r>
      <w:r>
        <w:rPr>
          <w:color w:val="15181F"/>
          <w:sz w:val="18"/>
          <w:szCs w:val="18"/>
        </w:rPr>
        <w:t xml:space="preserve">Do not quietly drop a component without recording why. BSG 2023 regards oxaliplatin substitution in renal impairment and gemcitabine alone in poor performance status as reasonable; our roadmap leaves the choice to the treating oncologist, and whether to name defaults is a ratification item.</w:t>
      </w:r>
    </w:p>
    <w:p>
      <w:pPr>
        <w:spacing w:after="50" w:line="276"/>
        <w:ind w:left="240"/>
      </w:pPr>
      <w:r>
        <w:rPr>
          <w:i/>
          <w:iCs/>
          <w:color w:val="5A6069"/>
          <w:sz w:val="17"/>
          <w:szCs w:val="17"/>
        </w:rPr>
        <w:t xml:space="preserve">Clinical trial eligibility is checked at diagnosis and at each progression. Standard, grade D.</w:t>
      </w:r>
    </w:p>
    <w:p>
      <w:pPr>
        <w:spacing w:after="60" w:line="276"/>
        <w:ind w:left="240"/>
      </w:pPr>
      <w:r>
        <w:rPr>
          <w:color w:val="5A6069"/>
          <w:sz w:val="16"/>
          <w:szCs w:val="16"/>
        </w:rPr>
        <w:t xml:space="preserve">Sources: MH iCCA roadmap v0.6; BSG CCA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At progression, use the matched agent where a driver is present and FOLFOX where none is; recognise that those are different kinds of evidence.</w:t>
      </w:r>
    </w:p>
    <w:p>
      <w:pPr>
        <w:spacing w:after="50" w:line="276"/>
        <w:ind w:left="240"/>
      </w:pPr>
      <w:r>
        <w:rPr>
          <w:color w:val="15181F"/>
          <w:sz w:val="18"/>
          <w:szCs w:val="18"/>
        </w:rPr>
        <w:t xml:space="preserve">ABC-06 is the only randomised second-line evidence: FOLFOX 6.2 versus 5.3 months against active symptom control, adjusted hazard ratio 0.69 (95% CI 0.50–0.97), with 12-month survival 25.9% versus 11.4%. The matched agents report larger response and survival figures from single-arm trials and have never been compared with chemotherapy.</w:t>
      </w:r>
    </w:p>
    <w:p>
      <w:pPr>
        <w:spacing w:after="50"/>
        <w:ind w:left="240"/>
      </w:pPr>
      <w:r>
        <w:rPr>
          <w:b/>
          <w:bCs/>
          <w:color w:val="8C2F26"/>
          <w:sz w:val="18"/>
          <w:szCs w:val="18"/>
        </w:rPr>
        <w:t xml:space="preserve">Caveat. </w:t>
      </w:r>
      <w:r>
        <w:rPr>
          <w:color w:val="15181F"/>
          <w:sz w:val="18"/>
          <w:szCs w:val="18"/>
        </w:rPr>
        <w:t xml:space="preserve">Do not treat the single-arm figures as comparative survival data, and do not expect a response-driven surgical opportunity from ivosidenib (response 2%) or from any of these agents. There is no randomised evidence establishing a sequence among the targeted options.</w:t>
      </w:r>
    </w:p>
    <w:p>
      <w:pPr>
        <w:spacing w:after="50" w:line="276"/>
        <w:ind w:left="240"/>
      </w:pPr>
      <w:r>
        <w:rPr>
          <w:i/>
          <w:iCs/>
          <w:color w:val="5A6069"/>
          <w:sz w:val="17"/>
          <w:szCs w:val="17"/>
        </w:rPr>
        <w:t xml:space="preserve">ABC-06's benefit is an absolute median gain of 0.9 months and cost grade 3–5 toxicity in 69% versus 52% and three chemotherapy-related deaths; 44% of its patients had intrahepatic disease, and stratification errors discovered in data cleaning required a post hoc sensitivity analysis to confirm the result.</w:t>
      </w:r>
    </w:p>
    <w:p>
      <w:pPr>
        <w:spacing w:after="60" w:line="276"/>
        <w:ind w:left="240"/>
      </w:pPr>
      <w:r>
        <w:rPr>
          <w:color w:val="5A6069"/>
          <w:sz w:val="16"/>
          <w:szCs w:val="16"/>
        </w:rPr>
        <w:t xml:space="preserve">Sources: ABC-06; FIGHT-202 final; FOENIX-CCA2; ClarIDHy final OS; HERIZON-BTC-01; ROAR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Move to symptom-focused care when the reassessment answers that question, and make that an explicit tumour-board decision rather than a default.</w:t>
      </w:r>
    </w:p>
    <w:p>
      <w:pPr>
        <w:spacing w:after="50" w:line="276"/>
        <w:ind w:left="240"/>
      </w:pPr>
      <w:r>
        <w:rPr>
          <w:color w:val="15181F"/>
          <w:sz w:val="18"/>
          <w:szCs w:val="18"/>
        </w:rPr>
        <w:t xml:space="preserve">The patient in whom the next line would buy toxicity rather than time. Biliary function is monitored alongside the disease throughout: liver biochemistry at every assessment, and a defined route for early detection of stent blockage.</w:t>
      </w:r>
    </w:p>
    <w:p>
      <w:pPr>
        <w:spacing w:after="50"/>
        <w:ind w:left="240"/>
      </w:pPr>
      <w:r>
        <w:rPr>
          <w:b/>
          <w:bCs/>
          <w:color w:val="8C2F26"/>
          <w:sz w:val="18"/>
          <w:szCs w:val="18"/>
        </w:rPr>
        <w:t xml:space="preserve">Caveat. </w:t>
      </w:r>
      <w:r>
        <w:rPr>
          <w:color w:val="15181F"/>
          <w:sz w:val="18"/>
          <w:szCs w:val="18"/>
        </w:rPr>
        <w:t xml:space="preserve">Do not let symptom-focused care mean no biliary care — BSG 2023 attributes the better-than-expected survival in the ABC-06 active-symptom-control arm to proactive treatment of biliary obstruction and infection. New jaundice, a rising bilirubin or cholangitis is evaluated promptly and does not wait for the next scheduled scan.</w:t>
      </w:r>
    </w:p>
    <w:p>
      <w:pPr>
        <w:spacing w:after="60" w:line="276"/>
        <w:ind w:left="240"/>
      </w:pPr>
      <w:r>
        <w:rPr>
          <w:color w:val="5A6069"/>
          <w:sz w:val="16"/>
          <w:szCs w:val="16"/>
        </w:rPr>
        <w:t xml:space="preserve">Sources: MH iCCA roadmap v0.6;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recycle immunotherapy without considering prior exposure, and do not reach for a static second-line drug list instead of the molecular result.</w:t>
      </w:r>
    </w:p>
    <w:p>
      <w:pPr>
        <w:spacing w:after="50" w:line="276"/>
        <w:ind w:left="240"/>
      </w:pPr>
      <w:r>
        <w:rPr>
          <w:color w:val="15181F"/>
          <w:sz w:val="18"/>
          <w:szCs w:val="18"/>
        </w:rPr>
        <w:t xml:space="preserve">Confirm biomarker, line, label and access with oncology; NCCN states that treatment selection depends on previous regimen, somatic molecular testing results and extent of liver dysfunction.</w:t>
      </w:r>
    </w:p>
    <w:p>
      <w:pPr>
        <w:spacing w:after="50"/>
        <w:ind w:left="240"/>
      </w:pPr>
      <w:r>
        <w:rPr>
          <w:b/>
          <w:bCs/>
          <w:color w:val="8C2F26"/>
          <w:sz w:val="18"/>
          <w:szCs w:val="18"/>
        </w:rPr>
        <w:t xml:space="preserve">Caveat. </w:t>
      </w:r>
      <w:r>
        <w:rPr>
          <w:color w:val="15181F"/>
          <w:sz w:val="18"/>
          <w:szCs w:val="18"/>
        </w:rPr>
        <w:t xml:space="preserve">Our position deliberately expands the molecular branch to the edition's matched options rather than a short static list (alignment worksheet, area 14).</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Transplant candidate</w:t>
      </w:r>
    </w:p>
    <w:p>
      <w:pPr>
        <w:spacing w:after="140"/>
      </w:pPr>
      <w:r>
        <w:rPr>
          <w:b/>
          <w:bCs/>
          <w:color w:val="176A87"/>
          <w:sz w:val="19"/>
          <w:szCs w:val="19"/>
        </w:rPr>
        <w:t xml:space="preserve">The question. </w:t>
      </w:r>
      <w:r>
        <w:rPr>
          <w:sz w:val="19"/>
          <w:szCs w:val="19"/>
        </w:rPr>
        <w:t xml:space="preserve">Is this patient inside the narrow phenotype, and do we have a protocol to put them 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Biopsy-proven solitary unresectable iCCA or mixed HCC-iCCA</w:t>
      </w:r>
    </w:p>
    <w:p>
      <w:pPr>
        <w:pStyle w:val="ListParagraph"/>
        <w:numPr>
          <w:ilvl w:val="0"/>
          <w:numId w:val="2"/>
        </w:numPr>
        <w:spacing w:after="60" w:line="268"/>
      </w:pPr>
      <w:r>
        <w:rPr>
          <w:color w:val="15181F"/>
          <w:sz w:val="18"/>
          <w:szCs w:val="18"/>
        </w:rPr>
        <w:t xml:space="preserve">Tumour 3 cm or less, with underlying cirrhosis</w:t>
      </w:r>
    </w:p>
    <w:p>
      <w:pPr>
        <w:pStyle w:val="ListParagraph"/>
        <w:numPr>
          <w:ilvl w:val="0"/>
          <w:numId w:val="2"/>
        </w:numPr>
        <w:spacing w:after="60" w:line="268"/>
      </w:pPr>
      <w:r>
        <w:rPr>
          <w:color w:val="15181F"/>
          <w:sz w:val="18"/>
          <w:szCs w:val="18"/>
        </w:rPr>
        <w:t xml:space="preserve">Locoregional or systemic therapy received</w:t>
      </w:r>
    </w:p>
    <w:p>
      <w:pPr>
        <w:pStyle w:val="ListParagraph"/>
        <w:numPr>
          <w:ilvl w:val="0"/>
          <w:numId w:val="2"/>
        </w:numPr>
        <w:spacing w:after="60" w:line="268"/>
      </w:pPr>
      <w:r>
        <w:rPr>
          <w:color w:val="15181F"/>
          <w:sz w:val="18"/>
          <w:szCs w:val="18"/>
        </w:rPr>
        <w:t xml:space="preserve">Six months from diagnosis or last treatment with tumour stability on serial scans — still 3 cm or less, no new lesions, no extrahepatic disease</w:t>
      </w:r>
    </w:p>
    <w:p>
      <w:pPr>
        <w:pStyle w:val="ListParagraph"/>
        <w:numPr>
          <w:ilvl w:val="0"/>
          <w:numId w:val="2"/>
        </w:numPr>
        <w:spacing w:after="60" w:line="268"/>
      </w:pPr>
      <w:r>
        <w:rPr>
          <w:color w:val="15181F"/>
          <w:sz w:val="18"/>
          <w:szCs w:val="18"/>
        </w:rPr>
        <w:t xml:space="preserve">A formally approved trial or prospective registry protocol open, with review-board approval and registry entry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Treat transplantation for known intrahepatic cholangiocarcinoma as trial or prospective registry only: protocol, review-board approval and registry entry are prerequisites, not formalities.</w:t>
      </w:r>
    </w:p>
    <w:p>
      <w:pPr>
        <w:spacing w:after="50" w:line="276"/>
        <w:ind w:left="240"/>
      </w:pPr>
      <w:r>
        <w:rPr>
          <w:color w:val="15181F"/>
          <w:sz w:val="18"/>
          <w:szCs w:val="18"/>
        </w:rPr>
        <w:t xml:space="preserve">This is our added institutional restriction, and it is a judgement about graft stewardship rather than an evidence finding. It sits closest to AASLD 2023 (research protocols only) and BSG 2023 (prospective national protocol), and is stricter than OPTN 2025 and ILTS-ILCA 2024, which both support consideration for cirrhotic, unresectable, biopsy-proven tumours of 3 cm or less after a period of stability.</w:t>
      </w:r>
    </w:p>
    <w:p>
      <w:pPr>
        <w:spacing w:after="50"/>
        <w:ind w:left="240"/>
      </w:pPr>
      <w:r>
        <w:rPr>
          <w:b/>
          <w:bCs/>
          <w:color w:val="8C2F26"/>
          <w:sz w:val="18"/>
          <w:szCs w:val="18"/>
        </w:rPr>
        <w:t xml:space="preserve">Caveat. </w:t>
      </w:r>
      <w:r>
        <w:rPr>
          <w:color w:val="15181F"/>
          <w:sz w:val="18"/>
          <w:szCs w:val="18"/>
        </w:rPr>
        <w:t xml:space="preserve">Do not state that iCCA has no exception route — OPTN review-board guidance now describes one — and do not apply the perihilar neoadjuvant or stricture pathway to intrahepatic disease. LCSGJ 2022 states iCCA is generally not an indication for transplantation at all.</w:t>
      </w:r>
    </w:p>
    <w:p>
      <w:pPr>
        <w:spacing w:after="50" w:line="276"/>
        <w:ind w:left="240"/>
      </w:pPr>
      <w:r>
        <w:rPr>
          <w:i/>
          <w:iCs/>
          <w:color w:val="5A6069"/>
          <w:sz w:val="17"/>
          <w:szCs w:val="17"/>
        </w:rPr>
        <w:t xml:space="preserve">ILTS-ILCA 2024 — published twice, in Liver Transplantation 2025 and Liver Cancer 2026 — grades the cirrhotic ≤3 cm recommendation moderate evidence, moderate strength, and confines non-cirrhotic disease to investigational protocols after at least 6 months of stability on systemic therapy (moderate evidence, weak strength). It also makes biopsy mandatory to confirm iCCA, assess differentiation and exclude mixed hepatocellular-cholangiocarcinoma, and finds no evidence for using molecular profiling to select candidates. Every one of its iCCA recommendations rests on low or moderate evidence and is graded weak or moderate, and the consensus reports modern 5-year post-transplant outcomes spanning 25–73% overall survival and 29–82% recurrence-free survival, almost entirely from single-centre retrospective series — a range too wide to support a selection rule. It makes no recommendation on allocation priority, exception points or acceptable waitlist dropout, and reached no agreement on large, locally advanced or non-cirrhotic disease.</w:t>
      </w:r>
    </w:p>
    <w:p>
      <w:pPr>
        <w:spacing w:after="60" w:line="276"/>
        <w:ind w:left="240"/>
      </w:pPr>
      <w:r>
        <w:rPr>
          <w:color w:val="5A6069"/>
          <w:sz w:val="16"/>
          <w:szCs w:val="16"/>
        </w:rPr>
        <w:t xml:space="preserve">Sources: MH iCCA roadmap v0.6; AASLD PSC/CCA 2023; BSG CCA 2023; LCSGJ iCCA 2022; ILTS-ILCA 2024 consensus; ILTS-ILCA 2024 (Liver Transpl)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protocol exists, the allocation route is a nonstandard MMaT-3 exception: select the CCA diagnosis form and submit a written narrative to the Adult Transplant Oncology Review Board.</w:t>
      </w:r>
    </w:p>
    <w:p>
      <w:pPr>
        <w:spacing w:after="50" w:line="276"/>
        <w:ind w:left="240"/>
      </w:pPr>
      <w:r>
        <w:rPr>
          <w:color w:val="15181F"/>
          <w:sz w:val="18"/>
          <w:szCs w:val="18"/>
        </w:rPr>
        <w:t xml:space="preserve">iCCA, neuroendocrine liver metastasis and colorectal liver metastasis all go through nonstandard review; hepatocellular carcinoma and perihilar cholangiocarcinoma have standardised routes. Clinical transplant candidacy and local protocol approval remain separate from allocation eligibility.</w:t>
      </w:r>
    </w:p>
    <w:p>
      <w:pPr>
        <w:spacing w:after="50"/>
        <w:ind w:left="240"/>
      </w:pPr>
      <w:r>
        <w:rPr>
          <w:b/>
          <w:bCs/>
          <w:color w:val="8C2F26"/>
          <w:sz w:val="18"/>
          <w:szCs w:val="18"/>
        </w:rPr>
        <w:t xml:space="preserve">Caveat. </w:t>
      </w:r>
      <w:r>
        <w:rPr>
          <w:color w:val="15181F"/>
          <w:sz w:val="18"/>
          <w:szCs w:val="18"/>
        </w:rPr>
        <w:t xml:space="preserve">Do not treat the guidance as policy: OPTN Policy 9.5 defines standardised exceptions, and the Adult MELD Exceptions for Transplant Oncology document is review-board guidance, not OPTN Policy or a clinical standard of care.</w:t>
      </w:r>
    </w:p>
    <w:p>
      <w:pPr>
        <w:spacing w:after="50" w:line="276"/>
        <w:ind w:left="240"/>
      </w:pPr>
      <w:r>
        <w:rPr>
          <w:i/>
          <w:iCs/>
          <w:color w:val="5A6069"/>
          <w:sz w:val="17"/>
          <w:szCs w:val="17"/>
        </w:rPr>
        <w:t xml:space="preserve">MMaT is the median MELD at transplant for the donor hospital used in the match run, not one fixed national score; under Policy 9.4.E an MMaT-relative exception below 15 is assigned 15, and exceptions generally require 90-day extensions (9.4.C). The coordinator records source version, eligibility dates, request and extension dates, imaging, laboratory values and a named renewal owner; transplant leadership signs the allocation assessment. Required allocation record: diagnosis and histology; baseline burden and AFP/CEA where applicable; primary and last-treatment dates; serial response imaging; extrahepatic staging; request and extension dates; score route; named coordinator and physician sign-off. Reassess at progression, recurrence, new extrahepatic findings and each extension.</w:t>
      </w:r>
    </w:p>
    <w:p>
      <w:pPr>
        <w:spacing w:after="60" w:line="276"/>
        <w:ind w:left="240"/>
      </w:pPr>
      <w:r>
        <w:rPr>
          <w:color w:val="5A6069"/>
          <w:sz w:val="16"/>
          <w:szCs w:val="16"/>
        </w:rPr>
        <w:t xml:space="preserve">Sources: OPTN Policy 9; OPTN transplant-oncology guidance; NCCN BTC v1.2026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Read the supporting evidence for what it is: in 15 patients with a single tumour of 2 cm or less, the 5-year recurrence risk was 18% versus 61% for larger or multifocal disease, with 5-year survival 65% versus 45% — in explants where the cancer was first diagnosed on explant pathology.</w:t>
      </w:r>
    </w:p>
    <w:p>
      <w:pPr>
        <w:spacing w:after="50" w:line="276"/>
        <w:ind w:left="240"/>
      </w:pPr>
      <w:r>
        <w:rPr>
          <w:color w:val="15181F"/>
          <w:sz w:val="18"/>
          <w:szCs w:val="18"/>
        </w:rPr>
        <w:t xml:space="preserve">Quote it when the question is the prognosis of a very small intrahepatic cholangiocarcinoma discovered on an explant removed for another reason, which is the population it describes: 15 patients, 7 of them (47%) entirely incidental, from 17 centres and 25,016 transplants.</w:t>
      </w:r>
    </w:p>
    <w:p>
      <w:pPr>
        <w:spacing w:after="50"/>
        <w:ind w:left="240"/>
      </w:pPr>
      <w:r>
        <w:rPr>
          <w:b/>
          <w:bCs/>
          <w:color w:val="8C2F26"/>
          <w:sz w:val="18"/>
          <w:szCs w:val="18"/>
        </w:rPr>
        <w:t xml:space="preserve">Caveat. </w:t>
      </w:r>
      <w:r>
        <w:rPr>
          <w:color w:val="15181F"/>
          <w:sz w:val="18"/>
          <w:szCs w:val="18"/>
        </w:rPr>
        <w:t xml:space="preserve">Crucially these tumours were recognised as intrahepatic cholangiocarcinoma only at explant, not selected for transplantation, so the result cannot be read as licensing transplantation of known disease. Fifteen patients leaves very few still at risk at 5 years and the authors call the 3- and 5-year rates encouraging rather than established. No lymphadenectomy was performed because iCCA was not suspected, central pathology review was possible in only 55 of 81 cases (68%), each of 17 centres used its own pathologist so number and size may be understaged, and recurrence was driven by microvascular invasion (HR 4.7, 1.6–13.8) and poor differentiation (HR 6.1, 1.9–20.2) — neither of which is knowable before transplant.</w:t>
      </w:r>
    </w:p>
    <w:p>
      <w:pPr>
        <w:spacing w:after="50" w:line="276"/>
        <w:ind w:left="240"/>
      </w:pPr>
      <w:r>
        <w:rPr>
          <w:i/>
          <w:iCs/>
          <w:color w:val="5A6069"/>
          <w:sz w:val="17"/>
          <w:szCs w:val="17"/>
        </w:rPr>
        <w:t xml:space="preserve">Three limits of this series bear directly on how it is cited here. It studied tumours of 2 cm or less, not 3 cm: the ceiling in our criteria comes from EASL-ILCA, OPTN and ILTS-ILCA, and inside this series it rests on a 6-patient subgroup of single 2.1–3 cm, not poorly differentiated tumours whose 5-year survival was 61%. It required no period of disease stability on therapy and could not have — the diagnosis was made on the explant, bridging chemoembolisation, ablation or ethanol injection was permitted but was not a selection test, and 7 of the 15 (47%) were incidental findings after transplant for decompensated cirrhosis. And it excluded mixed hepatocellular-cholangiocarcinoma within a nodule outright, analysing the 33 explants with separate iCCA and hepatocellular nodules as a separate group outside the 48-patient study population, so it reports no outcome at all for the mixed tumours our gate criteria admit. The wider literature is no firmer: a 2020 meta-analysis of 18 studies and 355 patients gave pooled 5-year survival of 42% and pooled recurrence 43%, with 5-year recurrence-free survival 67% for single tumours of 2 cm or less versus 34% for more advanced disease, and a propensity-matched National Cancer Database comparison found transplant and resection within a few percentage points of each other at 5 years — whose authors argued resection should remain preferred for localised iCCA.</w:t>
      </w:r>
    </w:p>
    <w:p>
      <w:pPr>
        <w:spacing w:after="60" w:line="276"/>
        <w:ind w:left="240"/>
      </w:pPr>
      <w:r>
        <w:rPr>
          <w:color w:val="5A6069"/>
          <w:sz w:val="16"/>
          <w:szCs w:val="16"/>
        </w:rPr>
        <w:t xml:space="preserve">Sources: Sapisochin very early iCCA; Sapisochin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These are not ranked by survival — no comparison between them exists, and a randomised comparison is not feasible. The first is the roadmap's current position, the second is the question the group is being asked to decide, and the third is the protocol experience that both the OPTN biology clock and the sceptics draw on. Area 15 of the alignment worksheet asks explicitly which of the first two the programme adopts.</w:t>
      </w:r>
    </w:p>
    <w:p>
      <w:pPr>
        <w:spacing w:after="50" w:before="120"/>
        <w:ind w:left="240"/>
      </w:pPr>
      <w:r>
        <w:rPr>
          <w:b/>
          <w:bCs/>
          <w:color w:val="15181F"/>
          <w:sz w:val="19"/>
          <w:szCs w:val="19"/>
        </w:rPr>
        <w:t xml:space="preserve">Keep all transplantation for known iCCA inside a research protocol (current roadmap position)</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v0.6 cites the OPTN guidance without changing the label: Trial or prospective registry only.</w:t>
      </w:r>
    </w:p>
    <w:p>
      <w:pPr>
        <w:spacing w:after="50" w:line="276"/>
        <w:ind w:left="240"/>
      </w:pPr>
      <w:r>
        <w:rPr>
          <w:color w:val="15181F"/>
          <w:sz w:val="18"/>
          <w:szCs w:val="18"/>
        </w:rPr>
        <w:t xml:space="preserve">A programme that is not prepared to commit the organ, the registry infrastructure and the transplant-oncology selection expertise that the alternative requires.</w:t>
      </w:r>
    </w:p>
    <w:p>
      <w:pPr>
        <w:spacing w:after="50"/>
        <w:ind w:left="240"/>
      </w:pPr>
      <w:r>
        <w:rPr>
          <w:b/>
          <w:bCs/>
          <w:color w:val="8C2F26"/>
          <w:sz w:val="18"/>
          <w:szCs w:val="18"/>
        </w:rPr>
        <w:t xml:space="preserve">Caveat. </w:t>
      </w:r>
      <w:r>
        <w:rPr>
          <w:color w:val="15181F"/>
          <w:sz w:val="18"/>
          <w:szCs w:val="18"/>
        </w:rPr>
        <w:t xml:space="preserve">It leaves a patient who meets every OPTN criterion without a route here, which is the cost that has to be stated openly when the decision is ratified.</w:t>
      </w:r>
    </w:p>
    <w:p>
      <w:pPr>
        <w:spacing w:after="60" w:line="276"/>
        <w:ind w:left="240"/>
      </w:pPr>
      <w:r>
        <w:rPr>
          <w:color w:val="5A6069"/>
          <w:sz w:val="16"/>
          <w:szCs w:val="16"/>
        </w:rPr>
        <w:t xml:space="preserve">Sources: MH iCCA roadmap v0.6; AASLD PSC/CCA 2023; BSG CCA 2023</w:t>
      </w:r>
    </w:p>
    <w:p>
      <w:pPr>
        <w:spacing w:after="50" w:before="120"/>
        <w:ind w:left="240"/>
      </w:pPr>
      <w:r>
        <w:rPr>
          <w:b/>
          <w:bCs/>
          <w:color w:val="15181F"/>
          <w:sz w:val="19"/>
          <w:szCs w:val="19"/>
        </w:rPr>
        <w:t xml:space="preserve">Open a defined, registry-tracked pathway on the OPTN 2025 and ILTS-ILCA 2024 criteria</w:t>
      </w:r>
      <w:r>
        <w:rPr>
          <w:color w:val="5A6069"/>
          <w:sz w:val="15"/>
          <w:szCs w:val="15"/>
        </w:rPr>
        <w:t xml:space="preserve">   grade C</w:t>
      </w:r>
      <w:r>
        <w:rPr>
          <w:b/>
          <w:bCs/>
          <w:color w:val="8E5008"/>
          <w:spacing w:val="12"/>
          <w:sz w:val="14"/>
          <w:szCs w:val="14"/>
        </w:rPr>
        <w:t xml:space="preserve">   REGISTRY</w:t>
      </w:r>
    </w:p>
    <w:p>
      <w:pPr>
        <w:spacing w:after="50" w:line="276"/>
        <w:ind w:left="240"/>
      </w:pPr>
      <w:r>
        <w:rPr>
          <w:color w:val="15181F"/>
          <w:sz w:val="18"/>
          <w:szCs w:val="18"/>
        </w:rPr>
        <w:t xml:space="preserve">Biopsy-proven, unresectable, solitary iCCA or mixed HCC-iCCA of 3 cm or less, in cirrhosis, after a period of observed radiographic stability, scored at MMaT-3. Note that ILTS-ILCA attaches no duration to that period for the cirrhotic ≤3 cm phenotype; the six-month figure in our criteria comes from its separate, weakly graded route for non-cirrhotic locally advanced disease and from the prospective protocol below.</w:t>
      </w:r>
    </w:p>
    <w:p>
      <w:pPr>
        <w:spacing w:after="50" w:line="276"/>
        <w:ind w:left="240"/>
      </w:pPr>
      <w:r>
        <w:rPr>
          <w:color w:val="15181F"/>
          <w:sz w:val="18"/>
          <w:szCs w:val="18"/>
        </w:rPr>
        <w:t xml:space="preserve">The route both documents describe; OPTN 2025 gives the review board defined criteria and ILTS-ILCA 2024 reports broad community agreement on the cirrhotic ≤3 cm phenotype.</w:t>
      </w:r>
    </w:p>
    <w:p>
      <w:pPr>
        <w:spacing w:after="50"/>
        <w:ind w:left="240"/>
      </w:pPr>
      <w:r>
        <w:rPr>
          <w:b/>
          <w:bCs/>
          <w:color w:val="8C2F26"/>
          <w:sz w:val="18"/>
          <w:szCs w:val="18"/>
        </w:rPr>
        <w:t xml:space="preserve">Caveat. </w:t>
      </w:r>
      <w:r>
        <w:rPr>
          <w:color w:val="15181F"/>
          <w:sz w:val="18"/>
          <w:szCs w:val="18"/>
        </w:rPr>
        <w:t xml:space="preserve">Every iCCA recommendation in the ILTS-ILCA consensus rests on low or moderate evidence and is graded weak or moderate, and the 3 cm threshold is carried forward from a small retrospective series of explant-discovered tumours whose own cut-off was 2 cm — the single-centre series behind it span 5-year survival of 25–73%. EASL-ILCA concedes the 3 cm figure is more permissive than the 2 cm cut-off used in the series and trials it cites, and ILTS-ILCA notes the ceiling mirrors the June 2024 OPTN review-board criteria rather than any new data. The consensus also recommends nothing on allocation priority or acceptable waitlist dropout, which makes the criterion hard to act on where iCCA earns no priority.</w:t>
      </w:r>
    </w:p>
    <w:p>
      <w:pPr>
        <w:spacing w:after="60" w:line="276"/>
        <w:ind w:left="240"/>
      </w:pPr>
      <w:r>
        <w:rPr>
          <w:color w:val="5A6069"/>
          <w:sz w:val="16"/>
          <w:szCs w:val="16"/>
        </w:rPr>
        <w:t xml:space="preserve">Sources: OPTN transplant-oncology guidance; ILTS-ILCA 2024 consensus; ILTS-ILCA 2024 (Liver Transpl); Sapisochin very early iCCA; EASL-ILCA iCCA 2023</w:t>
      </w:r>
    </w:p>
    <w:p>
      <w:pPr>
        <w:spacing w:after="50" w:before="120"/>
        <w:ind w:left="240"/>
      </w:pPr>
      <w:r>
        <w:rPr>
          <w:b/>
          <w:bCs/>
          <w:color w:val="15181F"/>
          <w:sz w:val="19"/>
          <w:szCs w:val="19"/>
        </w:rPr>
        <w:t xml:space="preserve">Locally advanced disease selected on sustained stability, under protocol</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The prospective Houston Methodist–MD Anderson protocol: 21 patients referred, 12 listed, 6 transplanted after a mandatory 6 months of radiographic stability on gemcitabine-based therapy. Post-transplant survival 100% at 1 year and 83.3% at 3 and 5 years, but recurrence-free survival 50% at 1, 3 and 5 years.</w:t>
      </w:r>
    </w:p>
    <w:p>
      <w:pPr>
        <w:spacing w:after="50" w:line="276"/>
        <w:ind w:left="240"/>
      </w:pPr>
      <w:r>
        <w:rPr>
          <w:color w:val="15181F"/>
          <w:sz w:val="18"/>
          <w:szCs w:val="18"/>
        </w:rPr>
        <w:t xml:space="preserve">This is the only prospective experience in locally advanced disease, and it is where the 6-month stability requirement in the OPTN biology clock comes from.</w:t>
      </w:r>
    </w:p>
    <w:p>
      <w:pPr>
        <w:spacing w:after="50"/>
        <w:ind w:left="240"/>
      </w:pPr>
      <w:r>
        <w:rPr>
          <w:b/>
          <w:bCs/>
          <w:color w:val="8C2F26"/>
          <w:sz w:val="18"/>
          <w:szCs w:val="18"/>
        </w:rPr>
        <w:t xml:space="preserve">Caveat. </w:t>
      </w:r>
      <w:r>
        <w:rPr>
          <w:color w:val="15181F"/>
          <w:sz w:val="18"/>
          <w:szCs w:val="18"/>
        </w:rPr>
        <w:t xml:space="preserve">Six patients, no control arm, no power calculation and no trial registration — it was run as a centre policy. Median cumulative tumour diameter was 14.2 cm with no patient under 5 cm, and 3 of 6 recurred at a median of 7.6 months. Two of the six had stable extrahepatic lesions before transplant that proved to be metastases and a third recurred after perihilar fat invasion found only on explant, so the authors concede more aggressive pre-transplant sampling is needed. Only 9 patients were listed in 6 years, so the strategy reaches a very small fraction of referrals. Selecting for 6 months of chemotherapy stability may itself be selecting indolent biology, and without a comparator it cannot be known whether these patients would have done as well on continued chemotherapy. Half the grafts were extended-criteria livers refused by every other centre — used because no MELD exception existed at the time — so the approach is not reproducible where such organs are not available. ILTS-ILCA confines non-cirrhotic locally advanced disease to investigational protocols with a weak recommendation.</w:t>
      </w:r>
    </w:p>
    <w:p>
      <w:pPr>
        <w:spacing w:after="60" w:line="276"/>
        <w:ind w:left="240"/>
      </w:pPr>
      <w:r>
        <w:rPr>
          <w:color w:val="5A6069"/>
          <w:sz w:val="16"/>
          <w:szCs w:val="16"/>
        </w:rPr>
        <w:t xml:space="preserve">Sources: Lunsford protocol series; Sapisochin review; ILTS-ILCA 2024 consensus</w:t>
      </w:r>
    </w:p>
    <w:p>
      <w:pPr>
        <w:spacing w:after="60" w:line="276"/>
        <w:ind w:left="240"/>
      </w:pPr>
      <w:r>
        <w:rPr>
          <w:i/>
          <w:iCs/>
          <w:color w:val="5A6069"/>
          <w:sz w:val="16"/>
          <w:szCs w:val="16"/>
        </w:rPr>
        <w:t xml:space="preserve">Unresolved decision 5: does the programme open an intrahepatic cholangiocarcinoma transplant protocol? The evidence is retrospective and confined to small tumours first diagnosed on explant pathology, most seen before transplant as presumed hepatocellular carcinoma; graft stewardship is an institutional judgement, not an evidence question. Transplant timing and payer authorisation are local dependencies.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If intrahepatic cholangiocarcinoma is found in an explant removed for another indication, enter the patient into structured surveillance and the registry.</w:t>
      </w:r>
    </w:p>
    <w:p>
      <w:pPr>
        <w:spacing w:after="50" w:line="276"/>
        <w:ind w:left="240"/>
      </w:pPr>
      <w:r>
        <w:rPr>
          <w:color w:val="15181F"/>
          <w:sz w:val="18"/>
          <w:szCs w:val="18"/>
        </w:rPr>
        <w:t xml:space="preserve">This is the population the published outcomes actually describe, and it is where the programme's own data will come from.</w:t>
      </w:r>
    </w:p>
    <w:p>
      <w:pPr>
        <w:spacing w:after="50"/>
        <w:ind w:left="240"/>
      </w:pPr>
      <w:r>
        <w:rPr>
          <w:b/>
          <w:bCs/>
          <w:color w:val="8C2F26"/>
          <w:sz w:val="18"/>
          <w:szCs w:val="18"/>
        </w:rPr>
        <w:t xml:space="preserve">Caveat. </w:t>
      </w:r>
      <w:r>
        <w:rPr>
          <w:color w:val="15181F"/>
          <w:sz w:val="18"/>
          <w:szCs w:val="18"/>
        </w:rPr>
        <w:t xml:space="preserve">Immunosuppression minimisation and adjuvant therapy are individualised; there is no comparative evidence to support either, so do not present a protocol where none exists.</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multifocal or larger disease outside a protocol, and never with any extrahepatic disease or without registry entry.</w:t>
      </w:r>
    </w:p>
    <w:p>
      <w:pPr>
        <w:spacing w:after="50" w:line="276"/>
        <w:ind w:left="240"/>
      </w:pPr>
      <w:r>
        <w:rPr>
          <w:color w:val="15181F"/>
          <w:sz w:val="18"/>
          <w:szCs w:val="18"/>
        </w:rPr>
        <w:t xml:space="preserve">The eligible phenotype is narrow and explicit — solitary, 3 cm or less, cirrhosis, treated, six months stable — but say where each limb comes from: the size ceiling and the stability requirement are guideline and review-board criteria, not findings of the explant series, whose own cut-off was 2 cm and which required no stability at all.</w:t>
      </w:r>
    </w:p>
    <w:p>
      <w:pPr>
        <w:spacing w:after="50"/>
        <w:ind w:left="240"/>
      </w:pPr>
      <w:r>
        <w:rPr>
          <w:b/>
          <w:bCs/>
          <w:color w:val="8C2F26"/>
          <w:sz w:val="18"/>
          <w:szCs w:val="18"/>
        </w:rPr>
        <w:t xml:space="preserve">Caveat. </w:t>
      </w:r>
      <w:r>
        <w:rPr>
          <w:color w:val="15181F"/>
          <w:sz w:val="18"/>
          <w:szCs w:val="18"/>
        </w:rPr>
        <w:t xml:space="preserve">In the explant series, larger or multifocal tumours recurred in 61% by 5 years with 45% survival, and the crude recurrence split was 2 of 15 versus 18 of 33. A broader resection or systemic-treatment population must not be treated as exception-eligible.</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mixed hepatocellular-cholangiocarcinoma as eligible for the hepatocellular carcinoma exception pathway.</w:t>
      </w:r>
    </w:p>
    <w:p>
      <w:pPr>
        <w:spacing w:after="50" w:line="276"/>
        <w:ind w:left="240"/>
      </w:pPr>
      <w:r>
        <w:rPr>
          <w:color w:val="15181F"/>
          <w:sz w:val="18"/>
          <w:szCs w:val="18"/>
        </w:rPr>
        <w:t xml:space="preserve">Treat it as biliary disease for transplant purposes unless a protocol states otherwise, and flag it to the transplant team explicitly; OPTN 2025 routes mixed HCC-iCCA through the same nonstandard request as iCCA.</w:t>
      </w:r>
    </w:p>
    <w:p>
      <w:pPr>
        <w:spacing w:after="50"/>
        <w:ind w:left="240"/>
      </w:pPr>
      <w:r>
        <w:rPr>
          <w:b/>
          <w:bCs/>
          <w:color w:val="8C2F26"/>
          <w:sz w:val="18"/>
          <w:szCs w:val="18"/>
        </w:rPr>
        <w:t xml:space="preserve">Caveat. </w:t>
      </w:r>
      <w:r>
        <w:rPr>
          <w:color w:val="15181F"/>
          <w:sz w:val="18"/>
          <w:szCs w:val="18"/>
        </w:rPr>
        <w:t xml:space="preserve">ILTS-ILCA makes biopsy mandatory partly to exclude a mixed tumour, and reviews note that pooling mixed tumours with pure iCCA can make survival and recurrence look falsely favourable when the dominant phenotype is hepatocellular. The index explant series excluded mixed tumours within a nodule entirely, so there is no transplant outcome dataset for this phenotype to argue from in either direction.</w:t>
      </w:r>
    </w:p>
    <w:p>
      <w:pPr>
        <w:spacing w:after="60" w:line="276"/>
        <w:ind w:left="240"/>
      </w:pPr>
      <w:r>
        <w:rPr>
          <w:color w:val="5A6069"/>
          <w:sz w:val="16"/>
          <w:szCs w:val="16"/>
        </w:rPr>
        <w:t xml:space="preserve">Sources: MH iCCA roadmap v0.6; OPTN transplant-oncology guidance; ILTS-ILCA 2024 consensus; Sapisochin very early iCCA; Sapisochin review</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Molecular alterations that change treatment</w:t>
      </w:r>
    </w:p>
    <w:p>
      <w:pPr>
        <w:spacing w:after="120" w:line="276"/>
      </w:pPr>
      <w:r>
        <w:rPr>
          <w:i/>
          <w:iCs/>
          <w:color w:val="5A6069"/>
          <w:sz w:val="18"/>
          <w:szCs w:val="18"/>
        </w:rPr>
        <w:t xml:space="preserve">Ordered at the diagnosis of unresectable or metastatic disease, not at second-line progression; turnaround is two to four weeks.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FGFR2 fusion or rearrangement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Pemigatinib after prior systemic therapy, or futibatinib after gemcitabine–platinum. Response 37% and 42%, median overall survival 17.5 and 21.7 months. Both single-arm; neither compared with second-line chemotherapy.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IDH1 mutation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Ivosidenib. Met progression-free survival (2.7 versus 1.4 months, HR 0.37); final intention-to-treat overall survival 10.3 versus 7.5 months, HR 0.79, p=0.09, not significant with crossover permitted. Response 2% — position it on progression-free survival grounds only.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Dabrafenib plus trametinib. Single-arm, 43 patients, response 51% by investigator and 47% by independent review, interim analysis.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amplification or overexpression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Zanidatamab. Single-arm; final analysis of 80 ERBB2-amplified patients gave confirmed response 41.3% and median overall survival 15.5 months, concentrated in IHC 3+ (51.6% versus 1 of 18 at IHC 2+; post hoc).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mismatch-repair deficient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Checkpoint blockade, consistent with tumour-agnostic practice.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 RET fusion, other actionable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Capture on the same broad panel so a later line is not delayed by re-testing. Reasonable consideration, grade C.</w:t>
            </w:r>
          </w:p>
        </w:tc>
      </w:tr>
    </w:tbl>
    <w:p>
      <w:pPr>
        <w:spacing w:after="200" w:line="276"/>
      </w:pPr>
      <w:r>
        <w:rPr>
          <w:i/>
          <w:iCs/>
          <w:color w:val="5A6069"/>
          <w:sz w:val="16"/>
          <w:szCs w:val="16"/>
        </w:rPr>
        <w:t xml:space="preserve">Match the alteration class reported, not the gene name: other alterations in these same genes are not interchangeable with the ones studied and go to molecular-oncology review first (Standard, grade D). Use circulating tumour DNA when tissue is inadequate or biopsy would delay treatment, but a negative plasma result does not exclude a target and should prompt tissue testing where it would change management. No randomised evidence establishes a sequence among these options.</w:t>
      </w:r>
    </w:p>
    <w:p>
      <w:pPr>
        <w:pStyle w:val="Heading3"/>
        <w:keepNext/>
        <w:spacing w:after="110" w:before="240"/>
      </w:pPr>
      <w:r>
        <w:rPr>
          <w:rFonts w:ascii="Cambria" w:cs="Cambria" w:eastAsia="Cambria" w:hAnsi="Cambria"/>
          <w:b/>
          <w:bCs/>
          <w:color w:val="17365D"/>
          <w:sz w:val="22"/>
          <w:szCs w:val="22"/>
        </w:rPr>
        <w:t xml:space="preserve">Resectability, as the roadmap defines it</w:t>
      </w:r>
    </w:p>
    <w:p>
      <w:pPr>
        <w:spacing w:after="120" w:line="276"/>
      </w:pPr>
      <w:r>
        <w:rPr>
          <w:i/>
          <w:iCs/>
          <w:color w:val="5A6069"/>
          <w:sz w:val="18"/>
          <w:szCs w:val="18"/>
        </w:rPr>
        <w:t xml:space="preserve">A surgical determination made by a hepatobiliary surgeon, not a radiological impression, reassessed whenever the disease or the liver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Hepatic extent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solitary or clustered disease clearable with an R0 margin and an adequate functional remnant. Against: multifocal disease across both lobes; satellite pattern implying field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Vascular and biliary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inflow, outflow and biliary drainage preservable or reconstructable. Against: encasement precluding reconstruction; bilateral second-order biliary involvement.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Nodal</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no nodal disease, or regional nodes resectable within the standard basin — lymphadenectomy is part of the operation and informs adjuvant decisions. Against: nodal disease beyond the regional basin, including retroperitoneal or coeliac stations.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Systemic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no extrahepatic disease. Against: any extrahepatic disease — this moves the pathway to systemic and molecularly directed 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Host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adequate reserve and performance status. Against: parenchymal disease or reserve that makes the necessary resection unsafe.</w:t>
            </w:r>
          </w:p>
        </w:tc>
      </w:tr>
    </w:tbl>
    <w:p>
      <w:pPr>
        <w:spacing w:after="200" w:line="276"/>
      </w:pPr>
      <w:r>
        <w:rPr>
          <w:i/>
          <w:iCs/>
          <w:color w:val="5A6069"/>
          <w:sz w:val="16"/>
          <w:szCs w:val="16"/>
        </w:rPr>
        <w:t xml:space="preserve">Three gaps to know about. 'Regional basin' is undefined in v0.6; AASLD 2023 draws the line at nodal metastasis beyond the hepatoduodenal and gastrohepatic ligaments. Numeric reserve rules remain specialty-approved local implementation, and the roadmap is silent on portal hypertension, which AASLD 2023 names a contraindication to resection. Where the tumour obstructs the biliary tree, the need for drainage, its route and its side are decided with the hepatobiliary surgeon before any non-emergency procedure — resection without preoperative drainage can be considered when the future remnant is large, and BSG 2023 puts that threshold at a remnant above 50%; cholangitis is drained without waiting.</w:t>
      </w:r>
    </w:p>
    <w:p>
      <w:pPr>
        <w:pStyle w:val="Heading3"/>
        <w:keepNext/>
        <w:spacing w:after="110" w:before="240"/>
      </w:pPr>
      <w:r>
        <w:rPr>
          <w:rFonts w:ascii="Cambria" w:cs="Cambria" w:eastAsia="Cambria" w:hAnsi="Cambria"/>
          <w:b/>
          <w:bCs/>
          <w:color w:val="17365D"/>
          <w:sz w:val="22"/>
          <w:szCs w:val="22"/>
        </w:rPr>
        <w:t xml:space="preserve">Transplant eligibility — the nonstandard MMaT-3 route</w:t>
      </w:r>
    </w:p>
    <w:p>
      <w:pPr>
        <w:spacing w:after="120" w:line="276"/>
      </w:pPr>
      <w:r>
        <w:rPr>
          <w:i/>
          <w:iCs/>
          <w:color w:val="5A6069"/>
          <w:sz w:val="18"/>
          <w:szCs w:val="18"/>
        </w:rPr>
        <w:t xml:space="preserve">All of these are required by the described route, and our programme adds a protocol requirement on top.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Diagnosis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unresectable iCCA or mixed HCC-iCCA.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Size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3 cm or less.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Liver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Underlying cirrhosis.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Prior treatment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Locoregional or systemic therapy received.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Biology clock</w:t>
            </w:r>
          </w:p>
        </w:tc>
        <w:tc>
          <w:tcPr>
            <w:tcW w:type="dxa" w:w="5260"/>
            <w:tcMar>
              <w:top w:type="dxa" w:w="70"/>
              <w:left w:type="dxa" w:w="110"/>
              <w:bottom w:type="dxa" w:w="70"/>
              <w:right w:type="dxa" w:w="110"/>
            </w:tcMar>
            <w:vAlign w:val="top"/>
          </w:tcPr>
          <w:p>
            <w:pPr>
              <w:spacing w:after="0" w:line="276"/>
            </w:pPr>
            <w:r>
              <w:rPr>
                <w:color w:val="15181F"/>
                <w:sz w:val="17"/>
                <w:szCs w:val="17"/>
              </w:rPr>
              <w:t xml:space="preserve">Six months from diagnosis or last treatment with tumour stability: still 3 cm or less, no new lesions, no extrahepatic disease. Record both diagnosis and last-treatment dates and the serial scans that establish the interval — a response on one scan is insufficient.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Extensions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Imaging every three months showing tumour still 3 cm or less with no extrahepatic disease; track the general 90-day extension cycle with a named renewal owner.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and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Nonstandard MMaT-3 exception: CCA diagnosis form plus a written narrative to the Adult Transplant Oncology Review Board. An MMaT-relative exception below 15 is assigned 15 (Policy 9.4.E).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 restriction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formally approved trial or prospective registry protocol, plus expert transplant-oncology selection. This is an additional institutional restriction, not an OPTN requirement.</w:t>
            </w:r>
          </w:p>
        </w:tc>
      </w:tr>
    </w:tbl>
    <w:p>
      <w:pPr>
        <w:spacing w:after="200" w:line="276"/>
      </w:pPr>
      <w:r>
        <w:rPr>
          <w:i/>
          <w:iCs/>
          <w:color w:val="5A6069"/>
          <w:sz w:val="16"/>
          <w:szCs w:val="16"/>
        </w:rPr>
        <w:t xml:space="preserve">MMaT is the median MELD at transplant for the donor hospital used in the match run, not one fixed national score, and the supplied document is review-board guidance, not OPTN policy or a clinical standard of care. Six months is also the period of radiographic stability the Houston Methodist–MD Anderson prospective series required before listing: 6 of 21 referred patients were transplanted, with 5-year survival 83.3% but recurrence-free survival 50% and a median cumulative tumour diameter of 14.2 cm. Poor differentiation is associated with worse outcome in the guidance footnote — a clinical selection concern, not a separately stated automatic exclusion. A local complete response is not an automatic transplant exception.</w:t>
      </w:r>
    </w:p>
    <w:p>
      <w:pPr>
        <w:pStyle w:val="Heading3"/>
        <w:keepNext/>
        <w:spacing w:after="110" w:before="240"/>
      </w:pPr>
      <w:r>
        <w:rPr>
          <w:rFonts w:ascii="Cambria" w:cs="Cambria" w:eastAsia="Cambria" w:hAnsi="Cambria"/>
          <w:b/>
          <w:bCs/>
          <w:color w:val="17365D"/>
          <w:sz w:val="22"/>
          <w:szCs w:val="22"/>
        </w:rPr>
        <w:t xml:space="preserve">BILCAP, as published</w:t>
      </w:r>
    </w:p>
    <w:p>
      <w:pPr>
        <w:spacing w:after="120" w:line="276"/>
      </w:pPr>
      <w:r>
        <w:rPr>
          <w:i/>
          <w:iCs/>
          <w:color w:val="5A6069"/>
          <w:sz w:val="18"/>
          <w:szCs w:val="18"/>
        </w:rPr>
        <w:t xml:space="preserve">The trial the adjuvant capecitabine recommendation rests on. Read the primary analysis, not the habit.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Population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447 patients with resected biliary tract cancer: 84 (19%) intrahepatic, 128 (29%) hilar, 156 (35%) lower common bile duct, 79 (18%) muscle-invasive gallbladder; 38% R1 and 47% node-positive.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Primary analysis, intention to treat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Median overall survival 51.1 versus 36.4 months, adjusted hazard ratio 0.81 (95% CI 0.63–1.04), p=0.097. Not significant.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Prespecified sensitivity analysis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Adjusted for nodal status, tumour grade and sex: hazard ratio 0.71 (95% CI 0.55–0.92), p=0.010.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Per-protocol analysis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Hazard ratio 0.75 (95% CI 0.58–0.97), p=0.028. The trial was unmasked.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Recurrence-free survival</w:t>
            </w:r>
          </w:p>
        </w:tc>
        <w:tc>
          <w:tcPr>
            <w:tcW w:type="dxa" w:w="5260"/>
            <w:tcMar>
              <w:top w:type="dxa" w:w="70"/>
              <w:left w:type="dxa" w:w="110"/>
              <w:bottom w:type="dxa" w:w="70"/>
              <w:right w:type="dxa" w:w="110"/>
            </w:tcMar>
            <w:vAlign w:val="top"/>
          </w:tcPr>
          <w:p>
            <w:pPr>
              <w:spacing w:after="0" w:line="276"/>
            </w:pPr>
            <w:r>
              <w:rPr>
                <w:color w:val="15181F"/>
                <w:sz w:val="17"/>
                <w:szCs w:val="17"/>
              </w:rPr>
              <w:t xml:space="preserve">24.4 versus 17.5 months, hazard ratio 0.75 over the first 24 months, with no difference from 24 to 60 months — the authors read this as deferred rather than prevented recurrence.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Toxicity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Grade 3 or worse in 44% of the 213 treated, most often hand-foot syndrome (20%); 55% completed all eight cycles, 46% needed a dose reduction and 32% stopped for toxicity.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The other adjuvant trials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ASCOT: 3-year survival 77.1% versus 67.6%, hazard ratio 0.69 — Japan only, S-1 unavailable in the United States, 13% intrahepatic. PRODIGE-12: negative for gemcitabine–oxaliplatin, grade 3–4 toxicity 73%. BCAT: no benefit for gemcitabine (hazard ratio 1.01) in extrahepatic bile duct cancer only, iCCA not eligible.</w:t>
            </w:r>
          </w:p>
        </w:tc>
      </w:tr>
    </w:tbl>
    <w:p>
      <w:pPr>
        <w:spacing w:after="200" w:line="276"/>
      </w:pPr>
      <w:r>
        <w:rPr>
          <w:i/>
          <w:iCs/>
          <w:color w:val="5A6069"/>
          <w:sz w:val="16"/>
          <w:szCs w:val="16"/>
        </w:rPr>
        <w:t xml:space="preserve">Local label: Reasonable consideration, grade B. NCCN Biliary Tract Cancers v1.2026 designates capecitabine preferred, category 1, while acknowledging the nonsignificant intention-to-treat analysis; AASLD 2023 and BSG 2023 treat it as standard, and LCSGJ 2022 makes a weak recommendation and reports no significant benefit in the intrahepatic subgroup. Lymphadenectomy was not mandated for intrahepatic patients, yet nodal status is one of the covariates that turns the sensitivity analysis positive. Offer capecitabine, discuss it with these numbers, and do not present it as settled — whether the label moves to Standard is unresolved decision 3.</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Where the tumour obstructs the biliary tree, the need for drainage, its route and its side are decided with the hepatobiliary surgeon before any non-emergency procedure, particularly when a major hepatectomy is contemplated. Cholangitis is drained without waiting for that discussion.</w:t>
      </w:r>
    </w:p>
    <w:p>
      <w:pPr>
        <w:spacing w:after="40" w:line="276"/>
        <w:ind w:left="260"/>
      </w:pPr>
      <w:r>
        <w:rPr>
          <w:color w:val="15181F"/>
          <w:sz w:val="18"/>
          <w:szCs w:val="18"/>
        </w:rPr>
        <w:t xml:space="preserve">Standard, grade D. No comparative outcome data were identified for intrahepatic disease. The reasoning is mechanical rather than empirical: stent-related inflammation distorts the ductal extent that decides whether biliary resection and reconstruction are needed, and drainage of the wrong side adds cholangitis risk and delay.</w:t>
      </w:r>
    </w:p>
    <w:p>
      <w:pPr>
        <w:spacing w:after="40" w:line="276"/>
        <w:ind w:left="260"/>
      </w:pPr>
      <w:r>
        <w:rPr>
          <w:color w:val="5A6069"/>
          <w:sz w:val="16"/>
          <w:szCs w:val="16"/>
        </w:rPr>
        <w:t xml:space="preserve">Sources: NCCN BTC v1.2026; BSG CCA 2023</w:t>
      </w:r>
    </w:p>
    <w:p>
      <w:pPr>
        <w:spacing w:after="60" w:before="160"/>
      </w:pPr>
      <w:r>
        <w:rPr>
          <w:b/>
          <w:bCs/>
          <w:color w:val="8E5008"/>
          <w:sz w:val="19"/>
          <w:szCs w:val="19"/>
        </w:rPr>
        <w:t xml:space="preserve">2. </w:t>
      </w:r>
      <w:r>
        <w:rPr>
          <w:b/>
          <w:bCs/>
          <w:sz w:val="19"/>
          <w:szCs w:val="19"/>
        </w:rPr>
        <w:t xml:space="preserve">Exclude another primary before committing to this pathway, and record the entry dataset: tumour number and size, vascular and biliary involvement, regional nodal status, extrahepatic sites, ECOG, Child-Pugh and bilirubin, CA 19-9 and CEA, hepatitis serology.</w:t>
      </w:r>
    </w:p>
    <w:p>
      <w:pPr>
        <w:spacing w:after="40" w:line="276"/>
        <w:ind w:left="260"/>
      </w:pPr>
      <w:r>
        <w:rPr>
          <w:color w:val="15181F"/>
          <w:sz w:val="18"/>
          <w:szCs w:val="18"/>
        </w:rPr>
        <w:t xml:space="preserve">Both are grade D. The work-up justification is that metastatic adenocarcinoma can be histologically indistinguishable from intrahepatic cholangiocarcinoma and that treating a colorectal or pancreatic metastasis as iCCA is a recognised and consequential error — not that any study shows colonoscopy, age-appropriate breast imaging or a CK7/CK20/CDX2-type panel changes outcomes. The recorded dataset is a documentation standard the programme has chosen so that resectability, candidacy and the registry can be audited; no comparative outcome evidence supports the particular list. CA 19-9 and CEA are baseline and monitoring tests and never establish the diagnosis, and AASLD 2023 states explicitly that an elevated CA 19-9 alone must not be used to diagnose cholangiocarcinoma.</w:t>
      </w:r>
    </w:p>
    <w:p>
      <w:pPr>
        <w:spacing w:after="40" w:line="276"/>
        <w:ind w:left="260"/>
      </w:pPr>
      <w:r>
        <w:rPr>
          <w:color w:val="5A6069"/>
          <w:sz w:val="16"/>
          <w:szCs w:val="16"/>
        </w:rPr>
        <w:t xml:space="preserve">Sources: MH iCCA roadmap v0.6; BSG CCA 2023; AASLD PSC/CCA 2023; LCSGJ iCCA 2022</w:t>
      </w:r>
    </w:p>
    <w:p>
      <w:pPr>
        <w:spacing w:after="60" w:before="160"/>
      </w:pPr>
      <w:r>
        <w:rPr>
          <w:b/>
          <w:bCs/>
          <w:color w:val="8E5008"/>
          <w:sz w:val="19"/>
          <w:szCs w:val="19"/>
        </w:rPr>
        <w:t xml:space="preserve">3. </w:t>
      </w:r>
      <w:r>
        <w:rPr>
          <w:b/>
          <w:bCs/>
          <w:sz w:val="19"/>
          <w:szCs w:val="19"/>
        </w:rPr>
        <w:t xml:space="preserve">Match treatment to the alteration class reported, not to the gene name; other alterations in the same genes are not interchangeable and should be reviewed with a clinician experienced in molecular oncology before a matched agent is chosen.</w:t>
      </w:r>
    </w:p>
    <w:p>
      <w:pPr>
        <w:spacing w:after="40" w:line="276"/>
        <w:ind w:left="260"/>
      </w:pPr>
      <w:r>
        <w:rPr>
          <w:color w:val="15181F"/>
          <w:sz w:val="18"/>
          <w:szCs w:val="18"/>
        </w:rPr>
        <w:t xml:space="preserve">Standard, grade D. Locally reasonable and consistent with how the trials selected patients, but it is a consensus rule: no comparative data establish what happens when a non-canonical alteration is treated with a matched agent.</w:t>
      </w:r>
    </w:p>
    <w:p>
      <w:pPr>
        <w:spacing w:after="40" w:line="276"/>
        <w:ind w:left="260"/>
      </w:pPr>
      <w:r>
        <w:rPr>
          <w:color w:val="5A6069"/>
          <w:sz w:val="16"/>
          <w:szCs w:val="16"/>
        </w:rPr>
        <w:t xml:space="preserve">Sources: ESMO BTC 2024 interim; FIGHT-202 final; FIGHT-202</w:t>
      </w:r>
    </w:p>
    <w:p>
      <w:pPr>
        <w:spacing w:after="60" w:before="160"/>
      </w:pPr>
      <w:r>
        <w:rPr>
          <w:b/>
          <w:bCs/>
          <w:color w:val="8E5008"/>
          <w:sz w:val="19"/>
          <w:szCs w:val="19"/>
        </w:rPr>
        <w:t xml:space="preserve">4. </w:t>
      </w:r>
      <w:r>
        <w:rPr>
          <w:b/>
          <w:bCs/>
          <w:sz w:val="19"/>
          <w:szCs w:val="19"/>
        </w:rPr>
        <w:t xml:space="preserve">Reassessment intervals: systemic therapy every 8–12 weeks by RECIST 1.1 with CA 19-9 as a supporting trend only; after resection every 3–6 months for 2 years then less frequently; after liver-directed therapy at 8–12 weeks allowing for the delayed response pattern; conversion intent at the pre-declared 2–3 month point, by formal surgical re-review rather than an imaging report alone.</w:t>
      </w:r>
    </w:p>
    <w:p>
      <w:pPr>
        <w:spacing w:after="40" w:line="276"/>
        <w:ind w:left="260"/>
      </w:pPr>
      <w:r>
        <w:rPr>
          <w:color w:val="15181F"/>
          <w:sz w:val="18"/>
          <w:szCs w:val="18"/>
        </w:rPr>
        <w:t xml:space="preserve">The response-assessment framework in this disease is expert consensus, not randomised evidence — grade C to D. NCCN states there are no data to support a specific surveillance schedule. Whether post-resection imaging should be fixed at 3-monthly, given that most recurrences are intrahepatic and some are re-resectable, or 6-monthly as most UK centres practise, is a ratification item (alignment worksheet, area 16).</w:t>
      </w:r>
    </w:p>
    <w:p>
      <w:pPr>
        <w:spacing w:after="40" w:line="276"/>
        <w:ind w:left="260"/>
      </w:pPr>
      <w:r>
        <w:rPr>
          <w:color w:val="5A6069"/>
          <w:sz w:val="16"/>
          <w:szCs w:val="16"/>
        </w:rPr>
        <w:t xml:space="preserve">Sources: NCCN BTC v1.2026; BSG CCA 2023; MISPHEC</w:t>
      </w:r>
    </w:p>
    <w:p>
      <w:pPr>
        <w:spacing w:after="60" w:before="160"/>
      </w:pPr>
      <w:r>
        <w:rPr>
          <w:b/>
          <w:bCs/>
          <w:color w:val="8E5008"/>
          <w:sz w:val="19"/>
          <w:szCs w:val="19"/>
        </w:rPr>
        <w:t xml:space="preserve">5. </w:t>
      </w:r>
      <w:r>
        <w:rPr>
          <w:b/>
          <w:bCs/>
          <w:sz w:val="19"/>
          <w:szCs w:val="19"/>
        </w:rPr>
        <w:t xml:space="preserve">Biliary function is monitored alongside the disease: liver biochemistry at each assessment, and every patient with a biliary stent has a defined route for early detection of blockage. New jaundice, a rising bilirubin or cholangitis is evaluated promptly and does not wait for the next scheduled scan.</w:t>
      </w:r>
    </w:p>
    <w:p>
      <w:pPr>
        <w:spacing w:after="40" w:line="276"/>
        <w:ind w:left="260"/>
      </w:pPr>
      <w:r>
        <w:rPr>
          <w:color w:val="15181F"/>
          <w:sz w:val="18"/>
          <w:szCs w:val="18"/>
        </w:rPr>
        <w:t xml:space="preserve">Standard, grade D. Supported only indirectly — BSG 2023 attributes the better-than-expected survival of the ABC-06 active-symptom-control arm to proactive treatment of biliary obstruction and infection.</w:t>
      </w:r>
    </w:p>
    <w:p>
      <w:pPr>
        <w:spacing w:after="40" w:line="276"/>
        <w:ind w:left="260"/>
      </w:pPr>
      <w:r>
        <w:rPr>
          <w:color w:val="5A6069"/>
          <w:sz w:val="16"/>
          <w:szCs w:val="16"/>
        </w:rPr>
        <w:t xml:space="preserve">Sources: BSG CCA 2023; ABC-06</w:t>
      </w:r>
    </w:p>
    <w:p>
      <w:pPr>
        <w:spacing w:after="60" w:before="160"/>
      </w:pPr>
      <w:r>
        <w:rPr>
          <w:b/>
          <w:bCs/>
          <w:color w:val="8E5008"/>
          <w:sz w:val="19"/>
          <w:szCs w:val="19"/>
        </w:rPr>
        <w:t xml:space="preserve">6. </w:t>
      </w:r>
      <w:r>
        <w:rPr>
          <w:b/>
          <w:bCs/>
          <w:sz w:val="19"/>
          <w:szCs w:val="19"/>
        </w:rPr>
        <w:t xml:space="preserve">The tumour board operating model, and the standing rule that trial eligibility is checked at diagnosis and at each progression.</w:t>
      </w:r>
    </w:p>
    <w:p>
      <w:pPr>
        <w:spacing w:after="40" w:line="276"/>
        <w:ind w:left="260"/>
      </w:pPr>
      <w:r>
        <w:rPr>
          <w:color w:val="15181F"/>
          <w:sz w:val="18"/>
          <w:szCs w:val="18"/>
        </w:rPr>
        <w:t xml:space="preserve">These are stakeholder-derived operating requirements, reproduced unchanged across every disease roadmap so the programme has one operating standard rather than five: submission form, triage, stable agenda, urgent lane, required attendance, imaging reviewed rather than described, pathology pre-alerted, one recommendation with one owner and one reassessment date, documentation within one business day, registry closure. The trial-eligibility rule belongs to the same class. All are evidence grade D by construction — local policy choices with no comparative outcome evidence — and are labelled Standard because the programme has chosen them, not because trials support them. The eligibility rule is defensible in a disease where most of the molecularly matched evidence is single-arm, but no study shows that systematic eligibility checking improves outcome. Audit them for adherence, not for effectiveness.</w:t>
      </w:r>
    </w:p>
    <w:p>
      <w:pPr>
        <w:spacing w:after="40" w:line="276"/>
        <w:ind w:left="260"/>
      </w:pPr>
      <w:r>
        <w:rPr>
          <w:color w:val="5A6069"/>
          <w:sz w:val="16"/>
          <w:szCs w:val="16"/>
        </w:rPr>
        <w:t xml:space="preserve">Sources: MH iCCA roadmap v0.6</w:t>
      </w:r>
    </w:p>
    <w:p>
      <w:pPr>
        <w:spacing w:after="60" w:before="160"/>
      </w:pPr>
      <w:r>
        <w:rPr>
          <w:b/>
          <w:bCs/>
          <w:color w:val="8E5008"/>
          <w:sz w:val="19"/>
          <w:szCs w:val="19"/>
        </w:rPr>
        <w:t xml:space="preserve">7. </w:t>
      </w:r>
      <w:r>
        <w:rPr>
          <w:b/>
          <w:bCs/>
          <w:sz w:val="19"/>
          <w:szCs w:val="19"/>
        </w:rPr>
        <w:t xml:space="preserve">Thresholds barring each liver-directed modality by liver function, and the order in which the modalities are listed.</w:t>
      </w:r>
    </w:p>
    <w:p>
      <w:pPr>
        <w:spacing w:after="40" w:line="276"/>
        <w:ind w:left="260"/>
      </w:pPr>
      <w:r>
        <w:rPr>
          <w:color w:val="15181F"/>
          <w:sz w:val="18"/>
          <w:szCs w:val="18"/>
        </w:rPr>
        <w:t xml:space="preserve">No comparative data define the cut-offs; they are safety conventions. The one hard stop that does come from data is cirrhosis before radioembolisation with chemotherapy, where hepatic failure occurred in 9 of 12 cirrhotic patients (75%), irreversible in 5, against 5 of 29 (17%) without cirrhosis, all reversible — and every irreversible case had whole-liver treatment. Everything else, including the liver-function limits for ablation and for ablative radiotherapy, is convention. Unresolved decision 6, audited through decompensation after liver-directed therapy. The order itself carries no claim either. No randomised trial compares any two of hepatic arterial infusion, radioembolisation, chemoembolisation, ablative radiotherapy and thermal ablation in this disease, and none has been tested against a modern systemic backbone, so the sequence on the page reproduces the roadmap's table and the depth of each dataset rather than a hierarchy of evidence. Selection runs on treatment goal, target geometry, liver reserve and what the institution can deliver, and an upfront alternative chosen for anatomy or reserve is not a post-progression second line. Unresolved decisions 2, 6 and 7.</w:t>
      </w:r>
    </w:p>
    <w:p>
      <w:pPr>
        <w:spacing w:after="40" w:line="276"/>
        <w:ind w:left="260"/>
      </w:pPr>
      <w:r>
        <w:rPr>
          <w:color w:val="5A6069"/>
          <w:sz w:val="16"/>
          <w:szCs w:val="16"/>
        </w:rPr>
        <w:t xml:space="preserve">Sources: MH iCCA roadmap v0.6; MISPHEC; Hong proton phase II; Cercek HAI phase 2; Kiefer TACE 2-centre; Ablation meta-analysis</w:t>
      </w:r>
    </w:p>
    <w:p>
      <w:pPr>
        <w:spacing w:after="60" w:before="160"/>
      </w:pPr>
      <w:r>
        <w:rPr>
          <w:b/>
          <w:bCs/>
          <w:color w:val="8E5008"/>
          <w:sz w:val="19"/>
          <w:szCs w:val="19"/>
        </w:rPr>
        <w:t xml:space="preserve">8. </w:t>
      </w:r>
      <w:r>
        <w:rPr>
          <w:b/>
          <w:bCs/>
          <w:sz w:val="19"/>
          <w:szCs w:val="19"/>
        </w:rPr>
        <w:t xml:space="preserve">Retain the local requirement for a formally approved trial or prospective registry protocol and expert transplant-oncology selection before any transplantation for known intrahepatic cholangiocarcinoma.</w:t>
      </w:r>
    </w:p>
    <w:p>
      <w:pPr>
        <w:spacing w:after="40" w:line="276"/>
        <w:ind w:left="260"/>
      </w:pPr>
      <w:r>
        <w:rPr>
          <w:color w:val="15181F"/>
          <w:sz w:val="18"/>
          <w:szCs w:val="18"/>
        </w:rPr>
        <w:t xml:space="preserve">This is an additional institutional restriction, not an evidence finding. OPTN 2025 guidance and ILTS-ILCA 2024 both describe a route for cirrhotic, unresectable, biopsy-proven tumours of 3 cm or less after six months of stability; the roadmap declines to open it outside a protocol because graft stewardship is an institutional judgement, not an evidence question. Unresolved decision 5. What cannot honestly be given alongside it is an expected outcome. The published 5-year figures in iCCA span 25–73% overall survival and 29–82% recurrence-free survival, almost entirely from single-centre retrospective series, a range the ILTS-ILCA panel itself calls too wide to support a selection rule; almost every series describes iCCA found incidentally or misdiagnosed as hepatocellular carcinoma, so none is an intention-to-treat result and waitlist dropout for progression is unmeasured. A propensity-matched National Cancer Database comparison put transplant and resection within a few percentage points of each other at 5 years, and its authors argued resection should remain preferred for localised disease.</w:t>
      </w:r>
    </w:p>
    <w:p>
      <w:pPr>
        <w:spacing w:after="40" w:line="276"/>
        <w:ind w:left="260"/>
      </w:pPr>
      <w:r>
        <w:rPr>
          <w:color w:val="5A6069"/>
          <w:sz w:val="16"/>
          <w:szCs w:val="16"/>
        </w:rPr>
        <w:t xml:space="preserve">Sources: OPTN transplant-oncology guidance; ILTS-ILCA 2024 consensus; ILTS-ILCA 2024 (Liver Transpl); AASLD PSC/CCA 2023; BSG CCA 2023; Sapisochin review</w:t>
      </w:r>
    </w:p>
    <w:p>
      <w:pPr>
        <w:spacing w:after="60" w:before="160"/>
      </w:pPr>
      <w:r>
        <w:rPr>
          <w:b/>
          <w:bCs/>
          <w:color w:val="8E5008"/>
          <w:sz w:val="19"/>
          <w:szCs w:val="19"/>
        </w:rPr>
        <w:t xml:space="preserve">9. </w:t>
      </w:r>
      <w:r>
        <w:rPr>
          <w:b/>
          <w:bCs/>
          <w:sz w:val="19"/>
          <w:szCs w:val="19"/>
        </w:rPr>
        <w:t xml:space="preserve">If intrahepatic cholangiocarcinoma is found in an explant removed for another indication, enter the patient into structured surveillance and the registry; immunosuppression minimisation and adjuvant therapy are individualised.</w:t>
      </w:r>
    </w:p>
    <w:p>
      <w:pPr>
        <w:spacing w:after="40" w:line="276"/>
        <w:ind w:left="260"/>
      </w:pPr>
      <w:r>
        <w:rPr>
          <w:color w:val="15181F"/>
          <w:sz w:val="18"/>
          <w:szCs w:val="18"/>
        </w:rPr>
        <w:t xml:space="preserve">Local policy. There is no comparative evidence for either immunosuppression minimisation or adjuvant therapy in this situation, and the published outcomes describe exactly this incidentally diagnosed population rather than a selected one.</w:t>
      </w:r>
    </w:p>
    <w:p>
      <w:pPr>
        <w:spacing w:after="40" w:line="276"/>
        <w:ind w:left="260"/>
      </w:pPr>
      <w:r>
        <w:rPr>
          <w:color w:val="5A6069"/>
          <w:sz w:val="16"/>
          <w:szCs w:val="16"/>
        </w:rPr>
        <w:t xml:space="preserve">Sources: Sapisochin very early iCCA; Sapisochin review</w:t>
      </w:r>
    </w:p>
    <w:p>
      <w:pPr>
        <w:spacing w:after="60" w:before="160"/>
      </w:pPr>
      <w:r>
        <w:rPr>
          <w:b/>
          <w:bCs/>
          <w:color w:val="8E5008"/>
          <w:sz w:val="19"/>
          <w:szCs w:val="19"/>
        </w:rPr>
        <w:t xml:space="preserve">10. </w:t>
      </w:r>
      <w:r>
        <w:rPr>
          <w:b/>
          <w:bCs/>
          <w:sz w:val="19"/>
          <w:szCs w:val="19"/>
        </w:rPr>
        <w:t xml:space="preserve">Mixed hepatocellular-cholangiocarcinoma is out of scope for the hepatocellular carcinoma exception pathway: treat it as biliary disease for transplant purposes unless a protocol states otherwise, and flag it to the transplant team explicitly.</w:t>
      </w:r>
    </w:p>
    <w:p>
      <w:pPr>
        <w:spacing w:after="40" w:line="276"/>
        <w:ind w:left="260"/>
      </w:pPr>
      <w:r>
        <w:rPr>
          <w:color w:val="15181F"/>
          <w:sz w:val="18"/>
          <w:szCs w:val="18"/>
        </w:rPr>
        <w:t xml:space="preserve">Local policy, concordant with OPTN 2025, which routes mixed tumours through the same nonstandard request as iCCA, and with ILTS-ILCA 2024, which makes biopsy mandatory partly to exclude a mixed tumour. What is not known is how these patients do after transplantation. The index explant series excluded mixed tumours within a nodule outright and analysed the 33 explants with separate iCCA and hepatocellular nodules as a group outside its 48-patient study population, so it reports no outcome for them; the wider review literature notes that pooling mixed tumours with pure iCCA can make survival and recurrence look falsely favourable when the dominant phenotype is hepatocellular. The policy is therefore a precaution against an unquantified risk, not a reading of a dataset.</w:t>
      </w:r>
    </w:p>
    <w:p>
      <w:pPr>
        <w:spacing w:after="40" w:line="276"/>
        <w:ind w:left="260"/>
      </w:pPr>
      <w:r>
        <w:rPr>
          <w:color w:val="5A6069"/>
          <w:sz w:val="16"/>
          <w:szCs w:val="16"/>
        </w:rPr>
        <w:t xml:space="preserve">Sources: OPTN transplant-oncology guidance; ILTS-ILCA 2024 consensus; Sapisochin very early iCCA; Sapisochin review</w:t>
      </w:r>
    </w:p>
    <w:p>
      <w:pPr>
        <w:spacing w:after="60" w:before="160"/>
      </w:pPr>
      <w:r>
        <w:rPr>
          <w:b/>
          <w:bCs/>
          <w:color w:val="8E5008"/>
          <w:sz w:val="19"/>
          <w:szCs w:val="19"/>
        </w:rPr>
        <w:t xml:space="preserve">11. </w:t>
      </w:r>
      <w:r>
        <w:rPr>
          <w:b/>
          <w:bCs/>
          <w:sz w:val="19"/>
          <w:szCs w:val="19"/>
        </w:rPr>
        <w:t xml:space="preserve">Adjuvant capecitabine after resection of intrahepatic cholangiocarcinoma.</w:t>
      </w:r>
    </w:p>
    <w:p>
      <w:pPr>
        <w:spacing w:after="40" w:line="276"/>
        <w:ind w:left="260"/>
      </w:pPr>
      <w:r>
        <w:rPr>
          <w:color w:val="15181F"/>
          <w:sz w:val="18"/>
          <w:szCs w:val="18"/>
        </w:rPr>
        <w:t xml:space="preserve">BILCAP did not meet its primary endpoint. Intention-to-treat median overall survival was 51.1 versus 36.4 months with an adjusted hazard ratio of 0.81 (95% CI 0.63–1.04), p=0.097; significance appeared only in a prespecified sensitivity analysis adjusted for nodal status, grade and sex (0.71, 0.55–0.92) and in the per-protocol analysis (0.75, 0.58–0.97), in an unmasked trial whose analysis plan was not fully defined at the outset. Intrahepatic patients were 84 of 447 (19%) and the trial was not powered for site-specific effects, so no iCCA-specific benefit has been shown. The two guideline readings of that subgroup contradict each other — LCSGJ 2022 reports no significant benefit, EASL-ILCA cites a hazard ratio of 0.65 as the best of the subtypes — and they are not two datasets but two readings of one unpowered subgroup of a negative trial. What is actually known is that recurrence was deferred rather than prevented (no difference in recurrence-free survival from 24 to 60 months) and that 44% of treated patients had a grade 3 event, 32% stopped for toxicity and 55% finished all eight cycles. ACTICCA-1 has not reported. Our label is Reasonable consideration, grade C, and the conversation is the deliverable.</w:t>
      </w:r>
    </w:p>
    <w:p>
      <w:pPr>
        <w:spacing w:after="40" w:line="276"/>
        <w:ind w:left="260"/>
      </w:pPr>
      <w:r>
        <w:rPr>
          <w:color w:val="5A6069"/>
          <w:sz w:val="16"/>
          <w:szCs w:val="16"/>
        </w:rPr>
        <w:t xml:space="preserve">Sources: BILCAP; LCSGJ iCCA 2022; EASL-ILCA iCCA 2023; BSG CCA 2023; NCCN BTC v1.2026</w:t>
      </w:r>
    </w:p>
    <w:p>
      <w:pPr>
        <w:spacing w:after="60" w:before="160"/>
      </w:pPr>
      <w:r>
        <w:rPr>
          <w:b/>
          <w:bCs/>
          <w:color w:val="8E5008"/>
          <w:sz w:val="19"/>
          <w:szCs w:val="19"/>
        </w:rPr>
        <w:t xml:space="preserve">12. </w:t>
      </w:r>
      <w:r>
        <w:rPr>
          <w:b/>
          <w:bCs/>
          <w:sz w:val="19"/>
          <w:szCs w:val="19"/>
        </w:rPr>
        <w:t xml:space="preserve">The 3 cm tumour ceiling for a transplant referral.</w:t>
      </w:r>
    </w:p>
    <w:p>
      <w:pPr>
        <w:spacing w:after="40" w:line="276"/>
        <w:ind w:left="260"/>
      </w:pPr>
      <w:r>
        <w:rPr>
          <w:color w:val="15181F"/>
          <w:sz w:val="18"/>
          <w:szCs w:val="18"/>
        </w:rPr>
        <w:t xml:space="preserve">No study derived it. The series our page cites studied single tumours of 2 cm or less; EASL-ILCA concedes its own 3 cm figure is more permissive than the 2 cm cut-off used in the series and trials it cites, and ILTS-ILCA 2024 notes its ceiling mirrors the June 2024 OPTN review-board criteria rather than new data. Inside the index series the 2.1–3 cm band rests on 6 patients — single, not poorly differentiated tumours, 5-year survival 61%. A threshold nobody derived should be stated as a referral convention that the review board and the guidelines share, not as a size at which biology changes.</w:t>
      </w:r>
    </w:p>
    <w:p>
      <w:pPr>
        <w:spacing w:after="40" w:line="276"/>
        <w:ind w:left="260"/>
      </w:pPr>
      <w:r>
        <w:rPr>
          <w:color w:val="5A6069"/>
          <w:sz w:val="16"/>
          <w:szCs w:val="16"/>
        </w:rPr>
        <w:t xml:space="preserve">Sources: Sapisochin very early iCCA; EASL-ILCA iCCA 2023; ILTS-ILCA 2024 consensus; ILTS-ILCA 2024 (Liver Transpl); OPTN transplant-oncology guidance</w:t>
      </w:r>
    </w:p>
    <w:p>
      <w:pPr>
        <w:spacing w:after="60" w:before="160"/>
      </w:pPr>
      <w:r>
        <w:rPr>
          <w:b/>
          <w:bCs/>
          <w:color w:val="8E5008"/>
          <w:sz w:val="19"/>
          <w:szCs w:val="19"/>
        </w:rPr>
        <w:t xml:space="preserve">13. </w:t>
      </w:r>
      <w:r>
        <w:rPr>
          <w:b/>
          <w:bCs/>
          <w:sz w:val="19"/>
          <w:szCs w:val="19"/>
        </w:rPr>
        <w:t xml:space="preserve">Six months from diagnosis or last treatment with tumour stability, as a transplant criterion.</w:t>
      </w:r>
    </w:p>
    <w:p>
      <w:pPr>
        <w:spacing w:after="40" w:line="276"/>
        <w:ind w:left="260"/>
      </w:pPr>
      <w:r>
        <w:rPr>
          <w:color w:val="15181F"/>
          <w:sz w:val="18"/>
          <w:szCs w:val="18"/>
        </w:rPr>
        <w:t xml:space="preserve">The clock does not come from the evidence for the phenotype it is applied to. The explant series required no period of stability and could not have, because the diagnosis was made on the explant; bridging chemoembolisation, ablation or ethanol injection was permitted but was not a selection test, and 7 of its 15 very early patients (47%) were incidental findings after transplant for decompensated cirrhosis. ILTS-ILCA 2024 attaches no duration at all to the cirrhotic ≤3 cm recommendation — only 'a period of observation showing stability'. The six-month figure comes from its separate, weakly graded route for non-cirrhotic locally advanced disease and from the prospective Houston Methodist–MD Anderson protocol, where 6 months of radiographic stability on gemcitabine-based therapy was mandatory. Keeping it is defensible as a biology test; what is not known is whether six months is the right length, and the protocol's own authors concede that selecting for stability may simply be selecting indolent biology.</w:t>
      </w:r>
    </w:p>
    <w:p>
      <w:pPr>
        <w:spacing w:after="40" w:line="276"/>
        <w:ind w:left="260"/>
      </w:pPr>
      <w:r>
        <w:rPr>
          <w:color w:val="5A6069"/>
          <w:sz w:val="16"/>
          <w:szCs w:val="16"/>
        </w:rPr>
        <w:t xml:space="preserve">Sources: Sapisochin very early iCCA; Lunsford protocol series; ILTS-ILCA 2024 consensus; ILTS-ILCA 2024 (Liver Transpl); OPTN transplant-oncology guidance</w:t>
      </w:r>
    </w:p>
    <w:p>
      <w:pPr>
        <w:spacing w:after="60" w:before="160"/>
      </w:pPr>
      <w:r>
        <w:rPr>
          <w:b/>
          <w:bCs/>
          <w:color w:val="8E5008"/>
          <w:sz w:val="19"/>
          <w:szCs w:val="19"/>
        </w:rPr>
        <w:t xml:space="preserve">14. </w:t>
      </w:r>
      <w:r>
        <w:rPr>
          <w:b/>
          <w:bCs/>
          <w:sz w:val="19"/>
          <w:szCs w:val="19"/>
        </w:rPr>
        <w:t xml:space="preserve">First-line chemo-immunotherapy: the grade it carries in gate 5, and the choice between the two agents.</w:t>
      </w:r>
    </w:p>
    <w:p>
      <w:pPr>
        <w:spacing w:after="40" w:line="276"/>
        <w:ind w:left="260"/>
      </w:pPr>
      <w:r>
        <w:rPr>
          <w:color w:val="15181F"/>
          <w:sz w:val="18"/>
          <w:szCs w:val="18"/>
        </w:rPr>
        <w:t xml:space="preserve">Graded B here rather than A, because the trials that establish the regimen did not study this population. TOPAZ-1 was 86% metastatic and KEYNOTE-966 89%, both ECOG 0–1, and the TOPAZ-1 investigators state that the trial says nothing about neoadjuvant, downstaging or peri-transplant use in liver-confined disease — which is exactly where the regimen is now borrowed. The absolute gains in the trials as run are 1.3 and 1.8 months of median survival, TOPAZ-1's proportional-hazards assumption was formally violated and it was reported at a prespecified interim analysis, and KEYNOTE-966 missed its prespecified boundaries for both progression-free survival and response. Grade A remains right for gate 9. The choice between them is not an evidence finding either. There is no randomised comparison; ESMO declares the two interchangeable on an indirect comparison across trials differing in chemotherapy duration (gemcitabine capped at eight cycles in TOPAZ-1, continued to progression in KEYNOTE-966), geography and size, and states that no clinical, biochemical or molecular biomarker favours one. Neither trial found a predictive biomarker: benefit did not track PD-L1 in either, MSI status was missing for about half of TOPAZ-1 and only 10 KEYNOTE-966 patients were MSI-high. Present the choice as toxicity profile, schedule and access.</w:t>
      </w:r>
    </w:p>
    <w:p>
      <w:pPr>
        <w:spacing w:after="40" w:line="276"/>
        <w:ind w:left="260"/>
      </w:pPr>
      <w:r>
        <w:rPr>
          <w:color w:val="5A6069"/>
          <w:sz w:val="16"/>
          <w:szCs w:val="16"/>
        </w:rPr>
        <w:t xml:space="preserve">Sources: TOPAZ-1; KEYNOTE-966; EASL-ILCA iCCA 2023; ESMO BTC 2024 interim</w:t>
      </w:r>
    </w:p>
    <w:p>
      <w:pPr>
        <w:spacing w:after="60" w:before="160"/>
      </w:pPr>
      <w:r>
        <w:rPr>
          <w:b/>
          <w:bCs/>
          <w:color w:val="8E5008"/>
          <w:sz w:val="19"/>
          <w:szCs w:val="19"/>
        </w:rPr>
        <w:t xml:space="preserve">15. </w:t>
      </w:r>
      <w:r>
        <w:rPr>
          <w:b/>
          <w:bCs/>
          <w:sz w:val="19"/>
          <w:szCs w:val="19"/>
        </w:rPr>
        <w:t xml:space="preserve">The matched targeted agents in gate 2, as a group.</w:t>
      </w:r>
    </w:p>
    <w:p>
      <w:pPr>
        <w:spacing w:after="40" w:line="276"/>
        <w:ind w:left="260"/>
      </w:pPr>
      <w:r>
        <w:rPr>
          <w:color w:val="15181F"/>
          <w:sz w:val="18"/>
          <w:szCs w:val="18"/>
        </w:rPr>
        <w:t xml:space="preserve">Only one of them comes from a randomised trial, and that trial was negative on intention-to-treat overall survival. ClarIDHy met progression-free survival (2.7 versus 1.4 months, hazard ratio 0.37) but final intention-to-treat survival was 10.3 versus 7.5 months, hazard ratio 0.79 (0.56–1.12), p=0.09, with 70% crossover; the frequently quoted 0.49 comes from a crossover-adjustment model that assumes the drug's effect is identical whenever given. Pemigatinib, futibatinib, zanidatamab and dabrafenib–trametinib are single-arm, all approved on single-arm data, and none has been compared with second-line chemotherapy; the pemigatinib investigators explicitly warn against the cross-study comparison with pooled second-line chemotherapy that makes their agent look better, since FGFR2-fusion disease itself carries longer survival from diagnosis. Every one is industry-sponsored with sponsor involvement in design, analysis and writing. What is known is response rate and duration in a selected population; what is not known is survival against the alternative. A related choice sits on the same table: our rows require that HER2, NTRK and RET findings be captured but do not name trastuzumab deruxtecan, entrectinib, larotrectinib or selpercatinib, which ESMO 2024 recommends on level III grade A. The reason to hesitate is assay definition and evidence level rather than availability — ESMO concedes there are no standardised criteria for assessing HER2 status in biliary tract cancer and that no specific test can be recommended, while making two HER2-directed recommendations that depend on that undefined assay, and zanidatamab's own data are reported for biliary tract cancer as a whole with no breakdown by subsite. Alignment worksheet, area 14.</w:t>
      </w:r>
    </w:p>
    <w:p>
      <w:pPr>
        <w:spacing w:after="40" w:line="276"/>
        <w:ind w:left="260"/>
      </w:pPr>
      <w:r>
        <w:rPr>
          <w:color w:val="5A6069"/>
          <w:sz w:val="16"/>
          <w:szCs w:val="16"/>
        </w:rPr>
        <w:t xml:space="preserve">Sources: ClarIDHy final OS; ClarIDHy; FIGHT-202 final; FOENIX-CCA2; HERIZON-BTC-01; ROAR; ESMO BTC 2024 interim</w:t>
      </w:r>
    </w:p>
    <w:p>
      <w:pPr>
        <w:spacing w:after="60" w:before="160"/>
      </w:pPr>
      <w:r>
        <w:rPr>
          <w:b/>
          <w:bCs/>
          <w:color w:val="8E5008"/>
          <w:sz w:val="19"/>
          <w:szCs w:val="19"/>
        </w:rPr>
        <w:t xml:space="preserve">16. </w:t>
      </w:r>
      <w:r>
        <w:rPr>
          <w:b/>
          <w:bCs/>
          <w:sz w:val="19"/>
          <w:szCs w:val="19"/>
        </w:rPr>
        <w:t xml:space="preserve">Hepatic arterial infusion as the strongest regional option.</w:t>
      </w:r>
    </w:p>
    <w:p>
      <w:pPr>
        <w:spacing w:after="40" w:line="276"/>
        <w:ind w:left="260"/>
      </w:pPr>
      <w:r>
        <w:rPr>
          <w:color w:val="15181F"/>
          <w:sz w:val="18"/>
          <w:szCs w:val="18"/>
        </w:rPr>
        <w:t xml:space="preserve">The phase 2 evidence is 38 treated patients at one institution, selected from 84 screened, with the comparison drawn from historical systemic series; the linked editorial judged the case for locoregional therapy in unresectable cholangiocarcinoma still unsettled without a randomised trial, and the authors themselves called for one. The retrospective comparison that gives 30.8 versus 18.4 months had all HAI patients surgically staged against 42% of a 26-patient comparator of whom only 30% received gemcitabine–cisplatin, so stage migration favours HAI; 44 of its 93 HAI patients came from earlier phase 2 trials, and it reports no pump complication or biliary toxicity rate at all. Conversion to curative-intent resection occurred in 8 of 236 patients (3%). Delivery is harder than the figures suggest: 71% received the expected floxuridine dose over the first 3 months and 47% over the next 6, and grade 4 pump or arterial complications forced withdrawal in 11% of the lead-centre cohort and 30% of the 10-patient confirmatory cohort. The deciding variables for the programme are pump expertise, nursing infrastructure and case volume, not the evidence. PUMP-2 now supplies multicentre phase II evidence (PMID 41082695); the 142-patient pooled analysis supplies mature follow-up but overlapping participants (PMID 42331230). Comparative superiority remains unproven.</w:t>
      </w:r>
    </w:p>
    <w:p>
      <w:pPr>
        <w:spacing w:after="40" w:line="276"/>
        <w:ind w:left="260"/>
      </w:pPr>
      <w:r>
        <w:rPr>
          <w:color w:val="5A6069"/>
          <w:sz w:val="16"/>
          <w:szCs w:val="16"/>
        </w:rPr>
        <w:t xml:space="preserve">Sources: Cercek HAI phase 2; Konstantinidis HAI cohort; NCCN BTC v1.2026</w:t>
      </w:r>
    </w:p>
    <w:p>
      <w:pPr>
        <w:spacing w:after="60" w:before="160"/>
      </w:pPr>
      <w:r>
        <w:rPr>
          <w:b/>
          <w:bCs/>
          <w:color w:val="8E5008"/>
          <w:sz w:val="19"/>
          <w:szCs w:val="19"/>
        </w:rPr>
        <w:t xml:space="preserve">17. </w:t>
      </w:r>
      <w:r>
        <w:rPr>
          <w:b/>
          <w:bCs/>
          <w:sz w:val="19"/>
          <w:szCs w:val="19"/>
        </w:rPr>
        <w:t xml:space="preserve">Y90 radioembolisation as a conversion strategy.</w:t>
      </w:r>
    </w:p>
    <w:p>
      <w:pPr>
        <w:spacing w:after="40" w:line="276"/>
        <w:ind w:left="260"/>
      </w:pPr>
      <w:r>
        <w:rPr>
          <w:color w:val="15181F"/>
          <w:sz w:val="18"/>
          <w:szCs w:val="18"/>
        </w:rPr>
        <w:t xml:space="preserve">One single-arm phase 2 of 41 patients, run only at centres experienced with glass microspheres and part-funded by the microsphere manufacturer, with several authors as its consultants. Its 22% downstaging and 20% R0 rates describe a doubly selected cohort: 4 of 45 patients were excluded at the planning angiogram and 9 of 41 had major protocol deviations, leaving 32 per protocol. The authors state tumour-absorbed dose rather than a generic liver dose probably drives outcome, so the regimen does not transfer as written, and grade 3–4 toxicity affected 71%. Two patients whose disease stayed unresectable but controlled were offered transplant and both recurred, at 16 and 17 months. The confirmatory randomised SIRCCA trial has not reported.</w:t>
      </w:r>
    </w:p>
    <w:p>
      <w:pPr>
        <w:spacing w:after="40" w:line="276"/>
        <w:ind w:left="260"/>
      </w:pPr>
      <w:r>
        <w:rPr>
          <w:color w:val="5A6069"/>
          <w:sz w:val="16"/>
          <w:szCs w:val="16"/>
        </w:rPr>
        <w:t xml:space="preserve">Sources: MISPHEC; NCCN BTC v1.2026</w:t>
      </w:r>
    </w:p>
    <w:p>
      <w:pPr>
        <w:spacing w:after="60" w:before="160"/>
      </w:pPr>
      <w:r>
        <w:rPr>
          <w:b/>
          <w:bCs/>
          <w:color w:val="8E5008"/>
          <w:sz w:val="19"/>
          <w:szCs w:val="19"/>
        </w:rPr>
        <w:t xml:space="preserve">18. </w:t>
      </w:r>
      <w:r>
        <w:rPr>
          <w:b/>
          <w:bCs/>
          <w:sz w:val="19"/>
          <w:szCs w:val="19"/>
        </w:rPr>
        <w:t xml:space="preserve">Ablative radiotherapy doses, and the 80.5 Gy figure.</w:t>
      </w:r>
    </w:p>
    <w:p>
      <w:pPr>
        <w:spacing w:after="40" w:line="276"/>
        <w:ind w:left="260"/>
      </w:pPr>
      <w:r>
        <w:rPr>
          <w:color w:val="15181F"/>
          <w:sz w:val="18"/>
          <w:szCs w:val="18"/>
        </w:rPr>
        <w:t xml:space="preserve">It is an association in a retrospective single-centre series of 79 patients in which only 19 received the high dose. Those 19 also had significantly smaller planning target volumes (median 415 versus 614 cm³, p=0.02), and the high doses arrived with breath-hold gating and daily diagnostic-quality CT image guidance after 2010, so anatomy, technique and era are all confounded with dose — patients treated after 2010 survived 50 versus 24 months. The prospective proton data are a safety and local-control signal, not a survival finding: the 39-patient iCCA cohort had no prespecified efficacy hypothesis, median delivered dose was 58.0 GyE against an intended 67.5, every local failure occurred below 60 GyE, local failures kept accruing past 2 years and 53.8% developed distant metastases. The randomised answer was deferred to NRG GI-001, which closed early for poor accrual. Treat the dose as a planning aspiration, not a threshold.</w:t>
      </w:r>
    </w:p>
    <w:p>
      <w:pPr>
        <w:spacing w:after="40" w:line="276"/>
        <w:ind w:left="260"/>
      </w:pPr>
      <w:r>
        <w:rPr>
          <w:color w:val="5A6069"/>
          <w:sz w:val="16"/>
          <w:szCs w:val="16"/>
        </w:rPr>
        <w:t xml:space="preserve">Sources: Tao dose-response; Hong proton phase II</w:t>
      </w:r>
    </w:p>
    <w:p>
      <w:pPr>
        <w:spacing w:after="60" w:before="160"/>
      </w:pPr>
      <w:r>
        <w:rPr>
          <w:b/>
          <w:bCs/>
          <w:color w:val="8E5008"/>
          <w:sz w:val="19"/>
          <w:szCs w:val="19"/>
        </w:rPr>
        <w:t xml:space="preserve">19. </w:t>
      </w:r>
      <w:r>
        <w:rPr>
          <w:b/>
          <w:bCs/>
          <w:sz w:val="19"/>
          <w:szCs w:val="19"/>
        </w:rPr>
        <w:t xml:space="preserve">Thermal ablation as an alternative to resection for a small tumour.</w:t>
      </w:r>
    </w:p>
    <w:p>
      <w:pPr>
        <w:spacing w:after="40" w:line="276"/>
        <w:ind w:left="260"/>
      </w:pPr>
      <w:r>
        <w:rPr>
          <w:color w:val="15181F"/>
          <w:sz w:val="18"/>
          <w:szCs w:val="18"/>
        </w:rPr>
        <w:t xml:space="preserve">The cohort that reports parity did not test our rule. Its entry criterion was Milan-equivalent — a single tumour up to 5 cm, or up to three each 3 cm or less — not the under-3 cm wording the page uses, and within it a 3–5 cm tumour was an independent risk factor for disease-free survival after ablation but not after resection. The equivalence headline comes from a post hoc split at 2017, where the later comparison was underpowered (p=0.129), and a nonsignificant difference is not equivalence; margin was measured by post-ablation CT or MR in one arm and on the specimen in the other, which the authors accept may bias the mediation result their conclusion rests on. Resection still outperformed ablation in patients under 60, with hepatolithiasis, with left-lobe tumours and with GGT above 50 U/L. The pooled meta-analysis behind the under-3 cm limit is 20 retrospective studies with I² up to 85%, publication bias on 3-year survival (Egger p=0.039), a dichotomised size variable and no individual patient data; pooled recurrence-free survival was 40.0% at 1 year and 19.2% at 3. The structural problem for a surgeon is different: ablation yields no specimen and no nodal dissection, so there is no pathological node status to drive the gate 8 decision, and node-negativity rests on imaging whose sensitivity for nodal metastasis is 20–61%.</w:t>
      </w:r>
    </w:p>
    <w:p>
      <w:pPr>
        <w:spacing w:after="40" w:line="276"/>
        <w:ind w:left="260"/>
      </w:pPr>
      <w:r>
        <w:rPr>
          <w:color w:val="5A6069"/>
          <w:sz w:val="16"/>
          <w:szCs w:val="16"/>
        </w:rPr>
        <w:t xml:space="preserve">Sources: MALRIC primary; Ablation meta-analysis; MALRIC recurrent; EASL-ILCA iCCA 2023; NCCN BTC v1.2026</w:t>
      </w:r>
    </w:p>
    <w:p>
      <w:pPr>
        <w:spacing w:after="60" w:before="160"/>
      </w:pPr>
      <w:r>
        <w:rPr>
          <w:b/>
          <w:bCs/>
          <w:color w:val="8E5008"/>
          <w:sz w:val="19"/>
          <w:szCs w:val="19"/>
        </w:rPr>
        <w:t xml:space="preserve">20. </w:t>
      </w:r>
      <w:r>
        <w:rPr>
          <w:b/>
          <w:bCs/>
          <w:sz w:val="19"/>
          <w:szCs w:val="19"/>
        </w:rPr>
        <w:t xml:space="preserve">Routine regional lymphadenectomy at every iCCA resection.</w:t>
      </w:r>
    </w:p>
    <w:p>
      <w:pPr>
        <w:spacing w:after="40" w:line="276"/>
        <w:ind w:left="260"/>
      </w:pPr>
      <w:r>
        <w:rPr>
          <w:color w:val="15181F"/>
          <w:sz w:val="18"/>
          <w:szCs w:val="18"/>
        </w:rPr>
        <w:t xml:space="preserve">No guideline recommends it on evidence of survival benefit. LCSGJ 2022 makes no recommendation on node dissection at all and warns that prophylactic dissection in cirrhosis increases complications; ESMO 2023 recommends routine hepatoduodenal-ligament dissection on level IV evidence; BSG 2023 says nothing about extent or node yield, which its own critics identify as a gap given that the adjuvant recommendation it then makes turns on nodal status; AASLD 2023 likewise makes no statement. Keeping it in every operation is a staging decision the programme has made so that the adjuvant conversation and the registry have a denominator, not a survival finding. Unresolved; audit the node yield, not the outcome.</w:t>
      </w:r>
    </w:p>
    <w:p>
      <w:pPr>
        <w:spacing w:after="40" w:line="276"/>
        <w:ind w:left="260"/>
      </w:pPr>
      <w:r>
        <w:rPr>
          <w:color w:val="5A6069"/>
          <w:sz w:val="16"/>
          <w:szCs w:val="16"/>
        </w:rPr>
        <w:t xml:space="preserve">Sources: LCSGJ iCCA 2022; ESMO BTC 2023 guideline; BSG CCA 2023; AASLD PSC/CCA 2023</w:t>
      </w:r>
    </w:p>
    <w:p>
      <w:pPr>
        <w:spacing w:after="60" w:before="160"/>
      </w:pPr>
      <w:r>
        <w:rPr>
          <w:b/>
          <w:bCs/>
          <w:color w:val="8E5008"/>
          <w:sz w:val="19"/>
          <w:szCs w:val="19"/>
        </w:rPr>
        <w:t xml:space="preserve">21. </w:t>
      </w:r>
      <w:r>
        <w:rPr>
          <w:b/>
          <w:bCs/>
          <w:sz w:val="19"/>
          <w:szCs w:val="19"/>
        </w:rPr>
        <w:t xml:space="preserve">Two resectability criteria this page states but does not define: the regional nodal basin, and the liver-reserve limit.</w:t>
      </w:r>
    </w:p>
    <w:p>
      <w:pPr>
        <w:spacing w:after="40" w:line="276"/>
        <w:ind w:left="260"/>
      </w:pPr>
      <w:r>
        <w:rPr>
          <w:color w:val="15181F"/>
          <w:sz w:val="18"/>
          <w:szCs w:val="18"/>
        </w:rPr>
        <w:t xml:space="preserve">The basin is not defined in this version. AASLD 2023 draws the boundary at nodal metastasis beyond the hepatoduodenal and gastrohepatic ligaments and NCCN at beyond the porta hepatis; an undefined basin cannot be audited and two surgeons can reach opposite conclusions on the same scan. Clinical nodal staging is also insensitive here — reported sensitivity for nodal metastasis is 20–61% — so the criterion is applied to an uncertain input. On the other side the roadmap is silent on portal hypertension, while AASLD 2023 names decompensated cirrhosis and portal hypertension as contraindications to resection and LCSGJ 2022 builds its whole algorithm on Child-Pugh class, sending Child-Pugh C to palliative care. No comparative data define numeric reserve thresholds in iCCA, so any local rule is a safety convention, which is why it stays specialty-approved local implementation rather than being asserted here. Alignment worksheet, areas 3 and 4.</w:t>
      </w:r>
    </w:p>
    <w:p>
      <w:pPr>
        <w:spacing w:after="40" w:line="276"/>
        <w:ind w:left="260"/>
      </w:pPr>
      <w:r>
        <w:rPr>
          <w:color w:val="5A6069"/>
          <w:sz w:val="16"/>
          <w:szCs w:val="16"/>
        </w:rPr>
        <w:t xml:space="preserve">Sources: AASLD PSC/CCA 2023; NCCN BTC v1.2026; LCSGJ iCCA 2022; MALRIC primary</w:t>
      </w:r>
    </w:p>
    <w:p>
      <w:pPr>
        <w:spacing w:after="60" w:before="160"/>
      </w:pPr>
      <w:r>
        <w:rPr>
          <w:b/>
          <w:bCs/>
          <w:color w:val="8E5008"/>
          <w:sz w:val="19"/>
          <w:szCs w:val="19"/>
        </w:rPr>
        <w:t xml:space="preserve">22. </w:t>
      </w:r>
      <w:r>
        <w:rPr>
          <w:b/>
          <w:bCs/>
          <w:sz w:val="19"/>
          <w:szCs w:val="19"/>
        </w:rPr>
        <w:t xml:space="preserve">Conversion therapy with a declared reassessment, and the rates quoted for it.</w:t>
      </w:r>
    </w:p>
    <w:p>
      <w:pPr>
        <w:spacing w:after="40" w:line="276"/>
        <w:ind w:left="260"/>
      </w:pPr>
      <w:r>
        <w:rPr>
          <w:color w:val="15181F"/>
          <w:sz w:val="18"/>
          <w:szCs w:val="18"/>
        </w:rPr>
        <w:t xml:space="preserve">The 36.4% and 53% conversion rates are retrospective Japanese series quoted by LCSGJ 2022, which in the same document records no evidence of benefit for neoadjuvant chemotherapy and makes no recommendation; the denominators are not defined and those series report median survival of 24.1 months in converted patients against 25.7 months in those primarily resectable. AASLD 2023 states the role of neoadjuvant downstaging is not well defined and BSG 2023 does not recommend routine neoadjuvant chemotherapy. Neither modern chemo-immunotherapy trial supports downstaging, since both were almost entirely metastatic. The prospective conversion numbers that do exist are small: 9 of 41 downstaged and 8 resected with Y90 plus chemotherapy, 4 of 38 with hepatic arterial infusion. What is defensible is the discipline — record the obstacle to R0, declare the reassessment date, hold a formal surgical re-review — not a conversion rate.</w:t>
      </w:r>
    </w:p>
    <w:p>
      <w:pPr>
        <w:spacing w:after="40" w:line="276"/>
        <w:ind w:left="260"/>
      </w:pPr>
      <w:r>
        <w:rPr>
          <w:color w:val="5A6069"/>
          <w:sz w:val="16"/>
          <w:szCs w:val="16"/>
        </w:rPr>
        <w:t xml:space="preserve">Sources: LCSGJ iCCA 2022; AASLD PSC/CCA 2023; BSG CCA 2023; MISPHEC; Cercek HAI phase 2</w:t>
      </w:r>
    </w:p>
    <w:p>
      <w:pPr>
        <w:spacing w:after="60" w:before="160"/>
      </w:pPr>
      <w:r>
        <w:rPr>
          <w:b/>
          <w:bCs/>
          <w:color w:val="8E5008"/>
          <w:sz w:val="19"/>
          <w:szCs w:val="19"/>
        </w:rPr>
        <w:t xml:space="preserve">23. </w:t>
      </w:r>
      <w:r>
        <w:rPr>
          <w:b/>
          <w:bCs/>
          <w:sz w:val="19"/>
          <w:szCs w:val="19"/>
        </w:rPr>
        <w:t xml:space="preserve">Ordering broad molecular profiling at diagnosis rather than at progression.</w:t>
      </w:r>
    </w:p>
    <w:p>
      <w:pPr>
        <w:spacing w:after="40" w:line="276"/>
        <w:ind w:left="260"/>
      </w:pPr>
      <w:r>
        <w:rPr>
          <w:color w:val="15181F"/>
          <w:sz w:val="18"/>
          <w:szCs w:val="18"/>
        </w:rPr>
        <w:t xml:space="preserve">The argument is operational, not biological, and no study shows that ordering earlier improves outcome. What supports it is turnaround of two to four weeks against a second-line decision that cannot wait, plus the screening arithmetic: 783 patients screened to enrol 103 in FOENIX-CCA2, 1,206 prescreened to find 107 fusion-positive patients for FIGHT-202, and a BRAF V600E yield reported at 9% but nearer 5–7% in practice because sites entered known positives. Our grade B is lower than ESMO's level I grade A and BSG's strong recommendation on high-quality evidence; the obstacle in practice is payer authorisation and ordering discipline, which is why this is audited as a proportion rather than asserted as a standard. The plasma alternative is weaker than its headline figure suggests: the 87% quoted for plasma detection of an FGFR2 fusion comes from 83 of 95 FOENIX-CCA2 patients already known to be tissue-positive, so it measures concordance in a positive population, not the chance of finding a target de novo. No study in this disease reports the latter, and BSG 2023 notes DNA-based panels and most liquid biopsies are weaker at detecting fusions, so a negative plasma result in a patient whose management would change should prompt tissue testing rather than closing the question.</w:t>
      </w:r>
    </w:p>
    <w:p>
      <w:pPr>
        <w:spacing w:after="40" w:line="276"/>
        <w:ind w:left="260"/>
      </w:pPr>
      <w:r>
        <w:rPr>
          <w:color w:val="5A6069"/>
          <w:sz w:val="16"/>
          <w:szCs w:val="16"/>
        </w:rPr>
        <w:t xml:space="preserve">Sources: ESMO BTC 2024 interim; BSG CCA 2023; FOENIX-CCA2; FIGHT-202; ROAR</w:t>
      </w:r>
    </w:p>
    <w:p>
      <w:pPr>
        <w:spacing w:after="60" w:before="160"/>
      </w:pPr>
      <w:r>
        <w:rPr>
          <w:b/>
          <w:bCs/>
          <w:color w:val="8E5008"/>
          <w:sz w:val="19"/>
          <w:szCs w:val="19"/>
        </w:rPr>
        <w:t xml:space="preserve">24. </w:t>
      </w:r>
      <w:r>
        <w:rPr>
          <w:b/>
          <w:bCs/>
          <w:sz w:val="19"/>
          <w:szCs w:val="19"/>
        </w:rPr>
        <w:t xml:space="preserve">Sequencing a dedicated biliary specimen at ERCP, and reusing it for the gate 2 profile.</w:t>
      </w:r>
    </w:p>
    <w:p>
      <w:pPr>
        <w:spacing w:after="40" w:line="276"/>
        <w:ind w:left="260"/>
      </w:pPr>
      <w:r>
        <w:rPr>
          <w:color w:val="15181F"/>
          <w:sz w:val="18"/>
          <w:szCs w:val="18"/>
        </w:rPr>
        <w:t xml:space="preserve">The accuracy data are strong on their own terms — 82% sensitivity at 98% specificity against 44% for pathology, 36% for intrahepatic or hilar strictures — but they come from a cohort whose specimens were submitted at the endoscopist's discretion rather than consecutively, where a stricture could be called neoplastic on 12 months of clinical or radiographic progression rather than on tissue, and where all testing was done in the laboratory that developed the assay. Reuse for gate 2 depends entirely on which panel version is run: the 28-gene version used in the original cohort did not detect FGFR2 fusions, which with chromatin-remodelling genes accounts for up to 20% of intrahepatic tumours, while the 161-gene version reports fusions and found actionable alterations in 137 of 458 cholangiocarcinomas (30%). A negative result excludes nothing — negative predictive value in the original cohort was 63%. Downgraded to C for those reasons.</w:t>
      </w:r>
    </w:p>
    <w:p>
      <w:pPr>
        <w:spacing w:after="40" w:line="276"/>
        <w:ind w:left="260"/>
      </w:pPr>
      <w:r>
        <w:rPr>
          <w:color w:val="5A6069"/>
          <w:sz w:val="16"/>
          <w:szCs w:val="16"/>
        </w:rPr>
        <w:t xml:space="preserve">Sources: Biliary-stricture NGS; BiliSeq original cohort</w:t>
      </w:r>
    </w:p>
    <w:p>
      <w:pPr>
        <w:spacing w:after="60" w:before="160"/>
      </w:pPr>
      <w:r>
        <w:rPr>
          <w:b/>
          <w:bCs/>
          <w:color w:val="8E5008"/>
          <w:sz w:val="19"/>
          <w:szCs w:val="19"/>
        </w:rPr>
        <w:t xml:space="preserve">25. </w:t>
      </w:r>
      <w:r>
        <w:rPr>
          <w:b/>
          <w:bCs/>
          <w:sz w:val="19"/>
          <w:szCs w:val="19"/>
        </w:rPr>
        <w:t xml:space="preserve">Not substituting liver-directed therapy for systemic therapy (gate 5, Avoid).</w:t>
      </w:r>
    </w:p>
    <w:p>
      <w:pPr>
        <w:spacing w:after="40" w:line="276"/>
        <w:ind w:left="260"/>
      </w:pPr>
      <w:r>
        <w:rPr>
          <w:color w:val="15181F"/>
          <w:sz w:val="18"/>
          <w:szCs w:val="18"/>
        </w:rPr>
        <w:t xml:space="preserve">This is the one place the roadmap knowingly disagrees with NCCN, whose wording that arterially directed therapies may be used alone can be read as permitting substitution. The position is supported by AASLD 2023, which states data are insufficient to recommend liver-directed therapy as standard therapy for locally advanced unresectable iCCA, and by the absence of any trial of any catheter or radiation modality against a modern chemo-immunotherapy backbone — none of the HAI, Y90, chemoembolisation, ablation or radiotherapy datasets has such a comparator. It is therefore a position taken in the absence of evidence either way, and it is put to a decision rather than asserted. Alignment worksheet, area 9.</w:t>
      </w:r>
    </w:p>
    <w:p>
      <w:pPr>
        <w:spacing w:after="40" w:line="276"/>
        <w:ind w:left="260"/>
      </w:pPr>
      <w:r>
        <w:rPr>
          <w:color w:val="5A6069"/>
          <w:sz w:val="16"/>
          <w:szCs w:val="16"/>
        </w:rPr>
        <w:t xml:space="preserve">Sources: AASLD PSC/CCA 2023; NCCN BTC v1.2026; MH iCCA alignment worksheet; Cercek HAI phase 2; MISPHEC</w:t>
      </w:r>
    </w:p>
    <w:p>
      <w:pPr>
        <w:spacing w:after="60" w:before="160"/>
      </w:pPr>
      <w:r>
        <w:rPr>
          <w:b/>
          <w:bCs/>
          <w:color w:val="8E5008"/>
          <w:sz w:val="19"/>
          <w:szCs w:val="19"/>
        </w:rPr>
        <w:t xml:space="preserve">26. </w:t>
      </w:r>
      <w:r>
        <w:rPr>
          <w:b/>
          <w:bCs/>
          <w:sz w:val="19"/>
          <w:szCs w:val="19"/>
        </w:rPr>
        <w:t xml:space="preserve">Adjuvant chemoradiotherapy after an R1 or node-positive resection.</w:t>
      </w:r>
    </w:p>
    <w:p>
      <w:pPr>
        <w:spacing w:after="40" w:line="276"/>
        <w:ind w:left="260"/>
      </w:pPr>
      <w:r>
        <w:rPr>
          <w:color w:val="15181F"/>
          <w:sz w:val="18"/>
          <w:szCs w:val="18"/>
        </w:rPr>
        <w:t xml:space="preserve">In intrahepatic disease the support is retrospective only. BSG 2023 confines its chemoradiotherapy recommendation after an R1 resection to extrahepatic cholangiocarcinoma and gallbladder cancer, and ESMO 2023 states that definitive external beam radiotherapy or chemoradiotherapy for locally advanced cholangiocarcinoma should not be used outside trials. Keeping it as a case-by-case tumour-board discussion rather than a standing rule is the honest position; what is not known is whether it changes anything in iCCA. Alignment worksheet, area 11.</w:t>
      </w:r>
    </w:p>
    <w:p>
      <w:pPr>
        <w:spacing w:after="40" w:line="276"/>
        <w:ind w:left="260"/>
      </w:pPr>
      <w:r>
        <w:rPr>
          <w:color w:val="5A6069"/>
          <w:sz w:val="16"/>
          <w:szCs w:val="16"/>
        </w:rPr>
        <w:t xml:space="preserve">Sources: MH iCCA alignment worksheet; BSG CCA 2023; ESMO BTC 2023 guideline</w:t>
      </w:r>
    </w:p>
    <w:p>
      <w:pPr>
        <w:spacing w:after="60" w:before="160"/>
      </w:pPr>
      <w:r>
        <w:rPr>
          <w:b/>
          <w:bCs/>
          <w:color w:val="8E5008"/>
          <w:sz w:val="19"/>
          <w:szCs w:val="19"/>
        </w:rPr>
        <w:t xml:space="preserve">27. </w:t>
      </w:r>
      <w:r>
        <w:rPr>
          <w:b/>
          <w:bCs/>
          <w:sz w:val="19"/>
          <w:szCs w:val="19"/>
        </w:rPr>
        <w:t xml:space="preserve">Negative adjuvant trials cannot be quoted as evidence that adjuvant therapy is futile.</w:t>
      </w:r>
    </w:p>
    <w:p>
      <w:pPr>
        <w:spacing w:after="40" w:line="276"/>
        <w:ind w:left="260"/>
      </w:pPr>
      <w:r>
        <w:rPr>
          <w:color w:val="15181F"/>
          <w:sz w:val="18"/>
          <w:szCs w:val="18"/>
        </w:rPr>
        <w:t xml:space="preserve">PRODIGE-12 was powered for a hazard ratio of 0.60 on 126 events, its medians fell on a plateau of the curves, and salvage differed sharply by arm (40 of 41 surveillance relapses received gemcitabine-based salvage against 9 of 33 after GEMOX), in a population lower-risk than BILCAP's; it is a failed superiority trial for one regimen. BCAT stopped at 226 of a planned 300 because patients wanted adjuvant chemotherapy, and its authors calculate only a 2.8% probability of reaching significance even with the planned events — and it excluded intrahepatic disease outright. ASCOT was positive on overall survival but its relapse-free survival endpoint did not reach significance (hazard ratio 0.80, p=0.088) with curves crossing at 6 years, it was analysed at 179 of 285 prespecified events, and S-1 is unavailable outside Asia. Three negative or inapplicable trials do not add up to a demonstration that nothing works, and they do not settle gate 8 either way.</w:t>
      </w:r>
    </w:p>
    <w:p>
      <w:pPr>
        <w:spacing w:after="40" w:line="276"/>
        <w:ind w:left="260"/>
      </w:pPr>
      <w:r>
        <w:rPr>
          <w:color w:val="5A6069"/>
          <w:sz w:val="16"/>
          <w:szCs w:val="16"/>
        </w:rPr>
        <w:t xml:space="preserve">Sources: PRODIGE-12; BCAT; ASCOT; BILCAP</w:t>
      </w:r>
    </w:p>
    <w:p>
      <w:pPr>
        <w:spacing w:after="60" w:before="160"/>
      </w:pPr>
      <w:r>
        <w:rPr>
          <w:b/>
          <w:bCs/>
          <w:color w:val="8E5008"/>
          <w:sz w:val="19"/>
          <w:szCs w:val="19"/>
        </w:rPr>
        <w:t xml:space="preserve">28. </w:t>
      </w:r>
      <w:r>
        <w:rPr>
          <w:b/>
          <w:bCs/>
          <w:sz w:val="19"/>
          <w:szCs w:val="19"/>
        </w:rPr>
        <w:t xml:space="preserve">Histotripsy for intrahepatic cholangiocarcinoma.</w:t>
      </w:r>
    </w:p>
    <w:p>
      <w:pPr>
        <w:spacing w:after="40" w:line="276"/>
        <w:ind w:left="260"/>
      </w:pPr>
      <w:r>
        <w:rPr>
          <w:color w:val="15181F"/>
          <w:sz w:val="18"/>
          <w:szCs w:val="18"/>
        </w:rPr>
        <w:t xml:space="preserve">There is no tumour-specific evidence in this disease at all. The pivotal experience enrolled hepatocellular carcinoma and liver metastases, not iCCA, and in its one-year update local control was 63.4% on the primary assessment against 90% post hoc in 47 patients with 52 tumours. FDA device clearance for tumour destruction establishes neither survival benefit nor equivalence to established ablation. Grade D, protocol and registry only, with explicit consent about oncologic uncertainty.</w:t>
      </w:r>
    </w:p>
    <w:p>
      <w:pPr>
        <w:spacing w:after="40" w:line="276"/>
        <w:ind w:left="260"/>
      </w:pPr>
      <w:r>
        <w:rPr>
          <w:color w:val="5A6069"/>
          <w:sz w:val="16"/>
          <w:szCs w:val="16"/>
        </w:rPr>
        <w:t xml:space="preserve">Sources: HOPE4LIVER one-year update</w:t>
      </w:r>
    </w:p>
    <w:p>
      <w:pPr>
        <w:spacing w:after="60" w:before="160"/>
      </w:pPr>
      <w:r>
        <w:rPr>
          <w:b/>
          <w:bCs/>
          <w:color w:val="8E5008"/>
          <w:sz w:val="19"/>
          <w:szCs w:val="19"/>
        </w:rPr>
        <w:t xml:space="preserve">29. </w:t>
      </w:r>
      <w:r>
        <w:rPr>
          <w:b/>
          <w:bCs/>
          <w:sz w:val="19"/>
          <w:szCs w:val="19"/>
        </w:rPr>
        <w:t xml:space="preserve">The MMaT-3 exception route, and what it is not.</w:t>
      </w:r>
    </w:p>
    <w:p>
      <w:pPr>
        <w:spacing w:after="40" w:line="276"/>
        <w:ind w:left="260"/>
      </w:pPr>
      <w:r>
        <w:rPr>
          <w:color w:val="15181F"/>
          <w:sz w:val="18"/>
          <w:szCs w:val="18"/>
        </w:rPr>
        <w:t xml:space="preserve">The Adult MELD Exceptions for Transplant Oncology document is review-board guidance, not OPTN Policy and not a clinical practice guideline; Policy 9.5 defines the standardised exceptions and intrahepatic cholangiocarcinoma is not among them, so every request goes to the review board as a narrative. MMaT is the median MELD at transplant for the donor hospital used in the match run rather than a fixed national score, an MMaT-relative exception below 15 is assigned 15 under Policy 9.4.E, and extensions generally run in 90-day cycles under 9.4.C. ILTS-ILCA makes no recommendation on allocation priority, exception points or acceptable waitlist dropout, which is what makes the ≤3 cm criterion hard to act on in a system where iCCA earns no priority. Verify the current policy text before any listing decision.</w:t>
      </w:r>
    </w:p>
    <w:p>
      <w:pPr>
        <w:spacing w:after="40" w:line="276"/>
        <w:ind w:left="260"/>
      </w:pPr>
      <w:r>
        <w:rPr>
          <w:color w:val="5A6069"/>
          <w:sz w:val="16"/>
          <w:szCs w:val="16"/>
        </w:rPr>
        <w:t xml:space="preserve">Sources: OPTN Policy 9; OPTN transplant-oncology guidance; ILTS-ILCA 2024 consensus</w:t>
      </w:r>
    </w:p>
    <w:p>
      <w:pPr>
        <w:spacing w:after="60" w:before="160"/>
      </w:pPr>
      <w:r>
        <w:rPr>
          <w:b/>
          <w:bCs/>
          <w:color w:val="8E5008"/>
          <w:sz w:val="19"/>
          <w:szCs w:val="19"/>
        </w:rPr>
        <w:t xml:space="preserve">30. </w:t>
      </w:r>
      <w:r>
        <w:rPr>
          <w:b/>
          <w:bCs/>
          <w:sz w:val="19"/>
          <w:szCs w:val="19"/>
        </w:rPr>
        <w:t xml:space="preserve">A core biopsy before resection of a high-suspicion, clearly resectable mass.</w:t>
      </w:r>
    </w:p>
    <w:p>
      <w:pPr>
        <w:spacing w:after="40" w:line="276"/>
        <w:ind w:left="260"/>
      </w:pPr>
      <w:r>
        <w:rPr>
          <w:color w:val="15181F"/>
          <w:sz w:val="18"/>
          <w:szCs w:val="18"/>
        </w:rPr>
        <w:t xml:space="preserve">The sources disagree and the page has chosen a destination-specific rule rather than a universal one. AASLD 2023 and BSG 2023 require histological confirmation for a definitive iCCA diagnosis, EASL-ILCA recommends biopsy on level 4 evidence with 96% consensus, LCSGJ 2022 regards biopsy as basically unnecessary for a typical resectable mass and recommends it only in unresectable cases, and NCCN states a suspicious mass in the proper clinical setting should be treated as malignant. ILTS-ILCA makes biopsy mandatory where transplantation is contemplated, to grade differentiation and exclude a mixed tumour. No outcome study compares the two policies in a resectable mass. Alignment worksheet, area 1.</w:t>
      </w:r>
    </w:p>
    <w:p>
      <w:pPr>
        <w:spacing w:after="40" w:line="276"/>
        <w:ind w:left="260"/>
      </w:pPr>
      <w:r>
        <w:rPr>
          <w:color w:val="5A6069"/>
          <w:sz w:val="16"/>
          <w:szCs w:val="16"/>
        </w:rPr>
        <w:t xml:space="preserve">Sources: AASLD PSC/CCA 2023; BSG CCA 2023; EASL-ILCA iCCA 2023; LCSGJ iCCA 2022; NCCN BTC v1.2026; ILTS-ILCA 2024 consensus</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run a hepatic arterial infusion service for intrahepatic cholangiocarcinoma?</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a single-arm, largely single-institution phase 2 experience. Benefit is plausible and toxicity is real; the deciding variables are pump expertise, nursing infrastructure and case volume.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liver-directed modality is first choice for unresectable liver-confined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head-to-head comparison exists between HAI, radioembolisation, SBRT and proton therapy.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 by 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ASCOT's positive result used an agent unavailable here.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molecular profiling funded and ordered at diagnosis in practice?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clinical argument is not in doubt; the obstacle is payer authorisation and ordering discipline.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an intrahepatic cholangiocarcinoma transplant protocol?</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retrospective and confined to small tumours first diagnosed on explant pathology, most seen before transplant as presumed hepatocellular carcinoma. Graft stewardship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are the thresholds barring each liver-directed modality by liver function?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comparative data define the cut-offs; they are safety conventions.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Ablation for intrahepatic cholangiocarcinoma — acceptable, and in whom?</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substantially weaker than in hepatocellular carcinoma and is retrospective.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An owner must be assigned to verify subsequent editions and current allocation requirements, ratify the documented institutional positions, and maintain the update cycle.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core biopsy required before resection of a high-suspicion, clearly resectable mass, or is destination-specific confirmation enough?</w:t>
            </w:r>
          </w:p>
        </w:tc>
        <w:tc>
          <w:tcPr>
            <w:tcW w:type="dxa" w:w="4740"/>
            <w:tcMar>
              <w:top w:type="dxa" w:w="70"/>
              <w:left w:type="dxa" w:w="110"/>
              <w:bottom w:type="dxa" w:w="70"/>
              <w:right w:type="dxa" w:w="110"/>
            </w:tcMar>
            <w:vAlign w:val="top"/>
          </w:tcPr>
          <w:p>
            <w:pPr>
              <w:spacing w:after="0" w:line="276"/>
            </w:pPr>
            <w:r>
              <w:rPr>
                <w:color w:val="15181F"/>
                <w:sz w:val="17"/>
                <w:szCs w:val="17"/>
              </w:rPr>
              <w:t xml:space="preserve">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regional lymphadenectomy mandatory at every iCCA resection, and what minimum node yield is recorded?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LCSGJ 2022 makes no recommendation and warns that prophylactic dissection in cirrhosis increases complications; ESMO 2023 recommends routine hepatoduodenal-ligament dissection on level IV evidence; BSG 2023 and AASLD 2023 state neither extent nor yield. The gate 8 adjuvant conversation and the registry both need a nodal denominator. Alignment worksheet, area 5.</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as 'a period of stability' before a transplant referral — what duration, on what therapy, and at what imaging interval?</w:t>
            </w:r>
          </w:p>
        </w:tc>
        <w:tc>
          <w:tcPr>
            <w:tcW w:type="dxa" w:w="4740"/>
            <w:tcMar>
              <w:top w:type="dxa" w:w="70"/>
              <w:left w:type="dxa" w:w="110"/>
              <w:bottom w:type="dxa" w:w="70"/>
              <w:right w:type="dxa" w:w="110"/>
            </w:tcMar>
            <w:vAlign w:val="top"/>
          </w:tcPr>
          <w:p>
            <w:pPr>
              <w:spacing w:after="0" w:line="276"/>
            </w:pPr>
            <w:r>
              <w:rPr>
                <w:color w:val="15181F"/>
                <w:sz w:val="17"/>
                <w:szCs w:val="17"/>
              </w:rPr>
              <w:t xml:space="preserve">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page name trastuzumab deruxtecan, entrectinib, larotrectinib and selpercatinib, as ESMO 2024 does, or only require that the alterations be captured?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ESMO recommendations are level III grade A — single-arm or basket-trial evidence — several agents are FDA- but not EMA-approved, and ESMO itself concedes there are no standardised criteria for HER2 assessment in biliary tract cancer. Alignment worksheet, area 14.</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there a default first-line checkpoint combination, or does the choice stay with the treating oncologist?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Post-resection surveillance — 3-monthly or 6-monthly imaging for the first two years?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7 October 2026 (Batch 08) after a full-text read of this page's reference depot: 37 structured abstracts, each carrying the authors' own stated limitations and an independent critique with its sources identified, against which every evidence string on this page was rechecked for the published number, for whether the critique undercuts what the string claims, and for whether the grade still follows. Thirty-three evidence strings changed. Three grades were lowered and the reason is recorded in each note: first-line chemo-immunotherapy in permanently unresectable liver-confined disease from A to B, because TOPAZ-1 and KEYNOTE-966 were 86% and 89% metastatic and say nothing about this population; offering adjuvant capecitabine from B to C, because BILCAP did not meet its intention-to-treat primary endpoint and only 19% of its patients had intrahepatic disease; and sequencing a dedicated biliary specimen at ERCP from B to C, because specimens were submitted non-consecutively, the reference standard allowed clinical and radiographic progression in place of tissue, and all testing was done in the laboratory that developed the assay. The transplant gate was corrected most: the international explant series is now cited only for what it studied — 15 patients with single tumours of 2 cm or less, diagnosed on explant pathology, with mixed hepatocellular-cholangiocarcinoma excluded and no requirement for disease stability on therapy — and the 3 cm ceiling and the six-month stability clock in our criteria are attributed to EASL-ILCA, the OPTN review-board guidance and ILTS-ILCA rather than to that series. The ILTS-ILCA 2024 consensus is published twice and both records are cited (PMID 40014003, Liver Transplantation 2025; PMID 42312290, Liver Cancer 2026); the ESMO 2023 parent guideline (PMID 36372281) is now cited alongside its 2024 interim update, since the update covers only molecular diagnostics and advanced disease and leaves the surgical recommendations to the parent. Every reference the page cites was read in full. Still cited from the source document rather than from a full-text read: NCCN Biliary Tract Cancers v1.2026, OPTN Policy 9 and the OPTN Adult MELD Exceptions for Transplant Oncology guidance (December 2025), the Memorial Hermann roadmap and its alignment worksheet, and the HOPE4LIVER one-year histotripsy update, which in any case enrolled hepatocellular carcinoma and metastases rather than intrahepatic cholangiocarcinoma. Built from the Memorial Hermann Intrahepatic Cholangiocarcinoma System Roadmap, Draft v0.6 (4 October 2026, including the 3 October 2026 liver-directed treatment revision), and its companion Guideline alignment worksheet of the same date, which compares the roadmap against AASLD 2023, OPTN 2025 review-board guidance, ESMO 2024 interim update, BSG 2023, LCSGJ 2022, ILTS-ILCA 2024 and NCCN Biliary Tract Cancers v1.2026 across 16 areas. Evidence strings carry the published numbers and the published criticism; where the roadmap's label and the trial's primary endpoint diverge, both are stated and the ratification item is named. No recommendation was removed because its evidence turned out to be weak; the roadmap's position stands and the page now says how well supported it is. The liver-directed therapy matrix is read directly from the shared matrix file and is not reproduced here. This page reproduces a draft pending multidisciplinary approval: it is not active clinical policy,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ItMV08L0Rpc3BsYXlUZXh0PjxyZWNvcmQ+PHJlYy1udW1iZXI+MTwvcmVjLW51bWJlcj48Zm9yZWlnbi1rZXlzPjxrZXkgYXBwPSJFTiIgZGItaWQ9ImY0ZTc3MTRmLTQ2NmYtNTU5MC05NjUwLWZhMDVjOGVmNTA1YiIgdGltZXN0YW1wPSIxNzkyOTIxMDg4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aCBEWTwvQXV0aG9yPjxZZWFyPjIwMjI8L1llYXI+PFJlY051bT4zPC9SZWNOdW0+PERpc3BsYXlUZXh0PltWMTItM108L0Rpc3BsYXlUZXh0PjxyZWNvcmQ+PHJlYy1udW1iZXI+MzwvcmVjLW51bWJlcj48Zm9yZWlnbi1rZXlzPjxrZXkgYXBwPSJFTiIgZGItaWQ9ImY0ZTc3MTRmLTQ2NmYtNTU5MC05NjUwLWZhMDVjOGVmNTA1YiIgdGltZXN0YW1wPSIxNzkyOTIxMDg4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yLTVdPC9EaXNwbGF5VGV4dD48cmVjb3JkPjxyZWMtbnVtYmVyPjU8L3JlYy1udW1iZXI+PGZvcmVpZ24ta2V5cz48a2V5IGFwcD0iRU4iIGRiLWlkPSJmNGU3NzE0Zi00NjZmLTU1OTAtOTY1MC1mYTA1YzhlZjUwNWIiIHRpbWVzdGFtcD0iMTc5MjkyMTA4O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YWxsZSBKPC9BdXRob3I+PFllYXI+MjAxMDwvWWVhcj48UmVjTnVtPjY8L1JlY051bT48RGlzcGxheVRleHQ+W1YxMi02XTwvRGlzcGxheVRleHQ+PHJlY29yZD48cmVjLW51bWJlcj42PC9yZWMtbnVtYmVyPjxmb3JlaWduLWtleXM+PGtleSBhcHA9IkVOIiBkYi1pZD0iZjRlNzcxNGYtNDY2Zi01NTkwLTk2NTAtZmEwNWM4ZWY1MDViIiB0aW1lc3RhbXA9IjE3OTI5MjEwODg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yLTddPC9EaXNwbGF5VGV4dD48cmVjb3JkPjxyZWMtbnVtYmVyPjc8L3JlYy1udW1iZXI+PGZvcmVpZ24ta2V5cz48a2V5IGFwcD0iRU4iIGRiLWlkPSJmNGU3NzE0Zi00NjZmLTU1OTAtOTY1MC1mYTA1YzhlZjUwNWIiIHRpbWVzdGFtcD0iMTc5MjkyMTA4O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Wb2dlbCBBPC9BdXRob3I+PFllYXI+MjAyNDwvWWVhcj48UmVjTnVtPjg8L1JlY051bT48RGlzcGxheVRleHQ+W1YxMi04XTwvRGlzcGxheVRleHQ+PHJlY29yZD48cmVjLW51bWJlcj44PC9yZWMtbnVtYmVyPjxmb3JlaWduLWtleXM+PGtleSBhcHA9IkVOIiBkYi1pZD0iZjRlNzcxNGYtNDY2Zi01NTkwLTk2NTAtZmEwNWM4ZWY1MDViIiB0aW1lc3RhbXA9IjE3OTI5MjEwODg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b2dlbCBBPC9BdXRob3I+PFllYXI+MjAyNDwvWWVhcj48UmVjTnVtPjk8L1JlY051bT48RGlzcGxheVRleHQ+W1YxMi05XTwvRGlzcGxheVRleHQ+PHJlY29yZD48cmVjLW51bWJlcj45PC9yZWMtbnVtYmVyPjxmb3JlaWduLWtleXM+PGtleSBhcHA9IkVOIiBkYi1pZD0iZjRlNzcxNGYtNDY2Zi01NTkwLTk2NTAtZmEwNWM4ZWY1MDViIiB0aW1lc3RhbXA9IjE3OTI5MjEwODg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fldChar w:fldCharType="begin"/>
            </w:r>
            <w:r>
              <w:instrText xml:space="preserve"> ADDIN EN.CITE </w:instrText>
            </w:r>
            <w:r>
              <w:fldChar w:fldCharType="begin">
                <w:fldData>PEVuZE5vdGU+PENpdGU+PEF1dGhvcj5Hb3lhbCBMPC9BdXRob3I+PFllYXI+MjAyMzwvWWVhcj48UmVjTnVtPjEwPC9SZWNOdW0+PERpc3BsYXlUZXh0PltWMTItMTBdPC9EaXNwbGF5VGV4dD48cmVjb3JkPjxyZWMtbnVtYmVyPjEwPC9yZWMtbnVtYmVyPjxmb3JlaWduLWtleXM+PGtleSBhcHA9IkVOIiBkYi1pZD0iZjRlNzcxNGYtNDY2Zi01NTkwLTk2NTAtZmEwNWM4ZWY1MDViIiB0aW1lc3RhbXA9IjE3OTI5MjEwODg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HUgQVg8L0F1dGhvcj48WWVhcj4yMDIxPC9ZZWFyPjxSZWNOdW0+MTE8L1JlY051bT48RGlzcGxheVRleHQ+W1YxMi0xMV08L0Rpc3BsYXlUZXh0PjxyZWNvcmQ+PHJlYy1udW1iZXI+MTE8L3JlYy1udW1iZXI+PGZvcmVpZ24ta2V5cz48a2V5IGFwcD0iRU4iIGRiLWlkPSJmNGU3NzE0Zi00NjZmLTU1OTAtOTY1MC1mYTA1YzhlZjUwNWIiIHRpbWVzdGFtcD0iMTc5MjkyMTA4O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Mi0xMl08L0Rpc3BsYXlUZXh0PjxyZWNvcmQ+PHJlYy1udW1iZXI+MTI8L3JlYy1udW1iZXI+PGZvcmVpZ24ta2V5cz48a2V5IGFwcD0iRU4iIGRiLWlkPSJmNGU3NzE0Zi00NjZmLTU1OTAtOTY1MC1mYTA1YzhlZjUwNWIiIHRpbWVzdGFtcD0iMTc5MjkyMTA4O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ItMTNdPC9EaXNwbGF5VGV4dD48cmVjb3JkPjxyZWMtbnVtYmVyPjEzPC9yZWMtbnVtYmVyPjxmb3JlaWduLWtleXM+PGtleSBhcHA9IkVOIiBkYi1pZD0iZjRlNzcxNGYtNDY2Zi01NTkwLTk2NTAtZmEwNWM4ZWY1MDViIiB0aW1lc3RhbXA9IjE3OTI5MjEwODg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ItMTRdPC9EaXNwbGF5VGV4dD48cmVjb3JkPjxyZWMtbnVtYmVyPjE0PC9yZWMtbnVtYmVyPjxmb3JlaWduLWtleXM+PGtleSBhcHA9IkVOIiBkYi1pZD0iZjRlNzcxNGYtNDY2Zi01NTkwLTk2NTAtZmEwNWM4ZWY1MDViIiB0aW1lc3RhbXA9IjE3OTI5MjEwODg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ZjRlNzcxNGYtNDY2Zi01NTkwLTk2NTAtZmEwNWM4ZWY1MDVi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JmNGU3NzE0Zi00NjZmLTU1OTAtOTY1MC1mYTA1YzhlZjUwNWI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g8L1JlY051bT48RGlzcGxheVRleHQ+W1YxMi04XTwvRGlzcGxheVRleHQ+PHJlY29yZD48cmVjLW51bWJlcj44PC9yZWMtbnVtYmVyPjxmb3JlaWduLWtleXM+PGtleSBhcHA9IkVOIiBkYi1pZD0iZjRlNzcxNGYtNDY2Zi01NTkwLTk2NTAtZmEwNWM4ZWY1MDViIiB0aW1lc3RhbXA9IjE3OTI5MjEwODg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fldChar w:fldCharType="begin"/>
      </w:r>
      <w:r>
        <w:instrText xml:space="preserve"> ADDIN EN.CITE </w:instrText>
      </w:r>
      <w:r>
        <w:fldChar w:fldCharType="begin">
          <w:fldData>PEVuZE5vdGU+PENpdGU+PEF1dGhvcj5Lb2JheWFzaGkgUzwvQXV0aG9yPjxZZWFyPjIwMTg8L1llYXI+PFJlY051bT4xNTwvUmVjTnVtPjxEaXNwbGF5VGV4dD5bVjEyLTE1XTwvRGlzcGxheVRleHQ+PHJlY29yZD48cmVjLW51bWJlcj4xNTwvcmVjLW51bWJlcj48Zm9yZWlnbi1rZXlzPjxrZXkgYXBwPSJFTiIgZGItaWQ9ImY0ZTc3MTRmLTQ2NmYtNTU5MC05NjUwLWZhMDVjOGVmNTA1YiIgdGltZXN0YW1wPSIxNzkyOTIxMDg4Ij4xN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br/>
      </w:r>
      <w:hyperlink r:id="rId75">
        <w:r>
          <w:rPr>
            <w:color w:val="0563C1"/>
            <w:u w:val="single"/>
          </w:rPr>
          <w:t>Source</w:t>
        </w:r>
      </w:hyperlink>
      <w:r>
        <w:t xml:space="preserve"> · </w:t>
      </w:r>
      <w:hyperlink r:id="rId7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43 sources. Every one is held as a PDF in Ref_Depot_iCCA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PSC/CCA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BSG CCA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EASL-ILCA iCCA 2023. </w:t>
      </w:r>
      <w:r>
        <w:rPr>
          <w:sz w:val="17"/>
          <w:szCs w:val="17"/>
        </w:rPr>
        <w:t xml:space="preserve">European Association for the Study of the Liver; International Liver Cancer Association. EASL-ILCA Clinical Practice Guidelines on the management of intrahepatic cholangiocarcinoma. J Hepatol. 2023;79(1):181-208. doi:10.1016/j.jhep.2023.03.010. PMID:37084797.</w:t>
      </w:r>
    </w:p>
    <w:p>
      <w:pPr>
        <w:spacing w:after="70"/>
        <w:ind w:left="360" w:hanging="360"/>
      </w:pPr>
      <w:r>
        <w:rPr>
          <w:b/>
          <w:bCs/>
          <w:color w:val="17365D"/>
          <w:sz w:val="17"/>
          <w:szCs w:val="17"/>
        </w:rPr>
        <w:t xml:space="preserve">ESMO BTC 2023 guideline. </w:t>
      </w:r>
      <w:r>
        <w:rPr>
          <w:sz w:val="17"/>
          <w:szCs w:val="17"/>
        </w:rPr>
        <w:t xml:space="preserve">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p>
    <w:p>
      <w:pPr>
        <w:spacing w:after="70"/>
        <w:ind w:left="360" w:hanging="360"/>
      </w:pPr>
      <w:r>
        <w:rPr>
          <w:b/>
          <w:bCs/>
          <w:color w:val="17365D"/>
          <w:sz w:val="17"/>
          <w:szCs w:val="17"/>
        </w:rPr>
        <w:t xml:space="preserve">ESMO BTC 2024 interim. </w:t>
      </w:r>
      <w:r>
        <w:rPr>
          <w:sz w:val="17"/>
          <w:szCs w:val="17"/>
        </w:rPr>
        <w:t xml:space="preserve">Vogel A, Ducreux M, on behalf of the ESMO Guidelines Committee.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LCSGJ iCCA 2022. </w:t>
      </w:r>
      <w:r>
        <w:rPr>
          <w:sz w:val="17"/>
          <w:szCs w:val="17"/>
        </w:rPr>
        <w:t xml:space="preserve">Kubo S, Shinkawa H, Asaoka Y, et al. Liver Cancer Study Group of Japan Clinical Practice Guidelines for Intrahepatic Cholangiocarcinoma. Liver Cancer. 2022;11(4):290-314. doi:10.1159/000522403. PMID:35978598.</w:t>
      </w:r>
    </w:p>
    <w:p>
      <w:pPr>
        <w:spacing w:after="70"/>
        <w:ind w:left="360" w:hanging="360"/>
      </w:pPr>
      <w:r>
        <w:rPr>
          <w:b/>
          <w:bCs/>
          <w:color w:val="17365D"/>
          <w:sz w:val="17"/>
          <w:szCs w:val="17"/>
        </w:rPr>
        <w:t xml:space="preserve">MH iCCA alignment worksheet. </w:t>
      </w:r>
      <w:r>
        <w:rPr>
          <w:sz w:val="17"/>
          <w:szCs w:val="17"/>
        </w:rPr>
        <w:t xml:space="preserve">Guideline alignment worksheet — Adult intrahepatic cholangiocarcinoma. Memorial Hermann Intrahepatic Cholangiocarcinoma System Roadmap, Draft v0.6, 4 October 2026: 16 areas where the published guidelines can disagree, with NCCN included in every area.</w:t>
      </w:r>
    </w:p>
    <w:p>
      <w:pPr>
        <w:spacing w:after="70"/>
        <w:ind w:left="360" w:hanging="360"/>
      </w:pPr>
      <w:r>
        <w:rPr>
          <w:b/>
          <w:bCs/>
          <w:color w:val="17365D"/>
          <w:sz w:val="17"/>
          <w:szCs w:val="17"/>
        </w:rPr>
        <w:t xml:space="preserve">MH iCCA roadmap v0.6. </w:t>
      </w:r>
      <w:r>
        <w:rPr>
          <w:sz w:val="17"/>
          <w:szCs w:val="17"/>
        </w:rPr>
        <w:t xml:space="preserve">Memorial Hermann Intrahepatic Cholangiocarcinoma System Roadmap. Multidisciplinary practice guideline and operating pathway, Draft v0.6, 4 October 2026, including the 3 October 2026 liver-directed treatment revision. Pending multidisciplinary approval; not active clinical policy.</w:t>
      </w:r>
    </w:p>
    <w:p>
      <w:pPr>
        <w:spacing w:after="70"/>
        <w:ind w:left="360" w:hanging="360"/>
      </w:pPr>
      <w:r>
        <w:rPr>
          <w:b/>
          <w:bCs/>
          <w:color w:val="17365D"/>
          <w:sz w:val="17"/>
          <w:szCs w:val="17"/>
        </w:rPr>
        <w:t xml:space="preserve">NCCN BTC v1.2026. </w:t>
      </w:r>
      <w:r>
        <w:rPr>
          <w:sz w:val="17"/>
          <w:szCs w:val="17"/>
        </w:rPr>
        <w:t xml:space="preserve">National Comprehensive Cancer Network. Biliary Tract Cancers. NCCN Clinical Practice Guidelines in Oncology. Version 1.2026, 10 March 2026. Original PDF page locations are cited in the roadmap's NCCN decision rows (INTRA-1, INTRA-A, INTRA-D, BIL-A to BIL-D).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policy PDF checked 1 October 2026. Perihilar cholangiocarcinoma is a standardised MELD exception under Policy 9.5.A; intrahepatic cholangiocarcinoma and neuroendocrine liver metastasis are not, and proceed through the National Liver Review Board.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Ablation meta-analysis. </w:t>
      </w:r>
      <w:r>
        <w:rPr>
          <w:sz w:val="17"/>
          <w:szCs w:val="17"/>
        </w:rPr>
        <w:t xml:space="preserve">Kim JH, et al. Thermal ablation in the treatment of intrahepatic cholangiocarcinoma: a systematic review and meta-analysis. Eur Radiol. 2021. doi:10.1007/s00330-021-08216-x. PMID:34347159.</w:t>
      </w:r>
    </w:p>
    <w:p>
      <w:pPr>
        <w:spacing w:after="70"/>
        <w:ind w:left="360" w:hanging="360"/>
      </w:pPr>
      <w:r>
        <w:rPr>
          <w:b/>
          <w:bCs/>
          <w:color w:val="17365D"/>
          <w:sz w:val="17"/>
          <w:szCs w:val="17"/>
        </w:rPr>
        <w:t xml:space="preserve">Cercek HAI phase 2.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Hong proton phase II. </w:t>
      </w:r>
      <w:r>
        <w:rPr>
          <w:sz w:val="17"/>
          <w:szCs w:val="17"/>
        </w:rPr>
        <w:t xml:space="preserve">Hong TS, Wo JY, Yeap BY, et al. Multi-Institutional Phase II Study of High-Dose Hypofractionated Proton Beam Therapy in Patients With Localized, Unresectable Hepatocellular Carcinoma and Intrahepatic Cholangiocarcinoma. J Clin Oncol. 2016;34(5):460-468. doi:10.1200/JCO.2015.64.2710. PMID:26668346.</w:t>
      </w:r>
    </w:p>
    <w:p>
      <w:pPr>
        <w:spacing w:after="70"/>
        <w:ind w:left="360" w:hanging="360"/>
      </w:pPr>
      <w:r>
        <w:rPr>
          <w:b/>
          <w:bCs/>
          <w:color w:val="17365D"/>
          <w:sz w:val="17"/>
          <w:szCs w:val="17"/>
        </w:rPr>
        <w:t xml:space="preserve">HOPE4LIVER one-year update. </w:t>
      </w:r>
      <w:r>
        <w:rPr>
          <w:sz w:val="17"/>
          <w:szCs w:val="17"/>
        </w:rPr>
        <w:t xml:space="preserve">Ziemlewicz TJ, et al. HOPE4LIVER one-year update. Ann Surg. 2025. 47 patients and 52 tumours; local control 63.4% on the primary assessment versus 90% post hoc. Cited in the roadmap as evidence source [L12]; the pivotal trial enrolled hepatocellular carcinoma and metastases, not intrahepatic cholangiocarcinoma.</w:t>
      </w:r>
    </w:p>
    <w:p>
      <w:pPr>
        <w:spacing w:after="70"/>
        <w:ind w:left="360" w:hanging="360"/>
      </w:pPr>
      <w:r>
        <w:rPr>
          <w:b/>
          <w:bCs/>
          <w:color w:val="17365D"/>
          <w:sz w:val="17"/>
          <w:szCs w:val="17"/>
        </w:rPr>
        <w:t xml:space="preserve">Kiefer TACE 2-centre. </w:t>
      </w:r>
      <w:r>
        <w:rPr>
          <w:sz w:val="17"/>
          <w:szCs w:val="17"/>
        </w:rPr>
        <w:t xml:space="preserve">Kiefer MV, et al. Chemoembolization of intrahepatic cholangiocarcinoma with cisplatinum, doxorubicin, mitomycin C, ethiodol, and polyvinyl alcohol: a 2-center study. Cancer. 2011;117(7):1498-1505. doi:10.1002/cncr.25625. PMID:21425151.</w:t>
      </w:r>
    </w:p>
    <w:p>
      <w:pPr>
        <w:spacing w:after="70"/>
        <w:ind w:left="360" w:hanging="360"/>
      </w:pPr>
      <w:r>
        <w:rPr>
          <w:b/>
          <w:bCs/>
          <w:color w:val="17365D"/>
          <w:sz w:val="17"/>
          <w:szCs w:val="17"/>
        </w:rPr>
        <w:t xml:space="preserve">Konstantinidis HAI cohort. </w:t>
      </w:r>
      <w:r>
        <w:rPr>
          <w:sz w:val="17"/>
          <w:szCs w:val="17"/>
        </w:rPr>
        <w:t xml:space="preserve">Konstantinidis IT, et al. Unresectable intrahepatic cholangiocarcinoma: systemic plus hepatic arterial infusion chemotherapy is associated with longer survival in comparison with systemic chemotherapy alone. Cancer. 2016;122(5):758-765. doi:10.1002/cncr.29824. PMID:26695839.</w:t>
      </w:r>
    </w:p>
    <w:p>
      <w:pPr>
        <w:spacing w:after="70"/>
        <w:ind w:left="360" w:hanging="360"/>
      </w:pPr>
      <w:r>
        <w:rPr>
          <w:b/>
          <w:bCs/>
          <w:color w:val="17365D"/>
          <w:sz w:val="17"/>
          <w:szCs w:val="17"/>
        </w:rPr>
        <w:t xml:space="preserve">MALRIC primary. </w:t>
      </w:r>
      <w:r>
        <w:rPr>
          <w:sz w:val="17"/>
          <w:szCs w:val="17"/>
        </w:rPr>
        <w:t xml:space="preserve">Pang L, et al. Microwave ablation versus liver resection for primary intrahepatic cholangiocarcinoma within Milan criteria: a long-term multicenter cohort study (MALRIC). EClinicalMedicine. 2024. doi:10.1016/j.eclinm.2023.102336. PMID:38261915.</w:t>
      </w:r>
    </w:p>
    <w:p>
      <w:pPr>
        <w:spacing w:after="70"/>
        <w:ind w:left="360" w:hanging="360"/>
      </w:pPr>
      <w:r>
        <w:rPr>
          <w:b/>
          <w:bCs/>
          <w:color w:val="17365D"/>
          <w:sz w:val="17"/>
          <w:szCs w:val="17"/>
        </w:rPr>
        <w:t xml:space="preserve">MALRIC recurrent. </w:t>
      </w:r>
      <w:r>
        <w:rPr>
          <w:sz w:val="17"/>
          <w:szCs w:val="17"/>
        </w:rPr>
        <w:t xml:space="preserve">Pang L, et al. Survival Outcomes of Microwave Ablation Compared with Repeat Liver Resection in the Treatment of Recurrent Intrahepatic Cholangiocarcinoma. Radiology. 2026. doi:10.1148/radiol.243254. PMID:41528222.</w:t>
      </w:r>
    </w:p>
    <w:p>
      <w:pPr>
        <w:spacing w:after="70"/>
        <w:ind w:left="360" w:hanging="360"/>
      </w:pPr>
      <w:r>
        <w:rPr>
          <w:b/>
          <w:bCs/>
          <w:color w:val="17365D"/>
          <w:sz w:val="17"/>
          <w:szCs w:val="17"/>
        </w:rPr>
        <w:t xml:space="preserve">MISPHEC. </w:t>
      </w:r>
      <w:r>
        <w:rPr>
          <w:sz w:val="17"/>
          <w:szCs w:val="17"/>
        </w:rPr>
        <w:t xml:space="preserve">Edeline J, et al. Radioembolization Plus Chemotherapy for First-line Treatment of Locally Advanced Intrahepatic Cholangiocarcinoma: A Phase 2 Clinical Trial (MISPHEC). JAMA Oncol. 2020;6(1):51-59. doi:10.1001/jamaoncol.2019.3702. PMID:31670746.</w:t>
      </w:r>
    </w:p>
    <w:p>
      <w:pPr>
        <w:spacing w:after="70"/>
        <w:ind w:left="360" w:hanging="360"/>
      </w:pPr>
      <w:r>
        <w:rPr>
          <w:b/>
          <w:bCs/>
          <w:color w:val="17365D"/>
          <w:sz w:val="17"/>
          <w:szCs w:val="17"/>
        </w:rPr>
        <w:t xml:space="preserve">Tao dose-response. </w:t>
      </w:r>
      <w:r>
        <w:rPr>
          <w:sz w:val="17"/>
          <w:szCs w:val="17"/>
        </w:rPr>
        <w:t xml:space="preserve">Tao R, et al. Ablative Radiotherapy Doses Lead to a Substantial Prolongation of Survival in Patients With Inoperable Intrahepatic Cholangiocarcinoma: A Retrospective Dose Response Analysis. J Clin Oncol. 2016;34(3):219-226. doi:10.1200/JCO.2015.61.3778. PMID:26503201.</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Biliary-stricture NGS.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2026;171:325-341. doi:10.1053/j.gastro.2026.02.040. PMID:41905432.</w:t>
      </w:r>
    </w:p>
    <w:p>
      <w:pPr>
        <w:spacing w:after="70"/>
        <w:ind w:left="360" w:hanging="360"/>
      </w:pPr>
      <w:r>
        <w:rPr>
          <w:b/>
          <w:bCs/>
          <w:color w:val="17365D"/>
          <w:sz w:val="17"/>
          <w:szCs w:val="17"/>
        </w:rPr>
        <w:t xml:space="preserve">BiliSeq original cohort.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2020;69:52-61. doi:10.1136/gutjnl-2018-317817. PMID:30971436.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Abou-Alfa GK, Macarulla T, Javle MM, et al. Ivosidenib in IDH1-mutant, chemotherapy-refractory cholangiocarcinoma (ClarIDHy): a multicentre, randomised, double-blind, placebo-controlled, phase 3 study. Lancet Oncol. 2020;21(6):796-807. doi:10.1016/S1470-2045(20)30157-1. PMID:32416072.</w:t>
      </w:r>
    </w:p>
    <w:p>
      <w:pPr>
        <w:spacing w:after="70"/>
        <w:ind w:left="360" w:hanging="360"/>
      </w:pPr>
      <w:r>
        <w:rPr>
          <w:b/>
          <w:bCs/>
          <w:color w:val="17365D"/>
          <w:sz w:val="17"/>
          <w:szCs w:val="17"/>
        </w:rPr>
        <w:t xml:space="preserve">ClarIDHy final OS.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Abou-Alfa GK, Sahai V, Hollebecque A, et al. Pemigatinib for previously treated, locally advanced or metastatic cholangiocarcinoma: a multicentre, open-label, phase 2 study. Lancet Oncol. 2020;21(5):671-684. doi:10.1016/S1470-2045(20)30109-1. PMID:32203698.</w:t>
      </w:r>
    </w:p>
    <w:p>
      <w:pPr>
        <w:spacing w:after="70"/>
        <w:ind w:left="360" w:hanging="360"/>
      </w:pPr>
      <w:r>
        <w:rPr>
          <w:b/>
          <w:bCs/>
          <w:color w:val="17365D"/>
          <w:sz w:val="17"/>
          <w:szCs w:val="17"/>
        </w:rPr>
        <w:t xml:space="preserve">FIGHT-202 final.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ILTS-ILCA 2024 (Liver Transpl). </w:t>
      </w:r>
      <w:r>
        <w:rPr>
          <w:sz w:val="17"/>
          <w:szCs w:val="17"/>
        </w:rPr>
        <w:t xml:space="preserve">Kodali S, Kulik L, D'Alessio A, et al. The 2024 ILTS-ILCA consensus recommendations for liver transplantation for HCC and intrahepatic cholangiocarcinoma. Liver Transpl. 2025;31(6):815-831. doi:10.1097/LVT.0000000000000578. PMID:40014003. The same Valencia consensus as PMID:42312290 (Liver Cancer 2026); both records are cited because the iCCA recommendations and their evidence grades are reported in both.</w:t>
      </w:r>
    </w:p>
    <w:p>
      <w:pPr>
        <w:spacing w:after="70"/>
        <w:ind w:left="360" w:hanging="360"/>
      </w:pPr>
      <w:r>
        <w:rPr>
          <w:b/>
          <w:bCs/>
          <w:color w:val="17365D"/>
          <w:sz w:val="17"/>
          <w:szCs w:val="17"/>
        </w:rPr>
        <w:t xml:space="preserve">ILTS-ILCA 2024 consensus. </w:t>
      </w:r>
      <w:r>
        <w:rPr>
          <w:sz w:val="17"/>
          <w:szCs w:val="17"/>
        </w:rPr>
        <w:t xml:space="preserve">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p>
    <w:p>
      <w:pPr>
        <w:spacing w:after="70"/>
        <w:ind w:left="360" w:hanging="360"/>
      </w:pPr>
      <w:r>
        <w:rPr>
          <w:b/>
          <w:bCs/>
          <w:color w:val="17365D"/>
          <w:sz w:val="17"/>
          <w:szCs w:val="17"/>
        </w:rPr>
        <w:t xml:space="preserve">Lunsford protocol series. </w:t>
      </w:r>
      <w:r>
        <w:rPr>
          <w:sz w:val="17"/>
          <w:szCs w:val="17"/>
        </w:rPr>
        <w:t xml:space="preserve">Lunsford KE, et al. Liver transplantation for locally advanced intrahepatic cholangiocarcinoma treated with neoadjuvant therapy: a prospective case-series. Lancet Gastroenterol Hepatol. 2018;3(5):337-348. PMID:29548617.</w:t>
      </w:r>
    </w:p>
    <w:p>
      <w:pPr>
        <w:spacing w:after="70"/>
        <w:ind w:left="360" w:hanging="360"/>
      </w:pPr>
      <w:r>
        <w:rPr>
          <w:b/>
          <w:bCs/>
          <w:color w:val="17365D"/>
          <w:sz w:val="17"/>
          <w:szCs w:val="17"/>
        </w:rPr>
        <w:t xml:space="preserve">Sapisochin review. </w:t>
      </w:r>
      <w:r>
        <w:rPr>
          <w:sz w:val="17"/>
          <w:szCs w:val="17"/>
        </w:rPr>
        <w:t xml:space="preserve">Sapisochin G, Ivanics T, Heimbach J. Liver Transplantation for Intrahepatic Cholangiocarcinoma: Ready for Prime Time? Hepatology. 2022;75(2):455-472. doi:10.1002/hep.32258. PMID:34859465.</w:t>
      </w:r>
    </w:p>
    <w:p>
      <w:pPr>
        <w:spacing w:after="70"/>
        <w:ind w:left="360" w:hanging="360"/>
      </w:pPr>
      <w:r>
        <w:rPr>
          <w:b/>
          <w:bCs/>
          <w:color w:val="17365D"/>
          <w:sz w:val="17"/>
          <w:szCs w:val="17"/>
        </w:rPr>
        <w:t xml:space="preserve">Sapisochin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2016;64(4):1178-1188. doi:10.1002/hep.28744. PMID:27481548.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37 of this pathway's 43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AASLD PSC/CCA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Ablation meta-analysis</w:t>
      </w:r>
      <w:r>
        <w:rPr>
          <w:b/>
          <w:bCs/>
          <w:color w:val="176A87"/>
          <w:sz w:val="15"/>
          <w:szCs w:val="15"/>
        </w:rPr>
        <w:t xml:space="preserve">   Meta-analysis</w:t>
      </w:r>
      <w:r>
        <w:rPr>
          <w:color w:val="5A6069"/>
          <w:sz w:val="15"/>
          <w:szCs w:val="15"/>
        </w:rPr>
        <w:t xml:space="preserve">   PMID 34347159</w:t>
      </w:r>
    </w:p>
    <w:p>
      <w:pPr>
        <w:spacing w:after="50" w:line="276"/>
      </w:pPr>
      <w:r>
        <w:rPr>
          <w:color w:val="5A6069"/>
          <w:sz w:val="17"/>
          <w:szCs w:val="17"/>
        </w:rPr>
        <w:t xml:space="preserve">Thermal ablation in the treatment of intrahepatic cholangiocarcinoma: a systematic review and meta-analysis</w:t>
      </w:r>
    </w:p>
    <w:p>
      <w:pPr>
        <w:spacing w:after="50"/>
      </w:pPr>
      <w:r>
        <w:rPr>
          <w:b/>
          <w:bCs/>
          <w:color w:val="176A87"/>
          <w:sz w:val="16"/>
          <w:szCs w:val="16"/>
        </w:rPr>
        <w:t xml:space="preserve">Population. </w:t>
      </w:r>
      <w:r>
        <w:rPr>
          <w:sz w:val="16"/>
          <w:szCs w:val="16"/>
        </w:rPr>
        <w:t xml:space="preserve">917 patients with mass-forming intrahepatic cholangiocarcinoma treated by radiofrequency or microwave ablation, pooled from 20 retrospective observational studies published up to 11 March 2021, of whom 502 had primary tumours, 355 post-resection recurrence and 60 were unspecified</w:t>
      </w:r>
    </w:p>
    <w:p>
      <w:pPr>
        <w:spacing w:after="70"/>
      </w:pPr>
      <w:r>
        <w:rPr>
          <w:b/>
          <w:bCs/>
          <w:color w:val="17365D"/>
          <w:sz w:val="16"/>
          <w:szCs w:val="16"/>
        </w:rPr>
        <w:t xml:space="preserve">Bottom line. </w:t>
      </w:r>
      <w:r>
        <w:rPr>
          <w:sz w:val="16"/>
          <w:szCs w:val="16"/>
        </w:rPr>
        <w:t xml:space="preserve">Pooling 917 ablated patients across 20 retrospective series gives the field its working numbers: 82.4% survival at 1 year falling to 28.5% at 5, 91.9% technical success, 5.7% major complications, and worse survival above 3 cm, with multiple tumours or over 65. It does not show that ablation matches resection, because the 30% surgical figure it is compared with comes from a separate meta-analysis of a differently selected population, and the pooled estimates carry I squared up to 85% with Egger evidence of publication bias at 3 years. Only four of the twenty studies contributed recurrence-free survival, which at 40% at one year is the number that bounds the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20 included studies were retrospective, so selection bias exists in how patients were chosen for thermal ablation, although the authors argue a prospective study is hard to mount in a disease that is only 10% of primary liver cancer</w:t>
            </w:r>
          </w:p>
          <w:p>
            <w:pPr>
              <w:pStyle w:val="ListParagraph"/>
              <w:numPr>
                <w:ilvl w:val="0"/>
                <w:numId w:val="2"/>
              </w:numPr>
              <w:spacing w:after="45"/>
            </w:pPr>
            <w:r>
              <w:rPr>
                <w:sz w:val="15"/>
                <w:szCs w:val="15"/>
              </w:rPr>
              <w:t xml:space="preserve">Discordant reporting of results, including survival outcomes, limited the ability to generate combined estimates</w:t>
            </w:r>
          </w:p>
          <w:p>
            <w:pPr>
              <w:pStyle w:val="ListParagraph"/>
              <w:numPr>
                <w:ilvl w:val="0"/>
                <w:numId w:val="2"/>
              </w:numPr>
              <w:spacing w:after="45"/>
            </w:pPr>
            <w:r>
              <w:rPr>
                <w:sz w:val="15"/>
                <w:szCs w:val="15"/>
              </w:rPr>
              <w:t xml:space="preserve">Heterogeneity was present across the selection criteria for ablation and across the patient populations</w:t>
            </w:r>
          </w:p>
          <w:p>
            <w:pPr>
              <w:pStyle w:val="ListParagraph"/>
              <w:numPr>
                <w:ilvl w:val="0"/>
                <w:numId w:val="2"/>
              </w:numPr>
              <w:spacing w:after="45"/>
            </w:pPr>
            <w:r>
              <w:rPr>
                <w:sz w:val="15"/>
                <w:szCs w:val="15"/>
              </w:rPr>
              <w:t xml:space="preserve">Technical aspects, CT versus ultrasound guidance, single versus multiple probes, and general anaesthesia versus sedation, could not be analysed because of insufficient detail and too few studies, and could be confounders</w:t>
            </w:r>
          </w:p>
          <w:p>
            <w:pPr>
              <w:pStyle w:val="ListParagraph"/>
              <w:numPr>
                <w:ilvl w:val="0"/>
                <w:numId w:val="2"/>
              </w:numPr>
              <w:spacing w:after="45"/>
            </w:pPr>
            <w:r>
              <w:rPr>
                <w:sz w:val="15"/>
                <w:szCs w:val="15"/>
              </w:rPr>
              <w:t xml:space="preserve">A lack of individual patient-level data limited the meta-regression</w:t>
            </w:r>
          </w:p>
          <w:p>
            <w:pPr>
              <w:pStyle w:val="ListParagraph"/>
              <w:numPr>
                <w:ilvl w:val="0"/>
                <w:numId w:val="2"/>
              </w:numPr>
              <w:spacing w:after="45"/>
            </w:pPr>
            <w:r>
              <w:rPr>
                <w:sz w:val="15"/>
                <w:szCs w:val="15"/>
              </w:rPr>
              <w:t xml:space="preserve">The authors report their own evidence of publication bias on the 3-year overall survival pooling, Egger P = 0.039</w:t>
            </w:r>
          </w:p>
          <w:p>
            <w:pPr>
              <w:pStyle w:val="ListParagraph"/>
              <w:numPr>
                <w:ilvl w:val="0"/>
                <w:numId w:val="2"/>
              </w:numPr>
              <w:spacing w:after="45"/>
            </w:pPr>
            <w:r>
              <w:rPr>
                <w:sz w:val="15"/>
                <w:szCs w:val="15"/>
              </w:rPr>
              <w:t xml:space="preserve">A randomised study is required to determine any difference in efficacy between radiofrequency and microwave ablation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Pooled survival of 42.1% at 3 years and 28.5% at 5 years is reported with heterogeneity of I squared 68% to 85%; at that level a single pooled proportion describes no real population, and the random-effects interval quoted is a confidence interval for an average, not a prediction interval for the next patient</w:t>
            </w:r>
          </w:p>
          <w:p>
            <w:pPr>
              <w:pStyle w:val="ListParagraph"/>
              <w:numPr>
                <w:ilvl w:val="0"/>
                <w:numId w:val="2"/>
              </w:numPr>
              <w:spacing w:after="45"/>
            </w:pPr>
            <w:r>
              <w:rPr>
                <w:sz w:val="15"/>
                <w:szCs w:val="15"/>
              </w:rPr>
              <w:t xml:space="preserve">Parity with resection is asserted by setting 28.5% pooled 5-year survival against the 30% from the Mavros resection meta-analysis, two different literatures with different stage distributions, eras and candidacy, compared without any adjustment and across non-overlapping confidence bounds that are never computed</w:t>
            </w:r>
          </w:p>
          <w:p>
            <w:pPr>
              <w:pStyle w:val="ListParagraph"/>
              <w:numPr>
                <w:ilvl w:val="0"/>
                <w:numId w:val="2"/>
              </w:numPr>
              <w:spacing w:after="45"/>
            </w:pPr>
            <w:r>
              <w:rPr>
                <w:sz w:val="15"/>
                <w:szCs w:val="15"/>
              </w:rPr>
              <w:t xml:space="preserve">The 3 cm recommendation that the paper exists to deliver rests on a dichotomised study-level hazard ratio, 2.12 (1.24-3.63), from aggregate data; the threshold was not derived, it was the cut-point the included studies happened to report</w:t>
            </w:r>
          </w:p>
          <w:p>
            <w:pPr>
              <w:pStyle w:val="ListParagraph"/>
              <w:numPr>
                <w:ilvl w:val="0"/>
                <w:numId w:val="2"/>
              </w:numPr>
              <w:spacing w:after="45"/>
            </w:pPr>
            <w:r>
              <w:rPr>
                <w:sz w:val="15"/>
                <w:szCs w:val="15"/>
              </w:rPr>
              <w:t xml:space="preserve">The three prognostic hazard ratios for size, number and age are univariable study-level estimates that could not be adjusted for one another, nor for nodal status, margin, liver function or performance status, so they cannot be used as a selection rule in combination, which is how they are used</w:t>
            </w:r>
          </w:p>
          <w:p>
            <w:pPr>
              <w:pStyle w:val="ListParagraph"/>
              <w:numPr>
                <w:ilvl w:val="0"/>
                <w:numId w:val="2"/>
              </w:numPr>
              <w:spacing w:after="45"/>
            </w:pPr>
            <w:r>
              <w:rPr>
                <w:sz w:val="15"/>
                <w:szCs w:val="15"/>
              </w:rPr>
              <w:t xml:space="preserve">The patients behind these estimates were chosen for ablation because their tumours were small and accessible or because they were medically inoperable; the pooled survival therefore mixes a favourable tumour selection with an unfavourable patient selection and the two cannot be separated from aggregate data</w:t>
            </w:r>
          </w:p>
          <w:p>
            <w:pPr>
              <w:pStyle w:val="ListParagraph"/>
              <w:numPr>
                <w:ilvl w:val="0"/>
                <w:numId w:val="2"/>
              </w:numPr>
              <w:spacing w:after="45"/>
            </w:pPr>
            <w:r>
              <w:rPr>
                <w:sz w:val="15"/>
                <w:szCs w:val="15"/>
              </w:rPr>
              <w:t xml:space="preserve">Recurrence-free survival of 40.0% at 1 year and 19.2% at 3 years, the numbers that most limit the treatment, could be pooled from only 4 of 20 studies, and freedom from local tumour progression from 5; the headline overall survival therefore comes from a much larger and differently selected evidence base than the disease control figures</w:t>
            </w:r>
          </w:p>
          <w:p>
            <w:pPr>
              <w:pStyle w:val="ListParagraph"/>
              <w:numPr>
                <w:ilvl w:val="0"/>
                <w:numId w:val="2"/>
              </w:numPr>
              <w:spacing w:after="45"/>
            </w:pPr>
            <w:r>
              <w:rPr>
                <w:sz w:val="15"/>
                <w:szCs w:val="15"/>
              </w:rPr>
              <w:t xml:space="preserve">Technical efficacy of 91.9% pools individual study rates ranging from 66.7% to 100%, so a third of patients failed complete ablation in the worst-reporting study, and the technique that produced the pooled figure cannot be identified because no technical variable could be analysed</w:t>
            </w:r>
          </w:p>
          <w:p>
            <w:pPr>
              <w:pStyle w:val="ListParagraph"/>
              <w:numPr>
                <w:ilvl w:val="0"/>
                <w:numId w:val="2"/>
              </w:numPr>
              <w:spacing w:after="45"/>
            </w:pPr>
            <w:r>
              <w:rPr>
                <w:sz w:val="15"/>
                <w:szCs w:val="15"/>
              </w:rPr>
              <w:t xml:space="preserve">Included studies were 10 to 107 patients each, so a handful of larger series dominate the random-effects weights, and no leave-one-out or influence analysis is reported</w:t>
            </w:r>
          </w:p>
          <w:p>
            <w:pPr>
              <w:pStyle w:val="ListParagraph"/>
              <w:numPr>
                <w:ilvl w:val="0"/>
                <w:numId w:val="2"/>
              </w:numPr>
              <w:spacing w:after="45"/>
            </w:pPr>
            <w:r>
              <w:rPr>
                <w:sz w:val="15"/>
                <w:szCs w:val="15"/>
              </w:rPr>
              <w:t xml:space="preserve">The literature is heavily weighted to Chinese and Korean series and restricted to English-language publications, which is both a geographical and a language restriction on a pooled estimate presented as general</w:t>
            </w:r>
          </w:p>
          <w:p>
            <w:pPr>
              <w:pStyle w:val="ListParagraph"/>
              <w:numPr>
                <w:ilvl w:val="0"/>
                <w:numId w:val="2"/>
              </w:numPr>
              <w:spacing w:after="45"/>
            </w:pPr>
            <w:r>
              <w:rPr>
                <w:sz w:val="15"/>
                <w:szCs w:val="15"/>
              </w:rPr>
              <w:t xml:space="preserve">Newcastle-Ottawa scores of 6 to 8 are reported but no study was excluded on quality and no sensitivity analysis by quality score is presented, so study quality enters the pooling only as a description</w:t>
            </w:r>
          </w:p>
          <w:p>
            <w:pPr>
              <w:pStyle w:val="ListParagraph"/>
              <w:numPr>
                <w:ilvl w:val="0"/>
                <w:numId w:val="2"/>
              </w:numPr>
              <w:spacing w:after="45"/>
            </w:pPr>
            <w:r>
              <w:rPr>
                <w:sz w:val="15"/>
                <w:szCs w:val="15"/>
              </w:rPr>
              <w:t xml:space="preserve">Ablation generates no nodal information and the review does not address nodal staging at all, although node status is the variable that most changes management in this disease</w:t>
            </w:r>
          </w:p>
          <w:p>
            <w:pPr>
              <w:pStyle w:val="ListParagraph"/>
              <w:numPr>
                <w:ilvl w:val="0"/>
                <w:numId w:val="2"/>
              </w:numPr>
              <w:spacing w:after="45"/>
            </w:pPr>
            <w:r>
              <w:rPr>
                <w:sz w:val="15"/>
                <w:szCs w:val="15"/>
              </w:rPr>
              <w:t xml:space="preserve">Overall survival was pooled as proportions at fixed time points rather than from reconstructed time-to-event data, so no median survival, no numbers at risk and no hazard comparison against any alternative treatment can be read from the analysis</w:t>
            </w:r>
          </w:p>
          <w:p>
            <w:pPr>
              <w:pStyle w:val="ListParagraph"/>
              <w:numPr>
                <w:ilvl w:val="0"/>
                <w:numId w:val="2"/>
              </w:numPr>
              <w:spacing w:after="45"/>
            </w:pPr>
            <w:r>
              <w:rPr>
                <w:sz w:val="15"/>
                <w:szCs w:val="15"/>
              </w:rPr>
              <w:t xml:space="preserve">No linked editorial or comment was found in PubMed, so the only critical reading available is the authors' own</w:t>
            </w:r>
          </w:p>
        </w:tc>
      </w:tr>
    </w:tbl>
    <w:p>
      <w:pPr>
        <w:spacing w:after="0" w:line="276"/>
      </w:pPr>
      <w:r>
        <w:rPr>
          <w:color w:val="5A6069"/>
          <w:sz w:val="14"/>
          <w:szCs w:val="14"/>
        </w:rPr>
        <w:t xml:space="preserve">Funding: The authors state that the work received no funding and declare no relationships with any company whose products or services relate to the subject matter</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Biliary-stricture NGS</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original cohort</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BSG CCA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Cercek HAI phase 2</w:t>
      </w:r>
      <w:r>
        <w:rPr>
          <w:b/>
          <w:bCs/>
          <w:color w:val="176A87"/>
          <w:sz w:val="15"/>
          <w:szCs w:val="15"/>
        </w:rPr>
        <w:t xml:space="preserve">   Prospective trial</w:t>
      </w:r>
      <w:r>
        <w:rPr>
          <w:color w:val="5A6069"/>
          <w:sz w:val="15"/>
          <w:szCs w:val="15"/>
        </w:rPr>
        <w:t xml:space="preserve">   PMID 31670750</w:t>
      </w:r>
    </w:p>
    <w:p>
      <w:pPr>
        <w:spacing w:after="50" w:line="276"/>
      </w:pPr>
      <w:r>
        <w:rPr>
          <w:color w:val="5A6069"/>
          <w:sz w:val="17"/>
          <w:szCs w:val="17"/>
        </w:rPr>
        <w:t xml:space="preserve">Assessment of Hepatic Arterial Infusion of Floxuridine in Combination With Systemic Gemcitabine and Oxaliplatin in Patients With Unresectable Intrahepatic Cholangiocarcinoma: A Phase 2 Clinical Trial</w:t>
      </w:r>
    </w:p>
    <w:p>
      <w:pPr>
        <w:spacing w:after="50"/>
      </w:pPr>
      <w:r>
        <w:rPr>
          <w:b/>
          <w:bCs/>
          <w:color w:val="176A87"/>
          <w:sz w:val="16"/>
          <w:szCs w:val="16"/>
        </w:rPr>
        <w:t xml:space="preserve">Population. </w:t>
      </w:r>
      <w:r>
        <w:rPr>
          <w:sz w:val="16"/>
          <w:szCs w:val="16"/>
        </w:rPr>
        <w:t xml:space="preserve">38 patients with unresectable liver-confined intrahepatic cholangiocarcinoma treated at Memorial Sloan Kettering between 2013 and 2019, from 84 screened and 42 who had a hepatic artery infusion pump placed, plus a 10-patient confirmatory cohort at Washington University; median tumour size 8.3 cm, 66% bilobar, 47% with proven nodal disease</w:t>
      </w:r>
    </w:p>
    <w:p>
      <w:pPr>
        <w:spacing w:after="70"/>
      </w:pPr>
      <w:r>
        <w:rPr>
          <w:b/>
          <w:bCs/>
          <w:color w:val="17365D"/>
          <w:sz w:val="16"/>
          <w:szCs w:val="16"/>
        </w:rPr>
        <w:t xml:space="preserve">Bottom line. </w:t>
      </w:r>
      <w:r>
        <w:rPr>
          <w:sz w:val="16"/>
          <w:szCs w:val="16"/>
        </w:rPr>
        <w:t xml:space="preserve">This single-arm phase 2 trial is the strongest prospective evidence for hepatic arterial infusion floxuridine with systemic gemcitabine-oxaliplatin in liver-confined unresectable iCCA: 58% response, 11.8 months median progression-free survival and 25.0 months median overall survival. It cannot show that the pump adds anything, because the comparison is with historical systemic series and only 38 of 84 screened patients were treated. Four patients became resectable, biliary toxicity was frequent, and 11% to 30% had grade 4 pump or arterial complications depending on the centre.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with all single-institution phase 2 trials, there is the possibility of selection bias owing to the small sample size</w:t>
            </w:r>
          </w:p>
          <w:p>
            <w:pPr>
              <w:pStyle w:val="ListParagraph"/>
              <w:numPr>
                <w:ilvl w:val="0"/>
                <w:numId w:val="2"/>
              </w:numPr>
              <w:spacing w:after="45"/>
            </w:pPr>
            <w:r>
              <w:rPr>
                <w:sz w:val="15"/>
                <w:szCs w:val="15"/>
              </w:rPr>
              <w:t xml:space="preserve">The 10-patient confirmation cohort suggests the therapy can be given elsewhere with comparable safety and efficacy, but a larger number of institutions is needed to validate this</w:t>
            </w:r>
          </w:p>
          <w:p>
            <w:pPr>
              <w:pStyle w:val="ListParagraph"/>
              <w:numPr>
                <w:ilvl w:val="0"/>
                <w:numId w:val="2"/>
              </w:numPr>
              <w:spacing w:after="45"/>
            </w:pPr>
            <w:r>
              <w:rPr>
                <w:sz w:val="15"/>
                <w:szCs w:val="15"/>
              </w:rPr>
              <w:t xml:space="preserve">Larger cohorts are necessary to confirm the association between IDH mutations and treatment response</w:t>
            </w:r>
          </w:p>
          <w:p>
            <w:pPr>
              <w:pStyle w:val="ListParagraph"/>
              <w:numPr>
                <w:ilvl w:val="0"/>
                <w:numId w:val="2"/>
              </w:numPr>
              <w:spacing w:after="45"/>
            </w:pPr>
            <w:r>
              <w:rPr>
                <w:sz w:val="15"/>
                <w:szCs w:val="15"/>
              </w:rPr>
              <w:t xml:space="preserve">The authors state that a multicentre randomised study of pump-based hepatic arterial infusion is warranted to determine whether liver-directed therapy belongs in first-line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6-month progression-free survival against a single-arm 80% target, so the trial can only show that the regimen beats a number the investigators chose, not that it beats systemic chemotherapy; the 25-month median survival is set against the 11.7 months of ABC-02, a trial with a different and far more advanced population</w:t>
            </w:r>
          </w:p>
          <w:p>
            <w:pPr>
              <w:pStyle w:val="ListParagraph"/>
              <w:numPr>
                <w:ilvl w:val="0"/>
                <w:numId w:val="2"/>
              </w:numPr>
              <w:spacing w:after="45"/>
            </w:pPr>
            <w:r>
              <w:rPr>
                <w:sz w:val="15"/>
                <w:szCs w:val="15"/>
              </w:rPr>
              <w:t xml:space="preserve">The cohort is doubly selected: 84 screened, 42 taken to the operating room for pump placement, 38 treated, so the reported outcomes describe patients fit enough for laparotomy with liver-confined disease and no ascites, and the 46 who did not reach treatment are not described in the survival analysis</w:t>
            </w:r>
          </w:p>
          <w:p>
            <w:pPr>
              <w:pStyle w:val="ListParagraph"/>
              <w:numPr>
                <w:ilvl w:val="0"/>
                <w:numId w:val="2"/>
              </w:numPr>
              <w:spacing w:after="45"/>
            </w:pPr>
            <w:r>
              <w:rPr>
                <w:sz w:val="15"/>
                <w:szCs w:val="15"/>
              </w:rPr>
              <w:t xml:space="preserve">The 6-month progression-free survival estimate is given with a one-sided 90% confidence interval of 74.8% to infinity, a bound that cannot be used to judge precision and is a consequence of the single-arm design</w:t>
            </w:r>
          </w:p>
          <w:p>
            <w:pPr>
              <w:pStyle w:val="ListParagraph"/>
              <w:numPr>
                <w:ilvl w:val="0"/>
                <w:numId w:val="2"/>
              </w:numPr>
              <w:spacing w:after="45"/>
            </w:pPr>
            <w:r>
              <w:rPr>
                <w:sz w:val="15"/>
                <w:szCs w:val="15"/>
              </w:rPr>
              <w:t xml:space="preserve">Only 4 of 38 patients (11%) became resectable, and the resection figures that make the regimen attractive as a conversion strategy rest on those four cases</w:t>
            </w:r>
          </w:p>
          <w:p>
            <w:pPr>
              <w:pStyle w:val="ListParagraph"/>
              <w:numPr>
                <w:ilvl w:val="0"/>
                <w:numId w:val="2"/>
              </w:numPr>
              <w:spacing w:after="45"/>
            </w:pPr>
            <w:r>
              <w:rPr>
                <w:sz w:val="15"/>
                <w:szCs w:val="15"/>
              </w:rPr>
              <w:t xml:space="preserve">The IDH1/2 survival signal, 90% against 33% 2-year survival at P = 0.01, comes from 33 sequenced patients with no corresponding progression-free survival difference (14.1 against 10.9 months, P = 0.42), and the authors themselves note it may reflect subsequent resection and off-protocol IDH1-directed therapy rather than sensitivity to this regimen</w:t>
            </w:r>
          </w:p>
          <w:p>
            <w:pPr>
              <w:pStyle w:val="ListParagraph"/>
              <w:numPr>
                <w:ilvl w:val="0"/>
                <w:numId w:val="2"/>
              </w:numPr>
              <w:spacing w:after="45"/>
            </w:pPr>
            <w:r>
              <w:rPr>
                <w:sz w:val="15"/>
                <w:szCs w:val="15"/>
              </w:rPr>
              <w:t xml:space="preserve">Dose delivery deteriorated substantially: 71% received the expected floxuridine dose over the first 3 months but only 47% over the next 6, and oxaliplatin was stopped after 8 cycles in 80%, so the regimen that produced these outcomes was not the regimen as written</w:t>
            </w:r>
          </w:p>
          <w:p>
            <w:pPr>
              <w:pStyle w:val="ListParagraph"/>
              <w:numPr>
                <w:ilvl w:val="0"/>
                <w:numId w:val="2"/>
              </w:numPr>
              <w:spacing w:after="45"/>
            </w:pPr>
            <w:r>
              <w:rPr>
                <w:sz w:val="15"/>
                <w:szCs w:val="15"/>
              </w:rPr>
              <w:t xml:space="preserve">Hepatobiliary toxicity was common and under-emphasised in the conclusion: grade 3 ALT in 42%, AST in 34% and bilirubin in 18%, with 11% requiring biliary stents including two for chemotherapy-induced biliary sclerosis</w:t>
            </w:r>
          </w:p>
          <w:p>
            <w:pPr>
              <w:pStyle w:val="ListParagraph"/>
              <w:numPr>
                <w:ilvl w:val="0"/>
                <w:numId w:val="2"/>
              </w:numPr>
              <w:spacing w:after="45"/>
            </w:pPr>
            <w:r>
              <w:rPr>
                <w:sz w:val="15"/>
                <w:szCs w:val="15"/>
              </w:rPr>
              <w:t xml:space="preserve">Grade 4 pump or arterial complications forced withdrawal in 4 of 38 (11%) at the lead centre and the figure was 30% in the 10-patient confirmatory cohort, which argues against the paper's reading that the confirmatory cohort supports broader applicability</w:t>
            </w:r>
          </w:p>
          <w:p>
            <w:pPr>
              <w:pStyle w:val="ListParagraph"/>
              <w:numPr>
                <w:ilvl w:val="0"/>
                <w:numId w:val="2"/>
              </w:numPr>
              <w:spacing w:after="45"/>
            </w:pPr>
            <w:r>
              <w:rPr>
                <w:sz w:val="15"/>
                <w:szCs w:val="15"/>
              </w:rPr>
              <w:t xml:space="preserve">The node-positive comparison, 50% against 60% 2-year survival at P = 0.66, is presented as evidence that nodal disease does not matter, but 18 node-positive patients cannot exclude a clinically important difference</w:t>
            </w:r>
          </w:p>
          <w:p>
            <w:pPr>
              <w:pStyle w:val="ListParagraph"/>
              <w:numPr>
                <w:ilvl w:val="0"/>
                <w:numId w:val="2"/>
              </w:numPr>
              <w:spacing w:after="45"/>
            </w:pPr>
            <w:r>
              <w:rPr>
                <w:sz w:val="15"/>
                <w:szCs w:val="15"/>
              </w:rPr>
              <w:t xml:space="preserve">The trial requires an implanted pump programme with both surgical and medical expertise, so nothing in the design tests whether the approach is deliverable outside two academic centres</w:t>
            </w:r>
          </w:p>
          <w:p>
            <w:pPr>
              <w:pStyle w:val="ListParagraph"/>
              <w:numPr>
                <w:ilvl w:val="0"/>
                <w:numId w:val="2"/>
              </w:numPr>
              <w:spacing w:after="45"/>
            </w:pPr>
            <w:r>
              <w:rPr>
                <w:sz w:val="15"/>
                <w:szCs w:val="15"/>
              </w:rPr>
              <w:t xml:space="preserve">The accompanying JAMA Oncology editorial by Scott and Shroff (PMID 31670748) was titled to say the jury is still out on locoregional treatment in unresectable cholangiocarcinoma; the editorial's full text was not read here and only its title is relied on</w:t>
            </w:r>
          </w:p>
        </w:tc>
      </w:tr>
    </w:tbl>
    <w:p>
      <w:pPr>
        <w:spacing w:after="0" w:line="276"/>
      </w:pPr>
      <w:r>
        <w:rPr>
          <w:color w:val="5A6069"/>
          <w:sz w:val="14"/>
          <w:szCs w:val="14"/>
        </w:rPr>
        <w:t xml:space="preserve">Funding: No sponsor named for the trial itself; funding was obtained by the senior author and the conflict-of-interest statement lists research funding and advisory roles for several investigators with AbbVie, Seattle Genetics, Bayer, Proteus, Roche/Genentech, Boehringer Ingelheim, Eisai and Exelixis among others</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32416072</w:t>
      </w:r>
    </w:p>
    <w:p>
      <w:pPr>
        <w:spacing w:after="50" w:line="276"/>
      </w:pPr>
      <w:r>
        <w:rPr>
          <w:color w:val="5A6069"/>
          <w:sz w:val="17"/>
          <w:szCs w:val="17"/>
        </w:rPr>
        <w:t xml:space="preserve">Ivosidenib in IDH1-mutant, chemotherapy-refractory cholangiocarcinoma (ClarIDHy): a multicentre, randomised, double-blind, placebo-controlled, phase 3 study</w:t>
      </w:r>
    </w:p>
    <w:p>
      <w:pPr>
        <w:spacing w:after="50"/>
      </w:pPr>
      <w:r>
        <w:rPr>
          <w:b/>
          <w:bCs/>
          <w:color w:val="176A87"/>
          <w:sz w:val="16"/>
          <w:szCs w:val="16"/>
        </w:rPr>
        <w:t xml:space="preserve">Population. </w:t>
      </w:r>
      <w:r>
        <w:rPr>
          <w:sz w:val="16"/>
          <w:szCs w:val="16"/>
        </w:rPr>
        <w:t xml:space="preserve">185 patients with advanced IDH1-mutant cholangiocarcinoma that had progressed after chemotherapy, randomised 2:1 at 49 hospitals in six countries between 2017 and 2019 to ivosidenib (124) or placebo (61); 94% had received prior platinum, only 5% had cirrhosis, and IDH1 R132C was the mutation in 70%</w:t>
      </w:r>
    </w:p>
    <w:p>
      <w:pPr>
        <w:spacing w:after="70"/>
      </w:pPr>
      <w:r>
        <w:rPr>
          <w:b/>
          <w:bCs/>
          <w:color w:val="17365D"/>
          <w:sz w:val="16"/>
          <w:szCs w:val="16"/>
        </w:rPr>
        <w:t xml:space="preserve">Bottom line. </w:t>
      </w:r>
      <w:r>
        <w:rPr>
          <w:sz w:val="16"/>
          <w:szCs w:val="16"/>
        </w:rPr>
        <w:t xml:space="preserve">ClarIDHy is the randomised, placebo-controlled trial that established mutant-IDH1 inhibition as a real target in cholangiocarcinoma, with progression-free survival HR 0.37 (0.25-0.54) and a smaller decline in physical functioning. The magnitude is small and the mechanism is stabilisation, not shrinkage: 1.3 months of median progression-free survival and a 2% response rate. Overall survival was not significant as randomised, p = 0.060, and the survival claim depends on a crossover-adjustment model applied to a trial in which 57% of the placebo arm crossed over.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overall survival difference was not significant, which the authors attribute partly to placebo-to-ivosidenib crossover and to data being immature at 42% of events at the primary analysis</w:t>
            </w:r>
          </w:p>
          <w:p>
            <w:pPr>
              <w:pStyle w:val="ListParagraph"/>
              <w:numPr>
                <w:ilvl w:val="0"/>
                <w:numId w:val="2"/>
              </w:numPr>
              <w:spacing w:after="45"/>
            </w:pPr>
            <w:r>
              <w:rPr>
                <w:sz w:val="15"/>
                <w:szCs w:val="15"/>
              </w:rPr>
              <w:t xml:space="preserve">Limited patient-reported outcome data collection prevented a thorough evaluation of relevant quality-of-life parameters in this population</w:t>
            </w:r>
          </w:p>
          <w:p>
            <w:pPr>
              <w:pStyle w:val="ListParagraph"/>
              <w:numPr>
                <w:ilvl w:val="0"/>
                <w:numId w:val="2"/>
              </w:numPr>
              <w:spacing w:after="45"/>
            </w:pPr>
            <w:r>
              <w:rPr>
                <w:sz w:val="15"/>
                <w:szCs w:val="15"/>
              </w:rPr>
              <w:t xml:space="preserve">The authors state there was no justification for withholding ivosidenib from placebo patients at progression, which is why crossover was built 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1.3-month difference in median progression-free survival, 2.7 against 1.4 months, in a disease assessed by scans at fixed intervals; the hazard ratio of 0.37 is driven by how quickly the placebo arm progressed rather than by how long the treated arm did not</w:t>
            </w:r>
          </w:p>
          <w:p>
            <w:pPr>
              <w:pStyle w:val="ListParagraph"/>
              <w:numPr>
                <w:ilvl w:val="0"/>
                <w:numId w:val="2"/>
              </w:numPr>
              <w:spacing w:after="45"/>
            </w:pPr>
            <w:r>
              <w:rPr>
                <w:sz w:val="15"/>
                <w:szCs w:val="15"/>
              </w:rPr>
              <w:t xml:space="preserve">The objective response rate is 3 of 124 (2%), so the drug almost never shrinks tumours and the entire benefit is classified as stable disease, an endpoint that depends on the imaging interval and on no tumour growth being detected</w:t>
            </w:r>
          </w:p>
          <w:p>
            <w:pPr>
              <w:pStyle w:val="ListParagraph"/>
              <w:numPr>
                <w:ilvl w:val="0"/>
                <w:numId w:val="2"/>
              </w:numPr>
              <w:spacing w:after="45"/>
            </w:pPr>
            <w:r>
              <w:rPr>
                <w:sz w:val="15"/>
                <w:szCs w:val="15"/>
              </w:rPr>
              <w:t xml:space="preserve">The significant survival figure exists only after rank-preserving structural failure time adjustment, which assumes the treatment effect is the same whenever it is given; the unadjusted intention-to-treat result is HR 0.69 (0.44-1.10), p = 0.060, and the adjusted placebo median of 6.0 months is a modelled quantity, not an observed one</w:t>
            </w:r>
          </w:p>
          <w:p>
            <w:pPr>
              <w:pStyle w:val="ListParagraph"/>
              <w:numPr>
                <w:ilvl w:val="0"/>
                <w:numId w:val="2"/>
              </w:numPr>
              <w:spacing w:after="45"/>
            </w:pPr>
            <w:r>
              <w:rPr>
                <w:sz w:val="15"/>
                <w:szCs w:val="15"/>
              </w:rPr>
              <w:t xml:space="preserve">57% of placebo patients crossed over, so the trial was designed in a way that guaranteed its survival endpoint could not be read directly, and that was known at the design stage</w:t>
            </w:r>
          </w:p>
          <w:p>
            <w:pPr>
              <w:pStyle w:val="ListParagraph"/>
              <w:numPr>
                <w:ilvl w:val="0"/>
                <w:numId w:val="2"/>
              </w:numPr>
              <w:spacing w:after="45"/>
            </w:pPr>
            <w:r>
              <w:rPr>
                <w:sz w:val="15"/>
                <w:szCs w:val="15"/>
              </w:rPr>
              <w:t xml:space="preserve">Quality-of-life change scores at cycle 2 day 1 were available for 62 of 113 ivosidenib and 20 of 52 placebo patients, so the physical-functioning difference of 9.8 points (2.8-16.7) rests on a third of the placebo arm and is open to differential dropout by disease state</w:t>
            </w:r>
          </w:p>
          <w:p>
            <w:pPr>
              <w:pStyle w:val="ListParagraph"/>
              <w:numPr>
                <w:ilvl w:val="0"/>
                <w:numId w:val="2"/>
              </w:numPr>
              <w:spacing w:after="45"/>
            </w:pPr>
            <w:r>
              <w:rPr>
                <w:sz w:val="15"/>
                <w:szCs w:val="15"/>
              </w:rPr>
              <w:t xml:space="preserve">Plasma 2-hydroxyglutarate fell up to 97%, which demonstrates target engagement and not clinical benefit; the paper presents the two together</w:t>
            </w:r>
          </w:p>
          <w:p>
            <w:pPr>
              <w:pStyle w:val="ListParagraph"/>
              <w:numPr>
                <w:ilvl w:val="0"/>
                <w:numId w:val="2"/>
              </w:numPr>
              <w:spacing w:after="45"/>
            </w:pPr>
            <w:r>
              <w:rPr>
                <w:sz w:val="15"/>
                <w:szCs w:val="15"/>
              </w:rPr>
              <w:t xml:space="preserve">Only 9 of 185 patients (5%) had cirrhosis and the population is largely metastatic, so the trial describes a non-cirrhotic chemotherapy-refractory population and says nothing about the cirrhotic or liver-confined patients for whom IDH1 status is now also tested</w:t>
            </w:r>
          </w:p>
          <w:p>
            <w:pPr>
              <w:pStyle w:val="ListParagraph"/>
              <w:numPr>
                <w:ilvl w:val="0"/>
                <w:numId w:val="2"/>
              </w:numPr>
              <w:spacing w:after="45"/>
            </w:pPr>
            <w:r>
              <w:rPr>
                <w:sz w:val="15"/>
                <w:szCs w:val="15"/>
              </w:rPr>
              <w:t xml:space="preserve">Serious adverse events were 30% against 22% and ascites was the commonest grade 3 event in both arms at 7%, which means the main severe event in the trial is a feature of the disease rather than a drug effect, and the safety comparison is correspondingly uninformative</w:t>
            </w:r>
          </w:p>
          <w:p>
            <w:pPr>
              <w:pStyle w:val="ListParagraph"/>
              <w:numPr>
                <w:ilvl w:val="0"/>
                <w:numId w:val="2"/>
              </w:numPr>
              <w:spacing w:after="45"/>
            </w:pPr>
            <w:r>
              <w:rPr>
                <w:sz w:val="15"/>
                <w:szCs w:val="15"/>
              </w:rPr>
              <w:t xml:space="preserve">Agios had a role in design, collection, analysis and interpretation of a trial of its own drug and funded the writing, with no independent statistical oversight described</w:t>
            </w:r>
          </w:p>
          <w:p>
            <w:pPr>
              <w:pStyle w:val="ListParagraph"/>
              <w:numPr>
                <w:ilvl w:val="0"/>
                <w:numId w:val="2"/>
              </w:numPr>
              <w:spacing w:after="45"/>
            </w:pPr>
            <w:r>
              <w:rPr>
                <w:sz w:val="15"/>
                <w:szCs w:val="15"/>
              </w:rPr>
              <w:t xml:space="preserve">The result applies only to the roughly 13% of intrahepatic cholangiocarcinomas with an IDH1 mutation and requires central next-generation sequencing, so the trial's applicability depends on testing infrastructure it does not measure</w:t>
            </w:r>
          </w:p>
          <w:p>
            <w:pPr>
              <w:pStyle w:val="ListParagraph"/>
              <w:numPr>
                <w:ilvl w:val="0"/>
                <w:numId w:val="2"/>
              </w:numPr>
              <w:spacing w:after="45"/>
            </w:pPr>
            <w:r>
              <w:rPr>
                <w:sz w:val="15"/>
                <w:szCs w:val="15"/>
              </w:rPr>
              <w:t xml:space="preserve">The publication has been corrected twice, in September 2020 and January 2024, and the version read does not state what was corrected</w:t>
            </w:r>
          </w:p>
          <w:p>
            <w:pPr>
              <w:pStyle w:val="ListParagraph"/>
              <w:numPr>
                <w:ilvl w:val="0"/>
                <w:numId w:val="2"/>
              </w:numPr>
              <w:spacing w:after="45"/>
            </w:pPr>
            <w:r>
              <w:rPr>
                <w:sz w:val="15"/>
                <w:szCs w:val="15"/>
              </w:rPr>
              <w:t xml:space="preserve">A linked Comment by de la Fouchardiere (PMID 32416071) and linked correspondence by Gervaso, Pellicori and Fazio with the authors' reply (PMID 32758465 and 32758466) exist; all were identified from the citation record and not read here</w:t>
            </w:r>
          </w:p>
        </w:tc>
      </w:tr>
    </w:tbl>
    <w:p>
      <w:pPr>
        <w:spacing w:after="0" w:line="276"/>
      </w:pPr>
      <w:r>
        <w:rPr>
          <w:color w:val="5A6069"/>
          <w:sz w:val="14"/>
          <w:szCs w:val="14"/>
        </w:rPr>
        <w:t xml:space="preserve">Funding: Agios Pharmaceuticals, which had a role in study design, data collection, data analysis and data interpretation and supplied the medical writing; the first and last authors had full data access and final responsibility for publication</w:t>
      </w:r>
    </w:p>
    <w:p>
      <w:pPr>
        <w:keepNext/>
        <w:spacing w:after="50" w:before="260"/>
      </w:pPr>
      <w:r>
        <w:rPr>
          <w:rFonts w:ascii="Cambria" w:cs="Cambria" w:eastAsia="Cambria" w:hAnsi="Cambria"/>
          <w:b/>
          <w:bCs/>
          <w:color w:val="17365D"/>
          <w:sz w:val="20"/>
          <w:szCs w:val="20"/>
        </w:rPr>
        <w:t xml:space="preserve">ClarIDHy final OS</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EASL-ILCA iCCA 2023</w:t>
      </w:r>
      <w:r>
        <w:rPr>
          <w:b/>
          <w:bCs/>
          <w:color w:val="176A87"/>
          <w:sz w:val="15"/>
          <w:szCs w:val="15"/>
        </w:rPr>
        <w:t xml:space="preserve">   Guideline</w:t>
      </w:r>
      <w:r>
        <w:rPr>
          <w:color w:val="5A6069"/>
          <w:sz w:val="15"/>
          <w:szCs w:val="15"/>
        </w:rPr>
        <w:t xml:space="preserve">   PMID 37084797</w:t>
      </w:r>
    </w:p>
    <w:p>
      <w:pPr>
        <w:spacing w:after="50" w:line="276"/>
      </w:pPr>
      <w:r>
        <w:rPr>
          <w:color w:val="5A6069"/>
          <w:sz w:val="17"/>
          <w:szCs w:val="17"/>
        </w:rPr>
        <w:t xml:space="preserve">EASL-ILCA Clinical Practice Guidelines on the management of intrahepatic cholangiocarcinoma</w:t>
      </w:r>
    </w:p>
    <w:p>
      <w:pPr>
        <w:spacing w:after="70"/>
      </w:pPr>
      <w:r>
        <w:rPr>
          <w:b/>
          <w:bCs/>
          <w:color w:val="17365D"/>
          <w:sz w:val="16"/>
          <w:szCs w:val="16"/>
        </w:rPr>
        <w:t xml:space="preserve">Bottom line. </w:t>
      </w:r>
      <w:r>
        <w:rPr>
          <w:sz w:val="16"/>
          <w:szCs w:val="16"/>
        </w:rPr>
        <w:t xml:space="preserve">The first guideline written for intrahepatic cholangiocarcinoma alone, and the source of the positions now quoted in practice: biopsy for diagnosis, MRI and PET for staging, six months of adjuvant oral fluoropyrimidine, gemcitabine-cisplatin with durvalumab first line, and transplantation considered for cirrhotic tumours of 3 cm or less under protocol. Almost all of the surgical and locoregional guidance is level 4 evidence, and the 3 cm transplant ceiling is not a threshold any cited study tested. Where the panel could not agree, it says so, including on vascular involvement and on ablative radiotherapy.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records its own uncertainty by grading most surgical and locoregional recommendations at Oxford level of evidence 4, that is retrospective single-centre series</w:t>
            </w:r>
          </w:p>
          <w:p>
            <w:pPr>
              <w:pStyle w:val="ListParagraph"/>
              <w:numPr>
                <w:ilvl w:val="0"/>
                <w:numId w:val="2"/>
              </w:numPr>
              <w:spacing w:after="45"/>
            </w:pPr>
            <w:r>
              <w:rPr>
                <w:sz w:val="15"/>
                <w:szCs w:val="15"/>
              </w:rPr>
              <w:t xml:space="preserve">Explicit statements that no recommendation can be provided on resection versus locoregional or systemic treatment when the inferior vena cava, hepatic vein or portal vein is macroscopically involved (88% agreement), on ablative-dose external beam radiotherapy as an alternative to systemic therapy in unresectable liver-limited disease (87%), and on resection to prevent iCCA in hepatolithiasis</w:t>
            </w:r>
          </w:p>
          <w:p>
            <w:pPr>
              <w:pStyle w:val="ListParagraph"/>
              <w:numPr>
                <w:ilvl w:val="0"/>
                <w:numId w:val="2"/>
              </w:numPr>
              <w:spacing w:after="45"/>
            </w:pPr>
            <w:r>
              <w:rPr>
                <w:sz w:val="15"/>
                <w:szCs w:val="15"/>
              </w:rPr>
              <w:t xml:space="preserve">The panel notes BILCAP was negative on intention-to-treat and positive only per protocol, and that the ASCOT intrahepatic subgroup was 58 patients with a hazard ratio of 0.75 (0.30-1.89)</w:t>
            </w:r>
          </w:p>
          <w:p>
            <w:pPr>
              <w:pStyle w:val="ListParagraph"/>
              <w:numPr>
                <w:ilvl w:val="0"/>
                <w:numId w:val="2"/>
              </w:numPr>
              <w:spacing w:after="45"/>
            </w:pPr>
            <w:r>
              <w:rPr>
                <w:sz w:val="15"/>
                <w:szCs w:val="15"/>
              </w:rPr>
              <w:t xml:space="preserve">The biopsy recommendation is stated to be graded strong despite low-quality evidence, on the grounds that a definitive diagnosis has critical clinical relevance</w:t>
            </w:r>
          </w:p>
          <w:p>
            <w:pPr>
              <w:pStyle w:val="ListParagraph"/>
              <w:numPr>
                <w:ilvl w:val="0"/>
                <w:numId w:val="2"/>
              </w:numPr>
              <w:spacing w:after="45"/>
            </w:pPr>
            <w:r>
              <w:rPr>
                <w:sz w:val="15"/>
                <w:szCs w:val="15"/>
              </w:rPr>
              <w:t xml:space="preserve">Each recommendation carries its Delphi agreement percentage, so the panel discloses where agreement was weakest, including 78% for routine FDG-PET and 80% for endoscopic ultrasound nodal sampling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transplant threshold is more permissive than the evidence the guideline cites for it: the international series it rests on studied single tumours of 2 cm or less diagnosed on explant, and its only data above 2 cm is a six-patient post hoc subgroup, so the number in the recommendation appears nowhere in the underlying study as a tested threshold</w:t>
            </w:r>
          </w:p>
          <w:p>
            <w:pPr>
              <w:pStyle w:val="ListParagraph"/>
              <w:numPr>
                <w:ilvl w:val="0"/>
                <w:numId w:val="2"/>
              </w:numPr>
              <w:spacing w:after="45"/>
            </w:pPr>
            <w:r>
              <w:rPr>
                <w:sz w:val="15"/>
                <w:szCs w:val="15"/>
              </w:rPr>
              <w:t xml:space="preserve">The same transplant recommendation also requires that the tumour arise in cirrhosis and be early stage, but does not state how a 3 cm iCCA is to be diagnosed before transplantation in a cirrhotic patient, which is precisely what the cited series could not do</w:t>
            </w:r>
          </w:p>
          <w:p>
            <w:pPr>
              <w:pStyle w:val="ListParagraph"/>
              <w:numPr>
                <w:ilvl w:val="0"/>
                <w:numId w:val="2"/>
              </w:numPr>
              <w:spacing w:after="45"/>
            </w:pPr>
            <w:r>
              <w:rPr>
                <w:sz w:val="15"/>
                <w:szCs w:val="15"/>
              </w:rPr>
              <w:t xml:space="preserve">Adjuvant fluoropyrimidine is graded a strong recommendation at level 2 evidence on the strength of an iCCA hazard ratio of 0.65 taken from a subgroup of a trial that failed its primary endpoint; the panel reports the failure in its text and grades the recommendation strong anyway</w:t>
            </w:r>
          </w:p>
          <w:p>
            <w:pPr>
              <w:pStyle w:val="ListParagraph"/>
              <w:numPr>
                <w:ilvl w:val="0"/>
                <w:numId w:val="2"/>
              </w:numPr>
              <w:spacing w:after="45"/>
            </w:pPr>
            <w:r>
              <w:rPr>
                <w:sz w:val="15"/>
                <w:szCs w:val="15"/>
              </w:rPr>
              <w:t xml:space="preserve">Thermal ablation is suggested for a single tumour under 2 cm while transplantation is permitted up to 3 cm, so the guideline sets a more restrictive size limit on the less invasive treatment without explaining the inconsistency</w:t>
            </w:r>
          </w:p>
          <w:p>
            <w:pPr>
              <w:pStyle w:val="ListParagraph"/>
              <w:numPr>
                <w:ilvl w:val="0"/>
                <w:numId w:val="2"/>
              </w:numPr>
              <w:spacing w:after="45"/>
            </w:pPr>
            <w:r>
              <w:rPr>
                <w:sz w:val="15"/>
                <w:szCs w:val="15"/>
              </w:rPr>
              <w:t xml:space="preserve">Delphi agreement is reported but the underlying evidence review was graded by a single panel member before revision, so each level of evidence rests initially on one reader with no stated duplicate assessment or adjudication process</w:t>
            </w:r>
          </w:p>
          <w:p>
            <w:pPr>
              <w:pStyle w:val="ListParagraph"/>
              <w:numPr>
                <w:ilvl w:val="0"/>
                <w:numId w:val="2"/>
              </w:numPr>
              <w:spacing w:after="45"/>
            </w:pPr>
            <w:r>
              <w:rPr>
                <w:sz w:val="15"/>
                <w:szCs w:val="15"/>
              </w:rPr>
              <w:t xml:space="preserve">The guideline requires over 75% agreement for a question to be considered at all, which means questions on which the panel disagreed were dropped rather than recorded as uncertain, and the reader cannot see which questions those were</w:t>
            </w:r>
          </w:p>
          <w:p>
            <w:pPr>
              <w:pStyle w:val="ListParagraph"/>
              <w:numPr>
                <w:ilvl w:val="0"/>
                <w:numId w:val="2"/>
              </w:numPr>
              <w:spacing w:after="45"/>
            </w:pPr>
            <w:r>
              <w:rPr>
                <w:sz w:val="15"/>
                <w:szCs w:val="15"/>
              </w:rPr>
              <w:t xml:space="preserve">Routine FDG-PET for nodal metastases in apparently resectable patients is a strong recommendation carried at 78% agreement, barely above the threshold, and no sensitivity or specificity figures for PET nodal staging in iCCA accompany it</w:t>
            </w:r>
          </w:p>
          <w:p>
            <w:pPr>
              <w:pStyle w:val="ListParagraph"/>
              <w:numPr>
                <w:ilvl w:val="0"/>
                <w:numId w:val="2"/>
              </w:numPr>
              <w:spacing w:after="45"/>
            </w:pPr>
            <w:r>
              <w:rPr>
                <w:sz w:val="15"/>
                <w:szCs w:val="15"/>
              </w:rPr>
              <w:t xml:space="preserve">First-line gemcitabine-cisplatin plus durvalumab is graded level 1 with 100% consensus on a trial that was 86% metastatic with a 1.3-month median survival gain reported at an interim analysis; nothing in the recommendation distinguishes that population from the liver-confined patients the rest of the guideline addresses</w:t>
            </w:r>
          </w:p>
          <w:p>
            <w:pPr>
              <w:pStyle w:val="ListParagraph"/>
              <w:numPr>
                <w:ilvl w:val="0"/>
                <w:numId w:val="2"/>
              </w:numPr>
              <w:spacing w:after="45"/>
            </w:pPr>
            <w:r>
              <w:rPr>
                <w:sz w:val="15"/>
                <w:szCs w:val="15"/>
              </w:rPr>
              <w:t xml:space="preserve">Small duct and large duct subclassification is suggested at level 4 or 5, and no recommendation anywhere in the document is conditioned on that subtype, so the classification is endorsed without being made actionable</w:t>
            </w:r>
          </w:p>
          <w:p>
            <w:pPr>
              <w:pStyle w:val="ListParagraph"/>
              <w:numPr>
                <w:ilvl w:val="0"/>
                <w:numId w:val="2"/>
              </w:numPr>
              <w:spacing w:after="45"/>
            </w:pPr>
            <w:r>
              <w:rPr>
                <w:sz w:val="15"/>
                <w:szCs w:val="15"/>
              </w:rPr>
              <w:t xml:space="preserve">Conflicts of interest are not printed with the guideline but deferred to separate EASL forms, so a reader cannot see the industry relationships of a 34-member panel making recommendations on durvalumab, FGFR inhibitors and ivosidenib</w:t>
            </w:r>
          </w:p>
          <w:p>
            <w:pPr>
              <w:pStyle w:val="ListParagraph"/>
              <w:numPr>
                <w:ilvl w:val="0"/>
                <w:numId w:val="2"/>
              </w:numPr>
              <w:spacing w:after="45"/>
            </w:pPr>
            <w:r>
              <w:rPr>
                <w:sz w:val="15"/>
                <w:szCs w:val="15"/>
              </w:rPr>
              <w:t xml:space="preserve">The document was corrected in September 2023 (J Hepatol 2023;79:1342), with the corrigendum revising the level-of-evidence table, so the grades in the original print differ from the corrected record</w:t>
            </w:r>
          </w:p>
          <w:p>
            <w:pPr>
              <w:pStyle w:val="ListParagraph"/>
              <w:numPr>
                <w:ilvl w:val="0"/>
                <w:numId w:val="2"/>
              </w:numPr>
              <w:spacing w:after="45"/>
            </w:pPr>
            <w:r>
              <w:rPr>
                <w:sz w:val="15"/>
                <w:szCs w:val="15"/>
              </w:rPr>
              <w:t xml:space="preserve">No linked editorial or comment was found in PubMed, so no independent published appraisal of the first iCCA-specific guideline exists in the citation record</w:t>
            </w:r>
          </w:p>
        </w:tc>
      </w:tr>
    </w:tbl>
    <w:p>
      <w:pPr>
        <w:spacing w:after="0" w:line="276"/>
      </w:pPr>
      <w:r>
        <w:rPr>
          <w:color w:val="5A6069"/>
          <w:sz w:val="14"/>
          <w:szCs w:val="14"/>
        </w:rPr>
        <w:t xml:space="preserve">Funding: No funding statement; commissioned by the EASL and ILCA governing boards in 2020, with conflicts of interest not printed in the article but referred to accompanying EASL disclosure forms</w:t>
      </w:r>
    </w:p>
    <w:p>
      <w:pPr>
        <w:keepNext/>
        <w:spacing w:after="50" w:before="260"/>
      </w:pPr>
      <w:r>
        <w:rPr>
          <w:rFonts w:ascii="Cambria" w:cs="Cambria" w:eastAsia="Cambria" w:hAnsi="Cambria"/>
          <w:b/>
          <w:bCs/>
          <w:color w:val="17365D"/>
          <w:sz w:val="20"/>
          <w:szCs w:val="20"/>
        </w:rPr>
        <w:t xml:space="preserve">ESMO BTC 2023 guideline</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BTC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32203698</w:t>
      </w:r>
    </w:p>
    <w:p>
      <w:pPr>
        <w:spacing w:after="50" w:line="276"/>
      </w:pPr>
      <w:r>
        <w:rPr>
          <w:color w:val="5A6069"/>
          <w:sz w:val="17"/>
          <w:szCs w:val="17"/>
        </w:rPr>
        <w:t xml:space="preserve">Pemigatinib for previously treated, locally advanced or metastatic cholangiocarcinoma: a multicentre, open-label, phase 2 study</w:t>
      </w:r>
    </w:p>
    <w:p>
      <w:pPr>
        <w:spacing w:after="50"/>
      </w:pPr>
      <w:r>
        <w:rPr>
          <w:b/>
          <w:bCs/>
          <w:color w:val="176A87"/>
          <w:sz w:val="16"/>
          <w:szCs w:val="16"/>
        </w:rPr>
        <w:t xml:space="preserve">Population. </w:t>
      </w:r>
      <w:r>
        <w:rPr>
          <w:sz w:val="16"/>
          <w:szCs w:val="16"/>
        </w:rPr>
        <w:t xml:space="preserve">146 patients with previously treated locally advanced or metastatic cholangiocarcinoma enrolled from 146 sites between 2017 and 2019 into three cohorts by central FGF/FGFR status, 107 with FGFR2 fusions or rearrangements, 20 with other FGF/FGFR alterations and 18 with none; 89% had intrahepatic disease and 1206 patients were centrally prescreened to find the 107</w:t>
      </w:r>
    </w:p>
    <w:p>
      <w:pPr>
        <w:spacing w:after="70"/>
      </w:pPr>
      <w:r>
        <w:rPr>
          <w:b/>
          <w:bCs/>
          <w:color w:val="17365D"/>
          <w:sz w:val="16"/>
          <w:szCs w:val="16"/>
        </w:rPr>
        <w:t xml:space="preserve">Bottom line. </w:t>
      </w:r>
      <w:r>
        <w:rPr>
          <w:sz w:val="16"/>
          <w:szCs w:val="16"/>
        </w:rPr>
        <w:t xml:space="preserve">FIGHT-202 showed that pemigatinib produces centrally confirmed responses in 35.5% of patients with FGFR2-fusion cholangiocarcinoma and none at all in patients without that alteration, which is what made FGFR2 testing mandatory in this disease. It cannot quantify benefit, being single-arm with the comparison made across studies, and the 21.1-month median survival rests on 40 of 107 deaths. Only 9% of 1206 prescreened patients were eligible, across 56 different fusion partners, and 12-month progression-free survival was 29%.</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There is no active comparator group</w:t>
            </w:r>
          </w:p>
          <w:p>
            <w:pPr>
              <w:pStyle w:val="ListParagraph"/>
              <w:numPr>
                <w:ilvl w:val="0"/>
                <w:numId w:val="2"/>
              </w:numPr>
              <w:spacing w:after="45"/>
            </w:pPr>
            <w:r>
              <w:rPr>
                <w:sz w:val="15"/>
                <w:szCs w:val="15"/>
              </w:rPr>
              <w:t xml:space="preserve">The design precludes any assessment of how much the FGFR alterations themselves contribute to the survival results, since FGFR-altered cholangiocarcinoma may have a more favourable natural history</w:t>
            </w:r>
          </w:p>
          <w:p>
            <w:pPr>
              <w:pStyle w:val="ListParagraph"/>
              <w:numPr>
                <w:ilvl w:val="0"/>
                <w:numId w:val="2"/>
              </w:numPr>
              <w:spacing w:after="45"/>
            </w:pPr>
            <w:r>
              <w:rPr>
                <w:sz w:val="15"/>
                <w:szCs w:val="15"/>
              </w:rPr>
              <w:t xml:space="preserve">Including patients with extrahepatic disease could have complicated the analyses, because intrahepatic and extrahepatic tumours have markedly different characteristics</w:t>
            </w:r>
          </w:p>
          <w:p>
            <w:pPr>
              <w:pStyle w:val="ListParagraph"/>
              <w:numPr>
                <w:ilvl w:val="0"/>
                <w:numId w:val="2"/>
              </w:numPr>
              <w:spacing w:after="45"/>
            </w:pPr>
            <w:r>
              <w:rPr>
                <w:sz w:val="15"/>
                <w:szCs w:val="15"/>
              </w:rPr>
              <w:t xml:space="preserve">Response duration and progression-free survival were short in some patients despite the presence of a driver alteration, which the authors attribute to clonal evolution and acquired resistance mutations</w:t>
            </w:r>
          </w:p>
          <w:p>
            <w:pPr>
              <w:pStyle w:val="ListParagraph"/>
              <w:numPr>
                <w:ilvl w:val="0"/>
                <w:numId w:val="2"/>
              </w:numPr>
              <w:spacing w:after="45"/>
            </w:pPr>
            <w:r>
              <w:rPr>
                <w:sz w:val="15"/>
                <w:szCs w:val="15"/>
              </w:rPr>
              <w:t xml:space="preserve">The 9% prevalence figure for FGFR2 alterations comes from patients centrally prescreened for this trial, not from an unselected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cannot measure an effect size, and the comparison that makes the result look decisive, 35.5% against a pooled 9.5% response and 6.9 against 2.6 months progression-free survival with second-line chemotherapy, is drawn from separate literature with different populations</w:t>
            </w:r>
          </w:p>
          <w:p>
            <w:pPr>
              <w:pStyle w:val="ListParagraph"/>
              <w:numPr>
                <w:ilvl w:val="0"/>
                <w:numId w:val="2"/>
              </w:numPr>
              <w:spacing w:after="45"/>
            </w:pPr>
            <w:r>
              <w:rPr>
                <w:sz w:val="15"/>
                <w:szCs w:val="15"/>
              </w:rPr>
              <w:t xml:space="preserve">Overall survival of 21.1 months is reported at 40 of 107 deaths with an upper bound of not estimable; at 37% of events a median survival figure is a provisional number being used as a headline</w:t>
            </w:r>
          </w:p>
          <w:p>
            <w:pPr>
              <w:pStyle w:val="ListParagraph"/>
              <w:numPr>
                <w:ilvl w:val="0"/>
                <w:numId w:val="2"/>
              </w:numPr>
              <w:spacing w:after="45"/>
            </w:pPr>
            <w:r>
              <w:rPr>
                <w:sz w:val="15"/>
                <w:szCs w:val="15"/>
              </w:rPr>
              <w:t xml:space="preserve">The two negative cohorts carry the trial's real information: 0 of 20 with other FGF/FGFR alterations and 0 of 18 with none responded, which means the FGFR2 fusion cohort is a selected subset and the drug has no activity outside it, so the 1206-patient prescreen is the real denominator</w:t>
            </w:r>
          </w:p>
          <w:p>
            <w:pPr>
              <w:pStyle w:val="ListParagraph"/>
              <w:numPr>
                <w:ilvl w:val="0"/>
                <w:numId w:val="2"/>
              </w:numPr>
              <w:spacing w:after="45"/>
            </w:pPr>
            <w:r>
              <w:rPr>
                <w:sz w:val="15"/>
                <w:szCs w:val="15"/>
              </w:rPr>
              <w:t xml:space="preserve">56 distinct fusion partners were observed and 42 occurred in a single patient each, so the biomarker that defines eligibility is a heterogeneous collection and no partner-specific activity can be established from this sample</w:t>
            </w:r>
          </w:p>
          <w:p>
            <w:pPr>
              <w:pStyle w:val="ListParagraph"/>
              <w:numPr>
                <w:ilvl w:val="0"/>
                <w:numId w:val="2"/>
              </w:numPr>
              <w:spacing w:after="45"/>
            </w:pPr>
            <w:r>
              <w:rPr>
                <w:sz w:val="15"/>
                <w:szCs w:val="15"/>
              </w:rPr>
              <w:t xml:space="preserve">Progression-free survival at 12 months is only 29% against a 35.5% response rate, so most responses were lost inside a year; the acquired-resistance explanation is offered from the literature rather than from resistance sequencing in this cohort</w:t>
            </w:r>
          </w:p>
          <w:p>
            <w:pPr>
              <w:pStyle w:val="ListParagraph"/>
              <w:numPr>
                <w:ilvl w:val="0"/>
                <w:numId w:val="2"/>
              </w:numPr>
              <w:spacing w:after="45"/>
            </w:pPr>
            <w:r>
              <w:rPr>
                <w:sz w:val="15"/>
                <w:szCs w:val="15"/>
              </w:rPr>
              <w:t xml:space="preserve">Hyperphosphataemia affected 60% of patients and 64% had a grade 3 or worse event, with 42% requiring dose interruption and 14% reduction, so the dose that produced these responses is not the dose most patients stayed on</w:t>
            </w:r>
          </w:p>
          <w:p>
            <w:pPr>
              <w:pStyle w:val="ListParagraph"/>
              <w:numPr>
                <w:ilvl w:val="0"/>
                <w:numId w:val="2"/>
              </w:numPr>
              <w:spacing w:after="45"/>
            </w:pPr>
            <w:r>
              <w:rPr>
                <w:sz w:val="15"/>
                <w:szCs w:val="15"/>
              </w:rPr>
              <w:t xml:space="preserve">The primary endpoint cohort mixes intrahepatic with extrahepatic, gallbladder and ampullary cases in the overall population of 146 while the responding cohort is 98% intrahepatic, so the anatomical and molecular selections are confounded in the way the paper's own limitation concedes but the conclusion does not reflect</w:t>
            </w:r>
          </w:p>
          <w:p>
            <w:pPr>
              <w:pStyle w:val="ListParagraph"/>
              <w:numPr>
                <w:ilvl w:val="0"/>
                <w:numId w:val="2"/>
              </w:numPr>
              <w:spacing w:after="45"/>
            </w:pPr>
            <w:r>
              <w:rPr>
                <w:sz w:val="15"/>
                <w:szCs w:val="15"/>
              </w:rPr>
              <w:t xml:space="preserve">Incyte designed the trial, compiled and analysed the data and paid for the writing, and the trial supported regulatory approval of Incyte's drug on single-arm data with no independent analysis described</w:t>
            </w:r>
          </w:p>
          <w:p>
            <w:pPr>
              <w:pStyle w:val="ListParagraph"/>
              <w:numPr>
                <w:ilvl w:val="0"/>
                <w:numId w:val="2"/>
              </w:numPr>
              <w:spacing w:after="45"/>
            </w:pPr>
            <w:r>
              <w:rPr>
                <w:sz w:val="15"/>
                <w:szCs w:val="15"/>
              </w:rPr>
              <w:t xml:space="preserve">The population is second-line or later with no information on earlier use; FIGHT-302, the randomised first-line comparison, was only recruiting at publication, so the drug entered practice before any randomised evidence existed</w:t>
            </w:r>
          </w:p>
          <w:p>
            <w:pPr>
              <w:pStyle w:val="ListParagraph"/>
              <w:numPr>
                <w:ilvl w:val="0"/>
                <w:numId w:val="2"/>
              </w:numPr>
              <w:spacing w:after="45"/>
            </w:pPr>
            <w:r>
              <w:rPr>
                <w:sz w:val="15"/>
                <w:szCs w:val="15"/>
              </w:rPr>
              <w:t xml:space="preserve">The publication has since been corrected online, with the corrected version appearing in 2023, and the paper as read does not state what changed</w:t>
            </w:r>
          </w:p>
          <w:p>
            <w:pPr>
              <w:pStyle w:val="ListParagraph"/>
              <w:numPr>
                <w:ilvl w:val="0"/>
                <w:numId w:val="2"/>
              </w:numPr>
              <w:spacing w:after="45"/>
            </w:pPr>
            <w:r>
              <w:rPr>
                <w:sz w:val="15"/>
                <w:szCs w:val="15"/>
              </w:rPr>
              <w:t xml:space="preserve">A linked Comment by Yang and colleagues (Lancet Oncology 2020;21:610-612, PMID 32203699) accompanies the article; it was identified from the citation record and not read here</w:t>
            </w:r>
          </w:p>
        </w:tc>
      </w:tr>
    </w:tbl>
    <w:p>
      <w:pPr>
        <w:spacing w:after="0" w:line="276"/>
      </w:pPr>
      <w:r>
        <w:rPr>
          <w:color w:val="5A6069"/>
          <w:sz w:val="14"/>
          <w:szCs w:val="14"/>
        </w:rPr>
        <w:t xml:space="preserve">Funding: Incyte Corporation, which designed the study with input from two lead investigators, compiled and analysed the data with the corresponding author, interpreted the data with all authors and funded the medical writing; most authors report Incyte grants or consulting fees</w:t>
      </w:r>
    </w:p>
    <w:p>
      <w:pPr>
        <w:keepNext/>
        <w:spacing w:after="50" w:before="260"/>
      </w:pPr>
      <w:r>
        <w:rPr>
          <w:rFonts w:ascii="Cambria" w:cs="Cambria" w:eastAsia="Cambria" w:hAnsi="Cambria"/>
          <w:b/>
          <w:bCs/>
          <w:color w:val="17365D"/>
          <w:sz w:val="20"/>
          <w:szCs w:val="20"/>
        </w:rPr>
        <w:t xml:space="preserve">FIGHT-202 final</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Hong proton phase II</w:t>
      </w:r>
      <w:r>
        <w:rPr>
          <w:b/>
          <w:bCs/>
          <w:color w:val="176A87"/>
          <w:sz w:val="15"/>
          <w:szCs w:val="15"/>
        </w:rPr>
        <w:t xml:space="preserve">   Prospective trial</w:t>
      </w:r>
      <w:r>
        <w:rPr>
          <w:color w:val="5A6069"/>
          <w:sz w:val="15"/>
          <w:szCs w:val="15"/>
        </w:rPr>
        <w:t xml:space="preserve">   PMID 26668346</w:t>
      </w:r>
    </w:p>
    <w:p>
      <w:pPr>
        <w:spacing w:after="50" w:line="276"/>
      </w:pPr>
      <w:r>
        <w:rPr>
          <w:color w:val="5A6069"/>
          <w:sz w:val="17"/>
          <w:szCs w:val="17"/>
        </w:rPr>
        <w:t xml:space="preserve">Multi-Institutional Phase II Study of High-Dose Hypofractionated Proton Beam Therapy in Patients With Localized, Unresectable Hepatocellular Carcinoma and Intrahepatic Cholangiocarcinoma</w:t>
      </w:r>
    </w:p>
    <w:p>
      <w:pPr>
        <w:spacing w:after="50"/>
      </w:pPr>
      <w:r>
        <w:rPr>
          <w:b/>
          <w:bCs/>
          <w:color w:val="176A87"/>
          <w:sz w:val="16"/>
          <w:szCs w:val="16"/>
        </w:rPr>
        <w:t xml:space="preserve">Population. </w:t>
      </w:r>
      <w:r>
        <w:rPr>
          <w:sz w:val="16"/>
          <w:szCs w:val="16"/>
        </w:rPr>
        <w:t xml:space="preserve">83 evaluable patients of 92 consented at Massachusetts General Hospital, MD Anderson and the University of Pennsylvania between November 2009 and February 2015, comprising 44 with hepatocellular carcinoma and 39 with intrahepatic cholangiocarcinoma (37 pure plus 2 mixed); the iCCA cohort had a median longest tumour dimension of 6.0 cm (2.2 to 10.9), 89.7% without cirrhosis and 61.5% previously treated with chemotherapy</w:t>
      </w:r>
    </w:p>
    <w:p>
      <w:pPr>
        <w:spacing w:after="70"/>
      </w:pPr>
      <w:r>
        <w:rPr>
          <w:b/>
          <w:bCs/>
          <w:color w:val="17365D"/>
          <w:sz w:val="16"/>
          <w:szCs w:val="16"/>
        </w:rPr>
        <w:t xml:space="preserve">Bottom line. </w:t>
      </w:r>
      <w:r>
        <w:rPr>
          <w:sz w:val="16"/>
          <w:szCs w:val="16"/>
        </w:rPr>
        <w:t xml:space="preserve">This multi-institutional phase 2 trial shows that 15-fraction high-dose proton therapy can be delivered to large liver tumours with 4.8% grade 3 toxicity and almost no decline in liver function, and reports 94.1% 2-year local control and 22.5 months median survival in its 39 iCCA patients. The iCCA cohort had no efficacy hypothesis, no control arm and no central review, so none of that is evidence of a survival benefit. Local failures kept accruing past the two-year landmark, and 54% of iCCA patients developed distant metastases, so local control was not what limited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intrahepatic cholangiocarcinoma cohort was enrolled in parallel with no efficacy hypothesis, only for precision of estimates, so the powered endpoint applies to the hepatocellular cohort</w:t>
            </w:r>
          </w:p>
          <w:p>
            <w:pPr>
              <w:pStyle w:val="ListParagraph"/>
              <w:numPr>
                <w:ilvl w:val="0"/>
                <w:numId w:val="2"/>
              </w:numPr>
              <w:spacing w:after="45"/>
            </w:pPr>
            <w:r>
              <w:rPr>
                <w:sz w:val="15"/>
                <w:szCs w:val="15"/>
              </w:rPr>
              <w:t xml:space="preserve">The authors recognise the limitations of the linear-quadratic model in comparing their 15-fraction schedule with the 6-fraction Princess Margaret schedule, and note the median doses differ substantially in 2-Gy equivalents, 67 Gy against 48 Gy</w:t>
            </w:r>
          </w:p>
          <w:p>
            <w:pPr>
              <w:pStyle w:val="ListParagraph"/>
              <w:numPr>
                <w:ilvl w:val="0"/>
                <w:numId w:val="2"/>
              </w:numPr>
              <w:spacing w:after="45"/>
            </w:pPr>
            <w:r>
              <w:rPr>
                <w:sz w:val="15"/>
                <w:szCs w:val="15"/>
              </w:rPr>
              <w:t xml:space="preserve">They concede that part of the difference in local control may relate to the fractionation schedule used rather than to protons</w:t>
            </w:r>
          </w:p>
          <w:p>
            <w:pPr>
              <w:pStyle w:val="ListParagraph"/>
              <w:numPr>
                <w:ilvl w:val="0"/>
                <w:numId w:val="2"/>
              </w:numPr>
              <w:spacing w:after="45"/>
            </w:pPr>
            <w:r>
              <w:rPr>
                <w:sz w:val="15"/>
                <w:szCs w:val="15"/>
              </w:rPr>
              <w:t xml:space="preserve">They attribute part of the overall survival difference from the Princess Margaret study to the effect of protons versus photons on post-treatment hepatic function, an inference rather than a measurement</w:t>
            </w:r>
          </w:p>
          <w:p>
            <w:pPr>
              <w:pStyle w:val="ListParagraph"/>
              <w:numPr>
                <w:ilvl w:val="0"/>
                <w:numId w:val="2"/>
              </w:numPr>
              <w:spacing w:after="45"/>
            </w:pPr>
            <w:r>
              <w:rPr>
                <w:sz w:val="15"/>
                <w:szCs w:val="15"/>
              </w:rPr>
              <w:t xml:space="preserve">They acknowledge that the comparison with the ABC-02 gemcitabine-cisplatin median of 11.7 months is confounded because only 27% of ABC-02 patients had locally advanced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94.1% 2-year local control figure quoted for iCCA is measured at a landmark the disease then crosses: four further local failures occurred beyond 24 months, for six in 39 patients, while median follow-up among survivors was only 19.5 months, so the headline is a snapshot taken before the failures arrived</w:t>
            </w:r>
          </w:p>
          <w:p>
            <w:pPr>
              <w:pStyle w:val="ListParagraph"/>
              <w:numPr>
                <w:ilvl w:val="0"/>
                <w:numId w:val="2"/>
              </w:numPr>
              <w:spacing w:after="45"/>
            </w:pPr>
            <w:r>
              <w:rPr>
                <w:sz w:val="15"/>
                <w:szCs w:val="15"/>
              </w:rPr>
              <w:t xml:space="preserve">Local control was scored by RECIST 1.0 size criteria with progression determined by the interpreting radiologist and confirmed by the treating physician, with no central review; size criteria systematically overstate control after ablative radiation because treated tumours do not shrink</w:t>
            </w:r>
          </w:p>
          <w:p>
            <w:pPr>
              <w:pStyle w:val="ListParagraph"/>
              <w:numPr>
                <w:ilvl w:val="0"/>
                <w:numId w:val="2"/>
              </w:numPr>
              <w:spacing w:after="45"/>
            </w:pPr>
            <w:r>
              <w:rPr>
                <w:sz w:val="15"/>
                <w:szCs w:val="15"/>
              </w:rPr>
              <w:t xml:space="preserve">Median delivered dose was 58.0 GyE against an intended maximum of 67.5 GyE, and all eight local progressions occurred below 60 GyE, so the trial does not establish the dose its own data imply is needed</w:t>
            </w:r>
          </w:p>
          <w:p>
            <w:pPr>
              <w:pStyle w:val="ListParagraph"/>
              <w:numPr>
                <w:ilvl w:val="0"/>
                <w:numId w:val="2"/>
              </w:numPr>
              <w:spacing w:after="45"/>
            </w:pPr>
            <w:r>
              <w:rPr>
                <w:sz w:val="15"/>
                <w:szCs w:val="15"/>
              </w:rPr>
              <w:t xml:space="preserve">Distant failure dominated in the iCCA cohort, 21 of 39 (53.8%) with metastases and only 8 of 39 (20.5%) alive without progression, which means local control in this histology bought little and the paper's primary measure is the one least relevant to outcome</w:t>
            </w:r>
          </w:p>
          <w:p>
            <w:pPr>
              <w:pStyle w:val="ListParagraph"/>
              <w:numPr>
                <w:ilvl w:val="0"/>
                <w:numId w:val="2"/>
              </w:numPr>
              <w:spacing w:after="45"/>
            </w:pPr>
            <w:r>
              <w:rPr>
                <w:sz w:val="15"/>
                <w:szCs w:val="15"/>
              </w:rPr>
              <w:t xml:space="preserve">The 22-month median survival has a confidence interval of 12.4 to 49.7 months in 39 patients, an interval too wide to compare with any other series, yet it is set against ABC-02's 11.7 months in the discussion</w:t>
            </w:r>
          </w:p>
          <w:p>
            <w:pPr>
              <w:pStyle w:val="ListParagraph"/>
              <w:numPr>
                <w:ilvl w:val="0"/>
                <w:numId w:val="2"/>
              </w:numPr>
              <w:spacing w:after="45"/>
            </w:pPr>
            <w:r>
              <w:rPr>
                <w:sz w:val="15"/>
                <w:szCs w:val="15"/>
              </w:rPr>
              <w:t xml:space="preserve">The vascular thrombosis hazard ratio of 3.615 (1.303-10.025) comes from 11 affected patients, so the only significant prognostic finding rests on a handful of events with an interval spanning nearly an order of magnitude</w:t>
            </w:r>
          </w:p>
          <w:p>
            <w:pPr>
              <w:pStyle w:val="ListParagraph"/>
              <w:numPr>
                <w:ilvl w:val="0"/>
                <w:numId w:val="2"/>
              </w:numPr>
              <w:spacing w:after="45"/>
            </w:pPr>
            <w:r>
              <w:rPr>
                <w:sz w:val="15"/>
                <w:szCs w:val="15"/>
              </w:rPr>
              <w:t xml:space="preserve">Dose was de-escalated as needed to keep mean uninvolved liver dose at or below 24 GyE, so dose was assigned by anatomy; patients with more favourable anatomy received more dose, which confounds the dose-outcome relationship the discussion relies on</w:t>
            </w:r>
          </w:p>
          <w:p>
            <w:pPr>
              <w:pStyle w:val="ListParagraph"/>
              <w:numPr>
                <w:ilvl w:val="0"/>
                <w:numId w:val="2"/>
              </w:numPr>
              <w:spacing w:after="45"/>
            </w:pPr>
            <w:r>
              <w:rPr>
                <w:sz w:val="15"/>
                <w:szCs w:val="15"/>
              </w:rPr>
              <w:t xml:space="preserve">Two of the 39 iCCA patients had mixed hepatocellular-cholangiocarcinoma tumours and are counted in the cohort, a histology excluded from most iCCA series</w:t>
            </w:r>
          </w:p>
          <w:p>
            <w:pPr>
              <w:pStyle w:val="ListParagraph"/>
              <w:numPr>
                <w:ilvl w:val="0"/>
                <w:numId w:val="2"/>
              </w:numPr>
              <w:spacing w:after="45"/>
            </w:pPr>
            <w:r>
              <w:rPr>
                <w:sz w:val="15"/>
                <w:szCs w:val="15"/>
              </w:rPr>
              <w:t xml:space="preserve">Proton therapy was available only at the three participating centres, so nothing in the trial addresses whether the same schedule delivered with photons would give the same result; the randomised answer was deferred to NRG GI-001, which later closed early for poor accrual</w:t>
            </w:r>
          </w:p>
          <w:p>
            <w:pPr>
              <w:pStyle w:val="ListParagraph"/>
              <w:numPr>
                <w:ilvl w:val="0"/>
                <w:numId w:val="2"/>
              </w:numPr>
              <w:spacing w:after="45"/>
            </w:pPr>
            <w:r>
              <w:rPr>
                <w:sz w:val="15"/>
                <w:szCs w:val="15"/>
              </w:rPr>
              <w:t xml:space="preserve">61.5% had received previous chemotherapy with no analysis by prior treatment, so the cohort mixes first-line and salvage radiation</w:t>
            </w:r>
          </w:p>
          <w:p>
            <w:pPr>
              <w:pStyle w:val="ListParagraph"/>
              <w:numPr>
                <w:ilvl w:val="0"/>
                <w:numId w:val="2"/>
              </w:numPr>
              <w:spacing w:after="45"/>
            </w:pPr>
            <w:r>
              <w:rPr>
                <w:sz w:val="15"/>
                <w:szCs w:val="15"/>
              </w:rPr>
              <w:t xml:space="preserve">The 4.8% grade 3 toxicity rate is based on radiation-related events in 83 patients across two histologies, and the iCCA-specific rate is 7.7%, three patients, of which one was liver failure with ascites; a toxicity claim at that denominator cannot exclude a clinically meaningful rate</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National Institutes of Health grant 2P01CA021239-29A1 and in part by a Cancer Clinical Investigator Team Leadership Award from the National Cancer Institute through a supplement to grant P30CA006516; author disclosures are posted online rather than printed</w:t>
      </w:r>
    </w:p>
    <w:p>
      <w:pPr>
        <w:keepNext/>
        <w:spacing w:after="50" w:before="260"/>
      </w:pPr>
      <w:r>
        <w:rPr>
          <w:rFonts w:ascii="Cambria" w:cs="Cambria" w:eastAsia="Cambria" w:hAnsi="Cambria"/>
          <w:b/>
          <w:bCs/>
          <w:color w:val="17365D"/>
          <w:sz w:val="20"/>
          <w:szCs w:val="20"/>
        </w:rPr>
        <w:t xml:space="preserve">ILTS-ILCA 2024 (Liver Transpl)</w:t>
      </w:r>
      <w:r>
        <w:rPr>
          <w:b/>
          <w:bCs/>
          <w:color w:val="176A87"/>
          <w:sz w:val="15"/>
          <w:szCs w:val="15"/>
        </w:rPr>
        <w:t xml:space="preserve">   Consensus statement</w:t>
      </w:r>
      <w:r>
        <w:rPr>
          <w:color w:val="5A6069"/>
          <w:sz w:val="15"/>
          <w:szCs w:val="15"/>
        </w:rPr>
        <w:t xml:space="preserve">   PMID 40014003</w:t>
      </w:r>
    </w:p>
    <w:p>
      <w:pPr>
        <w:spacing w:after="50" w:line="276"/>
      </w:pPr>
      <w:r>
        <w:rPr>
          <w:color w:val="5A6069"/>
          <w:sz w:val="17"/>
          <w:szCs w:val="17"/>
        </w:rPr>
        <w:t xml:space="preserve">The 2024 ILTS-ILCA consensus recommendations for liver transplantation for HCC and intrahepatic cholangiocarcinoma</w:t>
      </w:r>
    </w:p>
    <w:p>
      <w:pPr>
        <w:spacing w:after="50"/>
      </w:pPr>
      <w:r>
        <w:rPr>
          <w:b/>
          <w:bCs/>
          <w:color w:val="176A87"/>
          <w:sz w:val="16"/>
          <w:szCs w:val="16"/>
        </w:rPr>
        <w:t xml:space="preserve">Population. </w:t>
      </w:r>
      <w:r>
        <w:rPr>
          <w:sz w:val="16"/>
          <w:szCs w:val="16"/>
        </w:rPr>
        <w:t xml:space="preserve">120 participants at the Valencia consensus conference, with seven working groups of 6-7 experts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A 120-participant Delphi consensus that records where transplant oncologists currently agree: cirrhotic iCCA of 3 cm or less after a period of stability may be considered, and everything larger or non-cirrhotic belongs in trials. It establishes agreement, not evidence, since every iCCA statement is graded low or moderate and rests on single-centre retrospective series spanning 25% to 73% 5-year survival. The 3 cm figure is not derived in any cited study, and the document sets no duration for the stability it requires.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for patients without cirrhosis, was controversial among participants and no agreement was reached for that population</w:t>
            </w:r>
          </w:p>
          <w:p>
            <w:pPr>
              <w:pStyle w:val="ListParagraph"/>
              <w:numPr>
                <w:ilvl w:val="0"/>
                <w:numId w:val="2"/>
              </w:numPr>
              <w:spacing w:after="45"/>
            </w:pPr>
            <w:r>
              <w:rPr>
                <w:sz w:val="15"/>
                <w:szCs w:val="15"/>
              </w:rPr>
              <w:t xml:space="preserve">Limits on tumour size and number for non-cirrhotic patients should be explored in prospective clinical trials</w:t>
            </w:r>
          </w:p>
          <w:p>
            <w:pPr>
              <w:pStyle w:val="ListParagraph"/>
              <w:numPr>
                <w:ilvl w:val="0"/>
                <w:numId w:val="2"/>
              </w:numPr>
              <w:spacing w:after="45"/>
            </w:pPr>
            <w:r>
              <w:rPr>
                <w:sz w:val="15"/>
                <w:szCs w:val="15"/>
              </w:rPr>
              <w:t xml:space="preserve">There is no evidence to support molecular profiling for transplant selection, and no recommendation can be made for liquid biopsy in post-transplant surveillance</w:t>
            </w:r>
          </w:p>
          <w:p>
            <w:pPr>
              <w:pStyle w:val="ListParagraph"/>
              <w:numPr>
                <w:ilvl w:val="0"/>
                <w:numId w:val="2"/>
              </w:numPr>
              <w:spacing w:after="45"/>
            </w:pPr>
            <w:r>
              <w:rPr>
                <w:sz w:val="15"/>
                <w:szCs w:val="15"/>
              </w:rPr>
              <w:t xml:space="preserve">Three recommendations failed the external jury vote because of how the statements were framed and were sent back to the working group leads for editing and clarification</w:t>
            </w:r>
          </w:p>
          <w:p>
            <w:pPr>
              <w:pStyle w:val="ListParagraph"/>
              <w:numPr>
                <w:ilvl w:val="0"/>
                <w:numId w:val="2"/>
              </w:numPr>
              <w:spacing w:after="45"/>
            </w:pPr>
            <w:r>
              <w:rPr>
                <w:sz w:val="15"/>
                <w:szCs w:val="15"/>
              </w:rPr>
              <w:t xml:space="preserve">Data on downstaging outcomes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ceiling for cirrhotic patients is graded moderate evidence, but the cirrhotic series it comes from studied single tumours of 2 cm or less and its only data above 2 cm is a six-patient post hoc subgroup; no study cited in the document derived 3 cm prospectively</w:t>
            </w:r>
          </w:p>
          <w:p>
            <w:pPr>
              <w:pStyle w:val="ListParagraph"/>
              <w:numPr>
                <w:ilvl w:val="0"/>
                <w:numId w:val="2"/>
              </w:numPr>
              <w:spacing w:after="45"/>
            </w:pPr>
            <w:r>
              <w:rPr>
                <w:sz w:val="15"/>
                <w:szCs w:val="15"/>
              </w:rPr>
              <w:t xml:space="preserve">The cirrhotic recommendation requires 'a period of observed radiographic stability' without naming a duration, while the non-cirrhotic recommendation specifies at least 6 months; the statement given the stronger grade is the one a centre cannot actually operationalise</w:t>
            </w:r>
          </w:p>
          <w:p>
            <w:pPr>
              <w:pStyle w:val="ListParagraph"/>
              <w:numPr>
                <w:ilvl w:val="0"/>
                <w:numId w:val="2"/>
              </w:numPr>
              <w:spacing w:after="45"/>
            </w:pPr>
            <w:r>
              <w:rPr>
                <w:sz w:val="15"/>
                <w:szCs w:val="15"/>
              </w:rPr>
              <w:t xml:space="preserve">The evidence base is summarised as 25% to 73% 5-year overall survival and 29% to 82% recurrence-free survival, a spread wide enough to include outcomes no better than non-surgical treatment, and that same spread is what supports a moderate-strength recommendation</w:t>
            </w:r>
          </w:p>
          <w:p>
            <w:pPr>
              <w:pStyle w:val="ListParagraph"/>
              <w:numPr>
                <w:ilvl w:val="0"/>
                <w:numId w:val="2"/>
              </w:numPr>
              <w:spacing w:after="45"/>
            </w:pPr>
            <w:r>
              <w:rPr>
                <w:sz w:val="15"/>
                <w:szCs w:val="15"/>
              </w:rPr>
              <w:t xml:space="preserve">An 80% Delphi threshold among 120 participants who chose to attend measures agreement among a self-selected group, not the strength of the underlying data, and the actual vote proportions for the individual iCCA statements are not reported, so a statement carried at 80% reads identically to one carried unanimously</w:t>
            </w:r>
          </w:p>
          <w:p>
            <w:pPr>
              <w:pStyle w:val="ListParagraph"/>
              <w:numPr>
                <w:ilvl w:val="0"/>
                <w:numId w:val="2"/>
              </w:numPr>
              <w:spacing w:after="45"/>
            </w:pPr>
            <w:r>
              <w:rPr>
                <w:sz w:val="15"/>
                <w:szCs w:val="15"/>
              </w:rPr>
              <w:t xml:space="preserve">Working Group F was 6 or 7 experts and its literature review is relegated to a supplemental table, with no search strategy, date range or inclusion criteria stated anywhere in the main document</w:t>
            </w:r>
          </w:p>
          <w:p>
            <w:pPr>
              <w:pStyle w:val="ListParagraph"/>
              <w:numPr>
                <w:ilvl w:val="0"/>
                <w:numId w:val="2"/>
              </w:numPr>
              <w:spacing w:after="45"/>
            </w:pPr>
            <w:r>
              <w:rPr>
                <w:sz w:val="15"/>
                <w:szCs w:val="15"/>
              </w:rPr>
              <w:t xml:space="preserve">Biopsy is made mandatory to confirm iCCA and exclude mixed hepatocellular-cholangiocarcinoma, yet the cirrhotic series that generated the size threshold diagnosed every tumour on the explant, so the selection rule and the diagnostic requirement cannot both be validated against the same data</w:t>
            </w:r>
          </w:p>
          <w:p>
            <w:pPr>
              <w:pStyle w:val="ListParagraph"/>
              <w:numPr>
                <w:ilvl w:val="0"/>
                <w:numId w:val="2"/>
              </w:numPr>
              <w:spacing w:after="45"/>
            </w:pPr>
            <w:r>
              <w:rPr>
                <w:sz w:val="15"/>
                <w:szCs w:val="15"/>
              </w:rPr>
              <w:t xml:space="preserve">Prior checkpoint inhibitor therapy is permitted with a washout of 2 to 3 half-lives, a specific number offered on low evidence with no iCCA transplant series cited that used it</w:t>
            </w:r>
          </w:p>
          <w:p>
            <w:pPr>
              <w:pStyle w:val="ListParagraph"/>
              <w:numPr>
                <w:ilvl w:val="0"/>
                <w:numId w:val="2"/>
              </w:numPr>
              <w:spacing w:after="45"/>
            </w:pPr>
            <w:r>
              <w:rPr>
                <w:sz w:val="15"/>
                <w:szCs w:val="15"/>
              </w:rPr>
              <w:t xml:space="preserve">The statement that LDLT indications for iCCA could cautiously align with DDLT is graded low evidence and moderate strength without any LDLT-for-iCCA series being quantified in the document</w:t>
            </w:r>
          </w:p>
          <w:p>
            <w:pPr>
              <w:pStyle w:val="ListParagraph"/>
              <w:numPr>
                <w:ilvl w:val="0"/>
                <w:numId w:val="2"/>
              </w:numPr>
              <w:spacing w:after="45"/>
            </w:pPr>
            <w:r>
              <w:rPr>
                <w:sz w:val="15"/>
                <w:szCs w:val="15"/>
              </w:rPr>
              <w:t xml:space="preserve">No recommendation is made on exception points or allocation priority, so the recommended pathway asks patients to accumulate a period of observed stability while earning no listing priority, and the expected waitlist dropout under that pathway is not estimated</w:t>
            </w:r>
          </w:p>
          <w:p>
            <w:pPr>
              <w:pStyle w:val="ListParagraph"/>
              <w:numPr>
                <w:ilvl w:val="0"/>
                <w:numId w:val="2"/>
              </w:numPr>
              <w:spacing w:after="45"/>
            </w:pPr>
            <w:r>
              <w:rPr>
                <w:sz w:val="15"/>
                <w:szCs w:val="15"/>
              </w:rPr>
              <w:t xml:space="preserve">Nearly every lead author declares a relationship with AstraZeneca or Roche while the document endorses gemcitabine-based neoadjuvant bridging and permits prior immunotherapy; one co-author reports grants from more than twenty manufacturers, and the conference itself carries no funding statement</w:t>
            </w:r>
          </w:p>
          <w:p>
            <w:pPr>
              <w:pStyle w:val="ListParagraph"/>
              <w:numPr>
                <w:ilvl w:val="0"/>
                <w:numId w:val="2"/>
              </w:numPr>
              <w:spacing w:after="45"/>
            </w:pPr>
            <w:r>
              <w:rPr>
                <w:sz w:val="15"/>
                <w:szCs w:val="15"/>
              </w:rPr>
              <w:t xml:space="preserve">Many statements defer explicitly to centre-specific protocols, which leaves the international practice variation the conference was convened to reduce substantially intact</w:t>
            </w:r>
          </w:p>
          <w:p>
            <w:pPr>
              <w:pStyle w:val="ListParagraph"/>
              <w:numPr>
                <w:ilvl w:val="0"/>
                <w:numId w:val="2"/>
              </w:numPr>
              <w:spacing w:after="45"/>
            </w:pPr>
            <w:r>
              <w:rPr>
                <w:sz w:val="15"/>
                <w:szCs w:val="15"/>
              </w:rPr>
              <w:t xml:space="preserve">No linked editorial or comment was found in PubMed, so no independent published appraisal of these recommendations is available; this was checked in the citation record rather than read</w:t>
            </w:r>
          </w:p>
        </w:tc>
      </w:tr>
    </w:tbl>
    <w:p>
      <w:pPr>
        <w:spacing w:after="0" w:line="276"/>
      </w:pPr>
      <w:r>
        <w:rPr>
          <w:color w:val="5A6069"/>
          <w:sz w:val="14"/>
          <w:szCs w:val="14"/>
        </w:rPr>
        <w:t xml:space="preserve">Funding: No conference funding statement; conflicts of interest are declared individually and are extensive, including Kodali advising AstraZeneca, Sirtex and Genentech and on the Gilead speakers' bureau, Sapisochin consulting for and receiving grants from AstraZeneca and Roche/Genentech with stock in seven companies, and the patient-advocacy co-author receiving grants from more than twenty manufacturers; the remaining authors report no conflicts</w:t>
      </w:r>
    </w:p>
    <w:p>
      <w:pPr>
        <w:keepNext/>
        <w:spacing w:after="50" w:before="260"/>
      </w:pPr>
      <w:r>
        <w:rPr>
          <w:rFonts w:ascii="Cambria" w:cs="Cambria" w:eastAsia="Cambria" w:hAnsi="Cambria"/>
          <w:b/>
          <w:bCs/>
          <w:color w:val="17365D"/>
          <w:sz w:val="20"/>
          <w:szCs w:val="20"/>
        </w:rPr>
        <w:t xml:space="preserve">ILTS-ILCA 2024 consensus</w:t>
      </w:r>
      <w:r>
        <w:rPr>
          <w:b/>
          <w:bCs/>
          <w:color w:val="176A87"/>
          <w:sz w:val="15"/>
          <w:szCs w:val="15"/>
        </w:rPr>
        <w:t xml:space="preserve">   Consensus statement</w:t>
      </w:r>
      <w:r>
        <w:rPr>
          <w:color w:val="5A6069"/>
          <w:sz w:val="15"/>
          <w:szCs w:val="15"/>
        </w:rPr>
        <w:t xml:space="preserve">   PMID 42312290</w:t>
      </w:r>
    </w:p>
    <w:p>
      <w:pPr>
        <w:spacing w:after="50" w:line="276"/>
      </w:pPr>
      <w:r>
        <w:rPr>
          <w:color w:val="5A6069"/>
          <w:sz w:val="17"/>
          <w:szCs w:val="17"/>
        </w:rPr>
        <w:t xml:space="preserve">The 2024 International Liver Transplant Society and International Liver Cancer Association Consensus Recommendations for Liver Transplantation for Liver Cancer</w:t>
      </w:r>
    </w:p>
    <w:p>
      <w:pPr>
        <w:spacing w:after="50"/>
      </w:pPr>
      <w:r>
        <w:rPr>
          <w:b/>
          <w:bCs/>
          <w:color w:val="176A87"/>
          <w:sz w:val="16"/>
          <w:szCs w:val="16"/>
        </w:rPr>
        <w:t xml:space="preserve">Population. </w:t>
      </w:r>
      <w:r>
        <w:rPr>
          <w:sz w:val="16"/>
          <w:szCs w:val="16"/>
        </w:rPr>
        <w:t xml:space="preserve">120 participants at the Valencia consensus conference, seven working groups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The journal-of-record version of the 2024 ILTS-ILCA consensus, which fixes the currently quoted positions: cirrhotic iCCA of 3 cm or less after observed stability may be transplanted, non-cirrhotic or locally advanced disease only in protocols. It is a record of expert agreement rather than new evidence, with every iCCA statement graded low or moderate and drawn from single-centre retrospective series. It is also the second publication of the same 54 recommendations, so it should not be counted as independent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in patients without cirrhosis, was controversial and no agreement was reached for that population</w:t>
            </w:r>
          </w:p>
          <w:p>
            <w:pPr>
              <w:pStyle w:val="ListParagraph"/>
              <w:numPr>
                <w:ilvl w:val="0"/>
                <w:numId w:val="2"/>
              </w:numPr>
              <w:spacing w:after="45"/>
            </w:pPr>
            <w:r>
              <w:rPr>
                <w:sz w:val="15"/>
                <w:szCs w:val="15"/>
              </w:rPr>
              <w:t xml:space="preserve">Limits on tumour size and number should be explored in prospective clinical trials rather than set here</w:t>
            </w:r>
          </w:p>
          <w:p>
            <w:pPr>
              <w:pStyle w:val="ListParagraph"/>
              <w:numPr>
                <w:ilvl w:val="0"/>
                <w:numId w:val="2"/>
              </w:numPr>
              <w:spacing w:after="45"/>
            </w:pPr>
            <w:r>
              <w:rPr>
                <w:sz w:val="15"/>
                <w:szCs w:val="15"/>
              </w:rPr>
              <w:t xml:space="preserve">There is no evidence for molecular profiling in transplant selection and circulating tumour DNA is not recommended outside trials</w:t>
            </w:r>
          </w:p>
          <w:p>
            <w:pPr>
              <w:pStyle w:val="ListParagraph"/>
              <w:numPr>
                <w:ilvl w:val="0"/>
                <w:numId w:val="2"/>
              </w:numPr>
              <w:spacing w:after="45"/>
            </w:pPr>
            <w:r>
              <w:rPr>
                <w:sz w:val="15"/>
                <w:szCs w:val="15"/>
              </w:rPr>
              <w:t xml:space="preserve">Three recommendations failed the external jury vote on the framing of the statements and were returned to the working group leads for editing</w:t>
            </w:r>
          </w:p>
          <w:p>
            <w:pPr>
              <w:pStyle w:val="ListParagraph"/>
              <w:numPr>
                <w:ilvl w:val="0"/>
                <w:numId w:val="2"/>
              </w:numPr>
              <w:spacing w:after="45"/>
            </w:pPr>
            <w:r>
              <w:rPr>
                <w:sz w:val="15"/>
                <w:szCs w:val="15"/>
              </w:rPr>
              <w:t xml:space="preserve">Downstaging data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same February 2024 Valencia conference and the same 54 recommendations already published in Liver Transplantation in 2025; a reader counting guideline support for the 3 cm threshold can easily count it twice, and the duplicate publication is not flagged in the text</w:t>
            </w:r>
          </w:p>
          <w:p>
            <w:pPr>
              <w:pStyle w:val="ListParagraph"/>
              <w:numPr>
                <w:ilvl w:val="0"/>
                <w:numId w:val="2"/>
              </w:numPr>
              <w:spacing w:after="45"/>
            </w:pPr>
            <w:r>
              <w:rPr>
                <w:sz w:val="15"/>
                <w:szCs w:val="15"/>
              </w:rPr>
              <w:t xml:space="preserve">The 3 cm cirrhotic threshold is graded moderate evidence although the series behind it enrolled single tumours of 2 cm or less diagnosed on explant, with only a six-patient post hoc subgroup above 2 cm; the document calls agreement on it broad without reporting the vote</w:t>
            </w:r>
          </w:p>
          <w:p>
            <w:pPr>
              <w:pStyle w:val="ListParagraph"/>
              <w:numPr>
                <w:ilvl w:val="0"/>
                <w:numId w:val="2"/>
              </w:numPr>
              <w:spacing w:after="45"/>
            </w:pPr>
            <w:r>
              <w:rPr>
                <w:sz w:val="15"/>
                <w:szCs w:val="15"/>
              </w:rPr>
              <w:t xml:space="preserve">The cirrhotic statement asks for 'a period of observation showing stability' and names no duration, while the non-cirrhotic statement specifies at least 6 months, so the more strongly graded recommendation is the less actionable one</w:t>
            </w:r>
          </w:p>
          <w:p>
            <w:pPr>
              <w:pStyle w:val="ListParagraph"/>
              <w:numPr>
                <w:ilvl w:val="0"/>
                <w:numId w:val="2"/>
              </w:numPr>
              <w:spacing w:after="45"/>
            </w:pPr>
            <w:r>
              <w:rPr>
                <w:sz w:val="15"/>
                <w:szCs w:val="15"/>
              </w:rPr>
              <w:t xml:space="preserve">A 25-73% range for 5-year overall survival and 29-82% for recurrence-free survival is treated as adequate support for a selection rule; a range that wide cannot distinguish transplantation from the alternatives it is meant to displace</w:t>
            </w:r>
          </w:p>
          <w:p>
            <w:pPr>
              <w:pStyle w:val="ListParagraph"/>
              <w:numPr>
                <w:ilvl w:val="0"/>
                <w:numId w:val="2"/>
              </w:numPr>
              <w:spacing w:after="45"/>
            </w:pPr>
            <w:r>
              <w:rPr>
                <w:sz w:val="15"/>
                <w:szCs w:val="15"/>
              </w:rPr>
              <w:t xml:space="preserve">The 80% Delphi agreement threshold is reported, but not the achieved agreement for any individual iCCA statement, so the reader cannot tell which recommendations were near-unanimous and which barely passed</w:t>
            </w:r>
          </w:p>
          <w:p>
            <w:pPr>
              <w:pStyle w:val="ListParagraph"/>
              <w:numPr>
                <w:ilvl w:val="0"/>
                <w:numId w:val="2"/>
              </w:numPr>
              <w:spacing w:after="45"/>
            </w:pPr>
            <w:r>
              <w:rPr>
                <w:sz w:val="15"/>
                <w:szCs w:val="15"/>
              </w:rPr>
              <w:t xml:space="preserve">Working group F's literature review sits in online supplementary material with no search strategy, dates or inclusion criteria given in the paper, so the evidence selection behind each statement is not inspectable</w:t>
            </w:r>
          </w:p>
          <w:p>
            <w:pPr>
              <w:pStyle w:val="ListParagraph"/>
              <w:numPr>
                <w:ilvl w:val="0"/>
                <w:numId w:val="2"/>
              </w:numPr>
              <w:spacing w:after="45"/>
            </w:pPr>
            <w:r>
              <w:rPr>
                <w:sz w:val="15"/>
                <w:szCs w:val="15"/>
              </w:rPr>
              <w:t xml:space="preserve">Mandatory biopsy to exclude combined hepatocellular-cholangiocarcinoma is recommended on low evidence, while the cirrhotic data supporting the size threshold came entirely from explant diagnoses in patients who were never biopsied</w:t>
            </w:r>
          </w:p>
          <w:p>
            <w:pPr>
              <w:pStyle w:val="ListParagraph"/>
              <w:numPr>
                <w:ilvl w:val="0"/>
                <w:numId w:val="2"/>
              </w:numPr>
              <w:spacing w:after="45"/>
            </w:pPr>
            <w:r>
              <w:rPr>
                <w:sz w:val="15"/>
                <w:szCs w:val="15"/>
              </w:rPr>
              <w:t xml:space="preserve">Prior checkpoint inhibitor therapy is permitted after an adequate washout with no iCCA-specific rejection or graft-loss data cited, and the recommendation to refer such patients is graded low evidence and weak strength yet written as an action</w:t>
            </w:r>
          </w:p>
          <w:p>
            <w:pPr>
              <w:pStyle w:val="ListParagraph"/>
              <w:numPr>
                <w:ilvl w:val="0"/>
                <w:numId w:val="2"/>
              </w:numPr>
              <w:spacing w:after="45"/>
            </w:pPr>
            <w:r>
              <w:rPr>
                <w:sz w:val="15"/>
                <w:szCs w:val="15"/>
              </w:rPr>
              <w:t xml:space="preserve">No recommendation addresses listing priority, exception points or acceptable waitlist dropout, while the document itself notes iCCA is granted no listing priority, so a pathway requiring observed stability has no allocation mechanism behind it</w:t>
            </w:r>
          </w:p>
          <w:p>
            <w:pPr>
              <w:pStyle w:val="ListParagraph"/>
              <w:numPr>
                <w:ilvl w:val="0"/>
                <w:numId w:val="2"/>
              </w:numPr>
              <w:spacing w:after="45"/>
            </w:pPr>
            <w:r>
              <w:rPr>
                <w:sz w:val="15"/>
                <w:szCs w:val="15"/>
              </w:rPr>
              <w:t xml:space="preserve">The claim that tumour markers with cross-sectional imaging identify recurrent iCCA accurately is stated without the sensitivity, specificity or cohort it comes from, and CA19-9 and CEA are nonetheless offered for post-transplant monitoring on low evidence</w:t>
            </w:r>
          </w:p>
          <w:p>
            <w:pPr>
              <w:pStyle w:val="ListParagraph"/>
              <w:numPr>
                <w:ilvl w:val="0"/>
                <w:numId w:val="2"/>
              </w:numPr>
              <w:spacing w:after="45"/>
            </w:pPr>
            <w:r>
              <w:rPr>
                <w:sz w:val="15"/>
                <w:szCs w:val="15"/>
              </w:rPr>
              <w:t xml:space="preserve">Almost every lead author declares AstraZeneca and Roche or Genentech relationships, and the senior transplant author declares consulting, speaking, research collaboration and equity across a dozen companies, while the document endorses neoadjuvant systemic therapy as the gateway to transplantation</w:t>
            </w:r>
          </w:p>
          <w:p>
            <w:pPr>
              <w:pStyle w:val="ListParagraph"/>
              <w:numPr>
                <w:ilvl w:val="0"/>
                <w:numId w:val="2"/>
              </w:numPr>
              <w:spacing w:after="45"/>
            </w:pPr>
            <w:r>
              <w:rPr>
                <w:sz w:val="15"/>
                <w:szCs w:val="15"/>
              </w:rPr>
              <w:t xml:space="preserve">Recommendations defer repeatedly to centre-level protocols, preserving the practice variation the conference was convened to reduce</w:t>
            </w:r>
          </w:p>
          <w:p>
            <w:pPr>
              <w:pStyle w:val="ListParagraph"/>
              <w:numPr>
                <w:ilvl w:val="0"/>
                <w:numId w:val="2"/>
              </w:numPr>
              <w:spacing w:after="45"/>
            </w:pPr>
            <w:r>
              <w:rPr>
                <w:sz w:val="15"/>
                <w:szCs w:val="15"/>
              </w:rPr>
              <w:t xml:space="preserve">No linked editorial or comment was found in PubMed for this version, published online 25 April 2026; this was established from the citation record, not read</w:t>
            </w:r>
          </w:p>
        </w:tc>
      </w:tr>
    </w:tbl>
    <w:p>
      <w:pPr>
        <w:spacing w:after="0" w:line="276"/>
      </w:pPr>
      <w:r>
        <w:rPr>
          <w:color w:val="5A6069"/>
          <w:sz w:val="14"/>
          <w:szCs w:val="14"/>
        </w:rPr>
        <w:t xml:space="preserve">Funding: Individually declared funding and interests, including institutional research funding from MSD, BMS, GSK and Eisai, part funding from NIHR biomedical research centres, Cancer Treatment and Research Trust support, and grants from MSD, Boston Scientific and Bayer; almost all lead authors declare consulting or speaker relationships with AstraZeneca and Roche or Genentech, and Sapisochin additionally declares research collaborations with AstraZeneca, Natera, Roche and Stryker</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Kiefer TACE 2-centre</w:t>
      </w:r>
      <w:r>
        <w:rPr>
          <w:b/>
          <w:bCs/>
          <w:color w:val="176A87"/>
          <w:sz w:val="15"/>
          <w:szCs w:val="15"/>
        </w:rPr>
        <w:t xml:space="preserve">   cohort</w:t>
      </w:r>
      <w:r>
        <w:rPr>
          <w:color w:val="5A6069"/>
          <w:sz w:val="15"/>
          <w:szCs w:val="15"/>
        </w:rPr>
        <w:t xml:space="preserve">   PMID 21425151</w:t>
      </w:r>
    </w:p>
    <w:p>
      <w:pPr>
        <w:spacing w:after="50" w:line="276"/>
      </w:pPr>
      <w:r>
        <w:rPr>
          <w:color w:val="5A6069"/>
          <w:sz w:val="17"/>
          <w:szCs w:val="17"/>
        </w:rPr>
        <w:t xml:space="preserve">Chemoembolization of intrahepatic cholangiocarcinoma with cisplatinum, doxorubicin, mitomycin C, ethiodol, and polyvinyl alcohol: a 2-center study</w:t>
      </w:r>
    </w:p>
    <w:p>
      <w:pPr>
        <w:spacing w:after="50"/>
      </w:pPr>
      <w:r>
        <w:rPr>
          <w:b/>
          <w:bCs/>
          <w:color w:val="176A87"/>
          <w:sz w:val="16"/>
          <w:szCs w:val="16"/>
        </w:rPr>
        <w:t xml:space="preserve">Population. </w:t>
      </w:r>
      <w:r>
        <w:rPr>
          <w:sz w:val="16"/>
          <w:szCs w:val="16"/>
        </w:rPr>
        <w:t xml:space="preserve">62 patients with unresectable intrahepatic cholangiocarcinoma treated with an identical conventional chemoembolisation protocol at two US centres, 40 at the University of Pennsylvania and 22 at the Medical College of Wisconsin, across 165 procedures; 37 had biopsy-proven cholangiocarcinoma and 25 had intrahepatic adenocarcinoma of unknown primary of pancreaticobiliary type, with a median dominant mass of 7.8 cm</w:t>
      </w:r>
    </w:p>
    <w:p>
      <w:pPr>
        <w:spacing w:after="70"/>
      </w:pPr>
      <w:r>
        <w:rPr>
          <w:b/>
          <w:bCs/>
          <w:color w:val="17365D"/>
          <w:sz w:val="16"/>
          <w:szCs w:val="16"/>
        </w:rPr>
        <w:t xml:space="preserve">Bottom line. </w:t>
      </w:r>
      <w:r>
        <w:rPr>
          <w:sz w:val="16"/>
          <w:szCs w:val="16"/>
        </w:rPr>
        <w:t xml:space="preserve">This two-centre series is the reference safety dataset for conventional chemoembolisation in iCCA: major complications after 5 of 165 procedures, no 30-day disease-specific mortality, a one-day median stay and stable performance status in 82%, with 20 months median survival from diagnosis. It cannot establish efficacy, having no control arm, 40% of patients with adenocarcinoma of unknown primary, 27% without evaluable imaging and a treatment course individualised with surgery, ablation and radiation. Time to progression was 8 months, and the regimen itself predates every current alternative.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size is small because intrahepatic cholangiocarcinoma is less common than the cancers for which chemoembolisation has a more established role</w:t>
            </w:r>
          </w:p>
          <w:p>
            <w:pPr>
              <w:pStyle w:val="ListParagraph"/>
              <w:numPr>
                <w:ilvl w:val="0"/>
                <w:numId w:val="2"/>
              </w:numPr>
              <w:spacing w:after="45"/>
            </w:pPr>
            <w:r>
              <w:rPr>
                <w:sz w:val="15"/>
                <w:szCs w:val="15"/>
              </w:rPr>
              <w:t xml:space="preserve">There may have been biases in referral for treatment, so the results may not represent all patients with unresectable intrahepatic cholangiocarcinoma</w:t>
            </w:r>
          </w:p>
          <w:p>
            <w:pPr>
              <w:pStyle w:val="ListParagraph"/>
              <w:numPr>
                <w:ilvl w:val="0"/>
                <w:numId w:val="2"/>
              </w:numPr>
              <w:spacing w:after="45"/>
            </w:pPr>
            <w:r>
              <w:rPr>
                <w:sz w:val="15"/>
                <w:szCs w:val="15"/>
              </w:rPr>
              <w:t xml:space="preserve">Treatment was customised to each patient, with varying sequences of surgery, ablation, systemic and radiation therapy</w:t>
            </w:r>
          </w:p>
          <w:p>
            <w:pPr>
              <w:pStyle w:val="ListParagraph"/>
              <w:numPr>
                <w:ilvl w:val="0"/>
                <w:numId w:val="2"/>
              </w:numPr>
              <w:spacing w:after="45"/>
            </w:pPr>
            <w:r>
              <w:rPr>
                <w:sz w:val="15"/>
                <w:szCs w:val="15"/>
              </w:rPr>
              <w:t xml:space="preserve">The authors concede that comparison with published systemic therapy series is not possible because those series mixed in Klatskin, ampullary and gallbladder tumours with different prognosis</w:t>
            </w:r>
          </w:p>
          <w:p>
            <w:pPr>
              <w:pStyle w:val="ListParagraph"/>
              <w:numPr>
                <w:ilvl w:val="0"/>
                <w:numId w:val="2"/>
              </w:numPr>
              <w:spacing w:after="45"/>
            </w:pPr>
            <w:r>
              <w:rPr>
                <w:sz w:val="15"/>
                <w:szCs w:val="15"/>
              </w:rPr>
              <w:t xml:space="preserve">They accept that RECIST diameter criteria understate response because chemoembolisation produces necrosis without shrinkage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40% of the cohort, 25 of 62, had adenocarcinoma of unknown primary rather than proven cholangiocarcinoma, and these patients are kept in the survival analysis on the strength of a non-significant comparison, P = .88, in a sample with no power to show a difference</w:t>
            </w:r>
          </w:p>
          <w:p>
            <w:pPr>
              <w:pStyle w:val="ListParagraph"/>
              <w:numPr>
                <w:ilvl w:val="0"/>
                <w:numId w:val="2"/>
              </w:numPr>
              <w:spacing w:after="45"/>
            </w:pPr>
            <w:r>
              <w:rPr>
                <w:sz w:val="15"/>
                <w:szCs w:val="15"/>
              </w:rPr>
              <w:t xml:space="preserve">17 of 62 patients (27%) had no evaluable imaging follow-up, so the 76% local disease control figure is computed on 45 patients and the missing 17 are the ones most likely to have progressed or died early</w:t>
            </w:r>
          </w:p>
          <w:p>
            <w:pPr>
              <w:pStyle w:val="ListParagraph"/>
              <w:numPr>
                <w:ilvl w:val="0"/>
                <w:numId w:val="2"/>
              </w:numPr>
              <w:spacing w:after="45"/>
            </w:pPr>
            <w:r>
              <w:rPr>
                <w:sz w:val="15"/>
                <w:szCs w:val="15"/>
              </w:rPr>
              <w:t xml:space="preserve">Survival is reported from two different origins, 20 months from diagnosis and 15 months from first chemoembolisation, and the more favourable figure is the one that enters the literature; the gap between them is the lead time before referral</w:t>
            </w:r>
          </w:p>
          <w:p>
            <w:pPr>
              <w:pStyle w:val="ListParagraph"/>
              <w:numPr>
                <w:ilvl w:val="0"/>
                <w:numId w:val="2"/>
              </w:numPr>
              <w:spacing w:after="45"/>
            </w:pPr>
            <w:r>
              <w:rPr>
                <w:sz w:val="15"/>
                <w:szCs w:val="15"/>
              </w:rPr>
              <w:t xml:space="preserve">The 28-month against 16-month survival advantage in patients who also received systemic chemotherapy, HR 1.94 (1.13-3.33), P = .02, is a comparison of 18 fitter patients chosen by their own oncologists against 44 others, and it is reported as a treatment finding</w:t>
            </w:r>
          </w:p>
          <w:p>
            <w:pPr>
              <w:pStyle w:val="ListParagraph"/>
              <w:numPr>
                <w:ilvl w:val="0"/>
                <w:numId w:val="2"/>
              </w:numPr>
              <w:spacing w:after="45"/>
            </w:pPr>
            <w:r>
              <w:rPr>
                <w:sz w:val="15"/>
                <w:szCs w:val="15"/>
              </w:rPr>
              <w:t xml:space="preserve">Local disease control of 76% is 64% stable disease and only 11% partial response, so the headline control figure is mostly absence of measured growth over a short interval</w:t>
            </w:r>
          </w:p>
          <w:p>
            <w:pPr>
              <w:pStyle w:val="ListParagraph"/>
              <w:numPr>
                <w:ilvl w:val="0"/>
                <w:numId w:val="2"/>
              </w:numPr>
              <w:spacing w:after="45"/>
            </w:pPr>
            <w:r>
              <w:rPr>
                <w:sz w:val="15"/>
                <w:szCs w:val="15"/>
              </w:rPr>
              <w:t xml:space="preserve">Median time to progression anywhere was 8 months with 28% progression-free at 12 months, which is the number that bounds the treatment and is not in the paper's conclusion</w:t>
            </w:r>
          </w:p>
          <w:p>
            <w:pPr>
              <w:pStyle w:val="ListParagraph"/>
              <w:numPr>
                <w:ilvl w:val="0"/>
                <w:numId w:val="2"/>
              </w:numPr>
              <w:spacing w:after="45"/>
            </w:pPr>
            <w:r>
              <w:rPr>
                <w:sz w:val="15"/>
                <w:szCs w:val="15"/>
              </w:rPr>
              <w:t xml:space="preserve">Extrahepatic disease at the time of chemoembolisation was not excluded and is reported as non-prognostic at P = .12 in a sample where that interval, 0.35 to 1.20, easily contains a large effect</w:t>
            </w:r>
          </w:p>
          <w:p>
            <w:pPr>
              <w:pStyle w:val="ListParagraph"/>
              <w:numPr>
                <w:ilvl w:val="0"/>
                <w:numId w:val="2"/>
              </w:numPr>
              <w:spacing w:after="45"/>
            </w:pPr>
            <w:r>
              <w:rPr>
                <w:sz w:val="15"/>
                <w:szCs w:val="15"/>
              </w:rPr>
              <w:t xml:space="preserve">11% had a prior hepatectomy and others had ablation or radiation, so the cohort mixes first-line and salvage treatment with no separate analysis</w:t>
            </w:r>
          </w:p>
          <w:p>
            <w:pPr>
              <w:pStyle w:val="ListParagraph"/>
              <w:numPr>
                <w:ilvl w:val="0"/>
                <w:numId w:val="2"/>
              </w:numPr>
              <w:spacing w:after="45"/>
            </w:pPr>
            <w:r>
              <w:rPr>
                <w:sz w:val="15"/>
                <w:szCs w:val="15"/>
              </w:rPr>
              <w:t xml:space="preserve">The two centres contributed 40 and 22 patients with no centre-level comparison of response or survival reported, although an identical protocol is the paper's stated basis for pooling them</w:t>
            </w:r>
          </w:p>
          <w:p>
            <w:pPr>
              <w:pStyle w:val="ListParagraph"/>
              <w:numPr>
                <w:ilvl w:val="0"/>
                <w:numId w:val="2"/>
              </w:numPr>
              <w:spacing w:after="45"/>
            </w:pPr>
            <w:r>
              <w:rPr>
                <w:sz w:val="15"/>
                <w:szCs w:val="15"/>
              </w:rPr>
              <w:t xml:space="preserve">The regimen is historical: an ethiodol and polyvinyl alcohol emulsion of cisplatin, doxorubicin and mitomycin predates drug-eluting beads, yttrium-90 radioembolisation and gemcitabine-cisplatin as first-line standard, and the cohort was treated before FGFR2 or IDH1 testing existed</w:t>
            </w:r>
          </w:p>
          <w:p>
            <w:pPr>
              <w:pStyle w:val="ListParagraph"/>
              <w:numPr>
                <w:ilvl w:val="0"/>
                <w:numId w:val="2"/>
              </w:numPr>
              <w:spacing w:after="45"/>
            </w:pPr>
            <w:r>
              <w:rPr>
                <w:sz w:val="15"/>
                <w:szCs w:val="15"/>
              </w:rPr>
              <w:t xml:space="preserve">The in-text reference numbering for the RECIST and ECOG citations is transposed in the published PDF, so the stated response and performance criteria cannot be traced to their sources from the text as printed</w:t>
            </w:r>
          </w:p>
          <w:p>
            <w:pPr>
              <w:pStyle w:val="ListParagraph"/>
              <w:numPr>
                <w:ilvl w:val="0"/>
                <w:numId w:val="2"/>
              </w:numPr>
              <w:spacing w:after="45"/>
            </w:pPr>
            <w:r>
              <w:rPr>
                <w:sz w:val="15"/>
                <w:szCs w:val="15"/>
              </w:rPr>
              <w:t xml:space="preserve">No linked editorial or comment was found in PubMed, so no independent published appraisal accompanies the series</w:t>
            </w:r>
          </w:p>
        </w:tc>
      </w:tr>
    </w:tbl>
    <w:p>
      <w:pPr>
        <w:spacing w:after="0" w:line="276"/>
      </w:pPr>
      <w:r>
        <w:rPr>
          <w:color w:val="5A6069"/>
          <w:sz w:val="14"/>
          <w:szCs w:val="14"/>
        </w:rPr>
        <w:t xml:space="preserve">Funding: No funding statement; the authors made no disclosures</w:t>
      </w:r>
    </w:p>
    <w:p>
      <w:pPr>
        <w:keepNext/>
        <w:spacing w:after="50" w:before="260"/>
      </w:pPr>
      <w:r>
        <w:rPr>
          <w:rFonts w:ascii="Cambria" w:cs="Cambria" w:eastAsia="Cambria" w:hAnsi="Cambria"/>
          <w:b/>
          <w:bCs/>
          <w:color w:val="17365D"/>
          <w:sz w:val="20"/>
          <w:szCs w:val="20"/>
        </w:rPr>
        <w:t xml:space="preserve">Konstantinidis HAI cohort</w:t>
      </w:r>
      <w:r>
        <w:rPr>
          <w:b/>
          <w:bCs/>
          <w:color w:val="176A87"/>
          <w:sz w:val="15"/>
          <w:szCs w:val="15"/>
        </w:rPr>
        <w:t xml:space="preserve">   cohort</w:t>
      </w:r>
      <w:r>
        <w:rPr>
          <w:color w:val="5A6069"/>
          <w:sz w:val="15"/>
          <w:szCs w:val="15"/>
        </w:rPr>
        <w:t xml:space="preserve">   PMID 26695839</w:t>
      </w:r>
    </w:p>
    <w:p>
      <w:pPr>
        <w:spacing w:after="50" w:line="276"/>
      </w:pPr>
      <w:r>
        <w:rPr>
          <w:color w:val="5A6069"/>
          <w:sz w:val="17"/>
          <w:szCs w:val="17"/>
        </w:rPr>
        <w:t xml:space="preserve">Unresectable intrahepatic cholangiocarcinoma: Systemic plus hepatic arterial infusion chemotherapy is associated with longer survival in comparison with systemic chemotherapy alone</w:t>
      </w:r>
    </w:p>
    <w:p>
      <w:pPr>
        <w:spacing w:after="50"/>
      </w:pPr>
      <w:r>
        <w:rPr>
          <w:b/>
          <w:bCs/>
          <w:color w:val="176A87"/>
          <w:sz w:val="16"/>
          <w:szCs w:val="16"/>
        </w:rPr>
        <w:t xml:space="preserve">Population. </w:t>
      </w:r>
      <w:r>
        <w:rPr>
          <w:sz w:val="16"/>
          <w:szCs w:val="16"/>
        </w:rPr>
        <w:t xml:space="preserve">236 patients with unresectable intrahepatic cholangiocarcinoma and complete data, drawn from 525 biopsy-confirmed cases evaluated at Memorial Sloan Kettering between January 2000 and August 2012; the analysis focuses on the 167 without distant metastases, of whom 104 had liver-confined disease, comparing 93 who had hepatic arterial infusion plus systemic chemotherapy with 74 who had systemic chemotherapy alone</w:t>
      </w:r>
    </w:p>
    <w:p>
      <w:pPr>
        <w:spacing w:after="70"/>
      </w:pPr>
      <w:r>
        <w:rPr>
          <w:b/>
          <w:bCs/>
          <w:color w:val="17365D"/>
          <w:sz w:val="16"/>
          <w:szCs w:val="16"/>
        </w:rPr>
        <w:t xml:space="preserve">Bottom line. </w:t>
      </w:r>
      <w:r>
        <w:rPr>
          <w:sz w:val="16"/>
          <w:szCs w:val="16"/>
        </w:rPr>
        <w:t xml:space="preserve">In 167 patients with unresectable iCCA without distant metastases, adding hepatic arterial infusion floxuridine to systemic chemotherapy was associated with median survival of 30.8 against 18.4 months in liver-confined disease, the largest such series available and the basis for referring these patients to pump centres. It cannot show the pump caused that difference: assignment was by oncologist preference, all infusion patients were surgically staged against 42% of controls, 44 of 93 came from trials, and neither response nor progression-free survival differed significantly. Conversion to resection happened in 3%, with two perioperative deaths among eight.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retrospective and single-institution, the former with obvious implications for selection bias and the latter precluding generalisability pending a multicentre study</w:t>
            </w:r>
          </w:p>
          <w:p>
            <w:pPr>
              <w:pStyle w:val="ListParagraph"/>
              <w:numPr>
                <w:ilvl w:val="0"/>
                <w:numId w:val="2"/>
              </w:numPr>
              <w:spacing w:after="45"/>
            </w:pPr>
            <w:r>
              <w:rPr>
                <w:sz w:val="15"/>
                <w:szCs w:val="15"/>
              </w:rPr>
              <w:t xml:space="preserve">A significant proportion of the hepatic arterial infusion patients, 44 of 93, came from two clinical trials, which the authors say somewhat limits generalisability</w:t>
            </w:r>
          </w:p>
          <w:p>
            <w:pPr>
              <w:pStyle w:val="ListParagraph"/>
              <w:numPr>
                <w:ilvl w:val="0"/>
                <w:numId w:val="2"/>
              </w:numPr>
              <w:spacing w:after="45"/>
            </w:pPr>
            <w:r>
              <w:rPr>
                <w:sz w:val="15"/>
                <w:szCs w:val="15"/>
              </w:rPr>
              <w:t xml:space="preserve">The heterogeneity of systemic regimens, inherent to studies outside controlled trials, is a limitation that must be considered when interpreting the results</w:t>
            </w:r>
          </w:p>
          <w:p>
            <w:pPr>
              <w:pStyle w:val="ListParagraph"/>
              <w:numPr>
                <w:ilvl w:val="0"/>
                <w:numId w:val="2"/>
              </w:numPr>
              <w:spacing w:after="45"/>
            </w:pPr>
            <w:r>
              <w:rPr>
                <w:sz w:val="15"/>
                <w:szCs w:val="15"/>
              </w:rPr>
              <w:t xml:space="preserve">Potential differences in staging may have existed between the groups because not all patients were staged surgically, mitigated only by serial scanning of equivocal radiological findings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Treatment assignment was made by the treating medical oncologist with no matching, no propensity adjustment and no multivariable survival model reported for the main comparison, so a 12.4-month median survival difference is attributed to the pump on the strength of a log-rank P value alone</w:t>
            </w:r>
          </w:p>
          <w:p>
            <w:pPr>
              <w:pStyle w:val="ListParagraph"/>
              <w:numPr>
                <w:ilvl w:val="0"/>
                <w:numId w:val="2"/>
              </w:numPr>
              <w:spacing w:after="45"/>
            </w:pPr>
            <w:r>
              <w:rPr>
                <w:sz w:val="15"/>
                <w:szCs w:val="15"/>
              </w:rPr>
              <w:t xml:space="preserve">All hepatic arterial infusion patients were surgically explored and staged at operation whereas only 42% of the systemic-alone group were, so the groups were staged by different methods and stage migration alone could produce the observed difference</w:t>
            </w:r>
          </w:p>
          <w:p>
            <w:pPr>
              <w:pStyle w:val="ListParagraph"/>
              <w:numPr>
                <w:ilvl w:val="0"/>
                <w:numId w:val="2"/>
              </w:numPr>
              <w:spacing w:after="45"/>
            </w:pPr>
            <w:r>
              <w:rPr>
                <w:sz w:val="15"/>
                <w:szCs w:val="15"/>
              </w:rPr>
              <w:t xml:space="preserve">The control group for the liver-confined comparison is 26 patients, of whom only about 30% received gemcitabine-cisplatin, so the comparator is a mixture of regimens including several no longer used</w:t>
            </w:r>
          </w:p>
          <w:p>
            <w:pPr>
              <w:pStyle w:val="ListParagraph"/>
              <w:numPr>
                <w:ilvl w:val="0"/>
                <w:numId w:val="2"/>
              </w:numPr>
              <w:spacing w:after="45"/>
            </w:pPr>
            <w:r>
              <w:rPr>
                <w:sz w:val="15"/>
                <w:szCs w:val="15"/>
              </w:rPr>
              <w:t xml:space="preserve">The most favourable comparison, 30.8 against 15 months, is made against 9 patients who received a modern doublet, a denominator too small to support the number it generates</w:t>
            </w:r>
          </w:p>
          <w:p>
            <w:pPr>
              <w:pStyle w:val="ListParagraph"/>
              <w:numPr>
                <w:ilvl w:val="0"/>
                <w:numId w:val="2"/>
              </w:numPr>
              <w:spacing w:after="45"/>
            </w:pPr>
            <w:r>
              <w:rPr>
                <w:sz w:val="15"/>
                <w:szCs w:val="15"/>
              </w:rPr>
              <w:t xml:space="preserve">Six patients in the infusion group received hepatic arterial infusion alone because they could not tolerate systemic therapy, so the groups are not even consistent in what they received</w:t>
            </w:r>
          </w:p>
          <w:p>
            <w:pPr>
              <w:pStyle w:val="ListParagraph"/>
              <w:numPr>
                <w:ilvl w:val="0"/>
                <w:numId w:val="2"/>
              </w:numPr>
              <w:spacing w:after="45"/>
            </w:pPr>
            <w:r>
              <w:rPr>
                <w:sz w:val="15"/>
                <w:szCs w:val="15"/>
              </w:rPr>
              <w:t xml:space="preserve">Response data were available for 79 of 93 infusion patients and 18 of 74 systemic-alone patients, so the response comparison of 59% against 39% is drawn from a quarter of the control arm; the text also gives the infusion denominator as 78 in one place and 79 in another</w:t>
            </w:r>
          </w:p>
          <w:p>
            <w:pPr>
              <w:pStyle w:val="ListParagraph"/>
              <w:numPr>
                <w:ilvl w:val="0"/>
                <w:numId w:val="2"/>
              </w:numPr>
              <w:spacing w:after="45"/>
            </w:pPr>
            <w:r>
              <w:rPr>
                <w:sz w:val="15"/>
                <w:szCs w:val="15"/>
              </w:rPr>
              <w:t xml:space="preserve">Progression-free survival, the endpoint least affected by subsequent treatment, showed no significant difference, 12 against 7 months, P = .2, and neither did response, P = .11; only overall survival separated, which is the endpoint most vulnerable to the selection the design cannot control</w:t>
            </w:r>
          </w:p>
          <w:p>
            <w:pPr>
              <w:pStyle w:val="ListParagraph"/>
              <w:numPr>
                <w:ilvl w:val="0"/>
                <w:numId w:val="2"/>
              </w:numPr>
              <w:spacing w:after="45"/>
            </w:pPr>
            <w:r>
              <w:rPr>
                <w:sz w:val="15"/>
                <w:szCs w:val="15"/>
              </w:rPr>
              <w:t xml:space="preserve">No pump complication rate, no biliary toxicity rate and no treatment-related mortality are reported anywhere in this paper, with the reader referred to earlier publications, so the procedural risk cannot be weighed against the survival claim from this source</w:t>
            </w:r>
          </w:p>
          <w:p>
            <w:pPr>
              <w:pStyle w:val="ListParagraph"/>
              <w:numPr>
                <w:ilvl w:val="0"/>
                <w:numId w:val="2"/>
              </w:numPr>
              <w:spacing w:after="45"/>
            </w:pPr>
            <w:r>
              <w:rPr>
                <w:sz w:val="15"/>
                <w:szCs w:val="15"/>
              </w:rPr>
              <w:t xml:space="preserve">Only 8 of 236 patients (3%) converted to resection, of whom 2 died perioperatively and 5 recurred within a year, with negative margins in 5 of 8; the conversion result is presented as encouraging when two of eight patients died of the operation</w:t>
            </w:r>
          </w:p>
          <w:p>
            <w:pPr>
              <w:pStyle w:val="ListParagraph"/>
              <w:numPr>
                <w:ilvl w:val="0"/>
                <w:numId w:val="2"/>
              </w:numPr>
              <w:spacing w:after="45"/>
            </w:pPr>
            <w:r>
              <w:rPr>
                <w:sz w:val="15"/>
                <w:szCs w:val="15"/>
              </w:rPr>
              <w:t xml:space="preserve">44 of 93 infusion patients came from two prospective trials and were therefore subject to trial eligibility criteria, while the comparator group was not, so trial-grade fitness is built into one arm of a retrospective comparison</w:t>
            </w:r>
          </w:p>
          <w:p>
            <w:pPr>
              <w:pStyle w:val="ListParagraph"/>
              <w:numPr>
                <w:ilvl w:val="0"/>
                <w:numId w:val="2"/>
              </w:numPr>
              <w:spacing w:after="45"/>
            </w:pPr>
            <w:r>
              <w:rPr>
                <w:sz w:val="15"/>
                <w:szCs w:val="15"/>
              </w:rPr>
              <w:t xml:space="preserve">The paper asserts that the results represent the best reported treatment results for advanced intrahepatic cholangiocarcinoma, a cross-literature claim from a single-centre retrospective series</w:t>
            </w:r>
          </w:p>
          <w:p>
            <w:pPr>
              <w:pStyle w:val="ListParagraph"/>
              <w:numPr>
                <w:ilvl w:val="0"/>
                <w:numId w:val="2"/>
              </w:numPr>
              <w:spacing w:after="45"/>
            </w:pPr>
            <w:r>
              <w:rPr>
                <w:sz w:val="15"/>
                <w:szCs w:val="15"/>
              </w:rPr>
              <w:t xml:space="preserve">No linked editorial or comment was found in PubMed, so no independent published appraisal accompanies the survival claim</w:t>
            </w:r>
          </w:p>
        </w:tc>
      </w:tr>
    </w:tbl>
    <w:p>
      <w:pPr>
        <w:spacing w:after="0" w:line="276"/>
      </w:pPr>
      <w:r>
        <w:rPr>
          <w:color w:val="5A6069"/>
          <w:sz w:val="14"/>
          <w:szCs w:val="14"/>
        </w:rPr>
        <w:t xml:space="preserve">Funding: Supported by the National Institutes of Health / National Cancer Institute Cancer Center Support grant P30 CA008748; individual authors report personal fees from Baxter, Amgen, Medtronic, Johnson and Johnson, Ipsen and others outside the submitted work</w:t>
      </w:r>
    </w:p>
    <w:p>
      <w:pPr>
        <w:keepNext/>
        <w:spacing w:after="50" w:before="260"/>
      </w:pPr>
      <w:r>
        <w:rPr>
          <w:rFonts w:ascii="Cambria" w:cs="Cambria" w:eastAsia="Cambria" w:hAnsi="Cambria"/>
          <w:b/>
          <w:bCs/>
          <w:color w:val="17365D"/>
          <w:sz w:val="20"/>
          <w:szCs w:val="20"/>
        </w:rPr>
        <w:t xml:space="preserve">LCSGJ iCCA 2022</w:t>
      </w:r>
      <w:r>
        <w:rPr>
          <w:b/>
          <w:bCs/>
          <w:color w:val="176A87"/>
          <w:sz w:val="15"/>
          <w:szCs w:val="15"/>
        </w:rPr>
        <w:t xml:space="preserve">   Guideline</w:t>
      </w:r>
      <w:r>
        <w:rPr>
          <w:color w:val="5A6069"/>
          <w:sz w:val="15"/>
          <w:szCs w:val="15"/>
        </w:rPr>
        <w:t xml:space="preserve">   PMID 35978598</w:t>
      </w:r>
    </w:p>
    <w:p>
      <w:pPr>
        <w:spacing w:after="50" w:line="276"/>
      </w:pPr>
      <w:r>
        <w:rPr>
          <w:color w:val="5A6069"/>
          <w:sz w:val="17"/>
          <w:szCs w:val="17"/>
        </w:rPr>
        <w:t xml:space="preserve">Liver Cancer Study Group of Japan Clinical Practice Guidelines for Intrahepatic Cholangiocarcinoma</w:t>
      </w:r>
    </w:p>
    <w:p>
      <w:pPr>
        <w:spacing w:after="70"/>
      </w:pPr>
      <w:r>
        <w:rPr>
          <w:b/>
          <w:bCs/>
          <w:color w:val="17365D"/>
          <w:sz w:val="16"/>
          <w:szCs w:val="16"/>
        </w:rPr>
        <w:t xml:space="preserve">Bottom line. </w:t>
      </w:r>
      <w:r>
        <w:rPr>
          <w:sz w:val="16"/>
          <w:szCs w:val="16"/>
        </w:rPr>
        <w:t xml:space="preserve">The first Japanese iCCA guideline, and the clearest statement of a hepatic-reserve-driven algorithm: resect a solitary node-negative tumour at any size, treat nodal or multifocal disease with drugs first, and give gemcitabine-cisplatin-S-1 for unresectable disease. It is built on the LCSGJ staging system with a 2 cm T cut-off, which is incompatible with the UICC 8th edition used elsewhere, and its first-line regimen rests on a Japan-only trial with a 0.9-month gain and a drug unavailable in the West. It makes no recommendation on lymph node dissection while conditioning its whole algorithm on nodal status.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concede that the 2 cm T-stage cut-off in the LCSGJ staging system needs further validation</w:t>
            </w:r>
          </w:p>
          <w:p>
            <w:pPr>
              <w:pStyle w:val="ListParagraph"/>
              <w:numPr>
                <w:ilvl w:val="0"/>
                <w:numId w:val="2"/>
              </w:numPr>
              <w:spacing w:after="45"/>
            </w:pPr>
            <w:r>
              <w:rPr>
                <w:sz w:val="15"/>
                <w:szCs w:val="15"/>
              </w:rPr>
              <w:t xml:space="preserve">They state there is little evidence on the weight that should be given to major biliary invasion in staging</w:t>
            </w:r>
          </w:p>
          <w:p>
            <w:pPr>
              <w:pStyle w:val="ListParagraph"/>
              <w:numPr>
                <w:ilvl w:val="0"/>
                <w:numId w:val="2"/>
              </w:numPr>
              <w:spacing w:after="45"/>
            </w:pPr>
            <w:r>
              <w:rPr>
                <w:sz w:val="15"/>
                <w:szCs w:val="15"/>
              </w:rPr>
              <w:t xml:space="preserve">The significance of lymph node dissection is stated to be currently unclear, with no recommendation made</w:t>
            </w:r>
          </w:p>
          <w:p>
            <w:pPr>
              <w:pStyle w:val="ListParagraph"/>
              <w:numPr>
                <w:ilvl w:val="0"/>
                <w:numId w:val="2"/>
              </w:numPr>
              <w:spacing w:after="45"/>
            </w:pPr>
            <w:r>
              <w:rPr>
                <w:sz w:val="15"/>
                <w:szCs w:val="15"/>
              </w:rPr>
              <w:t xml:space="preserve">They state there is no high-quality evidence for selecting which patients should receive adjuvant chemotherapy</w:t>
            </w:r>
          </w:p>
          <w:p>
            <w:pPr>
              <w:pStyle w:val="ListParagraph"/>
              <w:numPr>
                <w:ilvl w:val="0"/>
                <w:numId w:val="2"/>
              </w:numPr>
              <w:spacing w:after="45"/>
            </w:pPr>
            <w:r>
              <w:rPr>
                <w:sz w:val="15"/>
                <w:szCs w:val="15"/>
              </w:rPr>
              <w:t xml:space="preserve">Neoadjuvant chemotherapy is recorded as having no evidence of benefit, with no recommendation made</w:t>
            </w:r>
          </w:p>
          <w:p>
            <w:pPr>
              <w:pStyle w:val="ListParagraph"/>
              <w:numPr>
                <w:ilvl w:val="0"/>
                <w:numId w:val="2"/>
              </w:numPr>
              <w:spacing w:after="45"/>
            </w:pPr>
            <w:r>
              <w:rPr>
                <w:sz w:val="15"/>
                <w:szCs w:val="15"/>
              </w:rPr>
              <w:t xml:space="preserve">The literature search closed at the end of 2019</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is framed for Japanese national health insurance, so reimbursement enters the recommendations as if it were evidence: ivosidenib is dismissed as uninsured and adjuvant capecitabine is downgraded in part because it is not reimbursed in Japan rather than on trial data</w:t>
            </w:r>
          </w:p>
          <w:p>
            <w:pPr>
              <w:pStyle w:val="ListParagraph"/>
              <w:numPr>
                <w:ilvl w:val="0"/>
                <w:numId w:val="2"/>
              </w:numPr>
              <w:spacing w:after="45"/>
            </w:pPr>
            <w:r>
              <w:rPr>
                <w:sz w:val="15"/>
                <w:szCs w:val="15"/>
              </w:rPr>
              <w:t xml:space="preserve">The first-line recommendation of gemcitabine-cisplatin-S-1 rests on a single Japan-only phase 3 with a 0.9-month median survival gain and a 90% confidence interval of 0.628 to 0.996 that nearly touches 1, and S-1 is unavailable in North America and Europe, so the top recommendation cannot be acted on outside Asia</w:t>
            </w:r>
          </w:p>
          <w:p>
            <w:pPr>
              <w:pStyle w:val="ListParagraph"/>
              <w:numPr>
                <w:ilvl w:val="0"/>
                <w:numId w:val="2"/>
              </w:numPr>
              <w:spacing w:after="45"/>
            </w:pPr>
            <w:r>
              <w:rPr>
                <w:sz w:val="15"/>
                <w:szCs w:val="15"/>
              </w:rPr>
              <w:t xml:space="preserve">A 90% rather than 95% confidence interval is quoted for the pivotal first-line hazard ratio without comment, which is a lower evidential bar than the rest of the document's recommendations imply</w:t>
            </w:r>
          </w:p>
          <w:p>
            <w:pPr>
              <w:pStyle w:val="ListParagraph"/>
              <w:numPr>
                <w:ilvl w:val="0"/>
                <w:numId w:val="2"/>
              </w:numPr>
              <w:spacing w:after="45"/>
            </w:pPr>
            <w:r>
              <w:rPr>
                <w:sz w:val="15"/>
                <w:szCs w:val="15"/>
              </w:rPr>
              <w:t xml:space="preserve">Hepatectomy for a solitary node-negative tumour is recommended with no restriction on tumour size, while the guideline's own staging system uses 2 cm as a T-stage boundary and its own survival data show 63.4% 5-year survival below 2 cm; the recommendation and the staging contradict each other on whether size matters</w:t>
            </w:r>
          </w:p>
          <w:p>
            <w:pPr>
              <w:pStyle w:val="ListParagraph"/>
              <w:numPr>
                <w:ilvl w:val="0"/>
                <w:numId w:val="2"/>
              </w:numPr>
              <w:spacing w:after="45"/>
            </w:pPr>
            <w:r>
              <w:rPr>
                <w:sz w:val="15"/>
                <w:szCs w:val="15"/>
              </w:rPr>
              <w:t xml:space="preserve">No recommendation is made on lymph node dissection, so a guideline that conditions its entire treatment algorithm on nodal metastasis gives no guidance on how nodal status is to be established</w:t>
            </w:r>
          </w:p>
          <w:p>
            <w:pPr>
              <w:pStyle w:val="ListParagraph"/>
              <w:numPr>
                <w:ilvl w:val="0"/>
                <w:numId w:val="2"/>
              </w:numPr>
              <w:spacing w:after="45"/>
            </w:pPr>
            <w:r>
              <w:rPr>
                <w:sz w:val="15"/>
                <w:szCs w:val="15"/>
              </w:rPr>
              <w:t xml:space="preserve">The staging system used is incompatible with the UICC 8th edition used elsewhere, with a 2 cm rather than 5 cm T cut-off and major biliary invasion retained after UICC dropped periductal invasion, so survival figures and stage groupings in this guideline cannot be compared with international series</w:t>
            </w:r>
          </w:p>
          <w:p>
            <w:pPr>
              <w:pStyle w:val="ListParagraph"/>
              <w:numPr>
                <w:ilvl w:val="0"/>
                <w:numId w:val="2"/>
              </w:numPr>
              <w:spacing w:after="45"/>
            </w:pPr>
            <w:r>
              <w:rPr>
                <w:sz w:val="15"/>
                <w:szCs w:val="15"/>
              </w:rPr>
              <w:t xml:space="preserve">Survival figures by tumour number, 46.8%, 33.6% and 11.1% for one, two and three tumours, are presented as decision thresholds with no cohort, period or source denominators given in the recommendation text</w:t>
            </w:r>
          </w:p>
          <w:p>
            <w:pPr>
              <w:pStyle w:val="ListParagraph"/>
              <w:numPr>
                <w:ilvl w:val="0"/>
                <w:numId w:val="2"/>
              </w:numPr>
              <w:spacing w:after="45"/>
            </w:pPr>
            <w:r>
              <w:rPr>
                <w:sz w:val="15"/>
                <w:szCs w:val="15"/>
              </w:rPr>
              <w:t xml:space="preserve">Conversion-to-resection rates of 36.4% to 53% after chemotherapy are quoted alongside a no-recommendation verdict on neoadjuvant therapy, and the claim that converted patients survive 24.1 months against 25.7 for primarily resectable patients is a comparison of two non-randomised groups presented as reassurance</w:t>
            </w:r>
          </w:p>
          <w:p>
            <w:pPr>
              <w:pStyle w:val="ListParagraph"/>
              <w:numPr>
                <w:ilvl w:val="0"/>
                <w:numId w:val="2"/>
              </w:numPr>
              <w:spacing w:after="45"/>
            </w:pPr>
            <w:r>
              <w:rPr>
                <w:sz w:val="15"/>
                <w:szCs w:val="15"/>
              </w:rPr>
              <w:t xml:space="preserve">Percutaneous ablation is placed last, only when both resection and drug therapy are precluded, while stereotactic radiotherapy for tumours up to 5 cm and particle radiotherapy with no size limit are both weakly recommended; the relative ordering of the local therapies is not justified by any comparative data</w:t>
            </w:r>
          </w:p>
          <w:p>
            <w:pPr>
              <w:pStyle w:val="ListParagraph"/>
              <w:numPr>
                <w:ilvl w:val="0"/>
                <w:numId w:val="2"/>
              </w:numPr>
              <w:spacing w:after="45"/>
            </w:pPr>
            <w:r>
              <w:rPr>
                <w:sz w:val="15"/>
                <w:szCs w:val="15"/>
              </w:rPr>
              <w:t xml:space="preserve">Transplantation is dismissed as generally not indicated with no size-stratified discussion, which puts this guideline directly at odds with the EASL-ILCA and ILTS-ILCA positions on cirrhotic tumours of 2 to 3 cm</w:t>
            </w:r>
          </w:p>
          <w:p>
            <w:pPr>
              <w:pStyle w:val="ListParagraph"/>
              <w:numPr>
                <w:ilvl w:val="0"/>
                <w:numId w:val="2"/>
              </w:numPr>
              <w:spacing w:after="45"/>
            </w:pPr>
            <w:r>
              <w:rPr>
                <w:sz w:val="15"/>
                <w:szCs w:val="15"/>
              </w:rPr>
              <w:t xml:space="preserve">Biopsy is recommended only in unresectable cases, which means resection decisions are made on imaging alone and the small-duct against large-duct subtyping the guideline describes cannot be used preoperatively</w:t>
            </w:r>
          </w:p>
          <w:p>
            <w:pPr>
              <w:pStyle w:val="ListParagraph"/>
              <w:numPr>
                <w:ilvl w:val="0"/>
                <w:numId w:val="2"/>
              </w:numPr>
              <w:spacing w:after="45"/>
            </w:pPr>
            <w:r>
              <w:rPr>
                <w:sz w:val="15"/>
                <w:szCs w:val="15"/>
              </w:rPr>
              <w:t xml:space="preserve">Several authors hold senior editorial positions at the journal that published the guideline, including its editor-in-chief, which is disclosed but not addressed</w:t>
            </w:r>
          </w:p>
          <w:p>
            <w:pPr>
              <w:pStyle w:val="ListParagraph"/>
              <w:numPr>
                <w:ilvl w:val="0"/>
                <w:numId w:val="2"/>
              </w:numPr>
              <w:spacing w:after="45"/>
            </w:pPr>
            <w:r>
              <w:rPr>
                <w:sz w:val="15"/>
                <w:szCs w:val="15"/>
              </w:rPr>
              <w:t xml:space="preserve">No linked editorial or comment was found in PubMed, so no independent published appraisal accompanies the first Japanese iCCA guideline</w:t>
            </w:r>
          </w:p>
        </w:tc>
      </w:tr>
    </w:tbl>
    <w:p>
      <w:pPr>
        <w:spacing w:after="0" w:line="276"/>
      </w:pPr>
      <w:r>
        <w:rPr>
          <w:color w:val="5A6069"/>
          <w:sz w:val="14"/>
          <w:szCs w:val="14"/>
        </w:rPr>
        <w:t xml:space="preserve">Funding: The authors state they have no funding source and no conflicts of interest to declare; several authors hold editorial positions at the publishing journal, including the editor-in-chief, three associate editors and one editorial board member of Liver Cancer</w:t>
      </w:r>
    </w:p>
    <w:p>
      <w:pPr>
        <w:keepNext/>
        <w:spacing w:after="50" w:before="260"/>
      </w:pPr>
      <w:r>
        <w:rPr>
          <w:rFonts w:ascii="Cambria" w:cs="Cambria" w:eastAsia="Cambria" w:hAnsi="Cambria"/>
          <w:b/>
          <w:bCs/>
          <w:color w:val="17365D"/>
          <w:sz w:val="20"/>
          <w:szCs w:val="20"/>
        </w:rPr>
        <w:t xml:space="preserve">Lunsford protocol series</w:t>
      </w:r>
      <w:r>
        <w:rPr>
          <w:b/>
          <w:bCs/>
          <w:color w:val="176A87"/>
          <w:sz w:val="15"/>
          <w:szCs w:val="15"/>
        </w:rPr>
        <w:t xml:space="preserve">   Case series</w:t>
      </w:r>
      <w:r>
        <w:rPr>
          <w:color w:val="5A6069"/>
          <w:sz w:val="15"/>
          <w:szCs w:val="15"/>
        </w:rPr>
        <w:t xml:space="preserve">   PMID 29548617</w:t>
      </w:r>
    </w:p>
    <w:p>
      <w:pPr>
        <w:spacing w:after="50" w:line="276"/>
      </w:pPr>
      <w:r>
        <w:rPr>
          <w:color w:val="5A6069"/>
          <w:sz w:val="17"/>
          <w:szCs w:val="17"/>
        </w:rPr>
        <w:t xml:space="preserve">Liver transplantation for locally advanced intrahepatic cholangiocarcinoma treated with neoadjuvant therapy: a prospective case-series</w:t>
      </w:r>
    </w:p>
    <w:p>
      <w:pPr>
        <w:spacing w:after="50"/>
      </w:pPr>
      <w:r>
        <w:rPr>
          <w:b/>
          <w:bCs/>
          <w:color w:val="176A87"/>
          <w:sz w:val="16"/>
          <w:szCs w:val="16"/>
        </w:rPr>
        <w:t xml:space="preserve">Population. </w:t>
      </w:r>
      <w:r>
        <w:rPr>
          <w:sz w:val="16"/>
          <w:szCs w:val="16"/>
        </w:rPr>
        <w:t xml:space="preserve">6 patients with locally advanced unresectable intrahepatic cholangiocarcinoma transplanted at a single centre, drawn from 12 accepted and listed out of 21 referred between 1 January 2010 and 1 December 2017</w:t>
      </w:r>
    </w:p>
    <w:p>
      <w:pPr>
        <w:spacing w:after="70"/>
      </w:pPr>
      <w:r>
        <w:rPr>
          <w:b/>
          <w:bCs/>
          <w:color w:val="17365D"/>
          <w:sz w:val="16"/>
          <w:szCs w:val="16"/>
        </w:rPr>
        <w:t xml:space="preserve">Bottom line. </w:t>
      </w:r>
      <w:r>
        <w:rPr>
          <w:sz w:val="16"/>
          <w:szCs w:val="16"/>
        </w:rPr>
        <w:t xml:space="preserve">Six highly selected patients with bulky unresectable iCCA who had been radiographically stable for at least six months on chemotherapy survived transplantation well, with one death and three recurrences over a median 36 months. It does not show that transplantation beats continued chemotherapy, because there is no comparator and no intention-to-treat denominator: six of twenty-one referrals reached the operating room, and half the grafts were livers no other centre would take. The six-month stability rule it introduced is tested here only in tumours above 5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rarity of iCCA together with the stringent requirement for long-term disease stability meant only nine patients were listed over a six-year period</w:t>
            </w:r>
          </w:p>
          <w:p>
            <w:pPr>
              <w:pStyle w:val="ListParagraph"/>
              <w:numPr>
                <w:ilvl w:val="0"/>
                <w:numId w:val="2"/>
              </w:numPr>
              <w:spacing w:after="45"/>
            </w:pPr>
            <w:r>
              <w:rPr>
                <w:sz w:val="15"/>
                <w:szCs w:val="15"/>
              </w:rPr>
              <w:t xml:space="preserve">No MELD exception was available, so finding organs was difficult and discarded or extended-criteria livers were often used</w:t>
            </w:r>
          </w:p>
          <w:p>
            <w:pPr>
              <w:pStyle w:val="ListParagraph"/>
              <w:numPr>
                <w:ilvl w:val="0"/>
                <w:numId w:val="2"/>
              </w:numPr>
              <w:spacing w:after="45"/>
            </w:pPr>
            <w:r>
              <w:rPr>
                <w:sz w:val="15"/>
                <w:szCs w:val="15"/>
              </w:rPr>
              <w:t xml:space="preserve">Regimens after initial gemcitabine-based therapy were heterogeneous because of the median 26 months between diagnosis and transplantation, reflecting an absence of standard in this setting</w:t>
            </w:r>
          </w:p>
          <w:p>
            <w:pPr>
              <w:pStyle w:val="ListParagraph"/>
              <w:numPr>
                <w:ilvl w:val="0"/>
                <w:numId w:val="2"/>
              </w:numPr>
              <w:spacing w:after="45"/>
            </w:pPr>
            <w:r>
              <w:rPr>
                <w:sz w:val="15"/>
                <w:szCs w:val="15"/>
              </w:rPr>
              <w:t xml:space="preserve">The small sample size limited statistical analysis, and larger prospective studies will be needed to validate the results</w:t>
            </w:r>
          </w:p>
          <w:p>
            <w:pPr>
              <w:pStyle w:val="ListParagraph"/>
              <w:numPr>
                <w:ilvl w:val="0"/>
                <w:numId w:val="2"/>
              </w:numPr>
              <w:spacing w:after="45"/>
            </w:pPr>
            <w:r>
              <w:rPr>
                <w:sz w:val="15"/>
                <w:szCs w:val="15"/>
              </w:rPr>
              <w:t xml:space="preserve">Resectability was determined solely by the surgeon members of the collaborative committee, which the authors state carried potential for bias</w:t>
            </w:r>
          </w:p>
          <w:p>
            <w:pPr>
              <w:pStyle w:val="ListParagraph"/>
              <w:numPr>
                <w:ilvl w:val="0"/>
                <w:numId w:val="2"/>
              </w:numPr>
              <w:spacing w:after="45"/>
            </w:pPr>
            <w:r>
              <w:rPr>
                <w:sz w:val="15"/>
                <w:szCs w:val="15"/>
              </w:rPr>
              <w:t xml:space="preserve">Patients were not randomised and were treated under a centre-approved clinical policy, so the study did not qualify for registration as a clinical trial</w:t>
            </w:r>
          </w:p>
          <w:p>
            <w:pPr>
              <w:pStyle w:val="ListParagraph"/>
              <w:numPr>
                <w:ilvl w:val="0"/>
                <w:numId w:val="2"/>
              </w:numPr>
              <w:spacing w:after="45"/>
            </w:pPr>
            <w:r>
              <w:rPr>
                <w:sz w:val="15"/>
                <w:szCs w:val="15"/>
              </w:rPr>
              <w:t xml:space="preserve">A clear-cut tumour size cut-off for transplant candidacy cannot be drawn from these results and a larger cohort will be needed</w:t>
            </w:r>
          </w:p>
          <w:p>
            <w:pPr>
              <w:pStyle w:val="ListParagraph"/>
              <w:numPr>
                <w:ilvl w:val="0"/>
                <w:numId w:val="2"/>
              </w:numPr>
              <w:spacing w:after="45"/>
            </w:pPr>
            <w:r>
              <w:rPr>
                <w:sz w:val="15"/>
                <w:szCs w:val="15"/>
              </w:rPr>
              <w:t xml:space="preserve">The authors concede that perihilar biopsy and portal lymphadenectomy during the exploratory part of the hepatectomy would be needed to avoid transplanting patients with occult disease, having found two patients with extrahepatic metastases called stable before transplant and one with perihilar fat invasion found only on explant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computed only on the six patients who reached transplantation; the nine referrals never accepted and the three listed patients still waiting at censoring are outside the denominator, so the paper reports no intention-to-treat result for the strategy it proposes</w:t>
            </w:r>
          </w:p>
          <w:p>
            <w:pPr>
              <w:pStyle w:val="ListParagraph"/>
              <w:numPr>
                <w:ilvl w:val="0"/>
                <w:numId w:val="2"/>
              </w:numPr>
              <w:spacing w:after="45"/>
            </w:pPr>
            <w:r>
              <w:rPr>
                <w:sz w:val="15"/>
                <w:szCs w:val="15"/>
              </w:rPr>
              <w:t xml:space="preserve">Overall survival of 100% with a 95% confidence interval of 100-100 at 1 year reflects zero deaths among six patients rather than any precision, and the 83.3% figure at 3 and 5 years rests on a single death with an interval of 27.3-97.5</w:t>
            </w:r>
          </w:p>
          <w:p>
            <w:pPr>
              <w:pStyle w:val="ListParagraph"/>
              <w:numPr>
                <w:ilvl w:val="0"/>
                <w:numId w:val="2"/>
              </w:numPr>
              <w:spacing w:after="45"/>
            </w:pPr>
            <w:r>
              <w:rPr>
                <w:sz w:val="15"/>
                <w:szCs w:val="15"/>
              </w:rPr>
              <w:t xml:space="preserve">Recurrence-free survival is identical at 1, 3 and 5 years, 50% (11.1-80.4), because all three recurrences happened by 8.6 months; the 3 and 5-year values add no information beyond the first year</w:t>
            </w:r>
          </w:p>
          <w:p>
            <w:pPr>
              <w:pStyle w:val="ListParagraph"/>
              <w:numPr>
                <w:ilvl w:val="0"/>
                <w:numId w:val="2"/>
              </w:numPr>
              <w:spacing w:after="45"/>
            </w:pPr>
            <w:r>
              <w:rPr>
                <w:sz w:val="15"/>
                <w:szCs w:val="15"/>
              </w:rPr>
              <w:t xml:space="preserve">This is an interim analysis of an ongoing clinical management protocol censored on a date chosen by the investigators, with three of the twelve listed patients still on the waitlist, so the cohort is not closed and the denominator can change with the next cut</w:t>
            </w:r>
          </w:p>
          <w:p>
            <w:pPr>
              <w:pStyle w:val="ListParagraph"/>
              <w:numPr>
                <w:ilvl w:val="0"/>
                <w:numId w:val="2"/>
              </w:numPr>
              <w:spacing w:after="45"/>
            </w:pPr>
            <w:r>
              <w:rPr>
                <w:sz w:val="15"/>
                <w:szCs w:val="15"/>
              </w:rPr>
              <w:t xml:space="preserve">Median pre-transplant cumulative tumour diameter was 14.2 cm and no patient was below 5 cm, so the series contains no information about the small tumours to which its six-month stability rule is now routinely applied</w:t>
            </w:r>
          </w:p>
          <w:p>
            <w:pPr>
              <w:pStyle w:val="ListParagraph"/>
              <w:numPr>
                <w:ilvl w:val="0"/>
                <w:numId w:val="2"/>
              </w:numPr>
              <w:spacing w:after="45"/>
            </w:pPr>
            <w:r>
              <w:rPr>
                <w:sz w:val="15"/>
                <w:szCs w:val="15"/>
              </w:rPr>
              <w:t xml:space="preserve">Two of six recipients had lesions described as stable on pre-transplant imaging, a bony lesion and subcentimetre lung nodules, that turned out to be metastases, meaning a third of the cohort was transplanted with the extrahepatic disease the entry criteria excluded</w:t>
            </w:r>
          </w:p>
          <w:p>
            <w:pPr>
              <w:pStyle w:val="ListParagraph"/>
              <w:numPr>
                <w:ilvl w:val="0"/>
                <w:numId w:val="2"/>
              </w:numPr>
              <w:spacing w:after="45"/>
            </w:pPr>
            <w:r>
              <w:rPr>
                <w:sz w:val="15"/>
                <w:szCs w:val="15"/>
              </w:rPr>
              <w:t xml:space="preserve">The genomic observations are four single patients: FGFR2 alterations in two who did not recur, KRAS in one who did and BAP1 in one who did, and from this the discussion speculates that another 10-20% of patients with favourable genetics might benefit</w:t>
            </w:r>
          </w:p>
          <w:p>
            <w:pPr>
              <w:pStyle w:val="ListParagraph"/>
              <w:numPr>
                <w:ilvl w:val="0"/>
                <w:numId w:val="2"/>
              </w:numPr>
              <w:spacing w:after="45"/>
            </w:pPr>
            <w:r>
              <w:rPr>
                <w:sz w:val="15"/>
                <w:szCs w:val="15"/>
              </w:rPr>
              <w:t xml:space="preserve">Three of the six grafts were extended-criteria orphan livers refused by every other centre and two were domino living-donor grafts, so only one recipient received a standard deceased-donor organ and the approach cannot be reproduced where such grafts are not available</w:t>
            </w:r>
          </w:p>
          <w:p>
            <w:pPr>
              <w:pStyle w:val="ListParagraph"/>
              <w:numPr>
                <w:ilvl w:val="0"/>
                <w:numId w:val="2"/>
              </w:numPr>
              <w:spacing w:after="45"/>
            </w:pPr>
            <w:r>
              <w:rPr>
                <w:sz w:val="15"/>
                <w:szCs w:val="15"/>
              </w:rPr>
              <w:t xml:space="preserve">Entry allowed either biopsy-proven malignancy or a CA19-9 above 100 U/mL, so a patient could be listed without tissue confirmation of cholangiocarcinoma, while the paper's own inclusion list elsewhere states biopsy or cytology confirmation</w:t>
            </w:r>
          </w:p>
          <w:p>
            <w:pPr>
              <w:pStyle w:val="ListParagraph"/>
              <w:numPr>
                <w:ilvl w:val="0"/>
                <w:numId w:val="2"/>
              </w:numPr>
              <w:spacing w:after="45"/>
            </w:pPr>
            <w:r>
              <w:rPr>
                <w:sz w:val="15"/>
                <w:szCs w:val="15"/>
              </w:rPr>
              <w:t xml:space="preserve">Prior liver resection more than six months before listing was permitted, so the six patients mix de novo and post-resection recurrent disease without the paper reporting how many of each</w:t>
            </w:r>
          </w:p>
          <w:p>
            <w:pPr>
              <w:pStyle w:val="ListParagraph"/>
              <w:numPr>
                <w:ilvl w:val="0"/>
                <w:numId w:val="2"/>
              </w:numPr>
              <w:spacing w:after="45"/>
            </w:pPr>
            <w:r>
              <w:rPr>
                <w:sz w:val="15"/>
                <w:szCs w:val="15"/>
              </w:rPr>
              <w:t xml:space="preserve">The only comparator anywhere in the paper is the patients' own median progression-free survival of 8 months on first-line and 3 months on second-line therapy, which is not a survival comparison and cannot separate the effect of transplantation from the effect of selecting patients whose disease had already been stable for six months</w:t>
            </w:r>
          </w:p>
          <w:p>
            <w:pPr>
              <w:pStyle w:val="ListParagraph"/>
              <w:numPr>
                <w:ilvl w:val="0"/>
                <w:numId w:val="2"/>
              </w:numPr>
              <w:spacing w:after="45"/>
            </w:pPr>
            <w:r>
              <w:rPr>
                <w:sz w:val="15"/>
                <w:szCs w:val="15"/>
              </w:rPr>
              <w:t xml:space="preserve">Reported figures disagree between text and table: median postoperative stay is 8.5 days (IQR 6.0-10.0) in the text but 9 days (range 5-18) in Table 1, and median time from diagnosis to transplant is given with an IQR of 17-33 in the abstract but 10-36 in Table 1</w:t>
            </w:r>
          </w:p>
        </w:tc>
      </w:tr>
    </w:tbl>
    <w:p>
      <w:pPr>
        <w:spacing w:after="0" w:line="276"/>
      </w:pPr>
      <w:r>
        <w:rPr>
          <w:color w:val="5A6069"/>
          <w:sz w:val="14"/>
          <w:szCs w:val="14"/>
        </w:rPr>
        <w:t xml:space="preserve">Funding: No external funding; RTS reports support from Celgene, Eli Lilly, Agios, Codiak, Amgen and Halozyme outside the submitted work, and all other authors declare no competing interests</w:t>
      </w:r>
    </w:p>
    <w:p>
      <w:pPr>
        <w:keepNext/>
        <w:spacing w:after="50" w:before="260"/>
      </w:pPr>
      <w:r>
        <w:rPr>
          <w:rFonts w:ascii="Cambria" w:cs="Cambria" w:eastAsia="Cambria" w:hAnsi="Cambria"/>
          <w:b/>
          <w:bCs/>
          <w:color w:val="17365D"/>
          <w:sz w:val="20"/>
          <w:szCs w:val="20"/>
        </w:rPr>
        <w:t xml:space="preserve">MALRIC primary</w:t>
      </w:r>
      <w:r>
        <w:rPr>
          <w:b/>
          <w:bCs/>
          <w:color w:val="176A87"/>
          <w:sz w:val="15"/>
          <w:szCs w:val="15"/>
        </w:rPr>
        <w:t xml:space="preserve">   cohort</w:t>
      </w:r>
      <w:r>
        <w:rPr>
          <w:color w:val="5A6069"/>
          <w:sz w:val="15"/>
          <w:szCs w:val="15"/>
        </w:rPr>
        <w:t xml:space="preserve">   PMID 38261915</w:t>
      </w:r>
    </w:p>
    <w:p>
      <w:pPr>
        <w:spacing w:after="50" w:line="276"/>
      </w:pPr>
      <w:r>
        <w:rPr>
          <w:color w:val="5A6069"/>
          <w:sz w:val="17"/>
          <w:szCs w:val="17"/>
        </w:rPr>
        <w:t xml:space="preserve">Microwave ablation versus liver resection for primary intrahepatic cholangiocarcinoma within Milan criteria: a long-term multicenter cohort study</w:t>
      </w:r>
    </w:p>
    <w:p>
      <w:pPr>
        <w:spacing w:after="50"/>
      </w:pPr>
      <w:r>
        <w:rPr>
          <w:b/>
          <w:bCs/>
          <w:color w:val="176A87"/>
          <w:sz w:val="16"/>
          <w:szCs w:val="16"/>
        </w:rPr>
        <w:t xml:space="preserve">Population. </w:t>
      </w:r>
      <w:r>
        <w:rPr>
          <w:sz w:val="16"/>
          <w:szCs w:val="16"/>
        </w:rPr>
        <w:t xml:space="preserve">944 patients treated with curative intent within Milan criteria, culled from 10,441 iCCA patients at ten Chinese tertiary hospitals between January 2009 and June 2022: 221 percutaneous microwave ablation and 723 liver resection, reduced to 203 versus 588 after one-to-many propensity score matching</w:t>
      </w:r>
    </w:p>
    <w:p>
      <w:pPr>
        <w:spacing w:after="70"/>
      </w:pPr>
      <w:r>
        <w:rPr>
          <w:b/>
          <w:bCs/>
          <w:color w:val="17365D"/>
          <w:sz w:val="16"/>
          <w:szCs w:val="16"/>
        </w:rPr>
        <w:t xml:space="preserve">Bottom line. </w:t>
      </w:r>
      <w:r>
        <w:rPr>
          <w:sz w:val="16"/>
          <w:szCs w:val="16"/>
        </w:rPr>
        <w:t xml:space="preserve">In 944 patients with iCCA inside Milan-equivalent criteria, microwave ablation gave overall survival indistinguishable from resection with much lower procedural cost and morbidity, provided a margin over 5 mm was achieved. It does not show equivalence: the disease-free survival endpoint favoured resection outright, and the equivalence claim depends on a post hoc split at 2017 whose later comparison is underpowered at P = .129. The entry criterion was a single tumour up to 5 cm, so the study cannot be read as support for a 3 cm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microwave ablation sample is limited relative to the resection group because so few patients receive ablation for iCCA in real-world practice, although the authors note it is nearly three times the largest previous ablation series and quote a power of 0.996</w:t>
            </w:r>
          </w:p>
          <w:p>
            <w:pPr>
              <w:pStyle w:val="ListParagraph"/>
              <w:numPr>
                <w:ilvl w:val="0"/>
                <w:numId w:val="2"/>
              </w:numPr>
              <w:spacing w:after="45"/>
            </w:pPr>
            <w:r>
              <w:rPr>
                <w:sz w:val="15"/>
                <w:szCs w:val="15"/>
              </w:rPr>
              <w:t xml:space="preserve">Ablative and surgical margins were measured by different methods, which the authors accept may introduce bias</w:t>
            </w:r>
          </w:p>
          <w:p>
            <w:pPr>
              <w:pStyle w:val="ListParagraph"/>
              <w:numPr>
                <w:ilvl w:val="0"/>
                <w:numId w:val="2"/>
              </w:numPr>
              <w:spacing w:after="45"/>
            </w:pPr>
            <w:r>
              <w:rPr>
                <w:sz w:val="15"/>
                <w:szCs w:val="15"/>
              </w:rPr>
              <w:t xml:space="preserve">The retrospective design carries potential selection bias</w:t>
            </w:r>
          </w:p>
          <w:p>
            <w:pPr>
              <w:pStyle w:val="ListParagraph"/>
              <w:numPr>
                <w:ilvl w:val="0"/>
                <w:numId w:val="2"/>
              </w:numPr>
              <w:spacing w:after="45"/>
            </w:pPr>
            <w:r>
              <w:rPr>
                <w:sz w:val="15"/>
                <w:szCs w:val="15"/>
              </w:rPr>
              <w:t xml:space="preserve">Unmeasured confounding and residual confounding from measurement error in confounders, including several variables with standardised mean differences above 0.1 after matching</w:t>
            </w:r>
          </w:p>
          <w:p>
            <w:pPr>
              <w:pStyle w:val="ListParagraph"/>
              <w:numPr>
                <w:ilvl w:val="0"/>
                <w:numId w:val="2"/>
              </w:numPr>
              <w:spacing w:after="45"/>
            </w:pPr>
            <w:r>
              <w:rPr>
                <w:sz w:val="15"/>
                <w:szCs w:val="15"/>
              </w:rPr>
              <w:t xml:space="preserve">Stepwise selection in the Cox regression may be subject to estimation bias, and the hazard ratios suffer from built-in selection bias</w:t>
            </w:r>
          </w:p>
          <w:p>
            <w:pPr>
              <w:pStyle w:val="ListParagraph"/>
              <w:numPr>
                <w:ilvl w:val="0"/>
                <w:numId w:val="2"/>
              </w:numPr>
              <w:spacing w:after="45"/>
            </w:pPr>
            <w:r>
              <w:rPr>
                <w:sz w:val="15"/>
                <w:szCs w:val="15"/>
              </w:rPr>
              <w:t xml:space="preserve">The authors state ablation may be unsuitable for patients with hepatolithiasis or GGT above 50 U/L, for left-lobe tumours, for patients under 60, and should be used with caution above 3 cm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Equivalence is claimed from a non-significant overall survival hazard ratio of 0.96 (95% CI 0.71-1.29); the upper bound allows a 29% higher death hazard with ablation, no non-inferiority margin was prespecified, and a quoted power of 0.996 is a calculation made on the effect that was observed</w:t>
            </w:r>
          </w:p>
          <w:p>
            <w:pPr>
              <w:pStyle w:val="ListParagraph"/>
              <w:numPr>
                <w:ilvl w:val="0"/>
                <w:numId w:val="2"/>
              </w:numPr>
              <w:spacing w:after="45"/>
            </w:pPr>
            <w:r>
              <w:rPr>
                <w:sz w:val="15"/>
                <w:szCs w:val="15"/>
              </w:rPr>
              <w:t xml:space="preserve">The prespecified secondary endpoint went the other way and clearly so: disease-free survival favoured resection, median 1.7 versus 3.6 years, HR 0.63 (0.48-0.83), P = .0010, and this is the result the paper's conclusion sets aside</w:t>
            </w:r>
          </w:p>
          <w:p>
            <w:pPr>
              <w:pStyle w:val="ListParagraph"/>
              <w:numPr>
                <w:ilvl w:val="0"/>
                <w:numId w:val="2"/>
              </w:numPr>
              <w:spacing w:after="45"/>
            </w:pPr>
            <w:r>
              <w:rPr>
                <w:sz w:val="15"/>
                <w:szCs w:val="15"/>
              </w:rPr>
              <w:t xml:space="preserve">The equivalence headline comes from a post hoc split at 2017, chosen because ablation case numbers rose after that year, and even in the later era the point estimate still favours resection, HR 0.74 (0.49-1.12), P = .129; a non-significant difference in a smaller subgroup is not equivalence</w:t>
            </w:r>
          </w:p>
          <w:p>
            <w:pPr>
              <w:pStyle w:val="ListParagraph"/>
              <w:numPr>
                <w:ilvl w:val="0"/>
                <w:numId w:val="2"/>
              </w:numPr>
              <w:spacing w:after="45"/>
            </w:pPr>
            <w:r>
              <w:rPr>
                <w:sz w:val="15"/>
                <w:szCs w:val="15"/>
              </w:rPr>
              <w:t xml:space="preserve">No adjustment for multiplicity is reported anywhere, although the paper runs two era comparisons, four margin strata and at least six clinical subgroups after a primary analysis that had already been performed</w:t>
            </w:r>
          </w:p>
          <w:p>
            <w:pPr>
              <w:pStyle w:val="ListParagraph"/>
              <w:numPr>
                <w:ilvl w:val="0"/>
                <w:numId w:val="2"/>
              </w:numPr>
              <w:spacing w:after="45"/>
            </w:pPr>
            <w:r>
              <w:rPr>
                <w:sz w:val="15"/>
                <w:szCs w:val="15"/>
              </w:rPr>
              <w:t xml:space="preserve">A 5-year disease-free survival of 37.3% is reported for patients treated between 2017 and 2022 in a dataset that closes in June 2022, so that estimate can only be carried by the first year or two of that era and no numbers at risk are given</w:t>
            </w:r>
          </w:p>
          <w:p>
            <w:pPr>
              <w:pStyle w:val="ListParagraph"/>
              <w:numPr>
                <w:ilvl w:val="0"/>
                <w:numId w:val="2"/>
              </w:numPr>
              <w:spacing w:after="45"/>
            </w:pPr>
            <w:r>
              <w:rPr>
                <w:sz w:val="15"/>
                <w:szCs w:val="15"/>
              </w:rPr>
              <w:t xml:space="preserve">The denominator narrows twice without explanation of who was lost: 10,441 screened to 944 treated with curative intent within Milan criteria, then 18 ablation patients who matched no resection were discarded, leaving 203 of 221</w:t>
            </w:r>
          </w:p>
          <w:p>
            <w:pPr>
              <w:pStyle w:val="ListParagraph"/>
              <w:numPr>
                <w:ilvl w:val="0"/>
                <w:numId w:val="2"/>
              </w:numPr>
              <w:spacing w:after="45"/>
            </w:pPr>
            <w:r>
              <w:rPr>
                <w:sz w:val="15"/>
                <w:szCs w:val="15"/>
              </w:rPr>
              <w:t xml:space="preserve">Margin, the mediator credited with 34.5% of the disease-free survival difference, is contrast CT or MR measured 3 to 5 days after ablation in one arm and direct specimen measurement in the other; the mediation model treats two differently defined quantities as one variable</w:t>
            </w:r>
          </w:p>
          <w:p>
            <w:pPr>
              <w:pStyle w:val="ListParagraph"/>
              <w:numPr>
                <w:ilvl w:val="0"/>
                <w:numId w:val="2"/>
              </w:numPr>
              <w:spacing w:after="45"/>
            </w:pPr>
            <w:r>
              <w:rPr>
                <w:sz w:val="15"/>
                <w:szCs w:val="15"/>
              </w:rPr>
              <w:t xml:space="preserve">Conditioning on an ablative margin of 5 mm or more selects the technically successful ablations, because that margin is only known from imaging obtained after the procedure; the resulting parity, HR 0.83 (0.52-1.32) for disease-free survival, is therefore a comparison of successful ablations with all resections</w:t>
            </w:r>
          </w:p>
          <w:p>
            <w:pPr>
              <w:pStyle w:val="ListParagraph"/>
              <w:numPr>
                <w:ilvl w:val="0"/>
                <w:numId w:val="2"/>
              </w:numPr>
              <w:spacing w:after="45"/>
            </w:pPr>
            <w:r>
              <w:rPr>
                <w:sz w:val="15"/>
                <w:szCs w:val="15"/>
              </w:rPr>
              <w:t xml:space="preserve">Perioperative mortality is given as 1.5% versus 2.4% with P &lt; .01, which corresponds to roughly 3 deaths against 17 in the matched arms; no test of those proportions yields P &lt; .01, so the stated significance cannot be reproduced from the numbers printed</w:t>
            </w:r>
          </w:p>
          <w:p>
            <w:pPr>
              <w:pStyle w:val="ListParagraph"/>
              <w:numPr>
                <w:ilvl w:val="0"/>
                <w:numId w:val="2"/>
              </w:numPr>
              <w:spacing w:after="45"/>
            </w:pPr>
            <w:r>
              <w:rPr>
                <w:sz w:val="15"/>
                <w:szCs w:val="15"/>
              </w:rPr>
              <w:t xml:space="preserve">The entry criterion was Milan-equivalent, a single tumour up to 5 cm or up to three each 3 cm or less, not 3 cm; the paper is nonetheless cited for a 3 cm position, and its only 3 cm finding is that 3-5 cm size was an independent disease-free survival risk factor after ablation but not after resection</w:t>
            </w:r>
          </w:p>
          <w:p>
            <w:pPr>
              <w:pStyle w:val="ListParagraph"/>
              <w:numPr>
                <w:ilvl w:val="0"/>
                <w:numId w:val="2"/>
              </w:numPr>
              <w:spacing w:after="45"/>
            </w:pPr>
            <w:r>
              <w:rPr>
                <w:sz w:val="15"/>
                <w:szCs w:val="15"/>
              </w:rPr>
              <w:t xml:space="preserve">Percutaneous ablation yields no specimen and no nodal dissection, so node-negative status in the ablation arm rests on imaging alone in a disease where imaging sensitivity for nodal metastasis is poor, and no pathological node status is available to drive adjuvant decisions</w:t>
            </w:r>
          </w:p>
          <w:p>
            <w:pPr>
              <w:pStyle w:val="ListParagraph"/>
              <w:numPr>
                <w:ilvl w:val="0"/>
                <w:numId w:val="2"/>
              </w:numPr>
              <w:spacing w:after="45"/>
            </w:pPr>
            <w:r>
              <w:rPr>
                <w:sz w:val="15"/>
                <w:szCs w:val="15"/>
              </w:rPr>
              <w:t xml:space="preserve">Treatment was assigned by multidisciplinary team and patient preference, and the ablation arm started with more multiple tumours, more bilobar disease and higher comorbidity scores, so the matched comparison is reconstructing a counterfactual from groups that differed on exactly the axes that determine prognosis</w:t>
            </w:r>
          </w:p>
          <w:p>
            <w:pPr>
              <w:pStyle w:val="ListParagraph"/>
              <w:numPr>
                <w:ilvl w:val="0"/>
                <w:numId w:val="2"/>
              </w:numPr>
              <w:spacing w:after="45"/>
            </w:pPr>
            <w:r>
              <w:rPr>
                <w:sz w:val="15"/>
                <w:szCs w:val="15"/>
              </w:rPr>
              <w:t xml:space="preserve">All ten centres are Chinese tertiary hospitals with high ablation volume in a population where hepatitis B and hepatolithiasis are common, so neither the complication rate nor the margin achievement rate transfers automatically</w:t>
            </w:r>
          </w:p>
          <w:p>
            <w:pPr>
              <w:pStyle w:val="ListParagraph"/>
              <w:numPr>
                <w:ilvl w:val="0"/>
                <w:numId w:val="2"/>
              </w:numPr>
              <w:spacing w:after="45"/>
            </w:pPr>
            <w:r>
              <w:rPr>
                <w:sz w:val="15"/>
                <w:szCs w:val="15"/>
              </w:rPr>
              <w:t xml:space="preserve">No linked editorial or comment was found in PubMed, so no independent published appraisal accompanies the equivalence claim</w:t>
            </w:r>
          </w:p>
        </w:tc>
      </w:tr>
    </w:tbl>
    <w:p>
      <w:pPr>
        <w:spacing w:after="0" w:line="276"/>
      </w:pPr>
      <w:r>
        <w:rPr>
          <w:color w:val="5A6069"/>
          <w:sz w:val="14"/>
          <w:szCs w:val="14"/>
        </w:rPr>
        <w:t xml:space="preserve">Funding: Funded by the National Natural Science Foundation of China (92159305, 81971625, 82030047); the funder had no role in design, collection, analysis, interpretation or writing; no interests to report</w:t>
      </w:r>
    </w:p>
    <w:p>
      <w:pPr>
        <w:keepNext/>
        <w:spacing w:after="50" w:before="260"/>
      </w:pPr>
      <w:r>
        <w:rPr>
          <w:rFonts w:ascii="Cambria" w:cs="Cambria" w:eastAsia="Cambria" w:hAnsi="Cambria"/>
          <w:b/>
          <w:bCs/>
          <w:color w:val="17365D"/>
          <w:sz w:val="20"/>
          <w:szCs w:val="20"/>
        </w:rPr>
        <w:t xml:space="preserve">MALRIC recurrent</w:t>
      </w:r>
      <w:r>
        <w:rPr>
          <w:b/>
          <w:bCs/>
          <w:color w:val="176A87"/>
          <w:sz w:val="15"/>
          <w:szCs w:val="15"/>
        </w:rPr>
        <w:t xml:space="preserve">   cohort</w:t>
      </w:r>
      <w:r>
        <w:rPr>
          <w:color w:val="5A6069"/>
          <w:sz w:val="15"/>
          <w:szCs w:val="15"/>
        </w:rPr>
        <w:t xml:space="preserve">   PMID 41528222</w:t>
      </w:r>
    </w:p>
    <w:p>
      <w:pPr>
        <w:spacing w:after="50" w:line="276"/>
      </w:pPr>
      <w:r>
        <w:rPr>
          <w:color w:val="5A6069"/>
          <w:sz w:val="17"/>
          <w:szCs w:val="17"/>
        </w:rPr>
        <w:t xml:space="preserve">Survival Outcomes of Microwave Ablation Compared with Repeat Liver Resection in the Treatment of Recurrent Intrahepatic Cholangiocarcinoma</w:t>
      </w:r>
    </w:p>
    <w:p>
      <w:pPr>
        <w:spacing w:after="50"/>
      </w:pPr>
      <w:r>
        <w:rPr>
          <w:b/>
          <w:bCs/>
          <w:color w:val="176A87"/>
          <w:sz w:val="16"/>
          <w:szCs w:val="16"/>
        </w:rPr>
        <w:t xml:space="preserve">Population. </w:t>
      </w:r>
      <w:r>
        <w:rPr>
          <w:sz w:val="16"/>
          <w:szCs w:val="16"/>
        </w:rPr>
        <w:t xml:space="preserve">494 patients with a first intrahepatic recurrence of iCCA within Milan-equivalent criteria, selected from 10,441 screened in the MALRIC cohort across ten Chinese tertiary centres from January 2009 to June 2024: 375 microwave ablation and 119 repeat liver resection</w:t>
      </w:r>
    </w:p>
    <w:p>
      <w:pPr>
        <w:spacing w:after="70"/>
      </w:pPr>
      <w:r>
        <w:rPr>
          <w:b/>
          <w:bCs/>
          <w:color w:val="17365D"/>
          <w:sz w:val="16"/>
          <w:szCs w:val="16"/>
        </w:rPr>
        <w:t xml:space="preserve">Bottom line. </w:t>
      </w:r>
      <w:r>
        <w:rPr>
          <w:sz w:val="16"/>
          <w:szCs w:val="16"/>
        </w:rPr>
        <w:t xml:space="preserve">At a first intrahepatic recurrence of iCCA within Milan-equivalent limits, microwave ablation produced overall survival statistically indistinguishable from repeat hepatectomy with a sixth of the major complications and a quarter less cost. It does not establish equivalence: median survival was 4 months shorter, disease-free survival was directionally worse with an upper bound exactly at 1.00, and four prespecified strata favoured repeat resection. Eighteen percent of the cohort was censored for lost follow-up, and the authors themselves call the results exploratory.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repeat liver resection group remains small because so few patients undergo repeat resection in real-world practice</w:t>
            </w:r>
          </w:p>
          <w:p>
            <w:pPr>
              <w:pStyle w:val="ListParagraph"/>
              <w:numPr>
                <w:ilvl w:val="0"/>
                <w:numId w:val="2"/>
              </w:numPr>
              <w:spacing w:after="45"/>
            </w:pPr>
            <w:r>
              <w:rPr>
                <w:sz w:val="15"/>
                <w:szCs w:val="15"/>
              </w:rPr>
              <w:t xml:space="preserve">Potential selection bias persists because of the design, despite propensity score matching and overlap weighting</w:t>
            </w:r>
          </w:p>
          <w:p>
            <w:pPr>
              <w:pStyle w:val="ListParagraph"/>
              <w:numPr>
                <w:ilvl w:val="0"/>
                <w:numId w:val="2"/>
              </w:numPr>
              <w:spacing w:after="45"/>
            </w:pPr>
            <w:r>
              <w:rPr>
                <w:sz w:val="15"/>
                <w:szCs w:val="15"/>
              </w:rPr>
              <w:t xml:space="preserve">Hepatic function preservation and quality of life, the outcomes most relevant to a minimally invasive treatment, could not be measured</w:t>
            </w:r>
          </w:p>
          <w:p>
            <w:pPr>
              <w:pStyle w:val="ListParagraph"/>
              <w:numPr>
                <w:ilvl w:val="0"/>
                <w:numId w:val="2"/>
              </w:numPr>
              <w:spacing w:after="45"/>
            </w:pPr>
            <w:r>
              <w:rPr>
                <w:sz w:val="15"/>
                <w:szCs w:val="15"/>
              </w:rPr>
              <w:t xml:space="preserve">The 4-month difference in median overall survival is a clinically noteworthy magnitude even though it was not statistically significant, and randomised trials are still required</w:t>
            </w:r>
          </w:p>
          <w:p>
            <w:pPr>
              <w:pStyle w:val="ListParagraph"/>
              <w:numPr>
                <w:ilvl w:val="0"/>
                <w:numId w:val="2"/>
              </w:numPr>
              <w:spacing w:after="45"/>
            </w:pPr>
            <w:r>
              <w:rPr>
                <w:sz w:val="15"/>
                <w:szCs w:val="15"/>
              </w:rPr>
              <w:t xml:space="preserve">Unmeasured and residual confounding from measurement error in confounders, and stepwise selection in the Cox models that may bias the estimates</w:t>
            </w:r>
          </w:p>
          <w:p>
            <w:pPr>
              <w:pStyle w:val="ListParagraph"/>
              <w:numPr>
                <w:ilvl w:val="0"/>
                <w:numId w:val="2"/>
              </w:numPr>
              <w:spacing w:after="45"/>
            </w:pPr>
            <w:r>
              <w:rPr>
                <w:sz w:val="15"/>
                <w:szCs w:val="15"/>
              </w:rPr>
              <w:t xml:space="preserve">The findings should be interpreted as exploratory given the observational design, and further investigation is needed for the large duct subtype, complication-free initial resection, a disease-free interval under one year, and cases where a 5 mm ablative margin is hard to achieve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Similarity is inferred from three non-significant hazard ratios for overall survival, 0.89 (0.68-1.17), 0.88 (0.67-1.15) and 0.97 (0.73-1.30); no non-inferiority margin was set, so the confidence intervals admit up to a 30% higher death hazard with ablation and the paper's own 4-month median gap sits inside them</w:t>
            </w:r>
          </w:p>
          <w:p>
            <w:pPr>
              <w:pStyle w:val="ListParagraph"/>
              <w:numPr>
                <w:ilvl w:val="0"/>
                <w:numId w:val="2"/>
              </w:numPr>
              <w:spacing w:after="45"/>
            </w:pPr>
            <w:r>
              <w:rPr>
                <w:sz w:val="15"/>
                <w:szCs w:val="15"/>
              </w:rPr>
              <w:t xml:space="preserve">Disease-free survival at HR 0.78 (0.61-1.00), P = .07 has an upper bound touching exactly 1.00 and is reported as similar; in the matched set it is 0.81 (0.62-1.06), so the one endpoint that measures local control is consistently directional against ablation and never excluded</w:t>
            </w:r>
          </w:p>
          <w:p>
            <w:pPr>
              <w:pStyle w:val="ListParagraph"/>
              <w:numPr>
                <w:ilvl w:val="0"/>
                <w:numId w:val="2"/>
              </w:numPr>
              <w:spacing w:after="45"/>
            </w:pPr>
            <w:r>
              <w:rPr>
                <w:sz w:val="15"/>
                <w:szCs w:val="15"/>
              </w:rPr>
              <w:t xml:space="preserve">The paper is presented as a secondary analysis of a prospective cohort yet its own limitations paragraph attributes the selection bias to the retrospective design, so the reader cannot tell which parts of the data were collected prospectively</w:t>
            </w:r>
          </w:p>
          <w:p>
            <w:pPr>
              <w:pStyle w:val="ListParagraph"/>
              <w:numPr>
                <w:ilvl w:val="0"/>
                <w:numId w:val="2"/>
              </w:numPr>
              <w:spacing w:after="45"/>
            </w:pPr>
            <w:r>
              <w:rPr>
                <w:sz w:val="15"/>
                <w:szCs w:val="15"/>
              </w:rPr>
              <w:t xml:space="preserve">18.0% of participants, 89 of 494, were lost to follow-up and censored at last contact, 18.4% in the ablation arm and 16.8% in the resection arm, on top of 42 excluded for lost follow-up at screening; losses of that size in a survival comparison of this margin are not addressed in the analysis</w:t>
            </w:r>
          </w:p>
          <w:p>
            <w:pPr>
              <w:pStyle w:val="ListParagraph"/>
              <w:numPr>
                <w:ilvl w:val="0"/>
                <w:numId w:val="2"/>
              </w:numPr>
              <w:spacing w:after="45"/>
            </w:pPr>
            <w:r>
              <w:rPr>
                <w:sz w:val="15"/>
                <w:szCs w:val="15"/>
              </w:rPr>
              <w:t xml:space="preserve">Four subgroups are reported in which repeat resection beat ablation for disease-free survival, each with a confidence interval that approaches 1 (0.32-0.91, 0.52-0.98, and two at roughly 0.65 with P = .02 and .046), with no multiplicity adjustment stated for the subgroup set</w:t>
            </w:r>
          </w:p>
          <w:p>
            <w:pPr>
              <w:pStyle w:val="ListParagraph"/>
              <w:numPr>
                <w:ilvl w:val="0"/>
                <w:numId w:val="2"/>
              </w:numPr>
              <w:spacing w:after="45"/>
            </w:pPr>
            <w:r>
              <w:rPr>
                <w:sz w:val="15"/>
                <w:szCs w:val="15"/>
              </w:rPr>
              <w:t xml:space="preserve">Treatment was chosen by multidisciplinary team and patient preference and the imbalance was large before weighting, including tumour number with a standardised mean difference of 0.38 and P &lt; .001; the overlap weighting that drives the standardised mean differences towards zero also reweights the population away from the patients clinicians actually had to choose for</w:t>
            </w:r>
          </w:p>
          <w:p>
            <w:pPr>
              <w:pStyle w:val="ListParagraph"/>
              <w:numPr>
                <w:ilvl w:val="0"/>
                <w:numId w:val="2"/>
              </w:numPr>
              <w:spacing w:after="45"/>
            </w:pPr>
            <w:r>
              <w:rPr>
                <w:sz w:val="15"/>
                <w:szCs w:val="15"/>
              </w:rPr>
              <w:t xml:space="preserve">E values of 7.26 and 6.79 are quoted as evidence of robustness to unmeasured confounding, but an E value this high simply reflects a hazard ratio close to 1; it is not evidence that no confounding was present</w:t>
            </w:r>
          </w:p>
          <w:p>
            <w:pPr>
              <w:pStyle w:val="ListParagraph"/>
              <w:numPr>
                <w:ilvl w:val="0"/>
                <w:numId w:val="2"/>
              </w:numPr>
              <w:spacing w:after="45"/>
            </w:pPr>
            <w:r>
              <w:rPr>
                <w:sz w:val="15"/>
                <w:szCs w:val="15"/>
              </w:rPr>
              <w:t xml:space="preserve">Repeat resection carried 31.3% major complications against 5.5% for ablation, yet 119 patients were still selected for it, which implies the resection arm was chosen for fitness and the two arms were never exchangeable on operative candidacy</w:t>
            </w:r>
          </w:p>
          <w:p>
            <w:pPr>
              <w:pStyle w:val="ListParagraph"/>
              <w:numPr>
                <w:ilvl w:val="0"/>
                <w:numId w:val="2"/>
              </w:numPr>
              <w:spacing w:after="45"/>
            </w:pPr>
            <w:r>
              <w:rPr>
                <w:sz w:val="15"/>
                <w:szCs w:val="15"/>
              </w:rPr>
              <w:t xml:space="preserve">The ablation arm has no specimen from the recurrence, so large duct versus small duct subtype, the strongest prognostic factor reported here, is classified from the original resection rather than from the recurrent tumour being treated</w:t>
            </w:r>
          </w:p>
          <w:p>
            <w:pPr>
              <w:pStyle w:val="ListParagraph"/>
              <w:numPr>
                <w:ilvl w:val="0"/>
                <w:numId w:val="2"/>
              </w:numPr>
              <w:spacing w:after="45"/>
            </w:pPr>
            <w:r>
              <w:rPr>
                <w:sz w:val="15"/>
                <w:szCs w:val="15"/>
              </w:rPr>
              <w:t xml:space="preserve">All ten centres are Chinese tertiary hospitals and operators had a median of 10.5 years of independent ablation experience, so a 5.5% major complication rate and the margin achievement behind these results should not be assumed to transfer</w:t>
            </w:r>
          </w:p>
          <w:p>
            <w:pPr>
              <w:pStyle w:val="ListParagraph"/>
              <w:numPr>
                <w:ilvl w:val="0"/>
                <w:numId w:val="2"/>
              </w:numPr>
              <w:spacing w:after="45"/>
            </w:pPr>
            <w:r>
              <w:rPr>
                <w:sz w:val="15"/>
                <w:szCs w:val="15"/>
              </w:rPr>
              <w:t xml:space="preserve">Entry was Milan-equivalent, a single recurrence up to 5 cm or up to three each 3 cm or less, with mean tumour size 2.7 cm; the study therefore says nothing about recurrences beyond those limits, which is the larger share of recurrences in practice</w:t>
            </w:r>
          </w:p>
          <w:p>
            <w:pPr>
              <w:pStyle w:val="ListParagraph"/>
              <w:numPr>
                <w:ilvl w:val="0"/>
                <w:numId w:val="2"/>
              </w:numPr>
              <w:spacing w:after="45"/>
            </w:pPr>
            <w:r>
              <w:rPr>
                <w:sz w:val="15"/>
                <w:szCs w:val="15"/>
              </w:rPr>
              <w:t xml:space="preserve">An accompanying editorial by Georgiades appears in the same Radiology issue (PMID 41528229); it was identified from the citation record and not read, so its arguments are not represented here</w:t>
            </w:r>
          </w:p>
        </w:tc>
      </w:tr>
    </w:tbl>
    <w:p>
      <w:pPr>
        <w:spacing w:after="0" w:line="276"/>
      </w:pPr>
      <w:r>
        <w:rPr>
          <w:color w:val="5A6069"/>
          <w:sz w:val="14"/>
          <w:szCs w:val="14"/>
        </w:rPr>
        <w:t xml:space="preserve">Funding: Supported by the National Natural Science Foundation of China (92159305, 82325027, 82030047) and a China Postdoctoral Science Foundation grant (2023M734302); author conflicts of interest are deferred to ICMJE forms supplied as supplemental material rather than printed</w:t>
      </w:r>
    </w:p>
    <w:p>
      <w:pPr>
        <w:keepNext/>
        <w:spacing w:after="50" w:before="260"/>
      </w:pPr>
      <w:r>
        <w:rPr>
          <w:rFonts w:ascii="Cambria" w:cs="Cambria" w:eastAsia="Cambria" w:hAnsi="Cambria"/>
          <w:b/>
          <w:bCs/>
          <w:color w:val="17365D"/>
          <w:sz w:val="20"/>
          <w:szCs w:val="20"/>
        </w:rPr>
        <w:t xml:space="preserve">MISPHEC</w:t>
      </w:r>
      <w:r>
        <w:rPr>
          <w:b/>
          <w:bCs/>
          <w:color w:val="176A87"/>
          <w:sz w:val="15"/>
          <w:szCs w:val="15"/>
        </w:rPr>
        <w:t xml:space="preserve">   Prospective trial</w:t>
      </w:r>
      <w:r>
        <w:rPr>
          <w:color w:val="5A6069"/>
          <w:sz w:val="15"/>
          <w:szCs w:val="15"/>
        </w:rPr>
        <w:t xml:space="preserve">   PMID 31670746</w:t>
      </w:r>
    </w:p>
    <w:p>
      <w:pPr>
        <w:spacing w:after="50" w:line="276"/>
      </w:pPr>
      <w:r>
        <w:rPr>
          <w:color w:val="5A6069"/>
          <w:sz w:val="17"/>
          <w:szCs w:val="17"/>
        </w:rPr>
        <w:t xml:space="preserve">Radioembolization Plus Chemotherapy for First-line Treatment of Locally Advanced Intrahepatic Cholangiocarcinoma: A Phase 2 Clinical Trial</w:t>
      </w:r>
    </w:p>
    <w:p>
      <w:pPr>
        <w:spacing w:after="50"/>
      </w:pPr>
      <w:r>
        <w:rPr>
          <w:b/>
          <w:bCs/>
          <w:color w:val="176A87"/>
          <w:sz w:val="16"/>
          <w:szCs w:val="16"/>
        </w:rPr>
        <w:t xml:space="preserve">Population. </w:t>
      </w:r>
      <w:r>
        <w:rPr>
          <w:sz w:val="16"/>
          <w:szCs w:val="16"/>
        </w:rPr>
        <w:t xml:space="preserve">41 patients with locally advanced unresectable intrahepatic cholangiocarcinoma forming the intention-to-treat population, from 56 screened at 7 French SIRT-experienced centres between November 2013 and June 2016; 32 were analysable per protocol after 9 major protocol deviations, 27 had disease confined to one hemiliver and 12 had cirrhosis</w:t>
      </w:r>
    </w:p>
    <w:p>
      <w:pPr>
        <w:spacing w:after="70"/>
      </w:pPr>
      <w:r>
        <w:rPr>
          <w:b/>
          <w:bCs/>
          <w:color w:val="17365D"/>
          <w:sz w:val="16"/>
          <w:szCs w:val="16"/>
        </w:rPr>
        <w:t xml:space="preserve">Bottom line. </w:t>
      </w:r>
      <w:r>
        <w:rPr>
          <w:sz w:val="16"/>
          <w:szCs w:val="16"/>
        </w:rPr>
        <w:t xml:space="preserve">MISPHEC is the trial behind using yttrium-90 radioembolisation with first-line cisplatin-gemcitabine to downstage locally advanced iCCA, with a 39% response rate, 22% taken to surgery and 20% resected R0, and 22-month median survival. Being single-arm in a favourable locally advanced population at SIRT-experienced centres, it cannot attribute any of that to the radioembolisation. It does establish one hard finding: hepatic failure in 9 of 12 cirrhotic patients, irreversible in 5, so the combination should not be given in cirrhosis.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single-arm design made interpretation of the results difficult</w:t>
            </w:r>
          </w:p>
          <w:p>
            <w:pPr>
              <w:pStyle w:val="ListParagraph"/>
              <w:numPr>
                <w:ilvl w:val="0"/>
                <w:numId w:val="2"/>
              </w:numPr>
              <w:spacing w:after="45"/>
            </w:pPr>
            <w:r>
              <w:rPr>
                <w:sz w:val="15"/>
                <w:szCs w:val="15"/>
              </w:rPr>
              <w:t xml:space="preserve">Outcomes in locally advanced intrahepatic disease may have been better than in populations of all locally advanced or metastatic biliary tract cancers, so the comparison with those series is not like for like</w:t>
            </w:r>
          </w:p>
          <w:p>
            <w:pPr>
              <w:pStyle w:val="ListParagraph"/>
              <w:numPr>
                <w:ilvl w:val="0"/>
                <w:numId w:val="2"/>
              </w:numPr>
              <w:spacing w:after="45"/>
            </w:pPr>
            <w:r>
              <w:rPr>
                <w:sz w:val="15"/>
                <w:szCs w:val="15"/>
              </w:rPr>
              <w:t xml:space="preserve">The study was performed only in centres experienced with glass microspheres</w:t>
            </w:r>
          </w:p>
          <w:p>
            <w:pPr>
              <w:pStyle w:val="ListParagraph"/>
              <w:numPr>
                <w:ilvl w:val="0"/>
                <w:numId w:val="2"/>
              </w:numPr>
              <w:spacing w:after="45"/>
            </w:pPr>
            <w:r>
              <w:rPr>
                <w:sz w:val="15"/>
                <w:szCs w:val="15"/>
              </w:rPr>
              <w:t xml:space="preserve">SIRT doses were set from label instructions, while accumulating evidence suggests that defining the dose delivered to the tumour rather than a generic dose to the targeted liver might improve results</w:t>
            </w:r>
          </w:p>
          <w:p>
            <w:pPr>
              <w:pStyle w:val="ListParagraph"/>
              <w:numPr>
                <w:ilvl w:val="0"/>
                <w:numId w:val="2"/>
              </w:numPr>
              <w:spacing w:after="45"/>
            </w:pPr>
            <w:r>
              <w:rPr>
                <w:sz w:val="15"/>
                <w:szCs w:val="15"/>
              </w:rPr>
              <w:t xml:space="preserve">No data on molecular alterations were collected, although these might influence outcomes</w:t>
            </w:r>
          </w:p>
          <w:p>
            <w:pPr>
              <w:pStyle w:val="ListParagraph"/>
              <w:numPr>
                <w:ilvl w:val="0"/>
                <w:numId w:val="2"/>
              </w:numPr>
              <w:spacing w:after="45"/>
            </w:pPr>
            <w:r>
              <w:rPr>
                <w:sz w:val="15"/>
                <w:szCs w:val="15"/>
              </w:rPr>
              <w:t xml:space="preserve">The authors advise against SIRT with chemotherapy in patients with cirrhosis after hepatic failure occurred in 9 of 12 such patients, irreversibly in 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3-month response rate against a 22% futility threshold, which tests the regimen against a historical number rather than against chemotherapy alone, and the reported 39% is investigator-assessed with central review at 41% on best rather than 3-month response</w:t>
            </w:r>
          </w:p>
          <w:p>
            <w:pPr>
              <w:pStyle w:val="ListParagraph"/>
              <w:numPr>
                <w:ilvl w:val="0"/>
                <w:numId w:val="2"/>
              </w:numPr>
              <w:spacing w:after="45"/>
            </w:pPr>
            <w:r>
              <w:rPr>
                <w:sz w:val="15"/>
                <w:szCs w:val="15"/>
              </w:rPr>
              <w:t xml:space="preserve">Disease control of 98% (40 of 41) and a Choi response of 93% are reported alongside a RECIST response of 39%, so the headline figures depend entirely on which criterion is quoted and the paper quotes the most favourable in its abstract framing</w:t>
            </w:r>
          </w:p>
          <w:p>
            <w:pPr>
              <w:pStyle w:val="ListParagraph"/>
              <w:numPr>
                <w:ilvl w:val="0"/>
                <w:numId w:val="2"/>
              </w:numPr>
              <w:spacing w:after="45"/>
            </w:pPr>
            <w:r>
              <w:rPr>
                <w:sz w:val="15"/>
                <w:szCs w:val="15"/>
              </w:rPr>
              <w:t xml:space="preserve">Nine of 41 patients had major protocol deviations and 4 of 45 were excluded at the planning angiogram, so the 22% downstaging figure is drawn from a cohort selected before, during and after enrolment</w:t>
            </w:r>
          </w:p>
          <w:p>
            <w:pPr>
              <w:pStyle w:val="ListParagraph"/>
              <w:numPr>
                <w:ilvl w:val="0"/>
                <w:numId w:val="2"/>
              </w:numPr>
              <w:spacing w:after="45"/>
            </w:pPr>
            <w:r>
              <w:rPr>
                <w:sz w:val="15"/>
                <w:szCs w:val="15"/>
              </w:rPr>
              <w:t xml:space="preserve">The 22-month median survival has a confidence interval of 14 to 52 months, which the single-arm design cannot narrow and which overlaps almost every published series for this population</w:t>
            </w:r>
          </w:p>
          <w:p>
            <w:pPr>
              <w:pStyle w:val="ListParagraph"/>
              <w:numPr>
                <w:ilvl w:val="0"/>
                <w:numId w:val="2"/>
              </w:numPr>
              <w:spacing w:after="45"/>
            </w:pPr>
            <w:r>
              <w:rPr>
                <w:sz w:val="15"/>
                <w:szCs w:val="15"/>
              </w:rPr>
              <w:t xml:space="preserve">Hepatic failure occurred in 75% of cirrhotic patients and was irreversible in 5, all after whole-liver treatment; a safety signal of that magnitude in 12 patients means the trial cannot define a safe dose in cirrhosis, only that it harmed most of them</w:t>
            </w:r>
          </w:p>
          <w:p>
            <w:pPr>
              <w:pStyle w:val="ListParagraph"/>
              <w:numPr>
                <w:ilvl w:val="0"/>
                <w:numId w:val="2"/>
              </w:numPr>
              <w:spacing w:after="45"/>
            </w:pPr>
            <w:r>
              <w:rPr>
                <w:sz w:val="15"/>
                <w:szCs w:val="15"/>
              </w:rPr>
              <w:t xml:space="preserve">Grade 3 or 4 toxicity occurred in 71% of patients overall, including 5% acute hepatic failure and 7% ascites, which is a severe profile for a treatment whose benefit over chemotherapy alone is unmeasured</w:t>
            </w:r>
          </w:p>
          <w:p>
            <w:pPr>
              <w:pStyle w:val="ListParagraph"/>
              <w:numPr>
                <w:ilvl w:val="0"/>
                <w:numId w:val="2"/>
              </w:numPr>
              <w:spacing w:after="45"/>
            </w:pPr>
            <w:r>
              <w:rPr>
                <w:sz w:val="15"/>
                <w:szCs w:val="15"/>
              </w:rPr>
              <w:t xml:space="preserve">Delivered dose varied by more than an order of magnitude, 18 to 430 Gy to the targeted liver and 64 to 1673 Gy to tumour, so the trial does not describe a reproducible intervention and no dose-response analysis is presented</w:t>
            </w:r>
          </w:p>
          <w:p>
            <w:pPr>
              <w:pStyle w:val="ListParagraph"/>
              <w:numPr>
                <w:ilvl w:val="0"/>
                <w:numId w:val="2"/>
              </w:numPr>
              <w:spacing w:after="45"/>
            </w:pPr>
            <w:r>
              <w:rPr>
                <w:sz w:val="15"/>
                <w:szCs w:val="15"/>
              </w:rPr>
              <w:t xml:space="preserve">The surgical outcomes that most impress, median relapse-free survival not reached and 88.9% post-surgical survival, come from the 8 or 9 patients who were resected, a subgroup defined by having responded</w:t>
            </w:r>
          </w:p>
          <w:p>
            <w:pPr>
              <w:pStyle w:val="ListParagraph"/>
              <w:numPr>
                <w:ilvl w:val="0"/>
                <w:numId w:val="2"/>
              </w:numPr>
              <w:spacing w:after="45"/>
            </w:pPr>
            <w:r>
              <w:rPr>
                <w:sz w:val="15"/>
                <w:szCs w:val="15"/>
              </w:rPr>
              <w:t xml:space="preserve">Two patients were offered liver transplantation after their disease remained unresectable but controlled, and both recurred at 16 and 17 months with a single lung lesion each; these two cases are the paper's only transplant data and are frequently cited as if they were a protocol</w:t>
            </w:r>
          </w:p>
          <w:p>
            <w:pPr>
              <w:pStyle w:val="ListParagraph"/>
              <w:numPr>
                <w:ilvl w:val="0"/>
                <w:numId w:val="2"/>
              </w:numPr>
              <w:spacing w:after="45"/>
            </w:pPr>
            <w:r>
              <w:rPr>
                <w:sz w:val="15"/>
                <w:szCs w:val="15"/>
              </w:rPr>
              <w:t xml:space="preserve">BTG, which manufactures the microspheres, part-funded the trial, the first author declares BTG grants and fees during its conduct, and one author was a BTG employee at publication, while the confirmatory randomised trial SIRCCA was still enrolling</w:t>
            </w:r>
          </w:p>
          <w:p>
            <w:pPr>
              <w:pStyle w:val="ListParagraph"/>
              <w:numPr>
                <w:ilvl w:val="0"/>
                <w:numId w:val="2"/>
              </w:numPr>
              <w:spacing w:after="45"/>
            </w:pPr>
            <w:r>
              <w:rPr>
                <w:sz w:val="15"/>
                <w:szCs w:val="15"/>
              </w:rPr>
              <w:t xml:space="preserve">Low albumin and high carcinoembryonic antigen were the only independent survival predictors, which suggests the outcomes are driven by baseline host and tumour burden rather than by the radioembolisation</w:t>
            </w:r>
          </w:p>
          <w:p>
            <w:pPr>
              <w:pStyle w:val="ListParagraph"/>
              <w:numPr>
                <w:ilvl w:val="0"/>
                <w:numId w:val="2"/>
              </w:numPr>
              <w:spacing w:after="45"/>
            </w:pPr>
            <w:r>
              <w:rPr>
                <w:sz w:val="15"/>
                <w:szCs w:val="15"/>
              </w:rPr>
              <w:t xml:space="preserve">The accompanying JAMA Oncology editorial by Scott and Shroff (PMID 31670748) is titled to say the jury is still out; its full text was not read here and only the title is relied on</w:t>
            </w:r>
          </w:p>
        </w:tc>
      </w:tr>
    </w:tbl>
    <w:p>
      <w:pPr>
        <w:spacing w:after="0" w:line="276"/>
      </w:pPr>
      <w:r>
        <w:rPr>
          <w:color w:val="5A6069"/>
          <w:sz w:val="14"/>
          <w:szCs w:val="14"/>
        </w:rPr>
        <w:t xml:space="preserve">Funding: Partially funded by BTG Corporation, the microsphere manufacturer, and the Ligue Contre le Cancer, with the funders stated to have had no role in design, conduct, analysis or manuscript approval; the first author declares consultancy, grants and personal fees from BTG during the conduct of the study and one author was employed by BTG at publication</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Sapisochin review</w:t>
      </w:r>
      <w:r>
        <w:rPr>
          <w:b/>
          <w:bCs/>
          <w:color w:val="176A87"/>
          <w:sz w:val="15"/>
          <w:szCs w:val="15"/>
        </w:rPr>
        <w:t xml:space="preserve">   Review</w:t>
      </w:r>
      <w:r>
        <w:rPr>
          <w:color w:val="5A6069"/>
          <w:sz w:val="15"/>
          <w:szCs w:val="15"/>
        </w:rPr>
        <w:t xml:space="preserve">   PMID 34859465</w:t>
      </w:r>
    </w:p>
    <w:p>
      <w:pPr>
        <w:spacing w:after="50" w:line="276"/>
      </w:pPr>
      <w:r>
        <w:rPr>
          <w:color w:val="5A6069"/>
          <w:sz w:val="17"/>
          <w:szCs w:val="17"/>
        </w:rPr>
        <w:t xml:space="preserve">Liver Transplantation for Intrahepatic Cholangiocarcinoma: Ready for Prime Time?</w:t>
      </w:r>
    </w:p>
    <w:p>
      <w:pPr>
        <w:spacing w:after="70"/>
      </w:pPr>
      <w:r>
        <w:rPr>
          <w:b/>
          <w:bCs/>
          <w:color w:val="17365D"/>
          <w:sz w:val="16"/>
          <w:szCs w:val="16"/>
        </w:rPr>
        <w:t xml:space="preserve">Bottom line. </w:t>
      </w:r>
      <w:r>
        <w:rPr>
          <w:sz w:val="16"/>
          <w:szCs w:val="16"/>
        </w:rPr>
        <w:t xml:space="preserve">A useful tabulation of every published transplant series for iCCA up to 2020, which establishes that outcomes in single tumours of 2 cm or less look better than in larger or multifocal disease and that no comparison with resection is free of selection bias. It does not establish a threshold, a stability requirement or an indication, because every number it reports comes from cohorts defined by explant pathology with no measure of waitlist dropout. Its central recommendations cite the senior author's own 15-patient series and a six-patient case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within the text that retrospective comparisons of liver resection against transplantation are subject to selection bias and to both unmeasured and residual confounding, given how distinct the two populations are</w:t>
            </w:r>
          </w:p>
          <w:p>
            <w:pPr>
              <w:pStyle w:val="ListParagraph"/>
              <w:numPr>
                <w:ilvl w:val="0"/>
                <w:numId w:val="2"/>
              </w:numPr>
              <w:spacing w:after="45"/>
            </w:pPr>
            <w:r>
              <w:rPr>
                <w:sz w:val="15"/>
                <w:szCs w:val="15"/>
              </w:rPr>
              <w:t xml:space="preserve">They state that a fair comparison between resection and transplantation is unlikely to be possible in any retrospective design, and that a randomised comparison is not feasible</w:t>
            </w:r>
          </w:p>
          <w:p>
            <w:pPr>
              <w:pStyle w:val="ListParagraph"/>
              <w:numPr>
                <w:ilvl w:val="0"/>
                <w:numId w:val="2"/>
              </w:numPr>
              <w:spacing w:after="45"/>
            </w:pPr>
            <w:r>
              <w:rPr>
                <w:sz w:val="15"/>
                <w:szCs w:val="15"/>
              </w:rPr>
              <w:t xml:space="preserve">They list the National Cancer Database analysis's own gaps, including no fibrosis or cirrhosis score, no MELD score, no functional status, no detail on neoadjuvant cycles, no future liver remnant, no tumour number and no operative detail</w:t>
            </w:r>
          </w:p>
          <w:p>
            <w:pPr>
              <w:pStyle w:val="ListParagraph"/>
              <w:numPr>
                <w:ilvl w:val="0"/>
                <w:numId w:val="2"/>
              </w:numPr>
              <w:spacing w:after="45"/>
            </w:pPr>
            <w:r>
              <w:rPr>
                <w:sz w:val="15"/>
                <w:szCs w:val="15"/>
              </w:rPr>
              <w:t xml:space="preserve">They note that the 61.4% neoadjuvant chemotherapy and 42.1% neoadjuvant radiation rates in the transplant arm of that database raise the possibility that some perihilar cholangiocarcinoma or HCC was miscoded as intrahepatic</w:t>
            </w:r>
          </w:p>
          <w:p>
            <w:pPr>
              <w:pStyle w:val="ListParagraph"/>
              <w:numPr>
                <w:ilvl w:val="0"/>
                <w:numId w:val="2"/>
              </w:numPr>
              <w:spacing w:after="45"/>
            </w:pPr>
            <w:r>
              <w:rPr>
                <w:sz w:val="15"/>
                <w:szCs w:val="15"/>
              </w:rPr>
              <w:t xml:space="preserve">They state that pooling intrahepatic with perihilar disease, and patients who did and did not receive neoadjuvant or adjuvant therapy, is a significant limitation on interpreting the data</w:t>
            </w:r>
          </w:p>
          <w:p>
            <w:pPr>
              <w:pStyle w:val="ListParagraph"/>
              <w:numPr>
                <w:ilvl w:val="0"/>
                <w:numId w:val="2"/>
              </w:numPr>
              <w:spacing w:after="45"/>
            </w:pPr>
            <w:r>
              <w:rPr>
                <w:sz w:val="15"/>
                <w:szCs w:val="15"/>
              </w:rPr>
              <w:t xml:space="preserve">They concede that a resectable iCCA should be resected given organ scarcity, and that waitlist outcomes for iCCA and HCC cannot be compared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narrative invited review with no stated search strategy, no inclusion criteria for the series it tabulates and no pooling; the tabulated experience spans 1988 to 2020 across changing imaging, pathology definitions and chemotherapy, and the reader cannot tell which series were considered and left out</w:t>
            </w:r>
          </w:p>
          <w:p>
            <w:pPr>
              <w:pStyle w:val="ListParagraph"/>
              <w:numPr>
                <w:ilvl w:val="0"/>
                <w:numId w:val="2"/>
              </w:numPr>
              <w:spacing w:after="45"/>
            </w:pPr>
            <w:r>
              <w:rPr>
                <w:sz w:val="15"/>
                <w:szCs w:val="15"/>
              </w:rPr>
              <w:t xml:space="preserve">Almost all the transplant experience quoted is of iCCA found incidentally or misdiagnosed as HCC, so the survival figures describe populations defined after the operation; dropout before transplantation is absent from every series cited and the review does not quantify it</w:t>
            </w:r>
          </w:p>
          <w:p>
            <w:pPr>
              <w:pStyle w:val="ListParagraph"/>
              <w:numPr>
                <w:ilvl w:val="0"/>
                <w:numId w:val="2"/>
              </w:numPr>
              <w:spacing w:after="45"/>
            </w:pPr>
            <w:r>
              <w:rPr>
                <w:sz w:val="15"/>
                <w:szCs w:val="15"/>
              </w:rPr>
              <w:t xml:space="preserve">Several of the cited series pool pure iCCA with mixed HCC-CCA, which can make survival look favourable when the dominant phenotype is HCC; the review notes this but still carries those survival numbers into its summary tables</w:t>
            </w:r>
          </w:p>
          <w:p>
            <w:pPr>
              <w:pStyle w:val="ListParagraph"/>
              <w:numPr>
                <w:ilvl w:val="0"/>
                <w:numId w:val="2"/>
              </w:numPr>
              <w:spacing w:after="45"/>
            </w:pPr>
            <w:r>
              <w:rPr>
                <w:sz w:val="15"/>
                <w:szCs w:val="15"/>
              </w:rPr>
              <w:t xml:space="preserve">The De Martin comparison that most favours transplantation, 75% versus 36% 5-year recurrence-free survival with HR 0.23 (0.07-0.82), has a confidence interval reaching 0.82 and comes from a retrospective multicentre series with no matching described in the review</w:t>
            </w:r>
          </w:p>
          <w:p>
            <w:pPr>
              <w:pStyle w:val="ListParagraph"/>
              <w:numPr>
                <w:ilvl w:val="0"/>
                <w:numId w:val="2"/>
              </w:numPr>
              <w:spacing w:after="45"/>
            </w:pPr>
            <w:r>
              <w:rPr>
                <w:sz w:val="15"/>
                <w:szCs w:val="15"/>
              </w:rPr>
              <w:t xml:space="preserve">The National Cancer Database propensity-matched comparison the review also cites found 38.8% versus 34.9% 5-year survival, a difference of under four points in 57 pairs, and the review calls this equipoise rather than a null result</w:t>
            </w:r>
          </w:p>
          <w:p>
            <w:pPr>
              <w:pStyle w:val="ListParagraph"/>
              <w:numPr>
                <w:ilvl w:val="0"/>
                <w:numId w:val="2"/>
              </w:numPr>
              <w:spacing w:after="45"/>
            </w:pPr>
            <w:r>
              <w:rPr>
                <w:sz w:val="15"/>
                <w:szCs w:val="15"/>
              </w:rPr>
              <w:t xml:space="preserve">The 2020 meta-analysis figure for single iCCA 2 cm or less, 67% 5-year recurrence-free survival, has a confidence interval of 47-86 and is pooled across studies with different size and histology definitions, so it carries the same heterogeneity the review criticises elsewhere</w:t>
            </w:r>
          </w:p>
          <w:p>
            <w:pPr>
              <w:pStyle w:val="ListParagraph"/>
              <w:numPr>
                <w:ilvl w:val="0"/>
                <w:numId w:val="2"/>
              </w:numPr>
              <w:spacing w:after="45"/>
            </w:pPr>
            <w:r>
              <w:rPr>
                <w:sz w:val="15"/>
                <w:szCs w:val="15"/>
              </w:rPr>
              <w:t xml:space="preserve">The six-month stability requirement the review promotes into its treatment algorithm comes from Lunsford's six transplanted patients with a median cumulative tumour diameter of 14.2 cm; the review applies it to patients without cirrhosis as a general principle on that evidence</w:t>
            </w:r>
          </w:p>
          <w:p>
            <w:pPr>
              <w:pStyle w:val="ListParagraph"/>
              <w:numPr>
                <w:ilvl w:val="0"/>
                <w:numId w:val="2"/>
              </w:numPr>
              <w:spacing w:after="45"/>
            </w:pPr>
            <w:r>
              <w:rPr>
                <w:sz w:val="15"/>
                <w:szCs w:val="15"/>
              </w:rPr>
              <w:t xml:space="preserve">The conditional recommendation for upfront transplantation at 2 cm or less rests on the authors' own 15-patient explant series, and the senior author is an author of that series, so the review's central recommendation is self-citing</w:t>
            </w:r>
          </w:p>
          <w:p>
            <w:pPr>
              <w:pStyle w:val="ListParagraph"/>
              <w:numPr>
                <w:ilvl w:val="0"/>
                <w:numId w:val="2"/>
              </w:numPr>
              <w:spacing w:after="45"/>
            </w:pPr>
            <w:r>
              <w:rPr>
                <w:sz w:val="15"/>
                <w:szCs w:val="15"/>
              </w:rPr>
              <w:t xml:space="preserve">The three prospective trials tabulated (NCT02878473, TESLA NCT04556214, and the Toronto living-donor protocol) had enrolled only a handful of patients between them at the time of writing, which the table does not state, so the pipeline looks more mature than it was</w:t>
            </w:r>
          </w:p>
          <w:p>
            <w:pPr>
              <w:pStyle w:val="ListParagraph"/>
              <w:numPr>
                <w:ilvl w:val="0"/>
                <w:numId w:val="2"/>
              </w:numPr>
              <w:spacing w:after="45"/>
            </w:pPr>
            <w:r>
              <w:rPr>
                <w:sz w:val="15"/>
                <w:szCs w:val="15"/>
              </w:rPr>
              <w:t xml:space="preserve">The senior author discloses consultancy for AstraZeneca, Roche and Novartis and grant support from Bayer and Roche while the review discusses systemic therapy as the gateway to transplantation; two of the three authors have no disclosure recorded at all</w:t>
            </w:r>
          </w:p>
          <w:p>
            <w:pPr>
              <w:pStyle w:val="ListParagraph"/>
              <w:numPr>
                <w:ilvl w:val="0"/>
                <w:numId w:val="2"/>
              </w:numPr>
              <w:spacing w:after="45"/>
            </w:pPr>
            <w:r>
              <w:rPr>
                <w:sz w:val="15"/>
                <w:szCs w:val="15"/>
              </w:rPr>
              <w:t xml:space="preserve">The review was overtaken quickly: TOPAZ-1 is described as ongoing, and the EASL-ILCA guideline with its 3 cm transplant threshold appeared the following year, so the thresholds the review states as current were superseded</w:t>
            </w:r>
          </w:p>
          <w:p>
            <w:pPr>
              <w:pStyle w:val="ListParagraph"/>
              <w:numPr>
                <w:ilvl w:val="0"/>
                <w:numId w:val="2"/>
              </w:numPr>
              <w:spacing w:after="45"/>
            </w:pPr>
            <w:r>
              <w:rPr>
                <w:sz w:val="15"/>
                <w:szCs w:val="15"/>
              </w:rPr>
              <w:t xml:space="preserve">No linked editorial or comment was found in PubMed for this review, so the only critical reading available is internal to the text</w:t>
            </w:r>
          </w:p>
        </w:tc>
      </w:tr>
    </w:tbl>
    <w:p>
      <w:pPr>
        <w:spacing w:after="0" w:line="276"/>
      </w:pPr>
      <w:r>
        <w:rPr>
          <w:color w:val="5A6069"/>
          <w:sz w:val="14"/>
          <w:szCs w:val="14"/>
        </w:rPr>
        <w:t xml:space="preserve">Funding: No funding statement beyond a declaration that the work had not been submitted elsewhere; Sapisochin discloses consultancy for AstraZeneca, Roche and Novartis and grant support from Bayer and Roche, and no disclosure is recorded for the other two authors</w:t>
      </w:r>
    </w:p>
    <w:p>
      <w:pPr>
        <w:keepNext/>
        <w:spacing w:after="50" w:before="260"/>
      </w:pPr>
      <w:r>
        <w:rPr>
          <w:rFonts w:ascii="Cambria" w:cs="Cambria" w:eastAsia="Cambria" w:hAnsi="Cambria"/>
          <w:b/>
          <w:bCs/>
          <w:color w:val="17365D"/>
          <w:sz w:val="20"/>
          <w:szCs w:val="20"/>
        </w:rPr>
        <w:t xml:space="preserve">Sapisochin very early iCCA</w:t>
      </w:r>
      <w:r>
        <w:rPr>
          <w:b/>
          <w:bCs/>
          <w:color w:val="176A87"/>
          <w:sz w:val="15"/>
          <w:szCs w:val="15"/>
        </w:rPr>
        <w:t xml:space="preser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15 patients with a single iCCA of 2 cm or less, identified on explant pathology among 81 iCCA found in 25,016 liver transplants performed at 17 centres between January 2000 and December 2013, and compared with 33 patients whose explant iCCA was larger or multifocal</w:t>
      </w:r>
    </w:p>
    <w:p>
      <w:pPr>
        <w:spacing w:after="70"/>
      </w:pPr>
      <w:r>
        <w:rPr>
          <w:b/>
          <w:bCs/>
          <w:color w:val="17365D"/>
          <w:sz w:val="16"/>
          <w:szCs w:val="16"/>
        </w:rPr>
        <w:t xml:space="preserve">Bottom line. </w:t>
      </w:r>
      <w:r>
        <w:rPr>
          <w:sz w:val="16"/>
          <w:szCs w:val="16"/>
        </w:rPr>
        <w:t xml:space="preserve">Fifteen cirrhotic patients whose explant showed a single iCCA of 2 cm or less had 65% 5-year survival and 18% recurrence, enough to justify a prospective trial of transplantation in that narrow group. It does not show that such patients can be identified before transplantation, since every diagnosis was made on the explant, and it tests neither a 3 cm ceiling nor any requirement for a period of disease stability. The comparison group is 33 patients with larger or multifocal explant tumours followed for less than half as long, not a concurrent resection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analysed is still modest, especially in the very early iCCA group of interest, and 47% of those were incidental findings</w:t>
            </w:r>
          </w:p>
          <w:p>
            <w:pPr>
              <w:pStyle w:val="ListParagraph"/>
              <w:numPr>
                <w:ilvl w:val="0"/>
                <w:numId w:val="2"/>
              </w:numPr>
              <w:spacing w:after="45"/>
            </w:pPr>
            <w:r>
              <w:rPr>
                <w:sz w:val="15"/>
                <w:szCs w:val="15"/>
              </w:rPr>
              <w:t xml:space="preserve">The pathological diagnosis of iCCA at the different centres cannot be confirmed because external review was possible in only 70% of cases</w:t>
            </w:r>
          </w:p>
          <w:p>
            <w:pPr>
              <w:pStyle w:val="ListParagraph"/>
              <w:numPr>
                <w:ilvl w:val="0"/>
                <w:numId w:val="2"/>
              </w:numPr>
              <w:spacing w:after="45"/>
            </w:pPr>
            <w:r>
              <w:rPr>
                <w:sz w:val="15"/>
                <w:szCs w:val="15"/>
              </w:rPr>
              <w:t xml:space="preserve">Each centre had its own pathologist analyse the explant because of the retrospective design, which may have led to tumour number and size being understaged</w:t>
            </w:r>
          </w:p>
          <w:p>
            <w:pPr>
              <w:pStyle w:val="ListParagraph"/>
              <w:numPr>
                <w:ilvl w:val="0"/>
                <w:numId w:val="2"/>
              </w:numPr>
              <w:spacing w:after="45"/>
            </w:pPr>
            <w:r>
              <w:rPr>
                <w:sz w:val="15"/>
                <w:szCs w:val="15"/>
              </w:rPr>
              <w:t xml:space="preserve">This is a retrospective study with all the limitations of such a design</w:t>
            </w:r>
          </w:p>
          <w:p>
            <w:pPr>
              <w:pStyle w:val="ListParagraph"/>
              <w:numPr>
                <w:ilvl w:val="0"/>
                <w:numId w:val="2"/>
              </w:numPr>
              <w:spacing w:after="45"/>
            </w:pPr>
            <w:r>
              <w:rPr>
                <w:sz w:val="15"/>
                <w:szCs w:val="15"/>
              </w:rPr>
              <w:t xml:space="preserve">Univariate and multivariate analyses were performed as exploratory analyses only, on variables chosen for clinical significance</w:t>
            </w:r>
          </w:p>
          <w:p>
            <w:pPr>
              <w:pStyle w:val="ListParagraph"/>
              <w:numPr>
                <w:ilvl w:val="0"/>
                <w:numId w:val="2"/>
              </w:numPr>
              <w:spacing w:after="45"/>
            </w:pPr>
            <w:r>
              <w:rPr>
                <w:sz w:val="15"/>
                <w:szCs w:val="15"/>
              </w:rPr>
              <w:t xml:space="preserve">Information on positive lymph nodes and lymphovascular invasion, both recurrence risk factors after resection, was scarce because these patients were not thought to have iCCA and so were not staged for it</w:t>
            </w:r>
          </w:p>
          <w:p>
            <w:pPr>
              <w:pStyle w:val="ListParagraph"/>
              <w:numPr>
                <w:ilvl w:val="0"/>
                <w:numId w:val="2"/>
              </w:numPr>
              <w:spacing w:after="45"/>
            </w:pPr>
            <w:r>
              <w:rPr>
                <w:sz w:val="15"/>
                <w:szCs w:val="15"/>
              </w:rPr>
              <w:t xml:space="preserve">The intermediate category of patients in Supporting Fig. S1 held too few cases to support a robust opinion, and the single 2.1-3 cm result is difficult to interpret because of the small number of patients</w:t>
            </w:r>
          </w:p>
          <w:p>
            <w:pPr>
              <w:pStyle w:val="ListParagraph"/>
              <w:numPr>
                <w:ilvl w:val="0"/>
                <w:numId w:val="2"/>
              </w:numPr>
              <w:spacing w:after="45"/>
            </w:pPr>
            <w:r>
              <w:rPr>
                <w:sz w:val="15"/>
                <w:szCs w:val="15"/>
              </w:rPr>
              <w:t xml:space="preserve">A prospective multicentre clinical trial is needed to confirm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group is defined by the explant, so patients who were listed with an undiagnosed iCCA and then dropped off the waiting list for progression never enter the denominator; the 93%, 84% and 65% survival figures are conditional on having reached transplantation and are not an intention-to-treat estimate for a 2 cm iCCA</w:t>
            </w:r>
          </w:p>
          <w:p>
            <w:pPr>
              <w:pStyle w:val="ListParagraph"/>
              <w:numPr>
                <w:ilvl w:val="0"/>
                <w:numId w:val="2"/>
              </w:numPr>
              <w:spacing w:after="45"/>
            </w:pPr>
            <w:r>
              <w:rPr>
                <w:sz w:val="15"/>
                <w:szCs w:val="15"/>
              </w:rPr>
              <w:t xml:space="preserve">81 iCCA were found in 25,016 transplants and only 48 of those had iCCA alone, of whom 15 were very early; the headline therefore rests on 0.06% of the transplant denominator, and the 33 patients with a concomitant HCC nodule were moved into a separate table rather than analysed with them</w:t>
            </w:r>
          </w:p>
          <w:p>
            <w:pPr>
              <w:pStyle w:val="ListParagraph"/>
              <w:numPr>
                <w:ilvl w:val="0"/>
                <w:numId w:val="2"/>
              </w:numPr>
              <w:spacing w:after="45"/>
            </w:pPr>
            <w:r>
              <w:rPr>
                <w:sz w:val="15"/>
                <w:szCs w:val="15"/>
              </w:rPr>
              <w:t xml:space="preserve">Cumulative recurrence is 18% at both 3 and 5 years in the very early group, which means no recurrence was observed after 3 years in a group of 15 with 2 events in total; no numbers at risk are given at any time point, so the 5-year estimate cannot be judged</w:t>
            </w:r>
          </w:p>
          <w:p>
            <w:pPr>
              <w:pStyle w:val="ListParagraph"/>
              <w:numPr>
                <w:ilvl w:val="0"/>
                <w:numId w:val="2"/>
              </w:numPr>
              <w:spacing w:after="45"/>
            </w:pPr>
            <w:r>
              <w:rPr>
                <w:sz w:val="15"/>
                <w:szCs w:val="15"/>
              </w:rPr>
              <w:t xml:space="preserve">Follow-up was not comparable between the compared groups, 57.3 months (23.4-104.5) for very early versus 24.7 months (12.7-63.4) for advanced, P = 0.04, yet the two survival curves are read against each other as if observation were equivalent</w:t>
            </w:r>
          </w:p>
          <w:p>
            <w:pPr>
              <w:pStyle w:val="ListParagraph"/>
              <w:numPr>
                <w:ilvl w:val="0"/>
                <w:numId w:val="2"/>
              </w:numPr>
              <w:spacing w:after="45"/>
            </w:pPr>
            <w:r>
              <w:rPr>
                <w:sz w:val="15"/>
                <w:szCs w:val="15"/>
              </w:rPr>
              <w:t xml:space="preserve">The multivariable Cox model was fitted on 36 patients with roughly 20 recurrence events across the whole cohort, and the resulting hazard ratios of 4.7 (1.6-13.8) and 6.1 (1.9-20.2) have intervals spanning an order of magnitude, which is a model with more parameters than the event count supports</w:t>
            </w:r>
          </w:p>
          <w:p>
            <w:pPr>
              <w:pStyle w:val="ListParagraph"/>
              <w:numPr>
                <w:ilvl w:val="0"/>
                <w:numId w:val="2"/>
              </w:numPr>
              <w:spacing w:after="45"/>
            </w:pPr>
            <w:r>
              <w:rPr>
                <w:sz w:val="15"/>
                <w:szCs w:val="15"/>
              </w:rPr>
              <w:t xml:space="preserve">Four patients listed beyond the UCSF criteria were kept in the cohort on the stated grounds that the analysis was exploratory, while being out of UCSF criteria was itself a significant univariate predictor of recurrence, HR 4.0 (1.6-10), P = 0.003</w:t>
            </w:r>
          </w:p>
          <w:p>
            <w:pPr>
              <w:pStyle w:val="ListParagraph"/>
              <w:numPr>
                <w:ilvl w:val="0"/>
                <w:numId w:val="2"/>
              </w:numPr>
              <w:spacing w:after="45"/>
            </w:pPr>
            <w:r>
              <w:rPr>
                <w:sz w:val="15"/>
                <w:szCs w:val="15"/>
              </w:rPr>
              <w:t xml:space="preserve">The 2.1-3 cm, not poorly differentiated subgroup that is the paper's only evidence above 2 cm has six patients and was defined after the outcomes were known; its P = 0.03 is a post hoc subgroup comparison, and the 3 cm transplant ceiling later attributed to this paper has no prospective basis in it</w:t>
            </w:r>
          </w:p>
          <w:p>
            <w:pPr>
              <w:pStyle w:val="ListParagraph"/>
              <w:numPr>
                <w:ilvl w:val="0"/>
                <w:numId w:val="2"/>
              </w:numPr>
              <w:spacing w:after="45"/>
            </w:pPr>
            <w:r>
              <w:rPr>
                <w:sz w:val="15"/>
                <w:szCs w:val="15"/>
              </w:rPr>
              <w:t xml:space="preserve">No period of disease stability and no neoadjuvant protocol were required or tested anywhere in the study, so the six-month stability rule that is sometimes cited to this paper is not something it examined</w:t>
            </w:r>
          </w:p>
          <w:p>
            <w:pPr>
              <w:pStyle w:val="ListParagraph"/>
              <w:numPr>
                <w:ilvl w:val="0"/>
                <w:numId w:val="2"/>
              </w:numPr>
              <w:spacing w:after="45"/>
            </w:pPr>
            <w:r>
              <w:rPr>
                <w:sz w:val="15"/>
                <w:szCs w:val="15"/>
              </w:rPr>
              <w:t xml:space="preserve">Mixed hepatocellular-cholangiocarcinoma within the same nodule was an explicit exclusion, so the results cannot be extended to mixed tumours, and the paper's own discussion of mixed HCC-CCA survival is taken from other series</w:t>
            </w:r>
          </w:p>
          <w:p>
            <w:pPr>
              <w:pStyle w:val="ListParagraph"/>
              <w:numPr>
                <w:ilvl w:val="0"/>
                <w:numId w:val="2"/>
              </w:numPr>
              <w:spacing w:after="45"/>
            </w:pPr>
            <w:r>
              <w:rPr>
                <w:sz w:val="15"/>
                <w:szCs w:val="15"/>
              </w:rPr>
              <w:t xml:space="preserve">Bridging transarterial chemoembolisation, ablation or ethanol injection was permitted and is listed as a covariate, so some nodules measured at 2 cm or less on explant may have been larger before treatment; the proportion of very early patients who had bridging therapy is not reported separately</w:t>
            </w:r>
          </w:p>
          <w:p>
            <w:pPr>
              <w:pStyle w:val="ListParagraph"/>
              <w:numPr>
                <w:ilvl w:val="0"/>
                <w:numId w:val="2"/>
              </w:numPr>
              <w:spacing w:after="45"/>
            </w:pPr>
            <w:r>
              <w:rPr>
                <w:sz w:val="15"/>
                <w:szCs w:val="15"/>
              </w:rPr>
              <w:t xml:space="preserve">The resection comparison is to a historical literature range of 15% to 45% 5-year survival rather than to resected patients from the same 17 centres over the same period, so the claim that transplantation is competitive is not tested against a concurrent comparator</w:t>
            </w:r>
          </w:p>
          <w:p>
            <w:pPr>
              <w:pStyle w:val="ListParagraph"/>
              <w:numPr>
                <w:ilvl w:val="0"/>
                <w:numId w:val="2"/>
              </w:numPr>
              <w:spacing w:after="45"/>
            </w:pPr>
            <w:r>
              <w:rPr>
                <w:sz w:val="15"/>
                <w:szCs w:val="15"/>
              </w:rPr>
              <w:t xml:space="preserve">Table 1 gives advanced-group recurrence as 17 of 33 (51.5%) while the Results text gives 18 of 33 (54.5%), both attached to the same P = 0.006, and the discrepancy is not reconciled</w:t>
            </w:r>
          </w:p>
          <w:p>
            <w:pPr>
              <w:pStyle w:val="ListParagraph"/>
              <w:numPr>
                <w:ilvl w:val="0"/>
                <w:numId w:val="2"/>
              </w:numPr>
              <w:spacing w:after="45"/>
            </w:pPr>
            <w:r>
              <w:rPr>
                <w:sz w:val="15"/>
                <w:szCs w:val="15"/>
              </w:rPr>
              <w:t xml:space="preserve">Published correspondence in Hepatology (Gupta and Gupta 2017; Gu, Jeong and Xia 2017) argued the selection criteria need refining, including by aetiology such as HBV-related iCCA; those letters were identified from the citation record and not read in full here</w:t>
            </w:r>
          </w:p>
        </w:tc>
      </w:tr>
    </w:tbl>
    <w:p>
      <w:pPr>
        <w:spacing w:after="0" w:line="276"/>
      </w:pPr>
      <w:r>
        <w:rPr>
          <w:color w:val="5A6069"/>
          <w:sz w:val="14"/>
          <w:szCs w:val="14"/>
        </w:rPr>
        <w:t xml:space="preserve">Funding: Supported by grants from the Instituto de Salud Carlos III (PI14/00962), the Italian Association for Cancer Research and the Swiss National Science Foundation (PP00P3_139021); CIBEREHD supported by the Instituto de Salud Carlos III; Mazzaferro is on the speakers' bureau for BTG</w:t>
      </w:r>
    </w:p>
    <w:p>
      <w:pPr>
        <w:keepNext/>
        <w:spacing w:after="50" w:before="260"/>
      </w:pPr>
      <w:r>
        <w:rPr>
          <w:rFonts w:ascii="Cambria" w:cs="Cambria" w:eastAsia="Cambria" w:hAnsi="Cambria"/>
          <w:b/>
          <w:bCs/>
          <w:color w:val="17365D"/>
          <w:sz w:val="20"/>
          <w:szCs w:val="20"/>
        </w:rPr>
        <w:t xml:space="preserve">Tao dose-response</w:t>
      </w:r>
      <w:r>
        <w:rPr>
          <w:b/>
          <w:bCs/>
          <w:color w:val="176A87"/>
          <w:sz w:val="15"/>
          <w:szCs w:val="15"/>
        </w:rPr>
        <w:t xml:space="preserve">   cohort</w:t>
      </w:r>
      <w:r>
        <w:rPr>
          <w:color w:val="5A6069"/>
          <w:sz w:val="15"/>
          <w:szCs w:val="15"/>
        </w:rPr>
        <w:t xml:space="preserve">   PMID 26503201</w:t>
      </w:r>
    </w:p>
    <w:p>
      <w:pPr>
        <w:spacing w:after="50" w:line="276"/>
      </w:pPr>
      <w:r>
        <w:rPr>
          <w:color w:val="5A6069"/>
          <w:sz w:val="17"/>
          <w:szCs w:val="17"/>
        </w:rPr>
        <w:t xml:space="preserve">Ablative Radiotherapy Doses Lead to a Substantial Prolongation of Survival in Patients With Inoperable Intrahepatic Cholangiocarcinoma: A Retrospective Dose Response Analysis</w:t>
      </w:r>
    </w:p>
    <w:p>
      <w:pPr>
        <w:spacing w:after="50"/>
      </w:pPr>
      <w:r>
        <w:rPr>
          <w:b/>
          <w:bCs/>
          <w:color w:val="176A87"/>
          <w:sz w:val="16"/>
          <w:szCs w:val="16"/>
        </w:rPr>
        <w:t xml:space="preserve">Population. </w:t>
      </w:r>
      <w:r>
        <w:rPr>
          <w:sz w:val="16"/>
          <w:szCs w:val="16"/>
        </w:rPr>
        <w:t xml:space="preserve">79 consecutive patients with inoperable intrahepatic cholangiocarcinoma treated with definitive-intent radiotherapy at a single institution between 2002 and 2014, median tumour size 7.9 cm (2.2 to 17), 59% stage IV, 89% having had chemotherapy first; 19 received a biologic equivalent dose above 80.5 Gy and 60 below it</w:t>
      </w:r>
    </w:p>
    <w:p>
      <w:pPr>
        <w:spacing w:after="70"/>
      </w:pPr>
      <w:r>
        <w:rPr>
          <w:b/>
          <w:bCs/>
          <w:color w:val="17365D"/>
          <w:sz w:val="16"/>
          <w:szCs w:val="16"/>
        </w:rPr>
        <w:t xml:space="preserve">Bottom line. </w:t>
      </w:r>
      <w:r>
        <w:rPr>
          <w:sz w:val="16"/>
          <w:szCs w:val="16"/>
        </w:rPr>
        <w:t xml:space="preserve">This 79-patient single-centre series is the origin of the ablative-dose argument in inoperable iCCA, reporting 3-year survival of 73% above a biologic equivalent dose of 80.5 Gy against 38% below, with dose the only independent predictor of local control and survival. It cannot separate dose from era, technique and target volume: the high-dose patients were treated after 2010 with breath-hold gating and image guidance and had significantly smaller targets. Only 19 patients received the high dose, the threshold is the cohort's own median, and local control still fell to 27% at three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has the limitations inherent to any retrospective design and cannot fully account for biases a randomised study would address</w:t>
            </w:r>
          </w:p>
          <w:p>
            <w:pPr>
              <w:pStyle w:val="ListParagraph"/>
              <w:numPr>
                <w:ilvl w:val="0"/>
                <w:numId w:val="2"/>
              </w:numPr>
              <w:spacing w:after="45"/>
            </w:pPr>
            <w:r>
              <w:rPr>
                <w:sz w:val="15"/>
                <w:szCs w:val="15"/>
              </w:rPr>
              <w:t xml:space="preserve">Selection bias could have favoured patients who received higher radiation doses, although the authors state they found no evidence of it</w:t>
            </w:r>
          </w:p>
          <w:p>
            <w:pPr>
              <w:pStyle w:val="ListParagraph"/>
              <w:numPr>
                <w:ilvl w:val="0"/>
                <w:numId w:val="2"/>
              </w:numPr>
              <w:spacing w:after="45"/>
            </w:pPr>
            <w:r>
              <w:rPr>
                <w:sz w:val="15"/>
                <w:szCs w:val="15"/>
              </w:rPr>
              <w:t xml:space="preserve">Treatment-related toxicity may have been underestimated because it was captured only from the medical record</w:t>
            </w:r>
          </w:p>
          <w:p>
            <w:pPr>
              <w:pStyle w:val="ListParagraph"/>
              <w:numPr>
                <w:ilvl w:val="0"/>
                <w:numId w:val="2"/>
              </w:numPr>
              <w:spacing w:after="45"/>
            </w:pPr>
            <w:r>
              <w:rPr>
                <w:sz w:val="15"/>
                <w:szCs w:val="15"/>
              </w:rPr>
              <w:t xml:space="preserve">The variety of dose and fractionation schedules used, 35 to 100 Gy in 3 to 30 fractions, may be viewed as a limitation, which the authors defend as common in the liver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dose threshold that gives the paper its title, a biologic equivalent dose of 80.5 Gy, is the median of the cohort's own dose distribution, so the comparison is a data-derived split of 19 patients against 60 rather than a prespecified threshold</w:t>
            </w:r>
          </w:p>
          <w:p>
            <w:pPr>
              <w:pStyle w:val="ListParagraph"/>
              <w:numPr>
                <w:ilvl w:val="0"/>
                <w:numId w:val="2"/>
              </w:numPr>
              <w:spacing w:after="45"/>
            </w:pPr>
            <w:r>
              <w:rPr>
                <w:sz w:val="15"/>
                <w:szCs w:val="15"/>
              </w:rPr>
              <w:t xml:space="preserve">Dose is inseparable from era and technique: the high doses arrived after 2010 together with breath-hold gating and daily diagnostic-quality CT guidance, and patients treated after 2010 survived 50 against 24 months, p = .007, which is the same signal reported twice</w:t>
            </w:r>
          </w:p>
          <w:p>
            <w:pPr>
              <w:pStyle w:val="ListParagraph"/>
              <w:numPr>
                <w:ilvl w:val="0"/>
                <w:numId w:val="2"/>
              </w:numPr>
              <w:spacing w:after="45"/>
            </w:pPr>
            <w:r>
              <w:rPr>
                <w:sz w:val="15"/>
                <w:szCs w:val="15"/>
              </w:rPr>
              <w:t xml:space="preserve">The high-dose group had significantly smaller planning target volumes, median 415 against 614 cm3, p = .02, so the patients who got more dose had more favourable anatomy, which is exactly the selection the authors say they found no evidence of</w:t>
            </w:r>
          </w:p>
          <w:p>
            <w:pPr>
              <w:pStyle w:val="ListParagraph"/>
              <w:numPr>
                <w:ilvl w:val="0"/>
                <w:numId w:val="2"/>
              </w:numPr>
              <w:spacing w:after="45"/>
            </w:pPr>
            <w:r>
              <w:rPr>
                <w:sz w:val="15"/>
                <w:szCs w:val="15"/>
              </w:rPr>
              <w:t xml:space="preserve">Survival is reported from diagnosis, median 30 months, in a cohort where 89% had chemotherapy before radiotherapy, so the clock starts before a selection step that removed everyone who progressed during chemotherapy</w:t>
            </w:r>
          </w:p>
          <w:p>
            <w:pPr>
              <w:pStyle w:val="ListParagraph"/>
              <w:numPr>
                <w:ilvl w:val="0"/>
                <w:numId w:val="2"/>
              </w:numPr>
              <w:spacing w:after="45"/>
            </w:pPr>
            <w:r>
              <w:rPr>
                <w:sz w:val="15"/>
                <w:szCs w:val="15"/>
              </w:rPr>
              <w:t xml:space="preserve">Whole-cohort local control falls from 81% at 1 year to 45% at 2 and 27% at 3, and 48% of patients had primary tumour progression with 89% of those inside the high-dose region, so the ablative claim is not supported by the cohort's own failure pattern</w:t>
            </w:r>
          </w:p>
          <w:p>
            <w:pPr>
              <w:pStyle w:val="ListParagraph"/>
              <w:numPr>
                <w:ilvl w:val="0"/>
                <w:numId w:val="2"/>
              </w:numPr>
              <w:spacing w:after="45"/>
            </w:pPr>
            <w:r>
              <w:rPr>
                <w:sz w:val="15"/>
                <w:szCs w:val="15"/>
              </w:rPr>
              <w:t xml:space="preserve">Median progression-free survival is reported as 30 months, the same as median overall survival, which is not coherent with 51% developing new intrahepatic metastases and 41% extrahepatic disease, and the definition reconciling these is not given</w:t>
            </w:r>
          </w:p>
          <w:p>
            <w:pPr>
              <w:pStyle w:val="ListParagraph"/>
              <w:numPr>
                <w:ilvl w:val="0"/>
                <w:numId w:val="2"/>
              </w:numPr>
              <w:spacing w:after="45"/>
            </w:pPr>
            <w:r>
              <w:rPr>
                <w:sz w:val="15"/>
                <w:szCs w:val="15"/>
              </w:rPr>
              <w:t xml:space="preserve">The multivariable hazard ratios for biologic equivalent dose, 0.96 (0.94-0.98) for local control and 0.97 (0.95-0.99) for survival, are per-unit-dose effects fitted to 79 patients with a dose range of 35 to 100 Gy, and tumour size, satellite lesions, performance status and CA 19-9 all came out non-significant, which in a cohort this size means the model had little power to adjust for anything</w:t>
            </w:r>
          </w:p>
          <w:p>
            <w:pPr>
              <w:pStyle w:val="ListParagraph"/>
              <w:numPr>
                <w:ilvl w:val="0"/>
                <w:numId w:val="2"/>
              </w:numPr>
              <w:spacing w:after="45"/>
            </w:pPr>
            <w:r>
              <w:rPr>
                <w:sz w:val="15"/>
                <w:szCs w:val="15"/>
              </w:rPr>
              <w:t xml:space="preserve">Toxicity is reported as no radiation-induced liver disease and no liver failure without tumour progression, a formulation that excludes the deaths most likely to be dose-related: 32 of 36 deaths with a known cause were from intrahepatic progression through biliary or vascular complications, and the paper does not separate those from radiation injury</w:t>
            </w:r>
          </w:p>
          <w:p>
            <w:pPr>
              <w:pStyle w:val="ListParagraph"/>
              <w:numPr>
                <w:ilvl w:val="0"/>
                <w:numId w:val="2"/>
              </w:numPr>
              <w:spacing w:after="45"/>
            </w:pPr>
            <w:r>
              <w:rPr>
                <w:sz w:val="15"/>
                <w:szCs w:val="15"/>
              </w:rPr>
              <w:t xml:space="preserve">9% developed biliary stenosis needing a stent at a median of 10 months and 4 of those 7 also had tumour progression, so biliary toxicity and progression are confounded in exactly the patients where dose matters</w:t>
            </w:r>
          </w:p>
          <w:p>
            <w:pPr>
              <w:pStyle w:val="ListParagraph"/>
              <w:numPr>
                <w:ilvl w:val="0"/>
                <w:numId w:val="2"/>
              </w:numPr>
              <w:spacing w:after="45"/>
            </w:pPr>
            <w:r>
              <w:rPr>
                <w:sz w:val="15"/>
                <w:szCs w:val="15"/>
              </w:rPr>
              <w:t xml:space="preserve">Single biologic equivalent dose conversion with an assumed alpha-beta ratio is used to equate 3-fraction and 30-fraction schedules; the whole dose-response analysis depends on that model and no sensitivity analysis across alpha-beta values is presented</w:t>
            </w:r>
          </w:p>
          <w:p>
            <w:pPr>
              <w:pStyle w:val="ListParagraph"/>
              <w:numPr>
                <w:ilvl w:val="0"/>
                <w:numId w:val="2"/>
              </w:numPr>
              <w:spacing w:after="45"/>
            </w:pPr>
            <w:r>
              <w:rPr>
                <w:sz w:val="15"/>
                <w:szCs w:val="15"/>
              </w:rPr>
              <w:t xml:space="preserve">59% of the cohort was stage IV, so more than half the patients had disease that no amount of local dose could control, and they are included in the survival analysis that supports dose escalation</w:t>
            </w:r>
          </w:p>
          <w:p>
            <w:pPr>
              <w:pStyle w:val="ListParagraph"/>
              <w:numPr>
                <w:ilvl w:val="0"/>
                <w:numId w:val="2"/>
              </w:numPr>
              <w:spacing w:after="45"/>
            </w:pPr>
            <w:r>
              <w:rPr>
                <w:sz w:val="15"/>
                <w:szCs w:val="15"/>
              </w:rPr>
              <w:t xml:space="preserve">Brade and Dawson's accompanying editorial (J Clin Oncol 2016;34:203-4, PMID 26644540) raises whether retrospective dose-response data in a rare cancer should change practice without a randomised trial; it was identified from the citation record and not read here</w:t>
            </w:r>
          </w:p>
        </w:tc>
      </w:tr>
    </w:tbl>
    <w:p>
      <w:pPr>
        <w:spacing w:after="0" w:line="276"/>
      </w:pPr>
      <w:r>
        <w:rPr>
          <w:color w:val="5A6069"/>
          <w:sz w:val="14"/>
          <w:szCs w:val="14"/>
        </w:rPr>
        <w:t xml:space="preserve">Funding: No funding statement in the paper; author disclosures are posted online rather than printed, and the article lists clinical trial information NCT02200042 although the analysis is retrospective</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HOPE4LIVER one-year update — Ziemlewicz TJ, et al. HOPE4LIVER one-year update. Ann Surg. 2025. 47 patients and 52 tumours; local control 63.4% on the primary assessment versus 90% post hoc. Cited in the roadmap as evidence source [L12]; the pivotal </w:t>
      </w:r>
    </w:p>
    <w:p>
      <w:pPr>
        <w:pStyle w:val="ListParagraph"/>
        <w:numPr>
          <w:ilvl w:val="0"/>
          <w:numId w:val="2"/>
        </w:numPr>
        <w:spacing w:after="60" w:line="268"/>
      </w:pPr>
      <w:r>
        <w:rPr>
          <w:color w:val="15181F"/>
          <w:sz w:val="16"/>
          <w:szCs w:val="16"/>
        </w:rPr>
        <w:t xml:space="preserve">MH iCCA alignment worksheet — Guideline alignment worksheet — Adult intrahepatic cholangiocarcinoma. Memorial Hermann Intrahepatic Cholangiocarcinoma System Roadmap, Draft v0.6, 4 October 2026: 16 areas where the published guidelines can disagree, wi</w:t>
      </w:r>
    </w:p>
    <w:p>
      <w:pPr>
        <w:pStyle w:val="ListParagraph"/>
        <w:numPr>
          <w:ilvl w:val="0"/>
          <w:numId w:val="2"/>
        </w:numPr>
        <w:spacing w:after="60" w:line="268"/>
      </w:pPr>
      <w:r>
        <w:rPr>
          <w:color w:val="15181F"/>
          <w:sz w:val="16"/>
          <w:szCs w:val="16"/>
        </w:rPr>
        <w:t xml:space="preserve">MH iCCA roadmap v0.6 — Memorial Hermann Intrahepatic Cholangiocarcinoma System Roadmap. Multidisciplinary practice guideline and operating pathway, Draft v0.6, 4 October 2026, including the 3 October 2026 liver-directed treatment revision. Pen</w:t>
      </w:r>
    </w:p>
    <w:p>
      <w:pPr>
        <w:pStyle w:val="ListParagraph"/>
        <w:numPr>
          <w:ilvl w:val="0"/>
          <w:numId w:val="2"/>
        </w:numPr>
        <w:spacing w:after="60" w:line="268"/>
      </w:pPr>
      <w:r>
        <w:rPr>
          <w:color w:val="15181F"/>
          <w:sz w:val="16"/>
          <w:szCs w:val="16"/>
        </w:rPr>
        <w:t xml:space="preserve">NCCN BTC v1.2026 — National Comprehensive Cancer Network. Biliary Tract Cancers. NCCN Clinical Practice Guidelines in Oncology. Version 1.2026, 10 March 2026. Original PDF page locations are cited in the roadmap's NCCN decision rows (INTRA</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policy PDF checked 1 Octob</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Multicentre phase II evidence</w:t>
      </w:r>
    </w:p>
    <w:p>
      <w:r>
        <w:t>PUMP-2, a three-centre nonrandomized phase II trial, enrolled 50 patients with unresectable liver-confined iCCA: 48 started HAI, partial response was 44%, disease control at six months 84%, and 5/50 (10%) underwent resection. Median OS was 22.3 months; three-year OS 31.5%. The historical comparator does not establish superiority over contemporary chemo-immunotherapy (PMID 41082695).</w:t>
      </w:r>
    </w:p>
    <w:p>
      <w:pPr>
        <w:pStyle w:val="Heading2"/>
      </w:pPr>
      <w:r>
        <w:t>Mature pooled outcomes</w:t>
      </w:r>
    </w:p>
    <w:p>
      <w:r>
        <w:t>The pooled individual-patient analysis of four phase II iCCA trials included 142 HAI-treated patients, with or without resectable regional nodes: median OS 26 months, five-year OS 15%, and 13/142 (9%) resected. Intention-to-treat five-year OS was 14%. This reuses constituent trial patients and must not be counted as independent replication or randomized comparative evidence (PMID 42331230).</w:t>
      </w:r>
    </w:p>
    <w:p>
      <w:pPr>
        <w:pStyle w:val="Heading2"/>
      </w:pPr>
      <w:r>
        <w:t>Regional nodes and transplant separation</w:t>
      </w:r>
    </w:p>
    <w:p>
      <w:r>
        <w:t>For iCCA HAI selection, distinguish resectable regional nodes from distant extrahepatic metastases. Selected regional nodal disease was permitted in prospective HAI evidence; distant spread is outside the proposed liver-confined HAI pathway. This allowance does not extend to transplant eligibility. Document nodal basin, resectability and separate LT assessment (PMIDs 31670750, 42331230).</w:t>
      </w:r>
    </w:p>
    <w:p>
      <w:pPr>
        <w:pStyle w:val="Heading2"/>
      </w:pPr>
      <w:r>
        <w:t>Treatment position</w:t>
      </w:r>
    </w:p>
    <w:p>
      <w:r>
        <w:t>Discuss HAI early for selected unresectable liver-confined iCCA at an experienced programme, with a systemic-treatment plan and a defined reassessment for resection. HAI, Y90 and ablative RT have no established head-to-head hierarchy. HAI is a control/conversion option, not proven standalone cure or a replacement for contemporary chemo-immunotherapy. Keep separate protocol-based transplant review and existing allocation requirements.</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Hepatic Arterial Infusion Pump Chemotherapy in Patients With Unresectable Intrahepatic Cholangiocarcinoma-PUMP-2 Trial. PMID 41082695. DOI 10.1200/JCO-25-00923.</w:t>
      </w:r>
    </w:p>
    <w:p>
      <w:r>
        <w:t>Hepatic artery infusion pump chemotherapy for unresectable intrahepatic cholangiocarcinoma: Pooled individual patient-level analysis of four clinical trials. PMID 42331230. DOI 10.1016/j.jhep.2026.06.022.</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Primrose JN; Fox RP; Palmer DH; et al. Capecitabine compared with observation in resected biliary tract cancer (BILCAP): a randomised, controlled, multicentre, phase 3 study.. The Lancet. Oncology. 2019; 20(5):663-673. </w:t>
      </w:r>
      <w:hyperlink r:id="rId77">
        <w:r>
          <w:rPr>
            <w:color w:val="0563C1"/>
            <w:u w:val="single"/>
          </w:rPr>
          <w:t>Source</w:t>
        </w:r>
      </w:hyperlink>
      <w:r>
        <w:t xml:space="preserve"> | </w:t>
      </w:r>
      <w:hyperlink r:id="rId78">
        <w:r>
          <w:rPr>
            <w:color w:val="0563C1"/>
            <w:u w:val="single"/>
          </w:rPr>
          <w:t>Full-text access</w:t>
        </w:r>
      </w:hyperlink>
    </w:p>
    <w:p>
      <w:pPr>
        <w:pStyle w:val="Normal"/>
        <w:widowControl/>
        <w:spacing w:after="120"/>
      </w:pPr>
      <w:r>
        <w:t xml:space="preserve"/>
      </w:r>
      <w:r>
        <w:t xml:space="preserve">[V12-2] Vogel A; Ducreux M; ESMO Guidelines Committee. Electronic address: clinicalguidelines@esmo.org. ESMO Clinical Practice Guideline interim update on the management of biliary tract cancer.. ESMO open. 2025; 10(1):104003. </w:t>
      </w:r>
      <w:hyperlink r:id="rId79">
        <w:r>
          <w:rPr>
            <w:color w:val="0563C1"/>
            <w:u w:val="single"/>
          </w:rPr>
          <w:t>Source</w:t>
        </w:r>
      </w:hyperlink>
      <w:r>
        <w:t xml:space="preserve"> | </w:t>
      </w:r>
      <w:hyperlink r:id="rId80">
        <w:r>
          <w:rPr>
            <w:color w:val="0563C1"/>
            <w:u w:val="single"/>
          </w:rPr>
          <w:t>Full-text access</w:t>
        </w:r>
      </w:hyperlink>
    </w:p>
    <w:p>
      <w:pPr>
        <w:pStyle w:val="Normal"/>
        <w:widowControl/>
        <w:spacing w:after="120"/>
      </w:pPr>
      <w:r>
        <w:t xml:space="preserve"/>
      </w:r>
      <w:r>
        <w:t xml:space="preserve">[V12-3] Oh DY; Ruth He A; Qin S; et al. Durvalumab plus Gemcitabine and Cisplatin in Advanced Biliary Tract Cancer.. NEJM evidence. 2022; 1(8):EVIDoa2200015. </w:t>
      </w:r>
      <w:hyperlink r:id="rId81">
        <w:r>
          <w:rPr>
            <w:color w:val="0563C1"/>
            <w:u w:val="single"/>
          </w:rPr>
          <w:t>Source</w:t>
        </w:r>
      </w:hyperlink>
      <w:r>
        <w:t xml:space="preserve"> | </w:t>
      </w:r>
      <w:hyperlink r:id="rId82">
        <w:r>
          <w:rPr>
            <w:color w:val="0563C1"/>
            <w:u w:val="single"/>
          </w:rPr>
          <w:t>Full-text access</w:t>
        </w:r>
      </w:hyperlink>
    </w:p>
    <w:p>
      <w:pPr>
        <w:pStyle w:val="Normal"/>
        <w:widowControl/>
        <w:spacing w:after="120"/>
      </w:pPr>
      <w:r>
        <w:t xml:space="preserve"/>
      </w:r>
      <w:r>
        <w:t xml:space="preserve">[V12-4] Shroff RT; Kennedy EB; Alarcon Rozas AE; et al. Treatment of Advanced Biliary Tract Cancer: ASCO Living Guideline, Version 2026.1.0.. Journal of clinical oncology : official journal of the American Society of Clinical Oncology. 2026; :101200JCO2602462. </w:t>
      </w:r>
      <w:hyperlink r:id="rId83">
        <w:r>
          <w:rPr>
            <w:color w:val="0563C1"/>
            <w:u w:val="single"/>
          </w:rPr>
          <w:t>Source</w:t>
        </w:r>
      </w:hyperlink>
      <w:r>
        <w:t xml:space="preserve"> | </w:t>
      </w:r>
      <w:hyperlink r:id="rId84">
        <w:r>
          <w:rPr>
            <w:color w:val="0563C1"/>
            <w:u w:val="single"/>
          </w:rPr>
          <w:t>Full-text access</w:t>
        </w:r>
      </w:hyperlink>
    </w:p>
    <w:p>
      <w:pPr>
        <w:pStyle w:val="Normal"/>
        <w:widowControl/>
        <w:spacing w:after="120"/>
      </w:pPr>
      <w:r>
        <w:t xml:space="preserve"/>
      </w:r>
      <w:r>
        <w:t xml:space="preserve">[V12-5]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85">
        <w:r>
          <w:rPr>
            <w:color w:val="0563C1"/>
            <w:u w:val="single"/>
          </w:rPr>
          <w:t>Source</w:t>
        </w:r>
      </w:hyperlink>
      <w:r>
        <w:t xml:space="preserve"> | </w:t>
      </w:r>
      <w:hyperlink r:id="rId86">
        <w:r>
          <w:rPr>
            <w:color w:val="0563C1"/>
            <w:u w:val="single"/>
          </w:rPr>
          <w:t>Full-text access</w:t>
        </w:r>
      </w:hyperlink>
    </w:p>
    <w:p>
      <w:pPr>
        <w:pStyle w:val="Normal"/>
        <w:widowControl/>
        <w:spacing w:after="120"/>
      </w:pPr>
      <w:r>
        <w:t xml:space="preserve"/>
      </w:r>
      <w:r>
        <w:t xml:space="preserve">[V12-6] Valle J; Wasan H; Palmer DH; et al. Cisplatin plus gemcitabine versus gemcitabine for biliary tract cancer.. The New England journal of medicine. 2010; 362(14):1273-81. </w:t>
      </w:r>
      <w:hyperlink r:id="rId87">
        <w:r>
          <w:rPr>
            <w:color w:val="0563C1"/>
            <w:u w:val="single"/>
          </w:rPr>
          <w:t>Source</w:t>
        </w:r>
      </w:hyperlink>
      <w:r>
        <w:t xml:space="preserve"> | </w:t>
      </w:r>
      <w:hyperlink r:id="rId88">
        <w:r>
          <w:rPr>
            <w:color w:val="0563C1"/>
            <w:u w:val="single"/>
          </w:rPr>
          <w:t>Full-text access</w:t>
        </w:r>
      </w:hyperlink>
    </w:p>
    <w:p>
      <w:pPr>
        <w:pStyle w:val="Normal"/>
        <w:widowControl/>
        <w:spacing w:after="120"/>
      </w:pPr>
      <w:r>
        <w:t xml:space="preserve"/>
      </w:r>
      <w:r>
        <w:t xml:space="preserve">[V12-7] Lamarca A; Palmer DH; Wasan HS; et al. Second-line FOLFOX chemotherapy versus active symptom control for advanced biliary tract cancer (ABC-06): a phase 3, open-label, randomised, controlled trial.. The Lancet. Oncology. 2021; 22(5):690-701. </w:t>
      </w:r>
      <w:hyperlink r:id="rId89">
        <w:r>
          <w:rPr>
            <w:color w:val="0563C1"/>
            <w:u w:val="single"/>
          </w:rPr>
          <w:t>Source</w:t>
        </w:r>
      </w:hyperlink>
      <w:r>
        <w:t xml:space="preserve"> | </w:t>
      </w:r>
      <w:hyperlink r:id="rId90">
        <w:r>
          <w:rPr>
            <w:color w:val="0563C1"/>
            <w:u w:val="single"/>
          </w:rPr>
          <w:t>Full-text access</w:t>
        </w:r>
      </w:hyperlink>
    </w:p>
    <w:p>
      <w:pPr>
        <w:pStyle w:val="Normal"/>
        <w:widowControl/>
        <w:spacing w:after="120"/>
      </w:pPr>
      <w:r>
        <w:t xml:space="preserve"/>
      </w:r>
      <w:r>
        <w:t xml:space="preserve">[V12-8]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91">
        <w:r>
          <w:rPr>
            <w:color w:val="0563C1"/>
            <w:u w:val="single"/>
          </w:rPr>
          <w:t>Source</w:t>
        </w:r>
      </w:hyperlink>
      <w:r>
        <w:t xml:space="preserve"> | </w:t>
      </w:r>
      <w:hyperlink r:id="rId92">
        <w:r>
          <w:rPr>
            <w:color w:val="0563C1"/>
            <w:u w:val="single"/>
          </w:rPr>
          <w:t>Full-text access</w:t>
        </w:r>
      </w:hyperlink>
    </w:p>
    <w:p>
      <w:pPr>
        <w:pStyle w:val="Normal"/>
        <w:widowControl/>
        <w:spacing w:after="120"/>
      </w:pPr>
      <w:r>
        <w:t xml:space="preserve"/>
      </w:r>
      <w:r>
        <w:t xml:space="preserve">[V12-9] Vogel A; Sahai V; Hollebecque A; et al. An open-label study of pemigatinib in cholangiocarcinoma: final results from FIGHT-202.. ESMO open. 2024; 9(6):103488. </w:t>
      </w:r>
      <w:hyperlink r:id="rId93">
        <w:r>
          <w:rPr>
            <w:color w:val="0563C1"/>
            <w:u w:val="single"/>
          </w:rPr>
          <w:t>Source</w:t>
        </w:r>
      </w:hyperlink>
      <w:r>
        <w:t xml:space="preserve"> | </w:t>
      </w:r>
      <w:hyperlink r:id="rId94">
        <w:r>
          <w:rPr>
            <w:color w:val="0563C1"/>
            <w:u w:val="single"/>
          </w:rPr>
          <w:t>Full-text access</w:t>
        </w:r>
      </w:hyperlink>
    </w:p>
    <w:p>
      <w:pPr>
        <w:pStyle w:val="Normal"/>
        <w:widowControl/>
        <w:spacing w:after="120"/>
      </w:pPr>
      <w:r>
        <w:t xml:space="preserve"/>
      </w:r>
      <w:r>
        <w:t xml:space="preserve">[V12-10] Goyal L; Meric-Bernstam F; Hollebecque A; et al. Futibatinib for FGFR2-Rearranged Intrahepatic Cholangiocarcinoma.. The New England journal of medicine. 2023; 388(3):228-239. </w:t>
      </w:r>
      <w:hyperlink r:id="rId95">
        <w:r>
          <w:rPr>
            <w:color w:val="0563C1"/>
            <w:u w:val="single"/>
          </w:rPr>
          <w:t>Source</w:t>
        </w:r>
      </w:hyperlink>
      <w:r>
        <w:t xml:space="preserve"> | </w:t>
      </w:r>
      <w:hyperlink r:id="rId96">
        <w:r>
          <w:rPr>
            <w:color w:val="0563C1"/>
            <w:u w:val="single"/>
          </w:rPr>
          <w:t>Full-text access</w:t>
        </w:r>
      </w:hyperlink>
    </w:p>
    <w:p>
      <w:pPr>
        <w:pStyle w:val="Normal"/>
        <w:widowControl/>
        <w:spacing w:after="120"/>
      </w:pPr>
      <w:r>
        <w:t xml:space="preserve"/>
      </w:r>
      <w:r>
        <w:t xml:space="preserve">[V12-11] Zhu AX; Macarulla T; Javle MM; et al. Final Overall Survival Efficacy Results of Ivosidenib for Patients With Advanced Cholangiocarcinoma With IDH1 Mutation: The Phase 3 Randomized Clinical ClarIDHy Trial.. JAMA oncology. 2021; 7(11):1669-1677. </w:t>
      </w:r>
      <w:hyperlink r:id="rId97">
        <w:r>
          <w:rPr>
            <w:color w:val="0563C1"/>
            <w:u w:val="single"/>
          </w:rPr>
          <w:t>Source</w:t>
        </w:r>
      </w:hyperlink>
      <w:r>
        <w:t xml:space="preserve"> | </w:t>
      </w:r>
      <w:hyperlink r:id="rId98">
        <w:r>
          <w:rPr>
            <w:color w:val="0563C1"/>
            <w:u w:val="single"/>
          </w:rPr>
          <w:t>Full-text access</w:t>
        </w:r>
      </w:hyperlink>
    </w:p>
    <w:p>
      <w:pPr>
        <w:pStyle w:val="Normal"/>
        <w:widowControl/>
        <w:spacing w:after="120"/>
      </w:pPr>
      <w:r>
        <w:t xml:space="preserve"/>
      </w:r>
      <w:r>
        <w:t xml:space="preserve">[V12-12] Subbiah V; Lassen U; Élez E; et al. Dabrafenib plus trametinib in patients with BRAF(V600E)-mutated biliary tract cancer (ROAR): a phase 2, open-label, single-arm, multicentre basket trial.. The Lancet. Oncology. 2020; 21(9):1234-1243. </w:t>
      </w:r>
      <w:hyperlink r:id="rId99">
        <w:r>
          <w:rPr>
            <w:color w:val="0563C1"/>
            <w:u w:val="single"/>
          </w:rPr>
          <w:t>Source</w:t>
        </w:r>
      </w:hyperlink>
      <w:r>
        <w:t xml:space="preserve"> | </w:t>
      </w:r>
      <w:hyperlink r:id="rId100">
        <w:r>
          <w:rPr>
            <w:color w:val="0563C1"/>
            <w:u w:val="single"/>
          </w:rPr>
          <w:t>Full-text access</w:t>
        </w:r>
      </w:hyperlink>
    </w:p>
    <w:p>
      <w:pPr>
        <w:pStyle w:val="Normal"/>
        <w:widowControl/>
        <w:spacing w:after="120"/>
      </w:pPr>
      <w:r>
        <w:t xml:space="preserve"/>
      </w:r>
      <w:r>
        <w:t xml:space="preserve">[V12-13] US Food and Drug Administration. FDA grants accelerated approval to zanidatamab hrii for previously treated unresectable or metastatic HER2 positive biliary tract cancer. FDA approval announcement. 2024. </w:t>
      </w:r>
      <w:hyperlink r:id="rId101">
        <w:r>
          <w:rPr>
            <w:color w:val="0563C1"/>
            <w:u w:val="single"/>
          </w:rPr>
          <w:t>Source</w:t>
        </w:r>
      </w:hyperlink>
      <w:r>
        <w:t xml:space="preserve"> | Local PDF not available in this update</w:t>
      </w:r>
    </w:p>
    <w:p>
      <w:pPr>
        <w:pStyle w:val="Normal"/>
        <w:widowControl/>
        <w:spacing w:after="120"/>
      </w:pPr>
      <w:r>
        <w:t xml:space="preserve"/>
      </w:r>
      <w:r>
        <w:t xml:space="preserve">[V12-14] US Food and Drug Administration. FDA approves zenocutuzumab zbco for advanced unresectable or metastatic cholangiocarcinoma. FDA approval announcement. 2026. </w:t>
      </w:r>
      <w:hyperlink r:id="rId102">
        <w:r>
          <w:rPr>
            <w:color w:val="0563C1"/>
            <w:u w:val="single"/>
          </w:rPr>
          <w:t>Source</w:t>
        </w:r>
      </w:hyperlink>
      <w:r>
        <w:t xml:space="preserve"> | Local PDF not available in this update</w:t>
      </w:r>
    </w:p>
    <w:p>
      <w:pPr>
        <w:pStyle w:val="Normal"/>
        <w:widowControl/>
        <w:spacing w:after="120"/>
      </w:pPr>
      <w:r>
        <w:t xml:space="preserve"/>
      </w:r>
      <w:r>
        <w:t xml:space="preserve">[V12-15] Kobayashi S; Terashima T; Shiba S; et al. Multicenter retrospective analysis of systemic chemotherapy for unresectable combined hepatocellular and cholangiocarcinoma.. Cancer science. 2018; 109(8):2549-2557. </w:t>
      </w:r>
      <w:hyperlink r:id="rId103">
        <w:r>
          <w:rPr>
            <w:color w:val="0563C1"/>
            <w:u w:val="single"/>
          </w:rPr>
          <w:t>Source</w:t>
        </w:r>
      </w:hyperlink>
      <w:r>
        <w:t xml:space="preserve"> | </w:t>
      </w:r>
      <w:hyperlink r:id="rId104">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Systemic disease control is not proof of transplant benefit. Preserve the route-specific histology, liver-only status, unresectability and observation gates. A cHCC-CCA component changes the evidence base; use expert pathology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iCCA system roadmap V12 · Batch 09, 15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libkey.io/libraries/480/10.1016/S1470-2045(18)30915-X" TargetMode="External"/><Relationship Id="rId11" Type="http://schemas.openxmlformats.org/officeDocument/2006/relationships/hyperlink" Target="https://doi.org/10.1016/j.esmoop.2024.104003" TargetMode="External"/><Relationship Id="rId12" Type="http://schemas.openxmlformats.org/officeDocument/2006/relationships/hyperlink" Target="https://libkey.io/libraries/480/10.1016/j.esmoop.2024.104003" TargetMode="External"/><Relationship Id="rId13" Type="http://schemas.openxmlformats.org/officeDocument/2006/relationships/hyperlink" Target="https://doi.org/10.1056/EVIDoa2200015" TargetMode="External"/><Relationship Id="rId14" Type="http://schemas.openxmlformats.org/officeDocument/2006/relationships/hyperlink" Target="https://libkey.io/libraries/480/10.1056/EVIDoa2200015" TargetMode="External"/><Relationship Id="rId15" Type="http://schemas.openxmlformats.org/officeDocument/2006/relationships/hyperlink" Target="https://doi.org/10.1016/j.esmoop.2024.104003" TargetMode="External"/><Relationship Id="rId16" Type="http://schemas.openxmlformats.org/officeDocument/2006/relationships/hyperlink" Target="https://libkey.io/libraries/480/10.1016/j.esmoop.2024.104003" TargetMode="External"/><Relationship Id="rId17" Type="http://schemas.openxmlformats.org/officeDocument/2006/relationships/hyperlink" Target="https://doi.org/10.1200/JCO-26-02462" TargetMode="External"/><Relationship Id="rId18" Type="http://schemas.openxmlformats.org/officeDocument/2006/relationships/hyperlink" Target="https://libkey.io/libraries/480/10.1200/JCO-26-02462" TargetMode="External"/><Relationship Id="rId19" Type="http://schemas.openxmlformats.org/officeDocument/2006/relationships/hyperlink" Target="https://doi.org/10.1016/S0140-6736(23)00727-4" TargetMode="External"/><Relationship Id="rId20" Type="http://schemas.openxmlformats.org/officeDocument/2006/relationships/hyperlink" Target="https://libkey.io/libraries/480/10.1016/S0140-6736(23)00727-4" TargetMode="External"/><Relationship Id="rId21" Type="http://schemas.openxmlformats.org/officeDocument/2006/relationships/hyperlink" Target="https://doi.org/10.1016/j.esmoop.2024.104003" TargetMode="External"/><Relationship Id="rId22" Type="http://schemas.openxmlformats.org/officeDocument/2006/relationships/hyperlink" Target="https://libkey.io/libraries/480/10.1016/j.esmoop.2024.104003" TargetMode="External"/><Relationship Id="rId23" Type="http://schemas.openxmlformats.org/officeDocument/2006/relationships/hyperlink" Target="https://doi.org/10.1200/JCO-26-02462" TargetMode="External"/><Relationship Id="rId24" Type="http://schemas.openxmlformats.org/officeDocument/2006/relationships/hyperlink" Target="https://libkey.io/libraries/480/10.1200/JCO-26-02462" TargetMode="External"/><Relationship Id="rId25" Type="http://schemas.openxmlformats.org/officeDocument/2006/relationships/hyperlink" Target="https://doi.org/10.1056/NEJMoa0908721" TargetMode="External"/><Relationship Id="rId26" Type="http://schemas.openxmlformats.org/officeDocument/2006/relationships/hyperlink" Target="https://libkey.io/libraries/480/10.1056/NEJMoa0908721" TargetMode="External"/><Relationship Id="rId27" Type="http://schemas.openxmlformats.org/officeDocument/2006/relationships/hyperlink" Target="https://doi.org/10.1016/j.esmoop.2024.104003" TargetMode="External"/><Relationship Id="rId28" Type="http://schemas.openxmlformats.org/officeDocument/2006/relationships/hyperlink" Target="https://libkey.io/libraries/480/10.1016/j.esmoop.2024.104003" TargetMode="External"/><Relationship Id="rId29" Type="http://schemas.openxmlformats.org/officeDocument/2006/relationships/hyperlink" Target="https://doi.org/10.1200/JCO-26-02462" TargetMode="External"/><Relationship Id="rId30" Type="http://schemas.openxmlformats.org/officeDocument/2006/relationships/hyperlink" Target="https://libkey.io/libraries/480/10.1200/JCO-26-02462" TargetMode="External"/><Relationship Id="rId31" Type="http://schemas.openxmlformats.org/officeDocument/2006/relationships/hyperlink" Target="https://doi.org/10.1016/S1470-2045(21)00027-9" TargetMode="External"/><Relationship Id="rId32" Type="http://schemas.openxmlformats.org/officeDocument/2006/relationships/hyperlink" Target="https://libkey.io/libraries/480/10.1016/S1470-2045(21)00027-9" TargetMode="External"/><Relationship Id="rId33" Type="http://schemas.openxmlformats.org/officeDocument/2006/relationships/hyperlink" Target="https://doi.org/10.1200/JCO-26-02462" TargetMode="External"/><Relationship Id="rId34" Type="http://schemas.openxmlformats.org/officeDocument/2006/relationships/hyperlink" Target="https://libkey.io/libraries/480/10.1200/JCO-26-02462" TargetMode="External"/><Relationship Id="rId35" Type="http://schemas.openxmlformats.org/officeDocument/2006/relationships/hyperlink" Target="https://doi.org/10.1016/j.esmoop.2024.104003" TargetMode="External"/><Relationship Id="rId36" Type="http://schemas.openxmlformats.org/officeDocument/2006/relationships/hyperlink" Target="https://libkey.io/libraries/480/10.1016/j.esmoop.2024.104003" TargetMode="External"/><Relationship Id="rId37" Type="http://schemas.openxmlformats.org/officeDocument/2006/relationships/hyperlink" Target="https://doi.org/10.1016/S2468-1253(24)00119-5" TargetMode="External"/><Relationship Id="rId38" Type="http://schemas.openxmlformats.org/officeDocument/2006/relationships/hyperlink" Target="https://libkey.io/libraries/480/10.1016/S2468-1253(24)00119-5" TargetMode="External"/><Relationship Id="rId39" Type="http://schemas.openxmlformats.org/officeDocument/2006/relationships/hyperlink" Target="https://doi.org/10.1200/JCO-26-02462" TargetMode="External"/><Relationship Id="rId40" Type="http://schemas.openxmlformats.org/officeDocument/2006/relationships/hyperlink" Target="https://libkey.io/libraries/480/10.1200/JCO-26-02462" TargetMode="External"/><Relationship Id="rId41" Type="http://schemas.openxmlformats.org/officeDocument/2006/relationships/hyperlink" Target="https://doi.org/10.1016/j.esmoop.2024.103488" TargetMode="External"/><Relationship Id="rId42" Type="http://schemas.openxmlformats.org/officeDocument/2006/relationships/hyperlink" Target="https://libkey.io/libraries/480/10.1016/j.esmoop.2024.103488" TargetMode="External"/><Relationship Id="rId43" Type="http://schemas.openxmlformats.org/officeDocument/2006/relationships/hyperlink" Target="https://doi.org/10.1056/NEJMoa2206834" TargetMode="External"/><Relationship Id="rId44" Type="http://schemas.openxmlformats.org/officeDocument/2006/relationships/hyperlink" Target="https://libkey.io/libraries/480/10.1056/NEJMoa2206834" TargetMode="External"/><Relationship Id="rId45" Type="http://schemas.openxmlformats.org/officeDocument/2006/relationships/hyperlink" Target="https://doi.org/10.1200/JCO-26-02462" TargetMode="External"/><Relationship Id="rId46" Type="http://schemas.openxmlformats.org/officeDocument/2006/relationships/hyperlink" Target="https://libkey.io/libraries/480/10.1200/JCO-26-02462" TargetMode="External"/><Relationship Id="rId47" Type="http://schemas.openxmlformats.org/officeDocument/2006/relationships/hyperlink" Target="https://doi.org/10.1001/jamaoncol.2021.3836" TargetMode="External"/><Relationship Id="rId48" Type="http://schemas.openxmlformats.org/officeDocument/2006/relationships/hyperlink" Target="https://libkey.io/libraries/480/10.1001/jamaoncol.2021.3836" TargetMode="External"/><Relationship Id="rId49" Type="http://schemas.openxmlformats.org/officeDocument/2006/relationships/hyperlink" Target="https://doi.org/10.1016/j.esmoop.2024.104003" TargetMode="External"/><Relationship Id="rId50" Type="http://schemas.openxmlformats.org/officeDocument/2006/relationships/hyperlink" Target="https://libkey.io/libraries/480/10.1016/j.esmoop.2024.104003" TargetMode="External"/><Relationship Id="rId51" Type="http://schemas.openxmlformats.org/officeDocument/2006/relationships/hyperlink" Target="https://doi.org/10.1200/JCO-26-02462" TargetMode="External"/><Relationship Id="rId52" Type="http://schemas.openxmlformats.org/officeDocument/2006/relationships/hyperlink" Target="https://libkey.io/libraries/480/10.1200/JCO-26-02462" TargetMode="External"/><Relationship Id="rId53" Type="http://schemas.openxmlformats.org/officeDocument/2006/relationships/hyperlink" Target="https://doi.org/10.1016/S1470-2045(20)30321-1" TargetMode="External"/><Relationship Id="rId54" Type="http://schemas.openxmlformats.org/officeDocument/2006/relationships/hyperlink" Target="https://libkey.io/libraries/480/10.1016/S1470-2045(20)30321-1" TargetMode="External"/><Relationship Id="rId55" Type="http://schemas.openxmlformats.org/officeDocument/2006/relationships/hyperlink" Target="https://doi.org/10.1016/j.esmoop.2024.104003" TargetMode="External"/><Relationship Id="rId56" Type="http://schemas.openxmlformats.org/officeDocument/2006/relationships/hyperlink" Target="https://libkey.io/libraries/480/10.1016/j.esmoop.2024.104003" TargetMode="External"/><Relationship Id="rId57" Type="http://schemas.openxmlformats.org/officeDocument/2006/relationships/hyperlink" Target="https://doi.org/10.1200/JCO-26-02462" TargetMode="External"/><Relationship Id="rId58" Type="http://schemas.openxmlformats.org/officeDocument/2006/relationships/hyperlink" Target="https://libkey.io/libraries/480/10.1200/JCO-26-02462"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libkey.io/libraries/480/10.1016/j.esmoop.2024.104003" TargetMode="External"/><Relationship Id="rId62" Type="http://schemas.openxmlformats.org/officeDocument/2006/relationships/hyperlink" Target="https://doi.org/10.1200/JCO-26-02462" TargetMode="External"/><Relationship Id="rId63" Type="http://schemas.openxmlformats.org/officeDocument/2006/relationships/hyperlink" Target="https://libkey.io/libraries/480/10.1200/JCO-26-02462"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libkey.io/libraries/480/10.1200/JCO-26-02462" TargetMode="External"/><Relationship Id="rId67" Type="http://schemas.openxmlformats.org/officeDocument/2006/relationships/hyperlink" Target="https://doi.org/10.1200/JCO-26-02462" TargetMode="External"/><Relationship Id="rId68" Type="http://schemas.openxmlformats.org/officeDocument/2006/relationships/hyperlink" Target="https://libkey.io/libraries/480/10.1200/JCO-26-02462" TargetMode="External"/><Relationship Id="rId69" Type="http://schemas.openxmlformats.org/officeDocument/2006/relationships/hyperlink" Target="https://doi.org/10.1016/j.esmoop.2024.104003" TargetMode="External"/><Relationship Id="rId70" Type="http://schemas.openxmlformats.org/officeDocument/2006/relationships/hyperlink" Target="https://libkey.io/libraries/480/10.1016/j.esmoop.2024.104003" TargetMode="External"/><Relationship Id="rId71" Type="http://schemas.openxmlformats.org/officeDocument/2006/relationships/hyperlink" Target="https://doi.org/10.1200/JCO-26-02462" TargetMode="External"/><Relationship Id="rId72" Type="http://schemas.openxmlformats.org/officeDocument/2006/relationships/hyperlink" Target="https://libkey.io/libraries/480/10.1200/JCO-26-02462" TargetMode="External"/><Relationship Id="rId73" Type="http://schemas.openxmlformats.org/officeDocument/2006/relationships/hyperlink" Target="https://doi.org/10.1016/S2468-1253(24)00119-5" TargetMode="External"/><Relationship Id="rId74" Type="http://schemas.openxmlformats.org/officeDocument/2006/relationships/hyperlink" Target="https://libkey.io/libraries/480/10.1016/S2468-1253(24)00119-5" TargetMode="External"/><Relationship Id="rId75" Type="http://schemas.openxmlformats.org/officeDocument/2006/relationships/hyperlink" Target="https://doi.org/10.1111/cas.13656" TargetMode="External"/><Relationship Id="rId76" Type="http://schemas.openxmlformats.org/officeDocument/2006/relationships/hyperlink" Target="https://libkey.io/libraries/480/10.1111/cas.13656" TargetMode="External"/><Relationship Id="rId77" Type="http://schemas.openxmlformats.org/officeDocument/2006/relationships/hyperlink" Target="https://doi.org/10.1016/S1470-2045(18)30915-X" TargetMode="External"/><Relationship Id="rId78" Type="http://schemas.openxmlformats.org/officeDocument/2006/relationships/hyperlink" Target="https://libkey.io/libraries/480/10.1016/S1470-2045(18)30915-X" TargetMode="External"/><Relationship Id="rId79" Type="http://schemas.openxmlformats.org/officeDocument/2006/relationships/hyperlink" Target="https://doi.org/10.1016/j.esmoop.2024.104003" TargetMode="External"/><Relationship Id="rId80" Type="http://schemas.openxmlformats.org/officeDocument/2006/relationships/hyperlink" Target="https://libkey.io/libraries/480/10.1016/j.esmoop.2024.104003" TargetMode="External"/><Relationship Id="rId81" Type="http://schemas.openxmlformats.org/officeDocument/2006/relationships/hyperlink" Target="https://doi.org/10.1056/EVIDoa2200015" TargetMode="External"/><Relationship Id="rId82" Type="http://schemas.openxmlformats.org/officeDocument/2006/relationships/hyperlink" Target="https://libkey.io/libraries/480/10.1056/EVIDoa2200015" TargetMode="External"/><Relationship Id="rId83" Type="http://schemas.openxmlformats.org/officeDocument/2006/relationships/hyperlink" Target="https://doi.org/10.1200/JCO-26-02462" TargetMode="External"/><Relationship Id="rId84" Type="http://schemas.openxmlformats.org/officeDocument/2006/relationships/hyperlink" Target="https://libkey.io/libraries/480/10.1200/JCO-26-02462" TargetMode="External"/><Relationship Id="rId85" Type="http://schemas.openxmlformats.org/officeDocument/2006/relationships/hyperlink" Target="https://doi.org/10.1016/S0140-6736(23)00727-4" TargetMode="External"/><Relationship Id="rId86" Type="http://schemas.openxmlformats.org/officeDocument/2006/relationships/hyperlink" Target="https://libkey.io/libraries/480/10.1016/S0140-6736(23)00727-4" TargetMode="External"/><Relationship Id="rId87" Type="http://schemas.openxmlformats.org/officeDocument/2006/relationships/hyperlink" Target="https://doi.org/10.1056/NEJMoa0908721" TargetMode="External"/><Relationship Id="rId88" Type="http://schemas.openxmlformats.org/officeDocument/2006/relationships/hyperlink" Target="https://libkey.io/libraries/480/10.1056/NEJMoa0908721" TargetMode="External"/><Relationship Id="rId89" Type="http://schemas.openxmlformats.org/officeDocument/2006/relationships/hyperlink" Target="https://doi.org/10.1016/S1470-2045(21)00027-9" TargetMode="External"/><Relationship Id="rId90" Type="http://schemas.openxmlformats.org/officeDocument/2006/relationships/hyperlink" Target="https://libkey.io/libraries/480/10.1016/S1470-2045(21)00027-9" TargetMode="External"/><Relationship Id="rId91" Type="http://schemas.openxmlformats.org/officeDocument/2006/relationships/hyperlink" Target="https://doi.org/10.1016/S2468-1253(24)00119-5" TargetMode="External"/><Relationship Id="rId92" Type="http://schemas.openxmlformats.org/officeDocument/2006/relationships/hyperlink" Target="https://libkey.io/libraries/480/10.1016/S2468-1253(24)00119-5" TargetMode="External"/><Relationship Id="rId93" Type="http://schemas.openxmlformats.org/officeDocument/2006/relationships/hyperlink" Target="https://doi.org/10.1016/j.esmoop.2024.103488" TargetMode="External"/><Relationship Id="rId94" Type="http://schemas.openxmlformats.org/officeDocument/2006/relationships/hyperlink" Target="https://libkey.io/libraries/480/10.1016/j.esmoop.2024.103488" TargetMode="External"/><Relationship Id="rId95" Type="http://schemas.openxmlformats.org/officeDocument/2006/relationships/hyperlink" Target="https://doi.org/10.1056/NEJMoa2206834" TargetMode="External"/><Relationship Id="rId96" Type="http://schemas.openxmlformats.org/officeDocument/2006/relationships/hyperlink" Target="https://libkey.io/libraries/480/10.1056/NEJMoa2206834" TargetMode="External"/><Relationship Id="rId97" Type="http://schemas.openxmlformats.org/officeDocument/2006/relationships/hyperlink" Target="https://doi.org/10.1001/jamaoncol.2021.3836" TargetMode="External"/><Relationship Id="rId98" Type="http://schemas.openxmlformats.org/officeDocument/2006/relationships/hyperlink" Target="https://libkey.io/libraries/480/10.1001/jamaoncol.2021.3836" TargetMode="External"/><Relationship Id="rId99" Type="http://schemas.openxmlformats.org/officeDocument/2006/relationships/hyperlink" Target="https://doi.org/10.1016/S1470-2045(20)30321-1" TargetMode="External"/><Relationship Id="rId100" Type="http://schemas.openxmlformats.org/officeDocument/2006/relationships/hyperlink" Target="https://libkey.io/libraries/480/10.1016/S1470-2045(20)30321-1" TargetMode="External"/><Relationship Id="rId101" Type="http://schemas.openxmlformats.org/officeDocument/2006/relationships/hyperlink" Target="https://www.fda.gov/drugs/resources-information-approved-drugs/fda-grants-accelerated-approval-zanidatamab-hrii-previously-treated-unresectable-or-metastatic-her2" TargetMode="External"/><Relationship Id="rId102" Type="http://schemas.openxmlformats.org/officeDocument/2006/relationships/hyperlink" Target="https://www.fda.gov/drugs/resources-information-approved-drugs/fda-approves-zenocutuzumab-zbco-advanced-unresectable-or-metastatic-cholangiocarcinoma" TargetMode="External"/><Relationship Id="rId103" Type="http://schemas.openxmlformats.org/officeDocument/2006/relationships/hyperlink" Target="https://doi.org/10.1111/cas.13656" TargetMode="External"/><Relationship Id="rId104" Type="http://schemas.openxmlformats.org/officeDocument/2006/relationships/hyperlink" Target="https://libkey.io/libraries/480/10.1111/cas.13656"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iCCA system roadmap v0.7</dc:title>
  <dc:subject>Intrahepatic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2026-10-10T04:29:16.208Z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