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HCC — standardized OPTN 9.5.I pathway</w:t>
        <w:br/>
        <w:t>Alignment-meeting decision document</w:t>
      </w:r>
    </w:p>
    <w:p>
      <w:pPr>
        <w:pStyle w:val="Subtitle"/>
      </w:pPr>
      <w:r>
        <w:t>Companion approval record to the protocol-specific guideline alignment worksheet</w:t>
      </w:r>
    </w:p>
    <w:p>
      <w:r>
        <w:t>Use this document after reviewing the source-by-source worksheet. Each decision records the exact local statement, its rationale, and accountable follow-through. A decision here does not alter OPTN policy or activate a protocol without institutional approval.</w:t>
      </w:r>
    </w:p>
    <w:p>
      <w:pPr>
        <w:pStyle w:val="Heading1"/>
      </w:pPr>
      <w:r>
        <w:t>Decision 1 — Which lesions count toward a standardized HCC exception?</w:t>
      </w:r>
    </w:p>
    <w:p>
      <w:r>
        <w:t>Guidelines/policy compared: OPTN Policy 9.5.I; AASLD HCC guidance; BCLC.</w:t>
      </w:r>
    </w:p>
    <w:p>
      <w:r>
        <w:rPr>
          <w:b/>
        </w:rPr>
        <w:t xml:space="preserve">Draft institutional decision: </w:t>
      </w:r>
      <w:r>
        <w:t>Do not count LR-4 or indeterminate lesions toward T2. Route uncertain lesions to multidisciplinary biopsy-versus-repeat-imaging review; clinical transplant candidacy remains distinct from exception eligibility.</w:t>
      </w:r>
    </w:p>
    <w:p>
      <w:r>
        <w:rPr>
          <w:b/>
        </w:rPr>
        <w:t xml:space="preserve">Why this is the proposed position: </w:t>
      </w:r>
      <w:r>
        <w:t>OPTN creates the standardized allocation threshold; a high-probability imaging category is not an allocation-equivalent diagnosis.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Meeting decision</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Owner / reviewer</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Date</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Implementation action</w:t>
            </w:r>
          </w:p>
        </w:tc>
      </w:tr>
      <w:tr>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 CHANGE / DISCUSS</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Update protocol / roadmap / allocation checklist as applicable</w:t>
            </w:r>
          </w:p>
        </w:tc>
      </w:tr>
    </w:tbl>
    <w:p/>
    <w:p>
      <w:r>
        <w:t>Final wording if changed: __________________________________________________________________________________</w:t>
      </w:r>
    </w:p>
    <w:p>
      <w:pPr>
        <w:pStyle w:val="Heading1"/>
      </w:pPr>
      <w:r>
        <w:t>Decision 2 — How should curative-route choice be made when resection and transplant are both conceivable?</w:t>
      </w:r>
    </w:p>
    <w:p>
      <w:r>
        <w:t>Guidelines/policy compared: AASLD HCC guidance; BCLC; OPTN Policy.</w:t>
      </w:r>
    </w:p>
    <w:p>
      <w:r>
        <w:rPr>
          <w:b/>
        </w:rPr>
        <w:t xml:space="preserve">Draft institutional decision: </w:t>
      </w:r>
      <w:r>
        <w:t>Use a clinical-first portal-hypertension and resectability assessment. Obtain invasive testing only when it will change the curative route; document the reason for selecting resection, ablation, or transplant.</w:t>
      </w:r>
    </w:p>
    <w:p>
      <w:r>
        <w:rPr>
          <w:b/>
        </w:rPr>
        <w:t xml:space="preserve">Why this is the proposed position: </w:t>
      </w:r>
      <w:r>
        <w:t>The clinical guidelines frame route selection; allocation policy should not be used as a resection-versus-transplant algorithm.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Meeting decision</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Owner / reviewer</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Date</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Implementation action</w:t>
            </w:r>
          </w:p>
        </w:tc>
      </w:tr>
      <w:tr>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 CHANGE / DISCUSS</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Update protocol / roadmap / allocation checklist as applicable</w:t>
            </w:r>
          </w:p>
        </w:tc>
      </w:tr>
    </w:tbl>
    <w:p/>
    <w:p>
      <w:r>
        <w:t>Final wording if changed: __________________________________________________________________________________</w:t>
      </w:r>
    </w:p>
    <w:p>
      <w:pPr>
        <w:pStyle w:val="Heading1"/>
      </w:pPr>
      <w:r>
        <w:t>Decision 3 — What bridge/downstaging response and reassessment standard will be used?</w:t>
      </w:r>
    </w:p>
    <w:p>
      <w:r>
        <w:t>Guidelines/policy compared: OPTN guidance; AASLD HCC guidance; BCLC.</w:t>
      </w:r>
    </w:p>
    <w:p>
      <w:r>
        <w:rPr>
          <w:b/>
        </w:rPr>
        <w:t xml:space="preserve">Draft institutional decision: </w:t>
      </w:r>
      <w:r>
        <w:t>For each treatment, record intent, modality rationale, response-imaging date, and MDT reassessment. Do not use an automatic modality-switch rule without anatomy, liver function, and response context.</w:t>
      </w:r>
    </w:p>
    <w:p>
      <w:r>
        <w:rPr>
          <w:b/>
        </w:rPr>
        <w:t xml:space="preserve">Why this is the proposed position: </w:t>
      </w:r>
      <w:r>
        <w:t>Guidelines support bridging/downstaging but do not establish a universal modality sequence.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Meeting decision</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Owner / reviewer</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Date</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Implementation action</w:t>
            </w:r>
          </w:p>
        </w:tc>
      </w:tr>
      <w:tr>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 CHANGE / DISCUSS</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Update protocol / roadmap / allocation checklist as applicable</w:t>
            </w:r>
          </w:p>
        </w:tc>
      </w:tr>
    </w:tbl>
    <w:p/>
    <w:p>
      <w:r>
        <w:t>Final wording if changed: __________________________________________________________________________________</w:t>
      </w:r>
    </w:p>
    <w:p>
      <w:pPr>
        <w:pStyle w:val="Heading1"/>
      </w:pPr>
      <w:r>
        <w:t>Decision 4 — How should pre-transplant checkpoint-inhibitor exposure be governed?</w:t>
      </w:r>
    </w:p>
    <w:p>
      <w:r>
        <w:t>Guidelines/policy compared: OPTN guidance; AASLD HCC guidance; BCLC.</w:t>
      </w:r>
    </w:p>
    <w:p>
      <w:r>
        <w:rPr>
          <w:b/>
        </w:rPr>
        <w:t xml:space="preserve">Draft institutional decision: </w:t>
      </w:r>
      <w:r>
        <w:t>Require a separate transplant-oncology, pharmacy, and immunology review with drug/date record, rejection-risk discussion, and documented individualized plan.</w:t>
      </w:r>
    </w:p>
    <w:p>
      <w:r>
        <w:rPr>
          <w:b/>
        </w:rPr>
        <w:t xml:space="preserve">Why this is the proposed position: </w:t>
      </w:r>
      <w:r>
        <w:t>Exception consideration is not a finding that any exposure or washout is safe; evidence remains evolving.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Meeting decision</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Owner / reviewer</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Date</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Implementation action</w:t>
            </w:r>
          </w:p>
        </w:tc>
      </w:tr>
      <w:tr>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ACCEPT / CHANGE / DISCUSS</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Update protocol / roadmap / allocation checklist as applicable</w:t>
            </w:r>
          </w:p>
        </w:tc>
      </w:tr>
    </w:tbl>
    <w:p/>
    <w:p>
      <w:r>
        <w:t>Final wording if changed: __________________________________________________________________________________</w:t>
      </w:r>
    </w:p>
    <w:p>
      <w:pPr>
        <w:pStyle w:val="Heading1"/>
      </w:pPr>
      <w:r>
        <w:t>Final activation check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Source edition rechecked</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Affected V3 protocol updated</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Roadmap updated where applicable</w:t>
            </w:r>
          </w:p>
        </w:tc>
        <w:tc>
          <w:tcPr>
            <w:tcW w:type="dxa" w:w="2628"/>
            <w:shd w:fill="1F4E78"/>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color w:val="FFFFFF"/>
                <w:sz w:val="17"/>
              </w:rPr>
              <w:t>Approving body / date</w:t>
            </w:r>
          </w:p>
        </w:tc>
      </w:tr>
      <w:tr>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c>
          <w:tcPr>
            <w:tcW w:type="dxa" w:w="2628"/>
            <w:shd w:fill="FFFFFF"/>
            <w:tcBorders>
              <w:top w:val="single" w:sz="4" w:color="D9E2F3"/>
              <w:left w:val="single" w:sz="4" w:color="D9E2F3"/>
              <w:bottom w:val="single" w:sz="4" w:color="D9E2F3"/>
              <w:right w:val="single" w:sz="4" w:color="D9E2F3"/>
            </w:tcBorders>
            <w:vAlign w:val="center"/>
          </w:tcPr>
          <w:p>
            <w:pPr>
              <w:spacing w:after="0" w:line="240" w:lineRule="auto"/>
            </w:pPr>
            <w:r>
              <w:rPr>
                <w:rFonts w:ascii="Aptos" w:hAnsi="Aptos"/>
                <w:b w:val="0"/>
                <w:sz w:val="17"/>
              </w:rPr>
              <w:t>________________</w:t>
            </w:r>
          </w:p>
        </w:tc>
      </w:tr>
    </w:tbl>
    <w:p/>
    <w:p>
      <w:pPr>
        <w:pStyle w:val="Heading1"/>
      </w:pPr>
      <w:r>
        <w:t>Step level gray zone decisions</w:t>
      </w:r>
    </w:p>
    <w:p>
      <w:r>
        <w:t>This section corresponds one to one with the HCC pathway gray-zone links and the companion worksheet register. No item is active until formally accepted or amended by the responsible group.</w:t>
      </w:r>
    </w:p>
    <w:p>
      <w:pPr>
        <w:pStyle w:val="Heading2"/>
      </w:pPr>
      <w:r>
        <w:t>HCC G1 Does an LR 4 lesion, branch portal vein finding, or prior rupture permit a standard pathway?</w:t>
      </w:r>
    </w:p>
    <w:p>
      <w:r>
        <w:t>Pathway location: Step 1</w:t>
      </w:r>
    </w:p>
    <w:p>
      <w:r>
        <w:t>Guideline and policy comparison: OPTN T2 language counts Class 5 lesions; AASLD notes LR 4 has about 75 percent HCC probability. The worksheet must distinguish diagnostic concern from allocation qualification.</w:t>
      </w:r>
    </w:p>
    <w:p>
      <w:r>
        <w:t>Draft institutional decision: Do not count LR 4 toward T2. Route LR 4, branch portal vein findings, and prior rupture to documented MDT review. Main portal vein or hepatic vein invasion, extrahepatic metastasis, active rupture, and T1 do not advance on the standardized route.</w:t>
      </w:r>
    </w:p>
    <w:p>
      <w:r>
        <w:t>Proposed owners: Hepatology; radiology; transplant surgery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7365D"/>
            <w:tcBorders>
              <w:top w:val="single" w:sz="4" w:color="D9D9D9"/>
              <w:left w:val="single" w:sz="4" w:color="D9D9D9"/>
              <w:bottom w:val="single" w:sz="4" w:color="D9D9D9"/>
              <w:right w:val="single" w:sz="4" w:color="D9D9D9"/>
            </w:tcBorders>
          </w:tcPr>
          <w:p>
            <w:r>
              <w:rPr>
                <w:b/>
                <w:color w:val="FFFFFF"/>
              </w:rPr>
              <w:t>Meeting decision</w:t>
            </w:r>
          </w:p>
        </w:tc>
        <w:tc>
          <w:tcPr>
            <w:tcW w:type="dxa" w:w="2628"/>
            <w:shd w:fill="17365D"/>
            <w:tcBorders>
              <w:top w:val="single" w:sz="4" w:color="D9D9D9"/>
              <w:left w:val="single" w:sz="4" w:color="D9D9D9"/>
              <w:bottom w:val="single" w:sz="4" w:color="D9D9D9"/>
              <w:right w:val="single" w:sz="4" w:color="D9D9D9"/>
            </w:tcBorders>
          </w:tcPr>
          <w:p>
            <w:r>
              <w:rPr>
                <w:b/>
                <w:color w:val="FFFFFF"/>
              </w:rPr>
              <w:t>Owner reviewer</w:t>
            </w:r>
          </w:p>
        </w:tc>
        <w:tc>
          <w:tcPr>
            <w:tcW w:type="dxa" w:w="2628"/>
            <w:shd w:fill="17365D"/>
            <w:tcBorders>
              <w:top w:val="single" w:sz="4" w:color="D9D9D9"/>
              <w:left w:val="single" w:sz="4" w:color="D9D9D9"/>
              <w:bottom w:val="single" w:sz="4" w:color="D9D9D9"/>
              <w:right w:val="single" w:sz="4" w:color="D9D9D9"/>
            </w:tcBorders>
          </w:tcPr>
          <w:p>
            <w:r>
              <w:rPr>
                <w:b/>
                <w:color w:val="FFFFFF"/>
              </w:rPr>
              <w:t>Date</w:t>
            </w:r>
          </w:p>
        </w:tc>
        <w:tc>
          <w:tcPr>
            <w:tcW w:type="dxa" w:w="2628"/>
            <w:shd w:fill="17365D"/>
            <w:tcBorders>
              <w:top w:val="single" w:sz="4" w:color="D9D9D9"/>
              <w:left w:val="single" w:sz="4" w:color="D9D9D9"/>
              <w:bottom w:val="single" w:sz="4" w:color="D9D9D9"/>
              <w:right w:val="single" w:sz="4" w:color="D9D9D9"/>
            </w:tcBorders>
          </w:tcPr>
          <w:p>
            <w:r>
              <w:rPr>
                <w:b/>
                <w:color w:val="FFFFFF"/>
              </w:rPr>
              <w:t>Implementation action</w:t>
            </w:r>
          </w:p>
        </w:tc>
      </w:tr>
      <w:tr>
        <w:tc>
          <w:tcPr>
            <w:tcW w:type="dxa" w:w="2628"/>
            <w:tcBorders>
              <w:top w:val="single" w:sz="4" w:color="D9D9D9"/>
              <w:left w:val="single" w:sz="4" w:color="D9D9D9"/>
              <w:bottom w:val="single" w:sz="4" w:color="D9D9D9"/>
              <w:right w:val="single" w:sz="4" w:color="D9D9D9"/>
            </w:tcBorders>
            <w:vAlign w:val="center"/>
          </w:tcPr>
          <w:p>
            <w:r>
              <w:rPr>
                <w:sz w:val="18"/>
              </w:rPr>
              <w:t>ACCEPT / CHANGE / DISCUSS</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Update protocol / pathway / checklist</w:t>
            </w:r>
          </w:p>
        </w:tc>
      </w:tr>
    </w:tbl>
    <w:p>
      <w:pPr>
        <w:pStyle w:val="Heading2"/>
      </w:pPr>
      <w:r>
        <w:t>HCC G2 When does portal hypertension uncertainty require invasive assessment before choosing resection versus transplant?</w:t>
      </w:r>
    </w:p>
    <w:p>
      <w:r>
        <w:t>Pathway location: Step 2</w:t>
      </w:r>
    </w:p>
    <w:p>
      <w:r>
        <w:t>Guideline and policy comparison: AASLD supports transplant for early HCC not suitable for resection; BCLC identifies clinically significant portal hypertension as increased risk. OPTN does not choose the curative route.</w:t>
      </w:r>
    </w:p>
    <w:p>
      <w:r>
        <w:t>Draft institutional decision: Use clinical, laboratory, and imaging assessment first. Obtain invasive testing only when it will change the curative route; document the resection, ablation, or transplant rationale.</w:t>
      </w:r>
    </w:p>
    <w:p>
      <w:r>
        <w:t>Proposed owners: Hepatology; HPB surgery; transplant surgery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7365D"/>
            <w:tcBorders>
              <w:top w:val="single" w:sz="4" w:color="D9D9D9"/>
              <w:left w:val="single" w:sz="4" w:color="D9D9D9"/>
              <w:bottom w:val="single" w:sz="4" w:color="D9D9D9"/>
              <w:right w:val="single" w:sz="4" w:color="D9D9D9"/>
            </w:tcBorders>
          </w:tcPr>
          <w:p>
            <w:r>
              <w:rPr>
                <w:b/>
                <w:color w:val="FFFFFF"/>
              </w:rPr>
              <w:t>Meeting decision</w:t>
            </w:r>
          </w:p>
        </w:tc>
        <w:tc>
          <w:tcPr>
            <w:tcW w:type="dxa" w:w="2628"/>
            <w:shd w:fill="17365D"/>
            <w:tcBorders>
              <w:top w:val="single" w:sz="4" w:color="D9D9D9"/>
              <w:left w:val="single" w:sz="4" w:color="D9D9D9"/>
              <w:bottom w:val="single" w:sz="4" w:color="D9D9D9"/>
              <w:right w:val="single" w:sz="4" w:color="D9D9D9"/>
            </w:tcBorders>
          </w:tcPr>
          <w:p>
            <w:r>
              <w:rPr>
                <w:b/>
                <w:color w:val="FFFFFF"/>
              </w:rPr>
              <w:t>Owner reviewer</w:t>
            </w:r>
          </w:p>
        </w:tc>
        <w:tc>
          <w:tcPr>
            <w:tcW w:type="dxa" w:w="2628"/>
            <w:shd w:fill="17365D"/>
            <w:tcBorders>
              <w:top w:val="single" w:sz="4" w:color="D9D9D9"/>
              <w:left w:val="single" w:sz="4" w:color="D9D9D9"/>
              <w:bottom w:val="single" w:sz="4" w:color="D9D9D9"/>
              <w:right w:val="single" w:sz="4" w:color="D9D9D9"/>
            </w:tcBorders>
          </w:tcPr>
          <w:p>
            <w:r>
              <w:rPr>
                <w:b/>
                <w:color w:val="FFFFFF"/>
              </w:rPr>
              <w:t>Date</w:t>
            </w:r>
          </w:p>
        </w:tc>
        <w:tc>
          <w:tcPr>
            <w:tcW w:type="dxa" w:w="2628"/>
            <w:shd w:fill="17365D"/>
            <w:tcBorders>
              <w:top w:val="single" w:sz="4" w:color="D9D9D9"/>
              <w:left w:val="single" w:sz="4" w:color="D9D9D9"/>
              <w:bottom w:val="single" w:sz="4" w:color="D9D9D9"/>
              <w:right w:val="single" w:sz="4" w:color="D9D9D9"/>
            </w:tcBorders>
          </w:tcPr>
          <w:p>
            <w:r>
              <w:rPr>
                <w:b/>
                <w:color w:val="FFFFFF"/>
              </w:rPr>
              <w:t>Implementation action</w:t>
            </w:r>
          </w:p>
        </w:tc>
      </w:tr>
      <w:tr>
        <w:tc>
          <w:tcPr>
            <w:tcW w:type="dxa" w:w="2628"/>
            <w:tcBorders>
              <w:top w:val="single" w:sz="4" w:color="D9D9D9"/>
              <w:left w:val="single" w:sz="4" w:color="D9D9D9"/>
              <w:bottom w:val="single" w:sz="4" w:color="D9D9D9"/>
              <w:right w:val="single" w:sz="4" w:color="D9D9D9"/>
            </w:tcBorders>
            <w:vAlign w:val="center"/>
          </w:tcPr>
          <w:p>
            <w:r>
              <w:rPr>
                <w:sz w:val="18"/>
              </w:rPr>
              <w:t>ACCEPT / CHANGE / DISCUSS</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Update protocol / pathway / checklist</w:t>
            </w:r>
          </w:p>
        </w:tc>
      </w:tr>
    </w:tbl>
    <w:p>
      <w:pPr>
        <w:pStyle w:val="Heading2"/>
      </w:pPr>
      <w:r>
        <w:t>HCC G3 How should disease beyond standard downstaging limits but with apparently favorable biology be handled?</w:t>
      </w:r>
    </w:p>
    <w:p>
      <w:r>
        <w:t>Pathway location: Step 3</w:t>
      </w:r>
    </w:p>
    <w:p>
      <w:r>
        <w:t>Guideline and policy comparison: OPTN standardized T2 language defines the automatic route; any case outside it requires source-current nonstandard review rather than presumed eligibility.</w:t>
      </w:r>
    </w:p>
    <w:p>
      <w:r>
        <w:t>Draft institutional decision: Do not label a case outside the standardized limits as eligible. Document viable burden, AFP, treatment chronology, and MDT rationale; refer for NLRB/nonstandard discussion if clinically appropriate.</w:t>
      </w:r>
    </w:p>
    <w:p>
      <w:r>
        <w:t>Proposed owners: Transplant hepatology; coordinator; radiology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7365D"/>
            <w:tcBorders>
              <w:top w:val="single" w:sz="4" w:color="D9D9D9"/>
              <w:left w:val="single" w:sz="4" w:color="D9D9D9"/>
              <w:bottom w:val="single" w:sz="4" w:color="D9D9D9"/>
              <w:right w:val="single" w:sz="4" w:color="D9D9D9"/>
            </w:tcBorders>
          </w:tcPr>
          <w:p>
            <w:r>
              <w:rPr>
                <w:b/>
                <w:color w:val="FFFFFF"/>
              </w:rPr>
              <w:t>Meeting decision</w:t>
            </w:r>
          </w:p>
        </w:tc>
        <w:tc>
          <w:tcPr>
            <w:tcW w:type="dxa" w:w="2628"/>
            <w:shd w:fill="17365D"/>
            <w:tcBorders>
              <w:top w:val="single" w:sz="4" w:color="D9D9D9"/>
              <w:left w:val="single" w:sz="4" w:color="D9D9D9"/>
              <w:bottom w:val="single" w:sz="4" w:color="D9D9D9"/>
              <w:right w:val="single" w:sz="4" w:color="D9D9D9"/>
            </w:tcBorders>
          </w:tcPr>
          <w:p>
            <w:r>
              <w:rPr>
                <w:b/>
                <w:color w:val="FFFFFF"/>
              </w:rPr>
              <w:t>Owner reviewer</w:t>
            </w:r>
          </w:p>
        </w:tc>
        <w:tc>
          <w:tcPr>
            <w:tcW w:type="dxa" w:w="2628"/>
            <w:shd w:fill="17365D"/>
            <w:tcBorders>
              <w:top w:val="single" w:sz="4" w:color="D9D9D9"/>
              <w:left w:val="single" w:sz="4" w:color="D9D9D9"/>
              <w:bottom w:val="single" w:sz="4" w:color="D9D9D9"/>
              <w:right w:val="single" w:sz="4" w:color="D9D9D9"/>
            </w:tcBorders>
          </w:tcPr>
          <w:p>
            <w:r>
              <w:rPr>
                <w:b/>
                <w:color w:val="FFFFFF"/>
              </w:rPr>
              <w:t>Date</w:t>
            </w:r>
          </w:p>
        </w:tc>
        <w:tc>
          <w:tcPr>
            <w:tcW w:type="dxa" w:w="2628"/>
            <w:shd w:fill="17365D"/>
            <w:tcBorders>
              <w:top w:val="single" w:sz="4" w:color="D9D9D9"/>
              <w:left w:val="single" w:sz="4" w:color="D9D9D9"/>
              <w:bottom w:val="single" w:sz="4" w:color="D9D9D9"/>
              <w:right w:val="single" w:sz="4" w:color="D9D9D9"/>
            </w:tcBorders>
          </w:tcPr>
          <w:p>
            <w:r>
              <w:rPr>
                <w:b/>
                <w:color w:val="FFFFFF"/>
              </w:rPr>
              <w:t>Implementation action</w:t>
            </w:r>
          </w:p>
        </w:tc>
      </w:tr>
      <w:tr>
        <w:tc>
          <w:tcPr>
            <w:tcW w:type="dxa" w:w="2628"/>
            <w:tcBorders>
              <w:top w:val="single" w:sz="4" w:color="D9D9D9"/>
              <w:left w:val="single" w:sz="4" w:color="D9D9D9"/>
              <w:bottom w:val="single" w:sz="4" w:color="D9D9D9"/>
              <w:right w:val="single" w:sz="4" w:color="D9D9D9"/>
            </w:tcBorders>
            <w:vAlign w:val="center"/>
          </w:tcPr>
          <w:p>
            <w:r>
              <w:rPr>
                <w:sz w:val="18"/>
              </w:rPr>
              <w:t>ACCEPT / CHANGE / DISCUSS</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Update protocol / pathway / checklist</w:t>
            </w:r>
          </w:p>
        </w:tc>
      </w:tr>
    </w:tbl>
    <w:p>
      <w:pPr>
        <w:pStyle w:val="Heading2"/>
      </w:pPr>
      <w:r>
        <w:t>HCC G4 How are bridge/downstaging modality, response, and checkpoint inhibitor exposure governed?</w:t>
      </w:r>
    </w:p>
    <w:p>
      <w:r>
        <w:t>Pathway location: Step 4</w:t>
      </w:r>
    </w:p>
    <w:p>
      <w:r>
        <w:t>Guideline and policy comparison: OPTN guidance calls for imaging at least 4 weeks after last downstaging treatment and says immunotherapy does not itself preclude consideration. AASLD supports bridging LRT but neither source mandates a modality sequence or washout.</w:t>
      </w:r>
    </w:p>
    <w:p>
      <w:r>
        <w:t>Draft institutional decision: Record treatment intent, modality rationale, imaging date, viable burden, and MDT reassessment. Require a separate transplant oncology, pharmacy, and immunology review for checkpoint exposure; do not represent a local washout as policy.</w:t>
      </w:r>
    </w:p>
    <w:p>
      <w:r>
        <w:t>Proposed owners: IR; radiation oncology; oncology; pharmacy; transplant team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7365D"/>
            <w:tcBorders>
              <w:top w:val="single" w:sz="4" w:color="D9D9D9"/>
              <w:left w:val="single" w:sz="4" w:color="D9D9D9"/>
              <w:bottom w:val="single" w:sz="4" w:color="D9D9D9"/>
              <w:right w:val="single" w:sz="4" w:color="D9D9D9"/>
            </w:tcBorders>
          </w:tcPr>
          <w:p>
            <w:r>
              <w:rPr>
                <w:b/>
                <w:color w:val="FFFFFF"/>
              </w:rPr>
              <w:t>Meeting decision</w:t>
            </w:r>
          </w:p>
        </w:tc>
        <w:tc>
          <w:tcPr>
            <w:tcW w:type="dxa" w:w="2628"/>
            <w:shd w:fill="17365D"/>
            <w:tcBorders>
              <w:top w:val="single" w:sz="4" w:color="D9D9D9"/>
              <w:left w:val="single" w:sz="4" w:color="D9D9D9"/>
              <w:bottom w:val="single" w:sz="4" w:color="D9D9D9"/>
              <w:right w:val="single" w:sz="4" w:color="D9D9D9"/>
            </w:tcBorders>
          </w:tcPr>
          <w:p>
            <w:r>
              <w:rPr>
                <w:b/>
                <w:color w:val="FFFFFF"/>
              </w:rPr>
              <w:t>Owner reviewer</w:t>
            </w:r>
          </w:p>
        </w:tc>
        <w:tc>
          <w:tcPr>
            <w:tcW w:type="dxa" w:w="2628"/>
            <w:shd w:fill="17365D"/>
            <w:tcBorders>
              <w:top w:val="single" w:sz="4" w:color="D9D9D9"/>
              <w:left w:val="single" w:sz="4" w:color="D9D9D9"/>
              <w:bottom w:val="single" w:sz="4" w:color="D9D9D9"/>
              <w:right w:val="single" w:sz="4" w:color="D9D9D9"/>
            </w:tcBorders>
          </w:tcPr>
          <w:p>
            <w:r>
              <w:rPr>
                <w:b/>
                <w:color w:val="FFFFFF"/>
              </w:rPr>
              <w:t>Date</w:t>
            </w:r>
          </w:p>
        </w:tc>
        <w:tc>
          <w:tcPr>
            <w:tcW w:type="dxa" w:w="2628"/>
            <w:shd w:fill="17365D"/>
            <w:tcBorders>
              <w:top w:val="single" w:sz="4" w:color="D9D9D9"/>
              <w:left w:val="single" w:sz="4" w:color="D9D9D9"/>
              <w:bottom w:val="single" w:sz="4" w:color="D9D9D9"/>
              <w:right w:val="single" w:sz="4" w:color="D9D9D9"/>
            </w:tcBorders>
          </w:tcPr>
          <w:p>
            <w:r>
              <w:rPr>
                <w:b/>
                <w:color w:val="FFFFFF"/>
              </w:rPr>
              <w:t>Implementation action</w:t>
            </w:r>
          </w:p>
        </w:tc>
      </w:tr>
      <w:tr>
        <w:tc>
          <w:tcPr>
            <w:tcW w:type="dxa" w:w="2628"/>
            <w:tcBorders>
              <w:top w:val="single" w:sz="4" w:color="D9D9D9"/>
              <w:left w:val="single" w:sz="4" w:color="D9D9D9"/>
              <w:bottom w:val="single" w:sz="4" w:color="D9D9D9"/>
              <w:right w:val="single" w:sz="4" w:color="D9D9D9"/>
            </w:tcBorders>
            <w:vAlign w:val="center"/>
          </w:tcPr>
          <w:p>
            <w:r>
              <w:rPr>
                <w:sz w:val="18"/>
              </w:rPr>
              <w:t>ACCEPT / CHANGE / DISCUSS</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Update protocol / pathway / checklist</w:t>
            </w:r>
          </w:p>
        </w:tc>
      </w:tr>
    </w:tbl>
    <w:p>
      <w:pPr>
        <w:pStyle w:val="Heading2"/>
      </w:pPr>
      <w:r>
        <w:t>HCC G5 Who owns the distinction between medical transplant candidacy, exception eligibility, and renewal documentation?</w:t>
      </w:r>
    </w:p>
    <w:p>
      <w:r>
        <w:t>Pathway location: Step 5</w:t>
      </w:r>
    </w:p>
    <w:p>
      <w:r>
        <w:t>Guideline and policy comparison: OPTN policy governs the standardized exception record; medical candidacy requires separate center evaluation.</w:t>
      </w:r>
    </w:p>
    <w:p>
      <w:r>
        <w:t>Draft institutional decision: Assign a named coordinator and transplant physician to verify current imaging, AFP, treatment chronology, contraindication screen, exception filing, and renewal calendar.</w:t>
      </w:r>
    </w:p>
    <w:p>
      <w:r>
        <w:t>Proposed owners: Coordinator; transplant physician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7365D"/>
            <w:tcBorders>
              <w:top w:val="single" w:sz="4" w:color="D9D9D9"/>
              <w:left w:val="single" w:sz="4" w:color="D9D9D9"/>
              <w:bottom w:val="single" w:sz="4" w:color="D9D9D9"/>
              <w:right w:val="single" w:sz="4" w:color="D9D9D9"/>
            </w:tcBorders>
          </w:tcPr>
          <w:p>
            <w:r>
              <w:rPr>
                <w:b/>
                <w:color w:val="FFFFFF"/>
              </w:rPr>
              <w:t>Meeting decision</w:t>
            </w:r>
          </w:p>
        </w:tc>
        <w:tc>
          <w:tcPr>
            <w:tcW w:type="dxa" w:w="2628"/>
            <w:shd w:fill="17365D"/>
            <w:tcBorders>
              <w:top w:val="single" w:sz="4" w:color="D9D9D9"/>
              <w:left w:val="single" w:sz="4" w:color="D9D9D9"/>
              <w:bottom w:val="single" w:sz="4" w:color="D9D9D9"/>
              <w:right w:val="single" w:sz="4" w:color="D9D9D9"/>
            </w:tcBorders>
          </w:tcPr>
          <w:p>
            <w:r>
              <w:rPr>
                <w:b/>
                <w:color w:val="FFFFFF"/>
              </w:rPr>
              <w:t>Owner reviewer</w:t>
            </w:r>
          </w:p>
        </w:tc>
        <w:tc>
          <w:tcPr>
            <w:tcW w:type="dxa" w:w="2628"/>
            <w:shd w:fill="17365D"/>
            <w:tcBorders>
              <w:top w:val="single" w:sz="4" w:color="D9D9D9"/>
              <w:left w:val="single" w:sz="4" w:color="D9D9D9"/>
              <w:bottom w:val="single" w:sz="4" w:color="D9D9D9"/>
              <w:right w:val="single" w:sz="4" w:color="D9D9D9"/>
            </w:tcBorders>
          </w:tcPr>
          <w:p>
            <w:r>
              <w:rPr>
                <w:b/>
                <w:color w:val="FFFFFF"/>
              </w:rPr>
              <w:t>Date</w:t>
            </w:r>
          </w:p>
        </w:tc>
        <w:tc>
          <w:tcPr>
            <w:tcW w:type="dxa" w:w="2628"/>
            <w:shd w:fill="17365D"/>
            <w:tcBorders>
              <w:top w:val="single" w:sz="4" w:color="D9D9D9"/>
              <w:left w:val="single" w:sz="4" w:color="D9D9D9"/>
              <w:bottom w:val="single" w:sz="4" w:color="D9D9D9"/>
              <w:right w:val="single" w:sz="4" w:color="D9D9D9"/>
            </w:tcBorders>
          </w:tcPr>
          <w:p>
            <w:r>
              <w:rPr>
                <w:b/>
                <w:color w:val="FFFFFF"/>
              </w:rPr>
              <w:t>Implementation action</w:t>
            </w:r>
          </w:p>
        </w:tc>
      </w:tr>
      <w:tr>
        <w:tc>
          <w:tcPr>
            <w:tcW w:type="dxa" w:w="2628"/>
            <w:tcBorders>
              <w:top w:val="single" w:sz="4" w:color="D9D9D9"/>
              <w:left w:val="single" w:sz="4" w:color="D9D9D9"/>
              <w:bottom w:val="single" w:sz="4" w:color="D9D9D9"/>
              <w:right w:val="single" w:sz="4" w:color="D9D9D9"/>
            </w:tcBorders>
            <w:vAlign w:val="center"/>
          </w:tcPr>
          <w:p>
            <w:r>
              <w:rPr>
                <w:sz w:val="18"/>
              </w:rPr>
              <w:t>ACCEPT / CHANGE / DISCUSS</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Update protocol / pathway / checklist</w:t>
            </w:r>
          </w:p>
        </w:tc>
      </w:tr>
    </w:tbl>
    <w:p>
      <w:pPr>
        <w:pStyle w:val="Heading2"/>
      </w:pPr>
      <w:r>
        <w:t>HCC G6 How are equivocal post radiation findings or borderline AFP trajectory handled while listed?</w:t>
      </w:r>
    </w:p>
    <w:p>
      <w:r>
        <w:t>Pathway location: Step 6</w:t>
      </w:r>
    </w:p>
    <w:p>
      <w:r>
        <w:t>Guideline and policy comparison: Guidance requires serial assessment and does not provide a universal imaging interpretation rule for every post treatment appearance.</w:t>
      </w:r>
    </w:p>
    <w:p>
      <w:r>
        <w:t>Draft institutional decision: Do not automatically advance or remove on an equivocal finding. Obtain multidisciplinary radiology review, compare viable burden and AFP trajectory, and record the decision with current source review.</w:t>
      </w:r>
    </w:p>
    <w:p>
      <w:r>
        <w:t>Proposed owners: Radiology; hepatology; IR or radiation oncology; transplant team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7365D"/>
            <w:tcBorders>
              <w:top w:val="single" w:sz="4" w:color="D9D9D9"/>
              <w:left w:val="single" w:sz="4" w:color="D9D9D9"/>
              <w:bottom w:val="single" w:sz="4" w:color="D9D9D9"/>
              <w:right w:val="single" w:sz="4" w:color="D9D9D9"/>
            </w:tcBorders>
          </w:tcPr>
          <w:p>
            <w:r>
              <w:rPr>
                <w:b/>
                <w:color w:val="FFFFFF"/>
              </w:rPr>
              <w:t>Meeting decision</w:t>
            </w:r>
          </w:p>
        </w:tc>
        <w:tc>
          <w:tcPr>
            <w:tcW w:type="dxa" w:w="2628"/>
            <w:shd w:fill="17365D"/>
            <w:tcBorders>
              <w:top w:val="single" w:sz="4" w:color="D9D9D9"/>
              <w:left w:val="single" w:sz="4" w:color="D9D9D9"/>
              <w:bottom w:val="single" w:sz="4" w:color="D9D9D9"/>
              <w:right w:val="single" w:sz="4" w:color="D9D9D9"/>
            </w:tcBorders>
          </w:tcPr>
          <w:p>
            <w:r>
              <w:rPr>
                <w:b/>
                <w:color w:val="FFFFFF"/>
              </w:rPr>
              <w:t>Owner reviewer</w:t>
            </w:r>
          </w:p>
        </w:tc>
        <w:tc>
          <w:tcPr>
            <w:tcW w:type="dxa" w:w="2628"/>
            <w:shd w:fill="17365D"/>
            <w:tcBorders>
              <w:top w:val="single" w:sz="4" w:color="D9D9D9"/>
              <w:left w:val="single" w:sz="4" w:color="D9D9D9"/>
              <w:bottom w:val="single" w:sz="4" w:color="D9D9D9"/>
              <w:right w:val="single" w:sz="4" w:color="D9D9D9"/>
            </w:tcBorders>
          </w:tcPr>
          <w:p>
            <w:r>
              <w:rPr>
                <w:b/>
                <w:color w:val="FFFFFF"/>
              </w:rPr>
              <w:t>Date</w:t>
            </w:r>
          </w:p>
        </w:tc>
        <w:tc>
          <w:tcPr>
            <w:tcW w:type="dxa" w:w="2628"/>
            <w:shd w:fill="17365D"/>
            <w:tcBorders>
              <w:top w:val="single" w:sz="4" w:color="D9D9D9"/>
              <w:left w:val="single" w:sz="4" w:color="D9D9D9"/>
              <w:bottom w:val="single" w:sz="4" w:color="D9D9D9"/>
              <w:right w:val="single" w:sz="4" w:color="D9D9D9"/>
            </w:tcBorders>
          </w:tcPr>
          <w:p>
            <w:r>
              <w:rPr>
                <w:b/>
                <w:color w:val="FFFFFF"/>
              </w:rPr>
              <w:t>Implementation action</w:t>
            </w:r>
          </w:p>
        </w:tc>
      </w:tr>
      <w:tr>
        <w:tc>
          <w:tcPr>
            <w:tcW w:type="dxa" w:w="2628"/>
            <w:tcBorders>
              <w:top w:val="single" w:sz="4" w:color="D9D9D9"/>
              <w:left w:val="single" w:sz="4" w:color="D9D9D9"/>
              <w:bottom w:val="single" w:sz="4" w:color="D9D9D9"/>
              <w:right w:val="single" w:sz="4" w:color="D9D9D9"/>
            </w:tcBorders>
            <w:vAlign w:val="center"/>
          </w:tcPr>
          <w:p>
            <w:r>
              <w:rPr>
                <w:sz w:val="18"/>
              </w:rPr>
              <w:t>ACCEPT / CHANGE / DISCUSS</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________________</w:t>
            </w:r>
          </w:p>
        </w:tc>
        <w:tc>
          <w:tcPr>
            <w:tcW w:type="dxa" w:w="2628"/>
            <w:tcBorders>
              <w:top w:val="single" w:sz="4" w:color="D9D9D9"/>
              <w:left w:val="single" w:sz="4" w:color="D9D9D9"/>
              <w:bottom w:val="single" w:sz="4" w:color="D9D9D9"/>
              <w:right w:val="single" w:sz="4" w:color="D9D9D9"/>
            </w:tcBorders>
            <w:vAlign w:val="center"/>
          </w:tcPr>
          <w:p>
            <w:r>
              <w:rPr>
                <w:sz w:val="18"/>
              </w:rPr>
              <w:t>Update protocol / pathway / checklist</w:t>
            </w:r>
          </w:p>
        </w:tc>
      </w:tr>
    </w:tbl>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HCC — standardized OPTN 9.5.I pathway | Decision document | 15 October 2026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