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HCC — standardized OPTN 9.5.I pathway</w:t>
        <w:br/>
        <w:t>Guideline alignment worksheet</w:t>
      </w:r>
    </w:p>
    <w:p>
      <w:pPr>
        <w:pStyle w:val="Subtitle"/>
      </w:pPr>
      <w:r>
        <w:t>Protocol-specific comparison of genuine decision points for multidisciplinary ratification</w:t>
      </w:r>
    </w:p>
    <w:p>
      <w:pPr>
        <w:pStyle w:val="Heading1"/>
      </w:pPr>
      <w:r>
        <w:t>What this document is for</w:t>
      </w:r>
    </w:p>
    <w:p>
      <w:r>
        <w:t>Each block is a question where allocation policy, clinical guidance, evidence framing, or local operating practice can diverge. The source anchors are short verbatim excerpts with locators; they are included to make the difference visible at the meeting. “—” means the source does not directly answer the question. The local position is a draft until ratified.</w:t>
      </w:r>
    </w:p>
    <w:p>
      <w:pPr>
        <w:pStyle w:val="Heading1"/>
      </w:pPr>
      <w:r>
        <w:t>Sources compared</w:t>
      </w:r>
    </w:p>
    <w:p>
      <w:r>
        <w:t>OPTN Policy 9.5.I; AASLD HCC Practice Guidance (2023); BCLC Strategy (2022/2026 update); NCCN Hepatobiliary Cancers (current licensed edition).</w:t>
      </w:r>
    </w:p>
    <w:p>
      <w:pPr>
        <w:pStyle w:val="Heading1"/>
      </w:pPr>
      <w:r>
        <w:t>Questions requiring alignment</w:t>
      </w:r>
    </w:p>
    <w:p>
      <w:pPr>
        <w:pStyle w:val="Heading1"/>
      </w:pPr>
      <w:r>
        <w:t>1. Which lesions count toward a standardized HCC exception?</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Guideline / authority</w:t>
            </w:r>
          </w:p>
        </w:tc>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Short verbatim source anchor</w:t>
            </w:r>
          </w:p>
        </w:tc>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Locator / relevance</w:t>
            </w:r>
          </w:p>
        </w:tc>
      </w:tr>
      <w:tr>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OPTN Policy 9.5.I</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“one Class 5 lesion greater than or equal to 2 cm and less than or equal to 5 cm” or “two or three Class 5 lesions each greater than or equal to 1 cm and less than or equal to 3 cm.”</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Policy 9.5.I.i</w:t>
            </w:r>
          </w:p>
        </w:tc>
      </w:tr>
      <w:tr>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AASLD HCC guidance</w:t>
            </w:r>
          </w:p>
        </w:tc>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“LR-4 observations have a ~75% probability of HCC.”</w:t>
            </w:r>
          </w:p>
        </w:tc>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Diagnosis section</w:t>
            </w:r>
          </w:p>
        </w:tc>
      </w:tr>
      <w:tr>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BCLC</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“Clinical decision-making should be based on ... tumour burden, liver function and performance status.”</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BCLC strategy</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Our roadmap / protocol decision</w:t>
            </w:r>
          </w:p>
        </w:tc>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Rationale</w:t>
            </w:r>
          </w:p>
        </w:tc>
      </w:tr>
      <w:tr>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Do not count LR-4 or indeterminate lesions toward T2. Route uncertain lesions to multidisciplinary biopsy-versus-repeat-imaging review; clinical transplant candidacy remains distinct from exception eligibility.</w:t>
            </w:r>
          </w:p>
        </w:tc>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OPTN creates the standardized allocation threshold; a high-probability imaging category is not an allocation-equivalent diagnosis.</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Decision for the alignment meeting</w:t>
            </w:r>
          </w:p>
        </w:tc>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Reviewer / date / comment</w:t>
            </w:r>
          </w:p>
        </w:tc>
      </w:tr>
      <w:tr>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ACCEPT AS WRITTEN     /     CHANGE ALIGNMENT TO: ____________________     /     DISCUSS</w:t>
            </w:r>
          </w:p>
        </w:tc>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____________________________________________________________</w:t>
            </w:r>
          </w:p>
        </w:tc>
      </w:tr>
    </w:tbl>
    <w:p/>
    <w:p>
      <w:pPr>
        <w:pStyle w:val="Heading1"/>
      </w:pPr>
      <w:r>
        <w:t>2. How should curative-route choice be made when resection and transplant are both conceivable?</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Guideline / authority</w:t>
            </w:r>
          </w:p>
        </w:tc>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Short verbatim source anchor</w:t>
            </w:r>
          </w:p>
        </w:tc>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Locator / relevance</w:t>
            </w:r>
          </w:p>
        </w:tc>
      </w:tr>
      <w:tr>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AASLD HCC guidance</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“Liver transplantation should be considered ... with early-stage HCC who are not candidates for resection.”</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Treatment section</w:t>
            </w:r>
          </w:p>
        </w:tc>
      </w:tr>
      <w:tr>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BCLC</w:t>
            </w:r>
          </w:p>
        </w:tc>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“The presence of clinically significant portal hypertension ... is associated with increased risk.”</w:t>
            </w:r>
          </w:p>
        </w:tc>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Early-stage discussion</w:t>
            </w:r>
          </w:p>
        </w:tc>
      </w:tr>
      <w:tr>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OPTN Policy</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 Allocation policy does not select resection versus transplant.</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Scope</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Our roadmap / protocol decision</w:t>
            </w:r>
          </w:p>
        </w:tc>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Rationale</w:t>
            </w:r>
          </w:p>
        </w:tc>
      </w:tr>
      <w:tr>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Use a clinical-first portal-hypertension and resectability assessment. Obtain invasive testing only when it will change the curative route; document the reason for selecting resection, ablation, or transplant.</w:t>
            </w:r>
          </w:p>
        </w:tc>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The clinical guidelines frame route selection; allocation policy should not be used as a resection-versus-transplant algorithm.</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Decision for the alignment meeting</w:t>
            </w:r>
          </w:p>
        </w:tc>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Reviewer / date / comment</w:t>
            </w:r>
          </w:p>
        </w:tc>
      </w:tr>
      <w:tr>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ACCEPT AS WRITTEN     /     CHANGE ALIGNMENT TO: ____________________     /     DISCUSS</w:t>
            </w:r>
          </w:p>
        </w:tc>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____________________________________________________________</w:t>
            </w:r>
          </w:p>
        </w:tc>
      </w:tr>
    </w:tbl>
    <w:p/>
    <w:p>
      <w:pPr>
        <w:pStyle w:val="Heading1"/>
      </w:pPr>
      <w:r>
        <w:t>3. What bridge/downstaging response and reassessment standard will be used?</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Guideline / authority</w:t>
            </w:r>
          </w:p>
        </w:tc>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Short verbatim source anchor</w:t>
            </w:r>
          </w:p>
        </w:tc>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Locator / relevance</w:t>
            </w:r>
          </w:p>
        </w:tc>
      </w:tr>
      <w:tr>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OPTN guidance</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“Imaging should be performed at least 4 weeks after the last down-staging treatment.”</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HCC guidance</w:t>
            </w:r>
          </w:p>
        </w:tc>
      </w:tr>
      <w:tr>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AASLD HCC guidance</w:t>
            </w:r>
          </w:p>
        </w:tc>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“AASLD advises the use of bridging LRT ... to decrease the risk of waitlist dropout.”</w:t>
            </w:r>
          </w:p>
        </w:tc>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Transplant section</w:t>
            </w:r>
          </w:p>
        </w:tc>
      </w:tr>
      <w:tr>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BCLC</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 Does not mandate a single bridge-modality sequence.</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Scope</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Our roadmap / protocol decision</w:t>
            </w:r>
          </w:p>
        </w:tc>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Rationale</w:t>
            </w:r>
          </w:p>
        </w:tc>
      </w:tr>
      <w:tr>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For each treatment, record intent, modality rationale, response-imaging date, and MDT reassessment. Do not use an automatic modality-switch rule without anatomy, liver function, and response context.</w:t>
            </w:r>
          </w:p>
        </w:tc>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Guidelines support bridging/downstaging but do not establish a universal modality sequence.</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Decision for the alignment meeting</w:t>
            </w:r>
          </w:p>
        </w:tc>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Reviewer / date / comment</w:t>
            </w:r>
          </w:p>
        </w:tc>
      </w:tr>
      <w:tr>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ACCEPT AS WRITTEN     /     CHANGE ALIGNMENT TO: ____________________     /     DISCUSS</w:t>
            </w:r>
          </w:p>
        </w:tc>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____________________________________________________________</w:t>
            </w:r>
          </w:p>
        </w:tc>
      </w:tr>
    </w:tbl>
    <w:p/>
    <w:p>
      <w:pPr>
        <w:pStyle w:val="Heading1"/>
      </w:pPr>
      <w:r>
        <w:t>4. How should pre-transplant checkpoint-inhibitor exposure be governed?</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Guideline / authority</w:t>
            </w:r>
          </w:p>
        </w:tc>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Short verbatim source anchor</w:t>
            </w:r>
          </w:p>
        </w:tc>
        <w:tc>
          <w:tcPr>
            <w:tcW w:type="dxa" w:w="3504"/>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Locator / relevance</w:t>
            </w:r>
          </w:p>
        </w:tc>
      </w:tr>
      <w:tr>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OPTN guidance</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“Immunotherapy does not preclude consideration” for HCC exception review.</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HCC guidance</w:t>
            </w:r>
          </w:p>
        </w:tc>
      </w:tr>
      <w:tr>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AASLD HCC guidance</w:t>
            </w:r>
          </w:p>
        </w:tc>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 Does not establish an allocation washout interval.</w:t>
            </w:r>
          </w:p>
        </w:tc>
        <w:tc>
          <w:tcPr>
            <w:tcW w:type="dxa" w:w="3504"/>
            <w:shd w:fill="F3F6F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Scope</w:t>
            </w:r>
          </w:p>
        </w:tc>
      </w:tr>
      <w:tr>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BCLC</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 Does not establish a transplant-safety washout interval.</w:t>
            </w:r>
          </w:p>
        </w:tc>
        <w:tc>
          <w:tcPr>
            <w:tcW w:type="dxa" w:w="3504"/>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Scope</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Our roadmap / protocol decision</w:t>
            </w:r>
          </w:p>
        </w:tc>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Rationale</w:t>
            </w:r>
          </w:p>
        </w:tc>
      </w:tr>
      <w:tr>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Require a separate transplant-oncology, pharmacy, and immunology review with drug/date record, rejection-risk discussion, and documented individualized plan.</w:t>
            </w:r>
          </w:p>
        </w:tc>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Exception consideration is not a finding that any exposure or washout is safe; evidence remains evolving.</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Decision for the alignment meeting</w:t>
            </w:r>
          </w:p>
        </w:tc>
        <w:tc>
          <w:tcPr>
            <w:tcW w:type="dxa" w:w="5256"/>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Reviewer / date / comment</w:t>
            </w:r>
          </w:p>
        </w:tc>
      </w:tr>
      <w:tr>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ACCEPT AS WRITTEN     /     CHANGE ALIGNMENT TO: ____________________     /     DISCUSS</w:t>
            </w:r>
          </w:p>
        </w:tc>
        <w:tc>
          <w:tcPr>
            <w:tcW w:type="dxa" w:w="5256"/>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____________________________________________________________</w:t>
            </w:r>
          </w:p>
        </w:tc>
      </w:tr>
    </w:tbl>
    <w:p/>
    <w:p>
      <w:pPr>
        <w:pStyle w:val="Heading1"/>
      </w:pPr>
      <w:r>
        <w:t>Source verification and sign-off</w:t>
      </w:r>
    </w:p>
    <w:p>
      <w:r>
        <w:t>Before adoption, the designated source owner must verify the live policy/guideline edition and locator. Any changed alignment must be carried into the affected V3 protocol and corresponding roadmap.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Reviewed by</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Specialty</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Date</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Questions changed / discussed</w:t>
            </w:r>
          </w:p>
        </w:tc>
      </w:tr>
      <w:tr>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r>
    </w:tbl>
    <w:p/>
    <w:p>
      <w:pPr>
        <w:pStyle w:val="Heading1"/>
      </w:pPr>
      <w:r>
        <w:t>Step level gray zone register</w:t>
      </w:r>
    </w:p>
    <w:p>
      <w:r>
        <w:t>This register is the governing abstraction for gray zones shown in the interactive HCC pathway. Each displayed gray zone must map to one numbered entry below. Wording marked for source confirmation is a draft and cannot activate a clinical or allocation route before the designated source owner verifies the live edition and locator.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17365D"/>
            <w:tcBorders>
              <w:top w:val="single" w:sz="4" w:color="D9D9D9"/>
              <w:left w:val="single" w:sz="4" w:color="D9D9D9"/>
              <w:bottom w:val="single" w:sz="4" w:color="D9D9D9"/>
              <w:right w:val="single" w:sz="4" w:color="D9D9D9"/>
            </w:tcBorders>
          </w:tcPr>
          <w:p>
            <w:r>
              <w:rPr>
                <w:b/>
                <w:color w:val="FFFFFF"/>
              </w:rPr>
              <w:t>ID</w:t>
            </w:r>
          </w:p>
        </w:tc>
        <w:tc>
          <w:tcPr>
            <w:tcW w:type="dxa" w:w="1752"/>
            <w:shd w:fill="17365D"/>
            <w:tcBorders>
              <w:top w:val="single" w:sz="4" w:color="D9D9D9"/>
              <w:left w:val="single" w:sz="4" w:color="D9D9D9"/>
              <w:bottom w:val="single" w:sz="4" w:color="D9D9D9"/>
              <w:right w:val="single" w:sz="4" w:color="D9D9D9"/>
            </w:tcBorders>
          </w:tcPr>
          <w:p>
            <w:r>
              <w:rPr>
                <w:b/>
                <w:color w:val="FFFFFF"/>
              </w:rPr>
              <w:t>Roadmap step</w:t>
            </w:r>
          </w:p>
        </w:tc>
        <w:tc>
          <w:tcPr>
            <w:tcW w:type="dxa" w:w="1752"/>
            <w:shd w:fill="17365D"/>
            <w:tcBorders>
              <w:top w:val="single" w:sz="4" w:color="D9D9D9"/>
              <w:left w:val="single" w:sz="4" w:color="D9D9D9"/>
              <w:bottom w:val="single" w:sz="4" w:color="D9D9D9"/>
              <w:right w:val="single" w:sz="4" w:color="D9D9D9"/>
            </w:tcBorders>
          </w:tcPr>
          <w:p>
            <w:r>
              <w:rPr>
                <w:b/>
                <w:color w:val="FFFFFF"/>
              </w:rPr>
              <w:t>Gray zone question</w:t>
            </w:r>
          </w:p>
        </w:tc>
        <w:tc>
          <w:tcPr>
            <w:tcW w:type="dxa" w:w="1752"/>
            <w:shd w:fill="17365D"/>
            <w:tcBorders>
              <w:top w:val="single" w:sz="4" w:color="D9D9D9"/>
              <w:left w:val="single" w:sz="4" w:color="D9D9D9"/>
              <w:bottom w:val="single" w:sz="4" w:color="D9D9D9"/>
              <w:right w:val="single" w:sz="4" w:color="D9D9D9"/>
            </w:tcBorders>
          </w:tcPr>
          <w:p>
            <w:r>
              <w:rPr>
                <w:b/>
                <w:color w:val="FFFFFF"/>
              </w:rPr>
              <w:t>Source comparison and exact wording carried forward</w:t>
            </w:r>
          </w:p>
        </w:tc>
        <w:tc>
          <w:tcPr>
            <w:tcW w:type="dxa" w:w="1752"/>
            <w:shd w:fill="17365D"/>
            <w:tcBorders>
              <w:top w:val="single" w:sz="4" w:color="D9D9D9"/>
              <w:left w:val="single" w:sz="4" w:color="D9D9D9"/>
              <w:bottom w:val="single" w:sz="4" w:color="D9D9D9"/>
              <w:right w:val="single" w:sz="4" w:color="D9D9D9"/>
            </w:tcBorders>
          </w:tcPr>
          <w:p>
            <w:r>
              <w:rPr>
                <w:b/>
                <w:color w:val="FFFFFF"/>
              </w:rPr>
              <w:t>Draft local decision</w:t>
            </w:r>
          </w:p>
        </w:tc>
        <w:tc>
          <w:tcPr>
            <w:tcW w:type="dxa" w:w="1752"/>
            <w:shd w:fill="17365D"/>
            <w:tcBorders>
              <w:top w:val="single" w:sz="4" w:color="D9D9D9"/>
              <w:left w:val="single" w:sz="4" w:color="D9D9D9"/>
              <w:bottom w:val="single" w:sz="4" w:color="D9D9D9"/>
              <w:right w:val="single" w:sz="4" w:color="D9D9D9"/>
            </w:tcBorders>
          </w:tcPr>
          <w:p>
            <w:r>
              <w:rPr>
                <w:b/>
                <w:color w:val="FFFFFF"/>
              </w:rPr>
              <w:t>Owners</w:t>
            </w:r>
          </w:p>
        </w:tc>
      </w:tr>
      <w:tr>
        <w:tc>
          <w:tcPr>
            <w:tcW w:type="dxa" w:w="1752"/>
            <w:tcBorders>
              <w:top w:val="single" w:sz="4" w:color="D9D9D9"/>
              <w:left w:val="single" w:sz="4" w:color="D9D9D9"/>
              <w:bottom w:val="single" w:sz="4" w:color="D9D9D9"/>
              <w:right w:val="single" w:sz="4" w:color="D9D9D9"/>
            </w:tcBorders>
            <w:vAlign w:val="center"/>
          </w:tcPr>
          <w:p>
            <w:r>
              <w:rPr>
                <w:sz w:val="18"/>
              </w:rPr>
              <w:t>HCC G1</w:t>
            </w:r>
          </w:p>
        </w:tc>
        <w:tc>
          <w:tcPr>
            <w:tcW w:type="dxa" w:w="1752"/>
            <w:tcBorders>
              <w:top w:val="single" w:sz="4" w:color="D9D9D9"/>
              <w:left w:val="single" w:sz="4" w:color="D9D9D9"/>
              <w:bottom w:val="single" w:sz="4" w:color="D9D9D9"/>
              <w:right w:val="single" w:sz="4" w:color="D9D9D9"/>
            </w:tcBorders>
            <w:vAlign w:val="center"/>
          </w:tcPr>
          <w:p>
            <w:r>
              <w:rPr>
                <w:sz w:val="18"/>
              </w:rPr>
              <w:t>Step 1</w:t>
            </w:r>
          </w:p>
        </w:tc>
        <w:tc>
          <w:tcPr>
            <w:tcW w:type="dxa" w:w="1752"/>
            <w:tcBorders>
              <w:top w:val="single" w:sz="4" w:color="D9D9D9"/>
              <w:left w:val="single" w:sz="4" w:color="D9D9D9"/>
              <w:bottom w:val="single" w:sz="4" w:color="D9D9D9"/>
              <w:right w:val="single" w:sz="4" w:color="D9D9D9"/>
            </w:tcBorders>
            <w:vAlign w:val="center"/>
          </w:tcPr>
          <w:p>
            <w:r>
              <w:rPr>
                <w:sz w:val="18"/>
              </w:rPr>
              <w:t>Does an LR 4 lesion, branch portal vein finding, or prior rupture permit a standard pathway?</w:t>
            </w:r>
          </w:p>
        </w:tc>
        <w:tc>
          <w:tcPr>
            <w:tcW w:type="dxa" w:w="1752"/>
            <w:tcBorders>
              <w:top w:val="single" w:sz="4" w:color="D9D9D9"/>
              <w:left w:val="single" w:sz="4" w:color="D9D9D9"/>
              <w:bottom w:val="single" w:sz="4" w:color="D9D9D9"/>
              <w:right w:val="single" w:sz="4" w:color="D9D9D9"/>
            </w:tcBorders>
            <w:vAlign w:val="center"/>
          </w:tcPr>
          <w:p>
            <w:r>
              <w:rPr>
                <w:sz w:val="18"/>
              </w:rPr>
              <w:t>OPTN T2 language counts Class 5 lesions; AASLD notes LR 4 has about 75 percent HCC probability. The worksheet must distinguish diagnostic concern from allocation qualification.</w:t>
            </w:r>
          </w:p>
        </w:tc>
        <w:tc>
          <w:tcPr>
            <w:tcW w:type="dxa" w:w="1752"/>
            <w:tcBorders>
              <w:top w:val="single" w:sz="4" w:color="D9D9D9"/>
              <w:left w:val="single" w:sz="4" w:color="D9D9D9"/>
              <w:bottom w:val="single" w:sz="4" w:color="D9D9D9"/>
              <w:right w:val="single" w:sz="4" w:color="D9D9D9"/>
            </w:tcBorders>
            <w:vAlign w:val="center"/>
          </w:tcPr>
          <w:p>
            <w:r>
              <w:rPr>
                <w:sz w:val="18"/>
              </w:rPr>
              <w:t>Do not count LR 4 toward T2. Route LR 4, branch portal vein findings, and prior rupture to documented MDT review. Main portal vein or hepatic vein invasion, extrahepatic metastasis, active rupture, and T1 do not advance on the standardized route.</w:t>
            </w:r>
          </w:p>
        </w:tc>
        <w:tc>
          <w:tcPr>
            <w:tcW w:type="dxa" w:w="1752"/>
            <w:tcBorders>
              <w:top w:val="single" w:sz="4" w:color="D9D9D9"/>
              <w:left w:val="single" w:sz="4" w:color="D9D9D9"/>
              <w:bottom w:val="single" w:sz="4" w:color="D9D9D9"/>
              <w:right w:val="single" w:sz="4" w:color="D9D9D9"/>
            </w:tcBorders>
            <w:vAlign w:val="center"/>
          </w:tcPr>
          <w:p>
            <w:r>
              <w:rPr>
                <w:sz w:val="18"/>
              </w:rPr>
              <w:t>Hepatology; radiology; transplant surgery</w:t>
            </w:r>
          </w:p>
        </w:tc>
      </w:tr>
      <w:tr>
        <w:tc>
          <w:tcPr>
            <w:tcW w:type="dxa" w:w="1752"/>
            <w:tcBorders>
              <w:top w:val="single" w:sz="4" w:color="D9D9D9"/>
              <w:left w:val="single" w:sz="4" w:color="D9D9D9"/>
              <w:bottom w:val="single" w:sz="4" w:color="D9D9D9"/>
              <w:right w:val="single" w:sz="4" w:color="D9D9D9"/>
            </w:tcBorders>
            <w:vAlign w:val="center"/>
            <w:shd w:fill="F4F8FB"/>
          </w:tcPr>
          <w:p>
            <w:r>
              <w:rPr>
                <w:sz w:val="18"/>
              </w:rPr>
              <w:t>HCC G2</w:t>
            </w:r>
          </w:p>
        </w:tc>
        <w:tc>
          <w:tcPr>
            <w:tcW w:type="dxa" w:w="1752"/>
            <w:tcBorders>
              <w:top w:val="single" w:sz="4" w:color="D9D9D9"/>
              <w:left w:val="single" w:sz="4" w:color="D9D9D9"/>
              <w:bottom w:val="single" w:sz="4" w:color="D9D9D9"/>
              <w:right w:val="single" w:sz="4" w:color="D9D9D9"/>
            </w:tcBorders>
            <w:vAlign w:val="center"/>
            <w:shd w:fill="F4F8FB"/>
          </w:tcPr>
          <w:p>
            <w:r>
              <w:rPr>
                <w:sz w:val="18"/>
              </w:rPr>
              <w:t>Step 2</w:t>
            </w:r>
          </w:p>
        </w:tc>
        <w:tc>
          <w:tcPr>
            <w:tcW w:type="dxa" w:w="1752"/>
            <w:tcBorders>
              <w:top w:val="single" w:sz="4" w:color="D9D9D9"/>
              <w:left w:val="single" w:sz="4" w:color="D9D9D9"/>
              <w:bottom w:val="single" w:sz="4" w:color="D9D9D9"/>
              <w:right w:val="single" w:sz="4" w:color="D9D9D9"/>
            </w:tcBorders>
            <w:vAlign w:val="center"/>
            <w:shd w:fill="F4F8FB"/>
          </w:tcPr>
          <w:p>
            <w:r>
              <w:rPr>
                <w:sz w:val="18"/>
              </w:rPr>
              <w:t>When does portal hypertension uncertainty require invasive assessment before choosing resection versus transplant?</w:t>
            </w:r>
          </w:p>
        </w:tc>
        <w:tc>
          <w:tcPr>
            <w:tcW w:type="dxa" w:w="1752"/>
            <w:tcBorders>
              <w:top w:val="single" w:sz="4" w:color="D9D9D9"/>
              <w:left w:val="single" w:sz="4" w:color="D9D9D9"/>
              <w:bottom w:val="single" w:sz="4" w:color="D9D9D9"/>
              <w:right w:val="single" w:sz="4" w:color="D9D9D9"/>
            </w:tcBorders>
            <w:vAlign w:val="center"/>
            <w:shd w:fill="F4F8FB"/>
          </w:tcPr>
          <w:p>
            <w:r>
              <w:rPr>
                <w:sz w:val="18"/>
              </w:rPr>
              <w:t>AASLD supports transplant for early HCC not suitable for resection; BCLC identifies clinically significant portal hypertension as increased risk. OPTN does not choose the curative route.</w:t>
            </w:r>
          </w:p>
        </w:tc>
        <w:tc>
          <w:tcPr>
            <w:tcW w:type="dxa" w:w="1752"/>
            <w:tcBorders>
              <w:top w:val="single" w:sz="4" w:color="D9D9D9"/>
              <w:left w:val="single" w:sz="4" w:color="D9D9D9"/>
              <w:bottom w:val="single" w:sz="4" w:color="D9D9D9"/>
              <w:right w:val="single" w:sz="4" w:color="D9D9D9"/>
            </w:tcBorders>
            <w:vAlign w:val="center"/>
            <w:shd w:fill="F4F8FB"/>
          </w:tcPr>
          <w:p>
            <w:r>
              <w:rPr>
                <w:sz w:val="18"/>
              </w:rPr>
              <w:t>Use clinical, laboratory, and imaging assessment first. Obtain invasive testing only when it will change the curative route; document the resection, ablation, or transplant rationale.</w:t>
            </w:r>
          </w:p>
        </w:tc>
        <w:tc>
          <w:tcPr>
            <w:tcW w:type="dxa" w:w="1752"/>
            <w:tcBorders>
              <w:top w:val="single" w:sz="4" w:color="D9D9D9"/>
              <w:left w:val="single" w:sz="4" w:color="D9D9D9"/>
              <w:bottom w:val="single" w:sz="4" w:color="D9D9D9"/>
              <w:right w:val="single" w:sz="4" w:color="D9D9D9"/>
            </w:tcBorders>
            <w:vAlign w:val="center"/>
            <w:shd w:fill="F4F8FB"/>
          </w:tcPr>
          <w:p>
            <w:r>
              <w:rPr>
                <w:sz w:val="18"/>
              </w:rPr>
              <w:t>Hepatology; HPB surgery; transplant surgery</w:t>
            </w:r>
          </w:p>
        </w:tc>
      </w:tr>
      <w:tr>
        <w:tc>
          <w:tcPr>
            <w:tcW w:type="dxa" w:w="1752"/>
            <w:tcBorders>
              <w:top w:val="single" w:sz="4" w:color="D9D9D9"/>
              <w:left w:val="single" w:sz="4" w:color="D9D9D9"/>
              <w:bottom w:val="single" w:sz="4" w:color="D9D9D9"/>
              <w:right w:val="single" w:sz="4" w:color="D9D9D9"/>
            </w:tcBorders>
            <w:vAlign w:val="center"/>
          </w:tcPr>
          <w:p>
            <w:r>
              <w:rPr>
                <w:sz w:val="18"/>
              </w:rPr>
              <w:t>HCC G3</w:t>
            </w:r>
          </w:p>
        </w:tc>
        <w:tc>
          <w:tcPr>
            <w:tcW w:type="dxa" w:w="1752"/>
            <w:tcBorders>
              <w:top w:val="single" w:sz="4" w:color="D9D9D9"/>
              <w:left w:val="single" w:sz="4" w:color="D9D9D9"/>
              <w:bottom w:val="single" w:sz="4" w:color="D9D9D9"/>
              <w:right w:val="single" w:sz="4" w:color="D9D9D9"/>
            </w:tcBorders>
            <w:vAlign w:val="center"/>
          </w:tcPr>
          <w:p>
            <w:r>
              <w:rPr>
                <w:sz w:val="18"/>
              </w:rPr>
              <w:t>Step 3</w:t>
            </w:r>
          </w:p>
        </w:tc>
        <w:tc>
          <w:tcPr>
            <w:tcW w:type="dxa" w:w="1752"/>
            <w:tcBorders>
              <w:top w:val="single" w:sz="4" w:color="D9D9D9"/>
              <w:left w:val="single" w:sz="4" w:color="D9D9D9"/>
              <w:bottom w:val="single" w:sz="4" w:color="D9D9D9"/>
              <w:right w:val="single" w:sz="4" w:color="D9D9D9"/>
            </w:tcBorders>
            <w:vAlign w:val="center"/>
          </w:tcPr>
          <w:p>
            <w:r>
              <w:rPr>
                <w:sz w:val="18"/>
              </w:rPr>
              <w:t>How should disease beyond standard downstaging limits but with apparently favorable biology be handled?</w:t>
            </w:r>
          </w:p>
        </w:tc>
        <w:tc>
          <w:tcPr>
            <w:tcW w:type="dxa" w:w="1752"/>
            <w:tcBorders>
              <w:top w:val="single" w:sz="4" w:color="D9D9D9"/>
              <w:left w:val="single" w:sz="4" w:color="D9D9D9"/>
              <w:bottom w:val="single" w:sz="4" w:color="D9D9D9"/>
              <w:right w:val="single" w:sz="4" w:color="D9D9D9"/>
            </w:tcBorders>
            <w:vAlign w:val="center"/>
          </w:tcPr>
          <w:p>
            <w:r>
              <w:rPr>
                <w:sz w:val="18"/>
              </w:rPr>
              <w:t>OPTN standardized T2 language defines the automatic route; any case outside it requires source-current nonstandard review rather than presumed eligibility.</w:t>
            </w:r>
          </w:p>
        </w:tc>
        <w:tc>
          <w:tcPr>
            <w:tcW w:type="dxa" w:w="1752"/>
            <w:tcBorders>
              <w:top w:val="single" w:sz="4" w:color="D9D9D9"/>
              <w:left w:val="single" w:sz="4" w:color="D9D9D9"/>
              <w:bottom w:val="single" w:sz="4" w:color="D9D9D9"/>
              <w:right w:val="single" w:sz="4" w:color="D9D9D9"/>
            </w:tcBorders>
            <w:vAlign w:val="center"/>
          </w:tcPr>
          <w:p>
            <w:r>
              <w:rPr>
                <w:sz w:val="18"/>
              </w:rPr>
              <w:t>Do not label a case outside the standardized limits as eligible. Document viable burden, AFP, treatment chronology, and MDT rationale; refer for NLRB/nonstandard discussion if clinically appropriate.</w:t>
            </w:r>
          </w:p>
        </w:tc>
        <w:tc>
          <w:tcPr>
            <w:tcW w:type="dxa" w:w="1752"/>
            <w:tcBorders>
              <w:top w:val="single" w:sz="4" w:color="D9D9D9"/>
              <w:left w:val="single" w:sz="4" w:color="D9D9D9"/>
              <w:bottom w:val="single" w:sz="4" w:color="D9D9D9"/>
              <w:right w:val="single" w:sz="4" w:color="D9D9D9"/>
            </w:tcBorders>
            <w:vAlign w:val="center"/>
          </w:tcPr>
          <w:p>
            <w:r>
              <w:rPr>
                <w:sz w:val="18"/>
              </w:rPr>
              <w:t>Transplant hepatology; coordinator; radiology</w:t>
            </w:r>
          </w:p>
        </w:tc>
      </w:tr>
      <w:tr>
        <w:tc>
          <w:tcPr>
            <w:tcW w:type="dxa" w:w="1752"/>
            <w:tcBorders>
              <w:top w:val="single" w:sz="4" w:color="D9D9D9"/>
              <w:left w:val="single" w:sz="4" w:color="D9D9D9"/>
              <w:bottom w:val="single" w:sz="4" w:color="D9D9D9"/>
              <w:right w:val="single" w:sz="4" w:color="D9D9D9"/>
            </w:tcBorders>
            <w:vAlign w:val="center"/>
            <w:shd w:fill="F4F8FB"/>
          </w:tcPr>
          <w:p>
            <w:r>
              <w:rPr>
                <w:sz w:val="18"/>
              </w:rPr>
              <w:t>HCC G4</w:t>
            </w:r>
          </w:p>
        </w:tc>
        <w:tc>
          <w:tcPr>
            <w:tcW w:type="dxa" w:w="1752"/>
            <w:tcBorders>
              <w:top w:val="single" w:sz="4" w:color="D9D9D9"/>
              <w:left w:val="single" w:sz="4" w:color="D9D9D9"/>
              <w:bottom w:val="single" w:sz="4" w:color="D9D9D9"/>
              <w:right w:val="single" w:sz="4" w:color="D9D9D9"/>
            </w:tcBorders>
            <w:vAlign w:val="center"/>
            <w:shd w:fill="F4F8FB"/>
          </w:tcPr>
          <w:p>
            <w:r>
              <w:rPr>
                <w:sz w:val="18"/>
              </w:rPr>
              <w:t>Step 4</w:t>
            </w:r>
          </w:p>
        </w:tc>
        <w:tc>
          <w:tcPr>
            <w:tcW w:type="dxa" w:w="1752"/>
            <w:tcBorders>
              <w:top w:val="single" w:sz="4" w:color="D9D9D9"/>
              <w:left w:val="single" w:sz="4" w:color="D9D9D9"/>
              <w:bottom w:val="single" w:sz="4" w:color="D9D9D9"/>
              <w:right w:val="single" w:sz="4" w:color="D9D9D9"/>
            </w:tcBorders>
            <w:vAlign w:val="center"/>
            <w:shd w:fill="F4F8FB"/>
          </w:tcPr>
          <w:p>
            <w:r>
              <w:rPr>
                <w:sz w:val="18"/>
              </w:rPr>
              <w:t>How are bridge/downstaging modality, response, and checkpoint inhibitor exposure governed?</w:t>
            </w:r>
          </w:p>
        </w:tc>
        <w:tc>
          <w:tcPr>
            <w:tcW w:type="dxa" w:w="1752"/>
            <w:tcBorders>
              <w:top w:val="single" w:sz="4" w:color="D9D9D9"/>
              <w:left w:val="single" w:sz="4" w:color="D9D9D9"/>
              <w:bottom w:val="single" w:sz="4" w:color="D9D9D9"/>
              <w:right w:val="single" w:sz="4" w:color="D9D9D9"/>
            </w:tcBorders>
            <w:vAlign w:val="center"/>
            <w:shd w:fill="F4F8FB"/>
          </w:tcPr>
          <w:p>
            <w:r>
              <w:rPr>
                <w:sz w:val="18"/>
              </w:rPr>
              <w:t>OPTN guidance calls for imaging at least 4 weeks after last downstaging treatment and says immunotherapy does not itself preclude consideration. AASLD supports bridging LRT but neither source mandates a modality sequence or washout.</w:t>
            </w:r>
          </w:p>
        </w:tc>
        <w:tc>
          <w:tcPr>
            <w:tcW w:type="dxa" w:w="1752"/>
            <w:tcBorders>
              <w:top w:val="single" w:sz="4" w:color="D9D9D9"/>
              <w:left w:val="single" w:sz="4" w:color="D9D9D9"/>
              <w:bottom w:val="single" w:sz="4" w:color="D9D9D9"/>
              <w:right w:val="single" w:sz="4" w:color="D9D9D9"/>
            </w:tcBorders>
            <w:vAlign w:val="center"/>
            <w:shd w:fill="F4F8FB"/>
          </w:tcPr>
          <w:p>
            <w:r>
              <w:rPr>
                <w:sz w:val="18"/>
              </w:rPr>
              <w:t>Record treatment intent, modality rationale, imaging date, viable burden, and MDT reassessment. Require a separate transplant oncology, pharmacy, and immunology review for checkpoint exposure; do not represent a local washout as policy.</w:t>
            </w:r>
          </w:p>
        </w:tc>
        <w:tc>
          <w:tcPr>
            <w:tcW w:type="dxa" w:w="1752"/>
            <w:tcBorders>
              <w:top w:val="single" w:sz="4" w:color="D9D9D9"/>
              <w:left w:val="single" w:sz="4" w:color="D9D9D9"/>
              <w:bottom w:val="single" w:sz="4" w:color="D9D9D9"/>
              <w:right w:val="single" w:sz="4" w:color="D9D9D9"/>
            </w:tcBorders>
            <w:vAlign w:val="center"/>
            <w:shd w:fill="F4F8FB"/>
          </w:tcPr>
          <w:p>
            <w:r>
              <w:rPr>
                <w:sz w:val="18"/>
              </w:rPr>
              <w:t>IR; radiation oncology; oncology; pharmacy; transplant team</w:t>
            </w:r>
          </w:p>
        </w:tc>
      </w:tr>
      <w:tr>
        <w:tc>
          <w:tcPr>
            <w:tcW w:type="dxa" w:w="1752"/>
            <w:tcBorders>
              <w:top w:val="single" w:sz="4" w:color="D9D9D9"/>
              <w:left w:val="single" w:sz="4" w:color="D9D9D9"/>
              <w:bottom w:val="single" w:sz="4" w:color="D9D9D9"/>
              <w:right w:val="single" w:sz="4" w:color="D9D9D9"/>
            </w:tcBorders>
            <w:vAlign w:val="center"/>
          </w:tcPr>
          <w:p>
            <w:r>
              <w:rPr>
                <w:sz w:val="18"/>
              </w:rPr>
              <w:t>HCC G5</w:t>
            </w:r>
          </w:p>
        </w:tc>
        <w:tc>
          <w:tcPr>
            <w:tcW w:type="dxa" w:w="1752"/>
            <w:tcBorders>
              <w:top w:val="single" w:sz="4" w:color="D9D9D9"/>
              <w:left w:val="single" w:sz="4" w:color="D9D9D9"/>
              <w:bottom w:val="single" w:sz="4" w:color="D9D9D9"/>
              <w:right w:val="single" w:sz="4" w:color="D9D9D9"/>
            </w:tcBorders>
            <w:vAlign w:val="center"/>
          </w:tcPr>
          <w:p>
            <w:r>
              <w:rPr>
                <w:sz w:val="18"/>
              </w:rPr>
              <w:t>Step 5</w:t>
            </w:r>
          </w:p>
        </w:tc>
        <w:tc>
          <w:tcPr>
            <w:tcW w:type="dxa" w:w="1752"/>
            <w:tcBorders>
              <w:top w:val="single" w:sz="4" w:color="D9D9D9"/>
              <w:left w:val="single" w:sz="4" w:color="D9D9D9"/>
              <w:bottom w:val="single" w:sz="4" w:color="D9D9D9"/>
              <w:right w:val="single" w:sz="4" w:color="D9D9D9"/>
            </w:tcBorders>
            <w:vAlign w:val="center"/>
          </w:tcPr>
          <w:p>
            <w:r>
              <w:rPr>
                <w:sz w:val="18"/>
              </w:rPr>
              <w:t>Who owns the distinction between medical transplant candidacy, exception eligibility, and renewal documentation?</w:t>
            </w:r>
          </w:p>
        </w:tc>
        <w:tc>
          <w:tcPr>
            <w:tcW w:type="dxa" w:w="1752"/>
            <w:tcBorders>
              <w:top w:val="single" w:sz="4" w:color="D9D9D9"/>
              <w:left w:val="single" w:sz="4" w:color="D9D9D9"/>
              <w:bottom w:val="single" w:sz="4" w:color="D9D9D9"/>
              <w:right w:val="single" w:sz="4" w:color="D9D9D9"/>
            </w:tcBorders>
            <w:vAlign w:val="center"/>
          </w:tcPr>
          <w:p>
            <w:r>
              <w:rPr>
                <w:sz w:val="18"/>
              </w:rPr>
              <w:t>OPTN policy governs the standardized exception record; medical candidacy requires separate center evaluation.</w:t>
            </w:r>
          </w:p>
        </w:tc>
        <w:tc>
          <w:tcPr>
            <w:tcW w:type="dxa" w:w="1752"/>
            <w:tcBorders>
              <w:top w:val="single" w:sz="4" w:color="D9D9D9"/>
              <w:left w:val="single" w:sz="4" w:color="D9D9D9"/>
              <w:bottom w:val="single" w:sz="4" w:color="D9D9D9"/>
              <w:right w:val="single" w:sz="4" w:color="D9D9D9"/>
            </w:tcBorders>
            <w:vAlign w:val="center"/>
          </w:tcPr>
          <w:p>
            <w:r>
              <w:rPr>
                <w:sz w:val="18"/>
              </w:rPr>
              <w:t>Assign a named coordinator and transplant physician to verify current imaging, AFP, treatment chronology, contraindication screen, exception filing, and renewal calendar.</w:t>
            </w:r>
          </w:p>
        </w:tc>
        <w:tc>
          <w:tcPr>
            <w:tcW w:type="dxa" w:w="1752"/>
            <w:tcBorders>
              <w:top w:val="single" w:sz="4" w:color="D9D9D9"/>
              <w:left w:val="single" w:sz="4" w:color="D9D9D9"/>
              <w:bottom w:val="single" w:sz="4" w:color="D9D9D9"/>
              <w:right w:val="single" w:sz="4" w:color="D9D9D9"/>
            </w:tcBorders>
            <w:vAlign w:val="center"/>
          </w:tcPr>
          <w:p>
            <w:r>
              <w:rPr>
                <w:sz w:val="18"/>
              </w:rPr>
              <w:t>Coordinator; transplant physician</w:t>
            </w:r>
          </w:p>
        </w:tc>
      </w:tr>
      <w:tr>
        <w:tc>
          <w:tcPr>
            <w:tcW w:type="dxa" w:w="1752"/>
            <w:tcBorders>
              <w:top w:val="single" w:sz="4" w:color="D9D9D9"/>
              <w:left w:val="single" w:sz="4" w:color="D9D9D9"/>
              <w:bottom w:val="single" w:sz="4" w:color="D9D9D9"/>
              <w:right w:val="single" w:sz="4" w:color="D9D9D9"/>
            </w:tcBorders>
            <w:vAlign w:val="center"/>
            <w:shd w:fill="F4F8FB"/>
          </w:tcPr>
          <w:p>
            <w:r>
              <w:rPr>
                <w:sz w:val="18"/>
              </w:rPr>
              <w:t>HCC G6</w:t>
            </w:r>
          </w:p>
        </w:tc>
        <w:tc>
          <w:tcPr>
            <w:tcW w:type="dxa" w:w="1752"/>
            <w:tcBorders>
              <w:top w:val="single" w:sz="4" w:color="D9D9D9"/>
              <w:left w:val="single" w:sz="4" w:color="D9D9D9"/>
              <w:bottom w:val="single" w:sz="4" w:color="D9D9D9"/>
              <w:right w:val="single" w:sz="4" w:color="D9D9D9"/>
            </w:tcBorders>
            <w:vAlign w:val="center"/>
            <w:shd w:fill="F4F8FB"/>
          </w:tcPr>
          <w:p>
            <w:r>
              <w:rPr>
                <w:sz w:val="18"/>
              </w:rPr>
              <w:t>Step 6</w:t>
            </w:r>
          </w:p>
        </w:tc>
        <w:tc>
          <w:tcPr>
            <w:tcW w:type="dxa" w:w="1752"/>
            <w:tcBorders>
              <w:top w:val="single" w:sz="4" w:color="D9D9D9"/>
              <w:left w:val="single" w:sz="4" w:color="D9D9D9"/>
              <w:bottom w:val="single" w:sz="4" w:color="D9D9D9"/>
              <w:right w:val="single" w:sz="4" w:color="D9D9D9"/>
            </w:tcBorders>
            <w:vAlign w:val="center"/>
            <w:shd w:fill="F4F8FB"/>
          </w:tcPr>
          <w:p>
            <w:r>
              <w:rPr>
                <w:sz w:val="18"/>
              </w:rPr>
              <w:t>How are equivocal post radiation findings or borderline AFP trajectory handled while listed?</w:t>
            </w:r>
          </w:p>
        </w:tc>
        <w:tc>
          <w:tcPr>
            <w:tcW w:type="dxa" w:w="1752"/>
            <w:tcBorders>
              <w:top w:val="single" w:sz="4" w:color="D9D9D9"/>
              <w:left w:val="single" w:sz="4" w:color="D9D9D9"/>
              <w:bottom w:val="single" w:sz="4" w:color="D9D9D9"/>
              <w:right w:val="single" w:sz="4" w:color="D9D9D9"/>
            </w:tcBorders>
            <w:vAlign w:val="center"/>
            <w:shd w:fill="F4F8FB"/>
          </w:tcPr>
          <w:p>
            <w:r>
              <w:rPr>
                <w:sz w:val="18"/>
              </w:rPr>
              <w:t>Guidance requires serial assessment and does not provide a universal imaging interpretation rule for every post treatment appearance.</w:t>
            </w:r>
          </w:p>
        </w:tc>
        <w:tc>
          <w:tcPr>
            <w:tcW w:type="dxa" w:w="1752"/>
            <w:tcBorders>
              <w:top w:val="single" w:sz="4" w:color="D9D9D9"/>
              <w:left w:val="single" w:sz="4" w:color="D9D9D9"/>
              <w:bottom w:val="single" w:sz="4" w:color="D9D9D9"/>
              <w:right w:val="single" w:sz="4" w:color="D9D9D9"/>
            </w:tcBorders>
            <w:vAlign w:val="center"/>
            <w:shd w:fill="F4F8FB"/>
          </w:tcPr>
          <w:p>
            <w:r>
              <w:rPr>
                <w:sz w:val="18"/>
              </w:rPr>
              <w:t>Do not automatically advance or remove on an equivocal finding. Obtain multidisciplinary radiology review, compare viable burden and AFP trajectory, and record the decision with current source review.</w:t>
            </w:r>
          </w:p>
        </w:tc>
        <w:tc>
          <w:tcPr>
            <w:tcW w:type="dxa" w:w="1752"/>
            <w:tcBorders>
              <w:top w:val="single" w:sz="4" w:color="D9D9D9"/>
              <w:left w:val="single" w:sz="4" w:color="D9D9D9"/>
              <w:bottom w:val="single" w:sz="4" w:color="D9D9D9"/>
              <w:right w:val="single" w:sz="4" w:color="D9D9D9"/>
            </w:tcBorders>
            <w:vAlign w:val="center"/>
            <w:shd w:fill="F4F8FB"/>
          </w:tcPr>
          <w:p>
            <w:r>
              <w:rPr>
                <w:sz w:val="18"/>
              </w:rPr>
              <w:t>Radiology; hepatology; IR or radiation oncology; transplant team</w:t>
            </w:r>
          </w:p>
        </w:tc>
      </w:tr>
    </w:tbl>
    <w:p>
      <w:pPr>
        <w:pStyle w:val="Heading2"/>
      </w:pPr>
      <w:r>
        <w:t>Required meeting action</w:t>
      </w:r>
    </w:p>
    <w:p>
      <w:r>
        <w:t>For each entry, record ACCEPT, CHANGE, or DISCUSS in the paired decision document. If changed, revise the V3 protocol, pathway gate, and operational checklist together.</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HCC — standardized OPTN 9.5.I pathway | Guideline alignment worksheet | 15 October 2026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