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Perihilar cholangiocarcinoma — standardized OPTN 9.5.A pathway</w:t>
        <w:br/>
        <w:t>Alignment-meeting decision document</w:t>
      </w:r>
    </w:p>
    <w:p>
      <w:pPr>
        <w:pStyle w:val="Subtitle"/>
      </w:pPr>
      <w:r>
        <w:t>Companion approval record to the protocol-specific guideline alignment worksheet</w:t>
      </w:r>
    </w:p>
    <w:p>
      <w:r>
        <w:t>Use this document after reviewing the source-by-source worksheet. Each decision records the exact local statement, its rationale, and accountable follow-through. A decision here does not alter OPTN policy or activate a protocol without institutional approval.</w:t>
      </w:r>
    </w:p>
    <w:p>
      <w:pPr>
        <w:pStyle w:val="Heading1"/>
      </w:pPr>
      <w:r>
        <w:t>Decision 1 — Which sampling routes require transplant review before biopsy?</w:t>
      </w:r>
    </w:p>
    <w:p>
      <w:r>
        <w:t>Guidelines/policy compared: AASLD PSC/CCA guidance; OPTN pCCA pathway; NCCN Biliary Tract Cancers.</w:t>
      </w:r>
    </w:p>
    <w:p>
      <w:r>
        <w:rPr>
          <w:b/>
        </w:rPr>
        <w:t xml:space="preserve">Draft institutional decision: </w:t>
      </w:r>
      <w:r>
        <w:t>Before EUS or transperitoneal sampling of a possible perihilar primary, require HPB/transplant review, document lesion location, and specify the proposed needle path and clinical purpose.</w:t>
      </w:r>
    </w:p>
    <w:p>
      <w:r>
        <w:rPr>
          <w:b/>
        </w:rPr>
        <w:t xml:space="preserve">Why this is the proposed position: </w:t>
      </w:r>
      <w:r>
        <w:t>The potential diagnostic gain must be balanced against transplant-pathway consequences; a nonhilar proximal stricture is a separate diagnostic problem.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2 — What size/protocol requirements control the standardized exception route?</w:t>
      </w:r>
    </w:p>
    <w:p>
      <w:r>
        <w:t>Guidelines/policy compared: OPTN Policy 9.5.A; AASLD PSC/CCA guidance; NCCN Biliary Tract Cancers.</w:t>
      </w:r>
    </w:p>
    <w:p>
      <w:r>
        <w:rPr>
          <w:b/>
        </w:rPr>
        <w:t xml:space="preserve">Draft institutional decision: </w:t>
      </w:r>
      <w:r>
        <w:t>Use the exact OPTN measurement and approved-protocol requirements for a standardized request. Record any clinical pathway outside those requirements separately.</w:t>
      </w:r>
    </w:p>
    <w:p>
      <w:r>
        <w:rPr>
          <w:b/>
        </w:rPr>
        <w:t xml:space="preserve">Why this is the proposed position: </w:t>
      </w:r>
      <w:r>
        <w:t>The allocation route is narrower than general oncologic management.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3 — Which components of the neoadjuvant and staging pathway must be locally fixed?</w:t>
      </w:r>
    </w:p>
    <w:p>
      <w:r>
        <w:t>Guidelines/policy compared: OPTN Policy 9.5.A; AASLD PSC/CCA guidance; NCCN Biliary Tract Cancers.</w:t>
      </w:r>
    </w:p>
    <w:p>
      <w:r>
        <w:rPr>
          <w:b/>
        </w:rPr>
        <w:t xml:space="preserve">Draft institutional decision: </w:t>
      </w:r>
      <w:r>
        <w:t>Ratify one institutional regimen, drainage/infection safeguards, staging-laparoscopy timing, restaging milestones, and redirect/stop criteria.</w:t>
      </w:r>
    </w:p>
    <w:p>
      <w:r>
        <w:rPr>
          <w:b/>
        </w:rPr>
        <w:t xml:space="preserve">Why this is the proposed position: </w:t>
      </w:r>
      <w:r>
        <w:t>The evidence supports an integrated program, rather than an interchangeable radiation or chemotherapy component.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4 — Is there a routine curative liver-directed-treatment pathway for the perihilar primary?</w:t>
      </w:r>
    </w:p>
    <w:p>
      <w:r>
        <w:t>Guidelines/policy compared: NCCN Biliary Tract Cancers; AASLD PSC/CCA guidance; OPTN Policy.</w:t>
      </w:r>
    </w:p>
    <w:p>
      <w:r>
        <w:rPr>
          <w:b/>
        </w:rPr>
        <w:t xml:space="preserve">Draft institutional decision: </w:t>
      </w:r>
      <w:r>
        <w:t>Retain “no routine curative liver-directed role” language; exceptional use requires disease-specific trial approval or documented MDT rationale.</w:t>
      </w:r>
    </w:p>
    <w:p>
      <w:r>
        <w:rPr>
          <w:b/>
        </w:rPr>
        <w:t xml:space="preserve">Why this is the proposed position: </w:t>
      </w:r>
      <w:r>
        <w:t>This prevents extrapolation of intrahepatic or HCC locoregional practice to the perihilar primary.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Final activation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Source edition rechecked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Affected V3 protocol updated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Roadmap updated where applicable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Approving body / date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</w:tr>
    </w:tbl>
    <w:p/>
    <w:p>
      <w:pPr>
        <w:pStyle w:val="Heading1"/>
      </w:pPr>
      <w:r>
        <w:t>Step level gray zone register</w:t>
      </w:r>
    </w:p>
    <w:p>
      <w:r>
        <w:t>This register creates a one-to-one link between each pathway step gray zone and the source comparison or local decision requiring multidisciplinary review. It is draft material; source owners must confirm the live source edition and locator before activation.</w:t>
      </w:r>
    </w:p>
    <w:p>
      <w:pPr>
        <w:pStyle w:val="Heading2"/>
      </w:pPr>
      <w:r>
        <w:t>G1 Which localization and pre-sampling findings establish a possible perihilar pathway rather than a distal or nonhilar route?</w:t>
      </w:r>
    </w:p>
    <w:p>
      <w:r>
        <w:t>Pathway location: Step 1</w:t>
      </w:r>
    </w:p>
    <w:p>
      <w:r>
        <w:t>Source comparison: Sampling-route review and lesion localization source anchors in existing worksheet</w:t>
      </w:r>
    </w:p>
    <w:p>
      <w:r>
        <w:t>Draft institutional decision: Complete anatomy and MDT localization review before sampling.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G2 When does a proposed EUS or transperitoneal needle path require transplant review?</w:t>
      </w:r>
    </w:p>
    <w:p>
      <w:r>
        <w:t>Pathway location: Step 2</w:t>
      </w:r>
    </w:p>
    <w:p>
      <w:r>
        <w:t>Source comparison: Existing worksheet Decision 1 source comparison</w:t>
      </w:r>
    </w:p>
    <w:p>
      <w:r>
        <w:t>Draft institutional decision: Do not perform a pathway-changing sampling route without HPB and transplant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G3 How are size, diagnostic phenotype, and disease-distribution criteria verified for standardized exception review?</w:t>
      </w:r>
    </w:p>
    <w:p>
      <w:r>
        <w:t>Pathway location: Step 3</w:t>
      </w:r>
    </w:p>
    <w:p>
      <w:r>
        <w:t>Source comparison: Existing worksheet Decision 2 source comparison</w:t>
      </w:r>
    </w:p>
    <w:p>
      <w:r>
        <w:t>Draft institutional decision: Record source-current size, protocol, diagnostic, and distribution criteria before route classification.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G4 Which neoadjuvant, drainage, infection, restaging, and staging-laparoscopy milestones are mandatory locally?</w:t>
      </w:r>
    </w:p>
    <w:p>
      <w:r>
        <w:t>Pathway location: Step 4</w:t>
      </w:r>
    </w:p>
    <w:p>
      <w:r>
        <w:t>Source comparison: Existing worksheet Decision 3 source comparison</w:t>
      </w:r>
    </w:p>
    <w:p>
      <w:r>
        <w:t>Draft institutional decision: Use the ratified integrated program and name the owner for each milestone.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G5 Which progression, metastatic, nodal, infection, or fitness findings redirect the patient from transplant?</w:t>
      </w:r>
    </w:p>
    <w:p>
      <w:r>
        <w:t>Pathway location: Step 5</w:t>
      </w:r>
    </w:p>
    <w:p>
      <w:r>
        <w:t>Source comparison: Existing worksheet Decisions 2–4 source comparison</w:t>
      </w:r>
    </w:p>
    <w:p>
      <w:r>
        <w:t>Draft institutional decision: Restage and escalate uncertain findings to the disease-specific MDT before proceeding.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G6 Who verifies current standardized-exception evidence at filing and renewal?</w:t>
      </w:r>
    </w:p>
    <w:p>
      <w:r>
        <w:t>Pathway location: Step 6</w:t>
      </w:r>
    </w:p>
    <w:p>
      <w:r>
        <w:t>Source comparison: Existing worksheet operating-practice source comparison</w:t>
      </w:r>
    </w:p>
    <w:p>
      <w:r>
        <w:t>Draft institutional decision: Assign named coordinator and transplant-physician ownership for filing and renewal.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Perihilar cholangiocarcinoma — standardized OPTN 9.5.A pathway | Decision document | 15 October 2026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