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Intrahepatic cholangiocarcinoma — guidance-aligned NLRB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Is transplant a routine treatment option for iCCA?</w:t>
      </w:r>
    </w:p>
    <w:p>
      <w:r>
        <w:t>Guidelines/policy compared: OPTN adult guidance; AASLD PSC/CCA guidance; ILTS–ILCA consensus.</w:t>
      </w:r>
    </w:p>
    <w:p>
      <w:r>
        <w:rPr>
          <w:b/>
        </w:rPr>
        <w:t xml:space="preserve">Draft institutional decision: </w:t>
      </w:r>
      <w:r>
        <w:t>Retain a prospective registry/protocol restriction for the narrow guidance phenotype; label it as a local graft-stewardship restriction, not as OPTN policy.</w:t>
      </w:r>
    </w:p>
    <w:p>
      <w:r>
        <w:rPr>
          <w:b/>
        </w:rPr>
        <w:t xml:space="preserve">Why this is the proposed position: </w:t>
      </w:r>
      <w:r>
        <w:t>The sources align on careful selection but differ in framing and evidentiary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Can local therapy response be treated as proof of transplant eligibility?</w:t>
      </w:r>
    </w:p>
    <w:p>
      <w:r>
        <w:t>Guidelines/policy compared: OPTN adult guidance; NCCN Biliary Tract Cancers; ESMO biliary guidance.</w:t>
      </w:r>
    </w:p>
    <w:p>
      <w:r>
        <w:rPr>
          <w:b/>
        </w:rPr>
        <w:t xml:space="preserve">Draft institutional decision: </w:t>
      </w:r>
      <w:r>
        <w:t>Require a documented treatment goal, serial imaging, and the full stability criterion; response alone does not establish transplant eligibility.</w:t>
      </w:r>
    </w:p>
    <w:p>
      <w:r>
        <w:rPr>
          <w:b/>
        </w:rPr>
        <w:t xml:space="preserve">Why this is the proposed position: </w:t>
      </w:r>
      <w:r>
        <w:t>Clinical local-control choices and nonstandard allocation review answer different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What systemic-therapy language is appropriate for candidates outside the transplant pathway?</w:t>
      </w:r>
    </w:p>
    <w:p>
      <w:r>
        <w:t>Guidelines/policy compared: ESMO biliary guidance; NCCN Biliary Tract Cancers; OPTN guidance.</w:t>
      </w:r>
    </w:p>
    <w:p>
      <w:r>
        <w:rPr>
          <w:b/>
        </w:rPr>
        <w:t xml:space="preserve">Draft institutional decision: </w:t>
      </w:r>
      <w:r>
        <w:t>Leave regimen choice to oncology under the current oncology guideline, documenting contraindications and any checkpoint-exposure review before transplant consideration.</w:t>
      </w:r>
    </w:p>
    <w:p>
      <w:r>
        <w:rPr>
          <w:b/>
        </w:rPr>
        <w:t xml:space="preserve">Why this is the proposed position: </w:t>
      </w:r>
      <w:r>
        <w:t>A transplant protocol should not inadvertently convert an oncology treatment preference into allocation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Which surveillance interval is mandated after local control or clearance?</w:t>
      </w:r>
    </w:p>
    <w:p>
      <w:r>
        <w:t>Guidelines/policy compared: NCCN Biliary Tract Cancers; ILTS–ILCA consensus; OPTN guidance.</w:t>
      </w:r>
    </w:p>
    <w:p>
      <w:r>
        <w:rPr>
          <w:b/>
        </w:rPr>
        <w:t xml:space="preserve">Draft institutional decision: </w:t>
      </w:r>
      <w:r>
        <w:t>Separate waiting-list requirements from post-treatment surveillance. Ratify a local post-clearance schedule and label it institutional.</w:t>
      </w:r>
    </w:p>
    <w:p>
      <w:r>
        <w:rPr>
          <w:b/>
        </w:rPr>
        <w:t xml:space="preserve">Why this is the proposed position: </w:t>
      </w:r>
      <w:r>
        <w:t>The three-month allocation cadence should not be misrepresented as a universal survivorship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How is pathology, primary site, resectability, and molecular phenotype confirmed before transplant discussion?</w:t>
      </w:r>
    </w:p>
    <w:p>
      <w:r>
        <w:t>Pathway location: Step 1</w:t>
      </w:r>
    </w:p>
    <w:p>
      <w:r>
        <w:t>Source comparison: Existing worksheet Decision 1 source comparison</w:t>
      </w:r>
    </w:p>
    <w:p>
      <w:r>
        <w:t>Draft institutional decision: Exclude resectable and alternate-diagnosis routes before nonstandard transplant discussion.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Which narrow prospective-program phenotype and governance requirements apply?</w:t>
      </w:r>
    </w:p>
    <w:p>
      <w:r>
        <w:t>Pathway location: Step 2</w:t>
      </w:r>
    </w:p>
    <w:p>
      <w:r>
        <w:t>Source comparison: Existing worksheet Decision 1 source comparison</w:t>
      </w:r>
    </w:p>
    <w:p>
      <w:r>
        <w:t>Draft institutional decision: Do not describe iCCA transplant as routine care or automatic NLRB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How is treatment intent documented when local and systemic options remain available?</w:t>
      </w:r>
    </w:p>
    <w:p>
      <w:r>
        <w:t>Pathway location: Step 3</w:t>
      </w:r>
    </w:p>
    <w:p>
      <w:r>
        <w:t>Source comparison: Existing worksheet Decisions 2–3 source comparison</w:t>
      </w:r>
    </w:p>
    <w:p>
      <w:r>
        <w:t>Draft institutional decision: Record control, conversion, bridge, or alternative-definitive intent; response alone is not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What stability interval and restaging evidence are required before review?</w:t>
      </w:r>
    </w:p>
    <w:p>
      <w:r>
        <w:t>Pathway location: Step 4</w:t>
      </w:r>
    </w:p>
    <w:p>
      <w:r>
        <w:t>Source comparison: Existing worksheet Decisions 2 and 4 source comparison</w:t>
      </w:r>
    </w:p>
    <w:p>
      <w:r>
        <w:t>Draft institutional decision: Use dated serial imaging and do not substitute a short response interval for required 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Which documentation is required for nonstandard review?</w:t>
      </w:r>
    </w:p>
    <w:p>
      <w:r>
        <w:t>Pathway location: Step 5</w:t>
      </w:r>
    </w:p>
    <w:p>
      <w:r>
        <w:t>Source comparison: Existing worksheet Decision 1 source comparison</w:t>
      </w:r>
    </w:p>
    <w:p>
      <w:r>
        <w:t>Draft institutional decision: Submit pathology, imaging, treatment chronology, risk discussion, and program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What local surveillance and outcome-review commitments apply after listing and transplant?</w:t>
      </w:r>
    </w:p>
    <w:p>
      <w:r>
        <w:t>Pathway location: Step 6</w:t>
      </w:r>
    </w:p>
    <w:p>
      <w:r>
        <w:t>Source comparison: Existing worksheet Decision 4 source comparison</w:t>
      </w:r>
    </w:p>
    <w:p>
      <w:r>
        <w:t>Draft institutional decision: Use the ratified local plan and record outcomes for program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Intrahepatic cholangiocarcinoma — guidance-aligned NLRB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