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Colorectal liver metastases — guidance-aligned NLRB pathway</w:t>
        <w:br/>
        <w:t>Alignment-meeting decision document</w:t>
      </w:r>
    </w:p>
    <w:p>
      <w:pPr>
        <w:pStyle w:val="Subtitle"/>
      </w:pPr>
      <w:r>
        <w:t>Companion approval record to the protocol-specific guideline alignment worksheet</w:t>
      </w:r>
    </w:p>
    <w:p>
      <w:r>
        <w:t>Use this document after reviewing the source-by-source worksheet. Each decision records the exact local statement, its rationale, and accountable follow-through. A decision here does not alter OPTN policy or activate a protocol without institutional approval.</w:t>
      </w:r>
    </w:p>
    <w:p>
      <w:pPr>
        <w:pStyle w:val="Heading1"/>
      </w:pPr>
      <w:r>
        <w:t>Decision 1 — What imaging and timing are required for transplant-grade staging?</w:t>
      </w:r>
    </w:p>
    <w:p>
      <w:r>
        <w:t>Guidelines/policy compared: OPTN adult guidance; OPTN adult guidance; NCCN Colon Cancer.</w:t>
      </w:r>
    </w:p>
    <w:p>
      <w:r>
        <w:rPr>
          <w:b/>
        </w:rPr>
        <w:t xml:space="preserve">Draft institutional decision: </w:t>
      </w:r>
      <w:r>
        <w:t>Require baseline high-quality liver imaging before chemotherapy when feasible and pre-listing PET after the guidance-specified pause; distinguish transplant staging from ordinary resection staging.</w:t>
      </w:r>
    </w:p>
    <w:p>
      <w:r>
        <w:rPr>
          <w:b/>
        </w:rPr>
        <w:t xml:space="preserve">Why this is the proposed position: </w:t>
      </w:r>
      <w:r>
        <w:t>The guidelines address different clinical contexts, so both precision liver imaging and the allocation-timing safeguards are needed.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Meeting decision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Owner / reviewer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 action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/ CHANGE / DISCUSS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Update protocol / roadmap / allocation checklist as applicable</w:t>
            </w:r>
          </w:p>
        </w:tc>
      </w:tr>
    </w:tbl>
    <w:p/>
    <w:p>
      <w:r>
        <w:t>Final wording if changed: __________________________________________________________________________________</w:t>
      </w:r>
    </w:p>
    <w:p>
      <w:pPr>
        <w:pStyle w:val="Heading1"/>
      </w:pPr>
      <w:r>
        <w:t>Decision 2 — Which molecular findings are gates rather than prognostic features?</w:t>
      </w:r>
    </w:p>
    <w:p>
      <w:r>
        <w:t>Guidelines/policy compared: IHPBA consensus; OPTN adult guidance; NCCN Colon Cancer.</w:t>
      </w:r>
    </w:p>
    <w:p>
      <w:r>
        <w:rPr>
          <w:b/>
        </w:rPr>
        <w:t xml:space="preserve">Draft institutional decision: </w:t>
      </w:r>
      <w:r>
        <w:t>State that BRAF-wild-type/MSS are route requirements. MSI-H/dMMR or post-checkpoint disease needs a separate approved pathway, not merely lower priority.</w:t>
      </w:r>
    </w:p>
    <w:p>
      <w:r>
        <w:rPr>
          <w:b/>
        </w:rPr>
        <w:t xml:space="preserve">Why this is the proposed position: </w:t>
      </w:r>
      <w:r>
        <w:t>Oncology treatment options and the nonstandard exception eligibility phenotype are not interchangeable.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Meeting decision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Owner / reviewer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 action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/ CHANGE / DISCUSS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Update protocol / roadmap / allocation checklist as applicable</w:t>
            </w:r>
          </w:p>
        </w:tc>
      </w:tr>
    </w:tbl>
    <w:p/>
    <w:p>
      <w:r>
        <w:t>Final wording if changed: __________________________________________________________________________________</w:t>
      </w:r>
    </w:p>
    <w:p>
      <w:pPr>
        <w:pStyle w:val="Heading1"/>
      </w:pPr>
      <w:r>
        <w:t>Decision 3 — What observation, primary-resection, and CEA requirements will be applied?</w:t>
      </w:r>
    </w:p>
    <w:p>
      <w:r>
        <w:t>Guidelines/policy compared: OPTN adult guidance; OPTN adult guidance; IHPBA consensus.</w:t>
      </w:r>
    </w:p>
    <w:p>
      <w:r>
        <w:rPr>
          <w:b/>
        </w:rPr>
        <w:t xml:space="preserve">Draft institutional decision: </w:t>
      </w:r>
      <w:r>
        <w:t>Use a dated milestone checklist for diagnosis, primary R0 resection, systemic treatment, stability/regression, and synchronous-primary clocks. Escalate exact CEA 80 or ambiguous progression before submission.</w:t>
      </w:r>
    </w:p>
    <w:p>
      <w:r>
        <w:rPr>
          <w:b/>
        </w:rPr>
        <w:t xml:space="preserve">Why this is the proposed position: </w:t>
      </w:r>
      <w:r>
        <w:t>The NLRB guidance has timing and threshold details that should not be simplified into a shorter local observation rule.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Meeting decision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Owner / reviewer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 action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/ CHANGE / DISCUSS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Update protocol / roadmap / allocation checklist as applicable</w:t>
            </w:r>
          </w:p>
        </w:tc>
      </w:tr>
    </w:tbl>
    <w:p/>
    <w:p>
      <w:r>
        <w:t>Final wording if changed: __________________________________________________________________________________</w:t>
      </w:r>
    </w:p>
    <w:p>
      <w:pPr>
        <w:pStyle w:val="Heading1"/>
      </w:pPr>
      <w:r>
        <w:t>Decision 4 — Can ctDNA determine clearance, selection, or surveillance intensity?</w:t>
      </w:r>
    </w:p>
    <w:p>
      <w:r>
        <w:t>Guidelines/policy compared: NCCN Colon Cancer; IHPBA consensus; OPTN adult guidance.</w:t>
      </w:r>
    </w:p>
    <w:p>
      <w:r>
        <w:rPr>
          <w:b/>
        </w:rPr>
        <w:t xml:space="preserve">Draft institutional decision: </w:t>
      </w:r>
      <w:r>
        <w:t>Keep ctDNA research-only for selection or clearance. It cannot replace imaging, CEA, or formal allocation review.</w:t>
      </w:r>
    </w:p>
    <w:p>
      <w:r>
        <w:rPr>
          <w:b/>
        </w:rPr>
        <w:t xml:space="preserve">Why this is the proposed position: </w:t>
      </w:r>
      <w:r>
        <w:t>The evidence supports prognostic use but not a stand-alone transplant decision.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Meeting decision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Owner / reviewer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 action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/ CHANGE / DISCUSS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Update protocol / roadmap / allocation checklist as applicable</w:t>
            </w:r>
          </w:p>
        </w:tc>
      </w:tr>
    </w:tbl>
    <w:p/>
    <w:p>
      <w:r>
        <w:t>Final wording if changed: __________________________________________________________________________________</w:t>
      </w:r>
    </w:p>
    <w:p>
      <w:pPr>
        <w:pStyle w:val="Heading1"/>
      </w:pPr>
      <w:r>
        <w:t>Final activation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Source edition rechecked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Affected V3 protocol updated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Roadmap updated where applicable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Approving body / date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</w:tr>
    </w:tbl>
    <w:p/>
    <w:p>
      <w:pPr>
        <w:pStyle w:val="Heading1"/>
      </w:pPr>
      <w:r>
        <w:t>Step level gray zone register</w:t>
      </w:r>
    </w:p>
    <w:p>
      <w:r>
        <w:t>This register creates a one-to-one link between each pathway step gray zone and the source comparison or local decision requiring multidisciplinary review. It is draft material; source owners must confirm the live source edition and locator before activation.</w:t>
      </w:r>
    </w:p>
    <w:p>
      <w:pPr>
        <w:pStyle w:val="Heading2"/>
      </w:pPr>
      <w:r>
        <w:t>G1 How are liver-only distribution and nontransplant resectability established?</w:t>
      </w:r>
    </w:p>
    <w:p>
      <w:r>
        <w:t>Pathway location: Step 1</w:t>
      </w:r>
    </w:p>
    <w:p>
      <w:r>
        <w:t>Source comparison: Existing worksheet Decision 1 source comparison</w:t>
      </w:r>
    </w:p>
    <w:p>
      <w:r>
        <w:t>Draft institutional decision: Document primary status, liver imaging, extrahepatic staging, and complete-clearance feasibility.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G2 Which molecular findings are transplant-route gates versus prognostic features?</w:t>
      </w:r>
    </w:p>
    <w:p>
      <w:r>
        <w:t>Pathway location: Step 2</w:t>
      </w:r>
    </w:p>
    <w:p>
      <w:r>
        <w:t>Source comparison: Existing worksheet Decision 2 source comparison</w:t>
      </w:r>
    </w:p>
    <w:p>
      <w:r>
        <w:t>Draft institutional decision: Record RAS, BRAF, and MSI MMR before route screening.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G3 What treatment-control chronology supports subsequent transplant-grade assessment?</w:t>
      </w:r>
    </w:p>
    <w:p>
      <w:r>
        <w:t>Pathway location: Step 3</w:t>
      </w:r>
    </w:p>
    <w:p>
      <w:r>
        <w:t>Source comparison: Existing worksheet Decision 3 source comparison</w:t>
      </w:r>
    </w:p>
    <w:p>
      <w:r>
        <w:t>Draft institutional decision: Capture treatment dates, response, toxicity, and stability or regression chronology.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G4 How are primary R0 resection, observation clocks, colonoscopy, and CEA handled?</w:t>
      </w:r>
    </w:p>
    <w:p>
      <w:r>
        <w:t>Pathway location: Step 4</w:t>
      </w:r>
    </w:p>
    <w:p>
      <w:r>
        <w:t>Source comparison: Existing worksheet Decision 3 source comparison</w:t>
      </w:r>
    </w:p>
    <w:p>
      <w:r>
        <w:t>Draft institutional decision: Do not assume a borderline CEA or ambiguous progression satisfies the route.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G5 What imaging and timing constitute transplant-grade restaging and what is ctDNA allowed to do?</w:t>
      </w:r>
    </w:p>
    <w:p>
      <w:r>
        <w:t>Pathway location: Step 5</w:t>
      </w:r>
    </w:p>
    <w:p>
      <w:r>
        <w:t>Source comparison: Existing worksheet Decisions 1 and 4 source comparison</w:t>
      </w:r>
    </w:p>
    <w:p>
      <w:r>
        <w:t>Draft institutional decision: Do not substitute ctDNA for required imaging or formal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G6 Who owns nonstandard submission and extension reassessment?</w:t>
      </w:r>
    </w:p>
    <w:p>
      <w:r>
        <w:t>Pathway location: Step 6</w:t>
      </w:r>
    </w:p>
    <w:p>
      <w:r>
        <w:t>Source comparison: Existing worksheet operating-practice source comparison</w:t>
      </w:r>
    </w:p>
    <w:p>
      <w:r>
        <w:t>Draft institutional decision: Name an owner and recheck every renewal or material new finding.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Colorectal liver metastases — guidance-aligned NLRB pathway | Decision document | 15 October 2026 |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