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Neuroendocrine liver metastases — guidance-aligned NLRB pathway</w:t>
        <w:br/>
        <w:t>Alignment-meeting decision document</w:t>
      </w:r>
    </w:p>
    <w:p>
      <w:pPr>
        <w:pStyle w:val="Subtitle"/>
      </w:pPr>
      <w:r>
        <w:t>Companion approval record to the protocol-specific guideline alignment worksheet</w:t>
      </w:r>
    </w:p>
    <w:p>
      <w:r>
        <w:t>Use this document after reviewing the source-by-source worksheet. Each decision records the exact local statement, its rationale, and accountable follow-through. A decision here does not alter OPTN policy or activate a protocol without institutional approval.</w:t>
      </w:r>
    </w:p>
    <w:p>
      <w:pPr>
        <w:pStyle w:val="Heading1"/>
      </w:pPr>
      <w:r>
        <w:t>Decision 1 — Which grade/biology phenotype may enter the standard NELM transplant route?</w:t>
      </w:r>
    </w:p>
    <w:p>
      <w:r>
        <w:t>Guidelines/policy compared: OPTN adult guidance; ENETS guidance; NCCN NET guideline.</w:t>
      </w:r>
    </w:p>
    <w:p>
      <w:r>
        <w:rPr>
          <w:b/>
        </w:rPr>
        <w:t xml:space="preserve">Draft institutional decision: </w:t>
      </w:r>
      <w:r>
        <w:t>Keep G3 disease outside the standard pathway unless a separate disease-specific protocol is approved.</w:t>
      </w:r>
    </w:p>
    <w:p>
      <w:r>
        <w:rPr>
          <w:b/>
        </w:rPr>
        <w:t xml:space="preserve">Why this is the proposed position: </w:t>
      </w:r>
      <w:r>
        <w:t>The biologic distinction is fundamental and should not be collapsed into a generic “NET” label.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Decision 2 — How should prior nodal or other extrahepatic disease be handled?</w:t>
      </w:r>
    </w:p>
    <w:p>
      <w:r>
        <w:t>Guidelines/policy compared: OPTN adult guidance; OPTN adult guidance; ENETS guidance.</w:t>
      </w:r>
    </w:p>
    <w:p>
      <w:r>
        <w:rPr>
          <w:b/>
        </w:rPr>
        <w:t xml:space="preserve">Draft institutional decision: </w:t>
      </w:r>
      <w:r>
        <w:t>Require an MDT zero-evidence-of-disease statement, imaging modality, eradication date, pathology when appropriate, and observation interval attestation.</w:t>
      </w:r>
    </w:p>
    <w:p>
      <w:r>
        <w:rPr>
          <w:b/>
        </w:rPr>
        <w:t xml:space="preserve">Why this is the proposed position: </w:t>
      </w:r>
      <w:r>
        <w:t>A prior positive node is not identical to current extrahepatic disease, but neither is it an automatic reset to routine eligibility.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Decision 3 — What is the role of liver-directed therapy before transplant?</w:t>
      </w:r>
    </w:p>
    <w:p>
      <w:r>
        <w:t>Guidelines/policy compared: NCCN NET guideline; ENETS guidance; OPTN adult guidance.</w:t>
      </w:r>
    </w:p>
    <w:p>
      <w:r>
        <w:rPr>
          <w:b/>
        </w:rPr>
        <w:t xml:space="preserve">Draft institutional decision: </w:t>
      </w:r>
      <w:r>
        <w:t>Record whether therapy is complete local control, cytoreduction, symptom control, or bridge. Do not describe debulking as eradication.</w:t>
      </w:r>
    </w:p>
    <w:p>
      <w:r>
        <w:rPr>
          <w:b/>
        </w:rPr>
        <w:t xml:space="preserve">Why this is the proposed position: </w:t>
      </w:r>
      <w:r>
        <w:t>Treatment intent is essential to interpret residual disease and transplant candidacy.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Decision 4 — How should PRRT and radioembolization exposure be sequenced?</w:t>
      </w:r>
    </w:p>
    <w:p>
      <w:r>
        <w:t>Guidelines/policy compared: NCCN NET guideline; ENETS guidance; OPTN adult guidance.</w:t>
      </w:r>
    </w:p>
    <w:p>
      <w:r>
        <w:rPr>
          <w:b/>
        </w:rPr>
        <w:t xml:space="preserve">Draft institutional decision: </w:t>
      </w:r>
      <w:r>
        <w:t>Require joint nuclear-medicine and IR review of prior and planned hepatic exposure before transplant consideration.</w:t>
      </w:r>
    </w:p>
    <w:p>
      <w:r>
        <w:rPr>
          <w:b/>
        </w:rPr>
        <w:t xml:space="preserve">Why this is the proposed position: </w:t>
      </w:r>
      <w:r>
        <w:t>This is a local safety decision because guideline language does not resolve cumulative-exposure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Meeting decision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Owner / reviewer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action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/ CHANGE / DISCUSS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Update protocol / roadmap / allocation checklist as applicable</w:t>
            </w:r>
          </w:p>
        </w:tc>
      </w:tr>
    </w:tbl>
    <w:p/>
    <w:p>
      <w:r>
        <w:t>Final wording if changed: __________________________________________________________________________________</w:t>
      </w:r>
    </w:p>
    <w:p>
      <w:pPr>
        <w:pStyle w:val="Heading1"/>
      </w:pPr>
      <w:r>
        <w:t>Final activation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Source edition rechecked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Affected V3 protocol updated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Roadmap updated where applicable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Approving body / date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</w:tr>
    </w:tbl>
    <w:p/>
    <w:p>
      <w:pPr>
        <w:pStyle w:val="Heading1"/>
      </w:pPr>
      <w:r>
        <w:t>Step level gray zone register</w:t>
      </w:r>
    </w:p>
    <w:p>
      <w:r>
        <w:t>This register creates a one-to-one link between each pathway step gray zone and the source comparison or local decision requiring multidisciplinary review. It is draft material; source owners must confirm the live source edition and locator before activation.</w:t>
      </w:r>
    </w:p>
    <w:p>
      <w:pPr>
        <w:pStyle w:val="Heading2"/>
      </w:pPr>
      <w:r>
        <w:t>G1 Which differentiation, grade, primary-site, and biology phenotype may enter the standard route?</w:t>
      </w:r>
    </w:p>
    <w:p>
      <w:r>
        <w:t>Pathway location: Step 1</w:t>
      </w:r>
    </w:p>
    <w:p>
      <w:r>
        <w:t>Source comparison: Existing worksheet Decision 1 source comparison</w:t>
      </w:r>
    </w:p>
    <w:p>
      <w:r>
        <w:t>Draft institutional decision: Keep G3 disease outside the standard NELM transplant route unless separately protocolized.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G2 How is prior nodal or other extrahepatic disease distinguished from current active disease?</w:t>
      </w:r>
    </w:p>
    <w:p>
      <w:r>
        <w:t>Pathway location: Step 2</w:t>
      </w:r>
    </w:p>
    <w:p>
      <w:r>
        <w:t>Source comparison: Existing worksheet Decision 2 source comparison</w:t>
      </w:r>
    </w:p>
    <w:p>
      <w:r>
        <w:t>Draft institutional decision: Require explicit current clearance evidence and observation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G3 Which nontransplant oncologic options remain appropriate and what is each intended to achieve?</w:t>
      </w:r>
    </w:p>
    <w:p>
      <w:r>
        <w:t>Pathway location: Step 3</w:t>
      </w:r>
    </w:p>
    <w:p>
      <w:r>
        <w:t>Source comparison: Existing worksheet Decision 3 source comparison</w:t>
      </w:r>
    </w:p>
    <w:p>
      <w:r>
        <w:t>Draft institutional decision: Do not describe cytoreduction or debulking as eradication.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G4 How are PRRT, radioembolization, and cumulative hepatic exposure sequenced?</w:t>
      </w:r>
    </w:p>
    <w:p>
      <w:r>
        <w:t>Pathway location: Step 4</w:t>
      </w:r>
    </w:p>
    <w:p>
      <w:r>
        <w:t>Source comparison: Existing worksheet Decision 4 source comparison</w:t>
      </w:r>
    </w:p>
    <w:p>
      <w:r>
        <w:t>Draft institutional decision: Require nuclear-medicine and IR review; no universal sequence is presumed.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G5 What evidence establishes the transplant phenotype after prior extrahepatic disease?</w:t>
      </w:r>
    </w:p>
    <w:p>
      <w:r>
        <w:t>Pathway location: Step 5</w:t>
      </w:r>
    </w:p>
    <w:p>
      <w:r>
        <w:t>Source comparison: Existing worksheet Decision 2 source comparison</w:t>
      </w:r>
    </w:p>
    <w:p>
      <w:r>
        <w:t>Draft institutional decision: Obtain an MDT zero-evidence-of-disease statement with current negative staging.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p>
      <w:pPr>
        <w:pStyle w:val="Heading2"/>
      </w:pPr>
      <w:r>
        <w:t>G6 Who owns nonstandard submission and disease-specific surveillance?</w:t>
      </w:r>
    </w:p>
    <w:p>
      <w:r>
        <w:t>Pathway location: Step 6</w:t>
      </w:r>
    </w:p>
    <w:p>
      <w:r>
        <w:t>Source comparison: Existing worksheet operating-practice source comparison</w:t>
      </w:r>
    </w:p>
    <w:p>
      <w:r>
        <w:t>Draft institutional decision: Recheck the full phenotype at submission and record recurrence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Meeting decision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Owner reviewer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628"/>
            <w:shd w:fill="17365D"/>
          </w:tcPr>
          <w:p>
            <w:r>
              <w:rPr>
                <w:b/>
                <w:color w:val="FFFFFF"/>
              </w:rPr>
              <w:t>Implementation 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ACCEPT / CHANGE / DISCUSS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________________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Update protocol / pathway / checklist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Neuroendocrine liver metastases — guidance-aligned NLRB pathway | Decision document | 15 October 2026 |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