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epithelioid hemangioendothelioma — guidance-aligned NLRB pathway</w:t>
        <w:br/>
        <w:t>Alignment-meeting decision document</w:t>
      </w:r>
    </w:p>
    <w:p>
      <w:pPr>
        <w:pStyle w:val="Subtitle"/>
      </w:pPr>
      <w:r>
        <w:t>Companion approval record to the protocol-specific guideline alignment worksheet</w:t>
      </w:r>
    </w:p>
    <w:p>
      <w:r>
        <w:t>Use this document after reviewing the source-by-source worksheet. Each decision records the exact local statement, its rationale, and accountable follow-through. A decision here does not alter OPTN policy or activate a protocol without institutional approval.</w:t>
      </w:r>
    </w:p>
    <w:p>
      <w:pPr>
        <w:pStyle w:val="Heading1"/>
      </w:pPr>
      <w:r>
        <w:t>Decision 1 — What type of allocation route is HEHE?</w:t>
      </w:r>
    </w:p>
    <w:p>
      <w:r>
        <w:t>Guidelines/policy compared: OPTN adult guidance; OPTN Policy; AASLD/AST candidate guidance.</w:t>
      </w:r>
    </w:p>
    <w:p>
      <w:r>
        <w:rPr>
          <w:b/>
        </w:rPr>
        <w:t xml:space="preserve">Draft institutional decision: </w:t>
      </w:r>
      <w:r>
        <w:t>Require an explicit NLRB narrative and local governance sign-off; do not describe HEHE approval as automatic or standardized.</w:t>
      </w:r>
    </w:p>
    <w:p>
      <w:r>
        <w:rPr>
          <w:b/>
        </w:rPr>
        <w:t xml:space="preserve">Why this is the proposed position: </w:t>
      </w:r>
      <w:r>
        <w:t>The policy/guidance distinction is operationally material.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Decision 2 — How should the HEHE-LT risk score be used?</w:t>
      </w:r>
    </w:p>
    <w:p>
      <w:r>
        <w:t>Guidelines/policy compared: HEHE-LT study; EHE consensus; OPTN guidance.</w:t>
      </w:r>
    </w:p>
    <w:p>
      <w:r>
        <w:rPr>
          <w:b/>
        </w:rPr>
        <w:t xml:space="preserve">Draft institutional decision: </w:t>
      </w:r>
      <w:r>
        <w:t>Use the score for counseling and surveillance planning only; do not delay a progressive candidate to manipulate a prognostic score.</w:t>
      </w:r>
    </w:p>
    <w:p>
      <w:r>
        <w:rPr>
          <w:b/>
        </w:rPr>
        <w:t xml:space="preserve">Why this is the proposed position: </w:t>
      </w:r>
      <w:r>
        <w:t>A prognostic model is not an allocation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Decision 3 — Does limited extrahepatic disease automatically exclude transplant?</w:t>
      </w:r>
    </w:p>
    <w:p>
      <w:r>
        <w:t>Guidelines/policy compared: EHE consensus; OPTN guidance; AASLD/AST candidate guidance.</w:t>
      </w:r>
    </w:p>
    <w:p>
      <w:r>
        <w:rPr>
          <w:b/>
        </w:rPr>
        <w:t xml:space="preserve">Draft institutional decision: </w:t>
      </w:r>
      <w:r>
        <w:t>Use a case-review template documenting site, resectability, growth, pathology, and graft-stewardship rationale.</w:t>
      </w:r>
    </w:p>
    <w:p>
      <w:r>
        <w:rPr>
          <w:b/>
        </w:rPr>
        <w:t xml:space="preserve">Why this is the proposed position: </w:t>
      </w:r>
      <w:r>
        <w:t>The evidence is observational and phenotype dependent; neither automatic inclusion nor automatic exclusion is defensible as a general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Decision 4 — Which surveillance interval is evidence-mandated?</w:t>
      </w:r>
    </w:p>
    <w:p>
      <w:r>
        <w:t>Guidelines/policy compared: EHE consensus; HEHE-LT study; OPTN guidance.</w:t>
      </w:r>
    </w:p>
    <w:p>
      <w:r>
        <w:rPr>
          <w:b/>
        </w:rPr>
        <w:t xml:space="preserve">Draft institutional decision: </w:t>
      </w:r>
      <w:r>
        <w:t>Ratify a risk-adapted institutional schedule and prospectively track recurrence outcomes.</w:t>
      </w:r>
    </w:p>
    <w:p>
      <w:r>
        <w:rPr>
          <w:b/>
        </w:rPr>
        <w:t xml:space="preserve">Why this is the proposed position: </w:t>
      </w:r>
      <w:r>
        <w:t>A local interval can be sensible, but must not be presented as guideline-mandated.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Final activation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Source edition rechecked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Affected V3 protocol updated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Roadmap updated where applicable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Approving body / date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</w:tr>
    </w:tbl>
    <w:p/>
    <w:p>
      <w:pPr>
        <w:pStyle w:val="Heading1"/>
      </w:pPr>
      <w:r>
        <w:t>Step level gray zone register</w:t>
      </w:r>
    </w:p>
    <w:p>
      <w:r>
        <w:t>This register creates a one-to-one link between each pathway step gray zone and the source comparison or local decision requiring multidisciplinary review. It is draft material; source owners must confirm the live source edition and locator before activation.</w:t>
      </w:r>
    </w:p>
    <w:p>
      <w:pPr>
        <w:pStyle w:val="Heading2"/>
      </w:pPr>
      <w:r>
        <w:t>G1 How is expert pathology confidence and disease behavior established?</w:t>
      </w:r>
    </w:p>
    <w:p>
      <w:r>
        <w:t>Pathway location: Step 1</w:t>
      </w:r>
    </w:p>
    <w:p>
      <w:r>
        <w:t>Source comparison: Existing worksheet Decision 1 source comparison</w:t>
      </w:r>
    </w:p>
    <w:p>
      <w:r>
        <w:t>Draft institutional decision: Do not start allocation discussion before diagnosis confidence and alternatives are documented.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G2 How is extrahepatic disease weighed against nontransplant options?</w:t>
      </w:r>
    </w:p>
    <w:p>
      <w:r>
        <w:t>Pathway location: Step 2</w:t>
      </w:r>
    </w:p>
    <w:p>
      <w:r>
        <w:t>Source comparison: Existing worksheet Decision 3 source comparison</w:t>
      </w:r>
    </w:p>
    <w:p>
      <w:r>
        <w:t>Draft institutional decision: Treat limited extrahepatic disease as case-specific, not automatic yes or 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G3 How should HEHE-LT prognostic information be used?</w:t>
      </w:r>
    </w:p>
    <w:p>
      <w:r>
        <w:t>Pathway location: Step 3</w:t>
      </w:r>
    </w:p>
    <w:p>
      <w:r>
        <w:t>Source comparison: Existing worksheet Decision 2 source comparison</w:t>
      </w:r>
    </w:p>
    <w:p>
      <w:r>
        <w:t>Draft institutional decision: Use it for counseling and surveillance planning, not as an allocation score.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G4 What must be presented to graft-stewardship governance?</w:t>
      </w:r>
    </w:p>
    <w:p>
      <w:r>
        <w:t>Pathway location: Step 4</w:t>
      </w:r>
    </w:p>
    <w:p>
      <w:r>
        <w:t>Source comparison: Existing worksheet Decision 1 source comparison</w:t>
      </w:r>
    </w:p>
    <w:p>
      <w:r>
        <w:t>Draft institutional decision: Document site, biology, alternatives, extrahepatic status, and anticipated utility.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G5 What evidence belongs in the nonstandard request and who owns extension?</w:t>
      </w:r>
    </w:p>
    <w:p>
      <w:r>
        <w:t>Pathway location: Step 5</w:t>
      </w:r>
    </w:p>
    <w:p>
      <w:r>
        <w:t>Source comparison: Existing worksheet operating-practice source comparison</w:t>
      </w:r>
    </w:p>
    <w:p>
      <w:r>
        <w:t>Draft institutional decision: Submit pathology, imaging chronology, rationale, and named owner.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G6 Which surveillance commitments are evidence-mandated versus local?</w:t>
      </w:r>
    </w:p>
    <w:p>
      <w:r>
        <w:t>Pathway location: Step 6</w:t>
      </w:r>
    </w:p>
    <w:p>
      <w:r>
        <w:t>Source comparison: Existing worksheet Decision 4 source comparison</w:t>
      </w:r>
    </w:p>
    <w:p>
      <w:r>
        <w:t>Draft institutional decision: Use a ratified risk-adapted local plan; do not imply a universal mandated interval.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Hepatic epithelioid hemangioendothelioma — guidance-aligned NLRB pathway | Decision document | 15 October 2026 |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