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epithelioid hemangioendothelioma — guidance-aligned NLRB pathway</w:t>
        <w:br/>
        <w:t>Guideline alignment worksheet</w:t>
      </w:r>
    </w:p>
    <w:p>
      <w:pPr>
        <w:pStyle w:val="Subtitle"/>
      </w:pPr>
      <w:r>
        <w:t>Protocol-specific comparison of genuine decision points for multidisciplinary ratification</w:t>
      </w:r>
    </w:p>
    <w:p>
      <w:pPr>
        <w:pStyle w:val="Heading1"/>
      </w:pPr>
      <w:r>
        <w:t>What this document is for</w:t>
      </w:r>
    </w:p>
    <w:p>
      <w:r>
        <w:t>Each block is a question where allocation policy, clinical guidance, evidence framing, or local operating practice can diverge. The source anchors are short verbatim excerpts with locators; they are included to make the difference visible at the meeting. “—” means the source does not directly answer the question. The local position is a draft until ratified.</w:t>
      </w:r>
    </w:p>
    <w:p>
      <w:pPr>
        <w:pStyle w:val="Heading1"/>
      </w:pPr>
      <w:r>
        <w:t>Sources compared</w:t>
      </w:r>
    </w:p>
    <w:p>
      <w:r>
        <w:t>OPTN adult transplant-oncology guidance; EHE international consensus statement; HEHE-LT prognostic-score literature; AASLD/AST adult candidate-evaluation guidance.</w:t>
      </w:r>
    </w:p>
    <w:p>
      <w:pPr>
        <w:pStyle w:val="Heading1"/>
      </w:pPr>
      <w:r>
        <w:t>Questions requiring alignment</w:t>
      </w:r>
    </w:p>
    <w:p>
      <w:pPr>
        <w:pStyle w:val="Heading1"/>
      </w:pPr>
      <w:r>
        <w:t>1. What type of allocation route is HEHE?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Guideline / authority</w:t>
            </w:r>
          </w:p>
        </w:tc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Short verbatim source anchor</w:t>
            </w:r>
          </w:p>
        </w:tc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Locator / relevance</w:t>
            </w:r>
          </w:p>
        </w:tc>
      </w:tr>
      <w:tr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OPTN adult guidance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— HEHE is addressed through nonstandard review guidance, not a standardized exception category.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Guidance scope</w:t>
            </w:r>
          </w:p>
        </w:tc>
      </w:tr>
      <w:tr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OPTN Policy</w:t>
            </w:r>
          </w:p>
        </w:tc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— Policy 9.5 does not create a standardized HEHE exception.</w:t>
            </w:r>
          </w:p>
        </w:tc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Policy scope</w:t>
            </w:r>
          </w:p>
        </w:tc>
      </w:tr>
      <w:tr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AASLD/AST candidate guidance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— Candidate suitability requires individualized multidisciplinary assessment.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Scope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Our roadmap / protocol decision</w:t>
            </w:r>
          </w:p>
        </w:tc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Rationale</w:t>
            </w:r>
          </w:p>
        </w:tc>
      </w:tr>
      <w:tr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Require an explicit NLRB narrative and local governance sign-off; do not describe HEHE approval as automatic or standardized.</w:t>
            </w:r>
          </w:p>
        </w:tc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The policy/guidance distinction is operationally material.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Decision for the alignment meeting</w:t>
            </w:r>
          </w:p>
        </w:tc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Reviewer / date / comment</w:t>
            </w:r>
          </w:p>
        </w:tc>
      </w:tr>
      <w:tr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ACCEPT AS WRITTEN     /     CHANGE ALIGNMENT TO: ____________________     /     DISCUSS</w:t>
            </w:r>
          </w:p>
        </w:tc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____________________________________________________________</w:t>
            </w:r>
          </w:p>
        </w:tc>
      </w:tr>
    </w:tbl>
    <w:p/>
    <w:p>
      <w:pPr>
        <w:pStyle w:val="Heading1"/>
      </w:pPr>
      <w:r>
        <w:t>2. How should the HEHE-LT risk score be used?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Guideline / authority</w:t>
            </w:r>
          </w:p>
        </w:tc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Short verbatim source anchor</w:t>
            </w:r>
          </w:p>
        </w:tc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Locator / relevance</w:t>
            </w:r>
          </w:p>
        </w:tc>
      </w:tr>
      <w:tr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HEHE-LT study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— The score is prognostic and uses pretransplant variables.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Study method</w:t>
            </w:r>
          </w:p>
        </w:tc>
      </w:tr>
      <w:tr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EHE consensus</w:t>
            </w:r>
          </w:p>
        </w:tc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— Recognizes heterogeneous biology and need for individualized management.</w:t>
            </w:r>
          </w:p>
        </w:tc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Consensus scope</w:t>
            </w:r>
          </w:p>
        </w:tc>
      </w:tr>
      <w:tr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OPTN guidance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— Does not make the score an allocation criterion.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Scope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Our roadmap / protocol decision</w:t>
            </w:r>
          </w:p>
        </w:tc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Rationale</w:t>
            </w:r>
          </w:p>
        </w:tc>
      </w:tr>
      <w:tr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Use the score for counseling and surveillance planning only; do not delay a progressive candidate to manipulate a prognostic score.</w:t>
            </w:r>
          </w:p>
        </w:tc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 prognostic model is not an allocation rule.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Decision for the alignment meeting</w:t>
            </w:r>
          </w:p>
        </w:tc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Reviewer / date / comment</w:t>
            </w:r>
          </w:p>
        </w:tc>
      </w:tr>
      <w:tr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ACCEPT AS WRITTEN     /     CHANGE ALIGNMENT TO: ____________________     /     DISCUSS</w:t>
            </w:r>
          </w:p>
        </w:tc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____________________________________________________________</w:t>
            </w:r>
          </w:p>
        </w:tc>
      </w:tr>
    </w:tbl>
    <w:p/>
    <w:p>
      <w:pPr>
        <w:pStyle w:val="Heading1"/>
      </w:pPr>
      <w:r>
        <w:t>3. Does limited extrahepatic disease automatically exclude transplant?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Guideline / authority</w:t>
            </w:r>
          </w:p>
        </w:tc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Short verbatim source anchor</w:t>
            </w:r>
          </w:p>
        </w:tc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Locator / relevance</w:t>
            </w:r>
          </w:p>
        </w:tc>
      </w:tr>
      <w:tr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EHE consensus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— Does not establish one universal transplant exclusion threshold for all extrahepatic EHE.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Consensus scope</w:t>
            </w:r>
          </w:p>
        </w:tc>
      </w:tr>
      <w:tr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OPTN guidance</w:t>
            </w:r>
          </w:p>
        </w:tc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— Requires case-specific nonstandard review rather than a universal standardized threshold.</w:t>
            </w:r>
          </w:p>
        </w:tc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Guidance scope</w:t>
            </w:r>
          </w:p>
        </w:tc>
      </w:tr>
      <w:tr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AASLD/AST candidate guidance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— Requires assessment of oncologic recurrence risk and utility.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Scope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Our roadmap / protocol decision</w:t>
            </w:r>
          </w:p>
        </w:tc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Rationale</w:t>
            </w:r>
          </w:p>
        </w:tc>
      </w:tr>
      <w:tr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Use a case-review template documenting site, resectability, growth, pathology, and graft-stewardship rationale.</w:t>
            </w:r>
          </w:p>
        </w:tc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The evidence is observational and phenotype dependent; neither automatic inclusion nor automatic exclusion is defensible as a general rule.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Decision for the alignment meeting</w:t>
            </w:r>
          </w:p>
        </w:tc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Reviewer / date / comment</w:t>
            </w:r>
          </w:p>
        </w:tc>
      </w:tr>
      <w:tr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ACCEPT AS WRITTEN     /     CHANGE ALIGNMENT TO: ____________________     /     DISCUSS</w:t>
            </w:r>
          </w:p>
        </w:tc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____________________________________________________________</w:t>
            </w:r>
          </w:p>
        </w:tc>
      </w:tr>
    </w:tbl>
    <w:p/>
    <w:p>
      <w:pPr>
        <w:pStyle w:val="Heading1"/>
      </w:pPr>
      <w:r>
        <w:t>4. Which surveillance interval is evidence-mandated?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Guideline / authority</w:t>
            </w:r>
          </w:p>
        </w:tc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Short verbatim source anchor</w:t>
            </w:r>
          </w:p>
        </w:tc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Locator / relevance</w:t>
            </w:r>
          </w:p>
        </w:tc>
      </w:tr>
      <w:tr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EHE consensus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— No validated HEHE-specific post-transplant surveillance interval is established.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Consensus scope</w:t>
            </w:r>
          </w:p>
        </w:tc>
      </w:tr>
      <w:tr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HEHE-LT study</w:t>
            </w:r>
          </w:p>
        </w:tc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— Risk stratification supports individualized recurrence assessment, not a fixed interval.</w:t>
            </w:r>
          </w:p>
        </w:tc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Study scope</w:t>
            </w:r>
          </w:p>
        </w:tc>
      </w:tr>
      <w:tr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OPTN guidance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— Does not prescribe a universal post-transplant schedule.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Scope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Our roadmap / protocol decision</w:t>
            </w:r>
          </w:p>
        </w:tc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Rationale</w:t>
            </w:r>
          </w:p>
        </w:tc>
      </w:tr>
      <w:tr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Ratify a risk-adapted institutional schedule and prospectively track recurrence outcomes.</w:t>
            </w:r>
          </w:p>
        </w:tc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 local interval can be sensible, but must not be presented as guideline-mandated.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Decision for the alignment meeting</w:t>
            </w:r>
          </w:p>
        </w:tc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Reviewer / date / comment</w:t>
            </w:r>
          </w:p>
        </w:tc>
      </w:tr>
      <w:tr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ACCEPT AS WRITTEN     /     CHANGE ALIGNMENT TO: ____________________     /     DISCUSS</w:t>
            </w:r>
          </w:p>
        </w:tc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____________________________________________________________</w:t>
            </w:r>
          </w:p>
        </w:tc>
      </w:tr>
    </w:tbl>
    <w:p/>
    <w:p>
      <w:pPr>
        <w:pStyle w:val="Heading1"/>
      </w:pPr>
      <w:r>
        <w:t>Source verification and sign-off</w:t>
      </w:r>
    </w:p>
    <w:p>
      <w:r>
        <w:t>Before adoption, the designated source owner must verify the live policy/guideline edition and locator. Any changed alignment must be carried into the affected V3 protocol and corresponding roadmap.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Reviewed by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Specialty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Questions changed / discussed</w:t>
            </w:r>
          </w:p>
        </w:tc>
      </w:tr>
      <w:tr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</w:tr>
    </w:tbl>
    <w:p/>
    <w:p>
      <w:pPr>
        <w:pStyle w:val="Heading1"/>
      </w:pPr>
      <w:r>
        <w:t>Step level gray zone register</w:t>
      </w:r>
    </w:p>
    <w:p>
      <w:r>
        <w:t>This register creates a one-to-one link between each pathway step gray zone and the source comparison or local decision requiring multidisciplinary review. It is draft material; source owners must confirm the live source edition and locator before activation.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17365D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02"/>
            <w:shd w:fill="17365D"/>
          </w:tcPr>
          <w:p>
            <w:r>
              <w:rPr>
                <w:b/>
                <w:color w:val="FFFFFF"/>
              </w:rPr>
              <w:t>Pathway step</w:t>
            </w:r>
          </w:p>
        </w:tc>
        <w:tc>
          <w:tcPr>
            <w:tcW w:type="dxa" w:w="2102"/>
            <w:shd w:fill="17365D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2102"/>
            <w:shd w:fill="17365D"/>
          </w:tcPr>
          <w:p>
            <w:r>
              <w:rPr>
                <w:b/>
                <w:color w:val="FFFFFF"/>
              </w:rPr>
              <w:t>Source comparison</w:t>
            </w:r>
          </w:p>
        </w:tc>
        <w:tc>
          <w:tcPr>
            <w:tcW w:type="dxa" w:w="2102"/>
            <w:shd w:fill="17365D"/>
          </w:tcPr>
          <w:p>
            <w:r>
              <w:rPr>
                <w:b/>
                <w:color w:val="FFFFFF"/>
              </w:rPr>
              <w:t>Draft local decision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G1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Step 1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How is expert pathology confidence and disease behavior established?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Existing worksheet Decision 1 source comparison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Do not start allocation discussion before diagnosis confidence and alternatives are documented.</w:t>
            </w:r>
          </w:p>
        </w:tc>
      </w:tr>
      <w:tr>
        <w:tc>
          <w:tcPr>
            <w:tcW w:type="dxa" w:w="2102"/>
            <w:shd w:fill="F4F8FB"/>
          </w:tcPr>
          <w:p>
            <w:r>
              <w:rPr>
                <w:sz w:val="16"/>
              </w:rPr>
              <w:t>G2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Step 2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How is extrahepatic disease weighed against nontransplant options?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Existing worksheet Decision 3 source comparison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Treat limited extrahepatic disease as case-specific, not automatic yes or no.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G3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Step 3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How should HEHE-LT prognostic information be used?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Existing worksheet Decision 2 source comparison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Use it for counseling and surveillance planning, not as an allocation score.</w:t>
            </w:r>
          </w:p>
        </w:tc>
      </w:tr>
      <w:tr>
        <w:tc>
          <w:tcPr>
            <w:tcW w:type="dxa" w:w="2102"/>
            <w:shd w:fill="F4F8FB"/>
          </w:tcPr>
          <w:p>
            <w:r>
              <w:rPr>
                <w:sz w:val="16"/>
              </w:rPr>
              <w:t>G4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Step 4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What must be presented to graft-stewardship governance?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Existing worksheet Decision 1 source comparison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Document site, biology, alternatives, extrahepatic status, and anticipated utility.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G5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Step 5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What evidence belongs in the nonstandard request and who owns extension?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Existing worksheet operating-practice source comparison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Submit pathology, imaging chronology, rationale, and named owner.</w:t>
            </w:r>
          </w:p>
        </w:tc>
      </w:tr>
      <w:tr>
        <w:tc>
          <w:tcPr>
            <w:tcW w:type="dxa" w:w="2102"/>
            <w:shd w:fill="F4F8FB"/>
          </w:tcPr>
          <w:p>
            <w:r>
              <w:rPr>
                <w:sz w:val="16"/>
              </w:rPr>
              <w:t>G6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Step 6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Which surveillance commitments are evidence-mandated versus local?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Existing worksheet Decision 4 source comparison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Use a ratified risk-adapted local plan; do not imply a universal mandated interval.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Hepatic epithelioid hemangioendothelioma — guidance-aligned NLRB pathway | Guideline alignment worksheet | 15 October 2026 | Working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