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adenoma — guidance-aligned NLRB pathway</w:t>
        <w:br/>
        <w:t>Alignment-meeting decision document</w:t>
      </w:r>
    </w:p>
    <w:p>
      <w:pPr>
        <w:pStyle w:val="Subtitle"/>
      </w:pPr>
      <w:r>
        <w:t>Companion approval record to the protocol-specific guideline alignment worksheet</w:t>
      </w:r>
    </w:p>
    <w:p>
      <w:r>
        <w:t>Use this document after reviewing the source-by-source worksheet. Each decision records the exact local statement, its rationale, and accountable follow-through. A decision here does not alter OPTN policy or activate a protocol without institutional approval.</w:t>
      </w:r>
    </w:p>
    <w:p>
      <w:pPr>
        <w:pStyle w:val="Heading1"/>
      </w:pPr>
      <w:r>
        <w:t>Decision 1 — When is transplant appropriate for hepatic adenoma?</w:t>
      </w:r>
    </w:p>
    <w:p>
      <w:r>
        <w:t>Guidelines/policy compared: EASL benign liver tumors; EASL benign liver tumors; OPTN adult guidance.</w:t>
      </w:r>
    </w:p>
    <w:p>
      <w:r>
        <w:rPr>
          <w:b/>
        </w:rPr>
        <w:t xml:space="preserve">Draft institutional decision: </w:t>
      </w:r>
      <w:r>
        <w:t>Require expert HPB and IR documentation that resection, embolization, ablation, risk-factor modification, or observation are unsafe, infeasible, or inadequate before nonstandard transplant review.</w:t>
      </w:r>
    </w:p>
    <w:p>
      <w:r>
        <w:rPr>
          <w:b/>
        </w:rPr>
        <w:t xml:space="preserve">Why this is the proposed position: </w:t>
      </w:r>
      <w:r>
        <w:t>Multiplicity alone is not a transplant indication; the exceptional route requires a documented unmet clinical problem.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Meeting decision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Owner / reviewer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 action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/ CHANGE / DISCUSS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Update protocol / roadmap / allocation checklist as applicable</w:t>
            </w:r>
          </w:p>
        </w:tc>
      </w:tr>
    </w:tbl>
    <w:p/>
    <w:p>
      <w:r>
        <w:t>Final wording if changed: __________________________________________________________________________________</w:t>
      </w:r>
    </w:p>
    <w:p>
      <w:pPr>
        <w:pStyle w:val="Heading1"/>
      </w:pPr>
      <w:r>
        <w:t>Decision 2 — How should CTNNB1 molecular risk be translated into transplant review?</w:t>
      </w:r>
    </w:p>
    <w:p>
      <w:r>
        <w:t>Guidelines/policy compared: EASL benign liver tumors; Molecular-classification literature; OPTN adult guidance.</w:t>
      </w:r>
    </w:p>
    <w:p>
      <w:r>
        <w:rPr>
          <w:b/>
        </w:rPr>
        <w:t xml:space="preserve">Draft institutional decision: </w:t>
      </w:r>
      <w:r>
        <w:t>Keep exon/codon documentation and label any narrower molecular criterion as an institutional refinement, not an OPTN requirement.</w:t>
      </w:r>
    </w:p>
    <w:p>
      <w:r>
        <w:rPr>
          <w:b/>
        </w:rPr>
        <w:t xml:space="preserve">Why this is the proposed position: </w:t>
      </w:r>
      <w:r>
        <w:t>The clinical guideline supports risk-aware intervention but does not supply a transplant-allocation molecular algorithm.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Meeting decision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Owner / reviewer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 action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/ CHANGE / DISCUSS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Update protocol / roadmap / allocation checklist as applicable</w:t>
            </w:r>
          </w:p>
        </w:tc>
      </w:tr>
    </w:tbl>
    <w:p/>
    <w:p>
      <w:r>
        <w:t>Final wording if changed: __________________________________________________________________________________</w:t>
      </w:r>
    </w:p>
    <w:p>
      <w:pPr>
        <w:pStyle w:val="Heading1"/>
      </w:pPr>
      <w:r>
        <w:t>Decision 3 — What complications must accompany adenomatosis for transplant consideration?</w:t>
      </w:r>
    </w:p>
    <w:p>
      <w:r>
        <w:t>Guidelines/policy compared: EASL benign liver tumors; EASL benign liver tumors; OPTN adult guidance.</w:t>
      </w:r>
    </w:p>
    <w:p>
      <w:r>
        <w:rPr>
          <w:b/>
        </w:rPr>
        <w:t xml:space="preserve">Draft institutional decision: </w:t>
      </w:r>
      <w:r>
        <w:t>Require a documented combination of failed/infeasible nontransplant therapy with bleeding, transformation risk, syndromic driver, or progression—not lesion number alone.</w:t>
      </w:r>
    </w:p>
    <w:p>
      <w:r>
        <w:rPr>
          <w:b/>
        </w:rPr>
        <w:t xml:space="preserve">Why this is the proposed position: </w:t>
      </w:r>
      <w:r>
        <w:t>This maintains an escalation pathway without treating anatomic multiplicity as sufficient evidence of graft benefit.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Meeting decision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Owner / reviewer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 action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/ CHANGE / DISCUSS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Update protocol / roadmap / allocation checklist as applicable</w:t>
            </w:r>
          </w:p>
        </w:tc>
      </w:tr>
    </w:tbl>
    <w:p/>
    <w:p>
      <w:r>
        <w:t>Final wording if changed: __________________________________________________________________________________</w:t>
      </w:r>
    </w:p>
    <w:p>
      <w:pPr>
        <w:pStyle w:val="Heading1"/>
      </w:pPr>
      <w:r>
        <w:t>Decision 4 — How should suspected malignant transformation be routed?</w:t>
      </w:r>
    </w:p>
    <w:p>
      <w:r>
        <w:t>Guidelines/policy compared: EASL benign liver tumors; OPTN HCC policy; AASLD HCC guidance.</w:t>
      </w:r>
    </w:p>
    <w:p>
      <w:r>
        <w:rPr>
          <w:b/>
        </w:rPr>
        <w:t xml:space="preserve">Draft institutional decision: </w:t>
      </w:r>
      <w:r>
        <w:t>Require pathology and risk-background assessment when HCA-derived malignancy is suspected. Do not presume imaging-only standardized HCC exception eligibility in a noncirrhotic patient.</w:t>
      </w:r>
    </w:p>
    <w:p>
      <w:r>
        <w:rPr>
          <w:b/>
        </w:rPr>
        <w:t xml:space="preserve">Why this is the proposed position: </w:t>
      </w:r>
      <w:r>
        <w:t>Malignant transformation requires a separate diagnostic and allocation route.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Meeting decision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Owner / reviewer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 action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/ CHANGE / DISCUSS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Update protocol / roadmap / allocation checklist as applicable</w:t>
            </w:r>
          </w:p>
        </w:tc>
      </w:tr>
    </w:tbl>
    <w:p/>
    <w:p>
      <w:r>
        <w:t>Final wording if changed: __________________________________________________________________________________</w:t>
      </w:r>
    </w:p>
    <w:p>
      <w:pPr>
        <w:pStyle w:val="Heading1"/>
      </w:pPr>
      <w:r>
        <w:t>Final activation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Source edition rechecked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Affected V3 protocol updated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Roadmap updated where applicable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Approving body / date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</w:tr>
    </w:tbl>
    <w:p/>
    <w:p>
      <w:pPr>
        <w:pStyle w:val="Heading1"/>
      </w:pPr>
      <w:r>
        <w:t>Step level gray zone register</w:t>
      </w:r>
    </w:p>
    <w:p>
      <w:r>
        <w:t>This register creates a one-to-one link between each pathway step gray zone and the source comparison or local decision requiring multidisciplinary review. It is draft material; source owners must confirm the live source edition and locator before activation.</w:t>
      </w:r>
    </w:p>
    <w:p>
      <w:pPr>
        <w:pStyle w:val="Heading2"/>
      </w:pPr>
      <w:r>
        <w:t>G1 How are subtype, CTNNB1 status, sex, hormonal-metabolic factors, and hemorrhage risk verified?</w:t>
      </w:r>
    </w:p>
    <w:p>
      <w:r>
        <w:t>Pathway location: Step 1</w:t>
      </w:r>
    </w:p>
    <w:p>
      <w:r>
        <w:t>Source comparison: Existing worksheet Decision 2 source comparison</w:t>
      </w:r>
    </w:p>
    <w:p>
      <w:r>
        <w:t>Draft institutional decision: Document subtype and molecular result rather than infer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G2 Which conventional nontransplant options have been adequately assessed?</w:t>
      </w:r>
    </w:p>
    <w:p>
      <w:r>
        <w:t>Pathway location: Step 2</w:t>
      </w:r>
    </w:p>
    <w:p>
      <w:r>
        <w:t>Source comparison: Existing worksheet Decision 1 source comparison</w:t>
      </w:r>
    </w:p>
    <w:p>
      <w:r>
        <w:t>Draft institutional decision: Multiplicity alone does not justify transplant.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G3 Which complication and risk combination supports exceptional escalation?</w:t>
      </w:r>
    </w:p>
    <w:p>
      <w:r>
        <w:t>Pathway location: Step 3</w:t>
      </w:r>
    </w:p>
    <w:p>
      <w:r>
        <w:t>Source comparison: Existing worksheet Decision 3 source comparison</w:t>
      </w:r>
    </w:p>
    <w:p>
      <w:r>
        <w:t>Draft institutional decision: Document bleeding, progression, molecular risk, or infeasibility of conventional therapy.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G4 How is suspected malignant transformation routed?</w:t>
      </w:r>
    </w:p>
    <w:p>
      <w:r>
        <w:t>Pathway location: Step 4</w:t>
      </w:r>
    </w:p>
    <w:p>
      <w:r>
        <w:t>Source comparison: Existing worksheet Decision 4 source comparison</w:t>
      </w:r>
    </w:p>
    <w:p>
      <w:r>
        <w:t>Draft institutional decision: Obtain pathology and use the appropriate staging or allocation route; do not presume imaging-only HCC exception eligibility.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G5 How is the nonstandard risk-benefit and graft-utility case decided?</w:t>
      </w:r>
    </w:p>
    <w:p>
      <w:r>
        <w:t>Pathway location: Step 5</w:t>
      </w:r>
    </w:p>
    <w:p>
      <w:r>
        <w:t>Source comparison: Existing worksheet Decisions 1–3 source comparison</w:t>
      </w:r>
    </w:p>
    <w:p>
      <w:r>
        <w:t>Draft institutional decision: Present exhausted alternatives, molecular evidence, and expected utility to governance.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G6 Who owns submission and post-transplant surveillance?</w:t>
      </w:r>
    </w:p>
    <w:p>
      <w:r>
        <w:t>Pathway location: Step 6</w:t>
      </w:r>
    </w:p>
    <w:p>
      <w:r>
        <w:t>Source comparison: Existing worksheet operating-practice source comparison</w:t>
      </w:r>
    </w:p>
    <w:p>
      <w:r>
        <w:t>Draft institutional decision: Document decisions and use a locally ratified surveillance 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Hepatic adenoma — guidance-aligned NLRB pathway | Decision document | 15 October 2026 |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