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adenoma — guidance-aligned NLRB pathway</w:t>
        <w:br/>
        <w:t>Guideline alignment worksheet</w:t>
      </w:r>
    </w:p>
    <w:p>
      <w:pPr>
        <w:pStyle w:val="Subtitle"/>
      </w:pPr>
      <w:r>
        <w:t>Protocol-specific comparison of genuine decision points for multidisciplinary ratification</w:t>
      </w:r>
    </w:p>
    <w:p>
      <w:pPr>
        <w:pStyle w:val="Heading1"/>
      </w:pPr>
      <w:r>
        <w:t>What this document is for</w:t>
      </w:r>
    </w:p>
    <w:p>
      <w:r>
        <w:t>Each block is a question where allocation policy, clinical guidance, evidence framing, or local operating practice can diverge. The source anchors are short verbatim excerpts with locators; they are included to make the difference visible at the meeting. “—” means the source does not directly answer the question. The local position is a draft until ratified.</w:t>
      </w:r>
    </w:p>
    <w:p>
      <w:pPr>
        <w:pStyle w:val="Heading1"/>
      </w:pPr>
      <w:r>
        <w:t>Sources compared</w:t>
      </w:r>
    </w:p>
    <w:p>
      <w:r>
        <w:t>EASL benign liver tumor guideline (2016); OPTN adult transplant-oncology guidance; molecular-classification literature; AASLD/AST adult candidate-evaluation guidance.</w:t>
      </w:r>
    </w:p>
    <w:p>
      <w:pPr>
        <w:pStyle w:val="Heading1"/>
      </w:pPr>
      <w:r>
        <w:t>Questions requiring alignment</w:t>
      </w:r>
    </w:p>
    <w:p>
      <w:pPr>
        <w:pStyle w:val="Heading1"/>
      </w:pPr>
      <w:r>
        <w:t>1. When is transplant appropriate for hepatic adenoma?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EASL benign liver tumors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“Liver transplantation is not recommended in multiple HCA.”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recommendations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EASL benign liver tumors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“Liver transplantation may be considered ... in patients with underlying liver disease.”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recommendations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Provides a narrow nonstandard consideration route, not routine treatment.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guidance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expert HPB and IR documentation that resection, embolization, ablation, risk-factor modification, or observation are unsafe, infeasible, or inadequate before nonstandard transplant review.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Multiplicity alone is not a transplant indication; the exceptional route requires a documented unmet clinical problem.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2. How should CTNNB1 molecular risk be translated into transplant review?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EASL benign liver tumors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“HCA resection is recommended ... in any instance of proven β-catenin mutation.”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recommendations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Molecular-classification literature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CTNNB1 alteration location and phenotype modify malignant-risk interpretation.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Study literature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provide exon-specific allocation rules.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guidance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Keep exon/codon documentation and label any narrower molecular criterion as an institutional refinement, not an OPTN requirement.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clinical guideline supports risk-aware intervention but does not supply a transplant-allocation molecular algorithm.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3. What complications must accompany adenomatosis for transplant consideration?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EASL benign liver tumors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“Treatment decisions are based on gender, size and pattern of progression.”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recommendations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EASL benign liver tumors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 bleeding HCA with hemodynamic instability should be embolized.”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HCA recommendations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convert lesion number alone into a standardized exception.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Guidance 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a documented combination of failed/infeasible nontransplant therapy with bleeding, transformation risk, syndromic driver, or progression—not lesion number alone.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This maintains an escalation pathway without treating anatomic multiplicity as sufficient evidence of graft benefit.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How should suspected malignant transformation be routed?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EASL benign liver tumors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Recommends HCA management by risk factors and progression; it does not create an HCC allocation shortcut.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Guideline 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HCC policy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Class 5 imaging criteria apply within the qualifying HCC/at-risk context.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Policy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 HCC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LI-RADS diagnostic criteria are intended for at-risk populations.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Diagnosis section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pathology and risk-background assessment when HCA-derived malignancy is suspected. Do not presume imaging-only standardized HCC exception eligibility in a noncirrhotic patient.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Malignant transformation requires a separate diagnostic and allocation route.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Source verification and sign-off</w:t>
      </w:r>
    </w:p>
    <w:p>
      <w:r>
        <w:t>Before adoption, the designated source owner must verify the live policy/guideline edition and locator. Any changed alignment must be carried into the affected V3 protocol and corresponding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Specialty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Questions changed / discussed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Pathway step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Source comparison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Draft local decision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are subtype, CTNNB1 status, sex, hormonal-metabolic factors, and hemorrhage risk verified?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2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Document subtype and molecular result rather than infer them.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Which conventional nontransplant options have been adequately assessed?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Multiplicity alone does not justify transplant.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Which complication and risk combination supports exceptional escalation?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3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Document bleeding, progression, molecular risk, or infeasibility of conventional therapy.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How is suspected malignant transformation routed?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4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Obtain pathology and use the appropriate staging or allocation route; do not presume imaging-only HCC exception eligibility.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is the nonstandard risk-benefit and graft-utility case decided?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Decisions 1–3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Present exhausted alternatives, molecular evidence, and expected utility to governance.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Who owns submission and post-transplant surveillance?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operating-practice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Document decisions and use a locally ratified surveillance plan.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Hepatic adenoma — guidance-aligned NLRB pathway | Guideline alignment worksheet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