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573DC6" w14:textId="77777777" w:rsidR="00584615" w:rsidRDefault="00000000">
      <w:pPr>
        <w:pStyle w:val="Heading1"/>
      </w:pPr>
      <w:r>
        <w:t>UTHealth Houston CRLM Liver Transplant Protocol — Guidance-Aligned NLRB Pathway — V3</w:t>
      </w:r>
    </w:p>
    <w:p>
      <w:pPr>
        <w:pStyle w:val="Heading2"/>
      </w:pPr>
      <w:r>
        <w:t>Policy and allocation status</w:t>
      </w:r>
    </w:p>
    <w:p>
      <w:pPr/>
      <w:r>
        <w:rPr>
          <w:sz w:val="21"/>
        </w:rPr>
        <w:t>GUIDANCE-ALIGNED NON-STANDARD EXCEPTION. CRLM is not a standardized diagnosis in OPTN Policy 9.5. The December 2025 guidance supports NLRB consideration only when all specified oncologic, molecular, timing, resection, imaging, chemotherapy, stability, lesion-size, and CEA criteria are met. Recommended score: MMaT-20, with a floor of 15 under Policy 9.4.E.</w:t>
      </w:r>
    </w:p>
    <w:p>
      <w:pPr/>
      <w:r>
        <w:t>Policy review date: 21 September 2026. Controlling allocation sources: OPTN Policies (Policy 9.4 and 9.5, current HRSA posting) and the OPTN/HRSA Guidance to Liver Transplant Programs and the National Liver Review Board for Adult MELD Exceptions for Transplant Oncology (current posting; https://www.hrsa.gov/sites/default/files/hrsa/optn/adult-meld-exception-transplant-oncology-review-guidance.pdf). The guidance is not OPTN policy and does not define a clinical standard of care. Classification verified: the OPTN Board action of 9 June 2025 (guidance effective 1 July 2025) added recommended exception scores for NON-STANDARD transplant-oncology diagnoses; it did not move intrahepatic cholangiocarcinoma, colorectal liver metastases, neuroendocrine liver metastases, hepatic epithelioid hemangioendothelioma or hepatocellular adenoma into the standardized list in Policy 9.5 (9.5.A-9.5.I). Secondary literature stating otherwise (doi:10.1245/s10434-025-18408-0) is imprecise on this point. Re-verify against the live posting before committee adoption and before each exception submission.</w:t>
      </w:r>
    </w:p>
    <w:p>
      <w:pPr/>
      <w:r>
        <w:rPr>
          <w:sz w:val="21"/>
        </w:rPr>
        <w:t>Extension requests should be submitted every 3 months with CT or MRI of chest/abdomen/pelvis, CEA &lt;80 µg/L, no hepatic progression, and no extrahepatic disease. All drug selection, dose, washout, immunosuppression, surveillance, donor-source, and stopping-rule decisions require current multidisciplinary review and applicable pharmacy, IRB, DSMB, institutional, and regulatory approval before clinical use.</w:t>
      </w:r>
    </w:p>
    <w:p w14:paraId="4CE9ABC5" w14:textId="77777777" w:rsidR="00584615" w:rsidRDefault="00000000">
      <w:pPr>
        <w:pStyle w:val="Heading2"/>
      </w:pPr>
      <w:r>
        <w:rPr>
          <w:b w:val="0"/>
          <w:bCs w:val="0"/>
        </w:rPr>
        <w:t>PROTOCOL A: STANDARD LIVER TRANSPLANTATION FOR UNRESECTABLE COLORECTAL LIVER METASTASES</w:t>
      </w:r>
    </w:p>
    <w:p w14:paraId="3B6F9269" w14:textId="77777777" w:rsidR="00584615" w:rsidRDefault="00000000">
      <w:pPr>
        <w:pStyle w:val="Heading3"/>
      </w:pPr>
      <w:r>
        <w:rPr>
          <w:b w:val="0"/>
          <w:bCs w:val="0"/>
        </w:rPr>
        <w:t>1. Purpose and Scope</w:t>
      </w:r>
    </w:p>
    <w:p w14:paraId="4250AAEC" w14:textId="77777777" w:rsidR="00584615" w:rsidRDefault="00000000">
      <w:r>
        <w:t xml:space="preserve">This protocol establishes a guidance-aligned institutional pathway for liver transplantation in patients with permanently unresectable colorectal cancer liver metastases at UTHealth Houston. It incorporates the December 2025 NLRB guidance and supporting evidence from the TransMet trial, SECA-II, IHPBA LT-CoMet 21 consensus, and AASLD/AST guidance.{Adam, 2024 #39;Dueland, 2020 #40;Gorji, 2024 #20;Dove, 2026 #2}</w:t>
      </w:r>
    </w:p>
    <w:p w14:paraId="2BBA0557" w14:textId="77777777" w:rsidR="00584615" w:rsidRDefault="00000000">
      <w:pPr>
        <w:pStyle w:val="Heading3"/>
      </w:pPr>
      <w:r>
        <w:rPr>
          <w:b w:val="0"/>
          <w:bCs w:val="0"/>
        </w:rPr>
        <w:t>2. Patient Selection — Inclusion Criteria</w:t>
      </w:r>
    </w:p>
    <w:p w14:paraId="1A6B99C6" w14:textId="77777777" w:rsidR="00584615" w:rsidRDefault="00000000">
      <w:r>
        <w:rPr>
          <w:b/>
          <w:bCs/>
        </w:rPr>
        <w:t>2.1 General Requirements</w:t>
      </w:r>
    </w:p>
    <w:p w14:paraId="2CF6F921" w14:textId="77777777" w:rsidR="00584615" w:rsidRDefault="00000000">
      <w:r>
        <w:t>- Age 18–65 years</w:t>
      </w:r>
    </w:p>
    <w:p w14:paraId="19C0234F" w14:textId="77777777" w:rsidR="00584615" w:rsidRDefault="00000000">
      <w:r>
        <w:t>- ECOG performance status 0–1</w:t>
      </w:r>
    </w:p>
    <w:p w14:paraId="7B1749A3" w14:textId="77777777" w:rsidR="00584615" w:rsidRDefault="00000000">
      <w:r>
        <w:t>- Histologically confirmed colorectal adenocarcinoma with liver metastases</w:t>
      </w:r>
    </w:p>
    <w:p w14:paraId="4770FE68" w14:textId="77777777" w:rsidR="00584615" w:rsidRDefault="00000000">
      <w:r>
        <w:t>- Metastatic disease permanently unresectable as determined by multidisciplinary tumor board (hepatobiliary surgery, transplant surgery, medical oncology, interventional radiology, diagnostic radiology)</w:t>
      </w:r>
    </w:p>
    <w:p w14:paraId="54DCAFED" w14:textId="77777777" w:rsidR="00584615" w:rsidRDefault="00000000">
      <w:r>
        <w:t>- No general contraindications to liver transplantation</w:t>
      </w:r>
    </w:p>
    <w:p w14:paraId="3155F043" w14:textId="77777777" w:rsidR="00584615" w:rsidRDefault="00000000">
      <w:r>
        <w:t>- Adequate psychosocial support and ability to comply with post-transplant medical regimen</w:t>
      </w:r>
    </w:p>
    <w:p w14:paraId="48EF1A06" w14:textId="77777777" w:rsidR="00584615" w:rsidRDefault="00000000">
      <w:r>
        <w:rPr>
          <w:b/>
          <w:bCs/>
        </w:rPr>
        <w:t>2.2 Oncologic Requirements</w:t>
      </w:r>
    </w:p>
    <w:p w14:paraId="17C6304C" w14:textId="77777777" w:rsidR="00584615" w:rsidRDefault="00000000">
      <w:r>
        <w:t>- Primary colorectal tumor resected with negative margins (R0 resection)</w:t>
      </w:r>
      <w:r>
        <w:t xml:space="preserve">{Gorji, 2024 #20;Ueberroth, 2025 #41}</w:t>
      </w:r>
    </w:p>
    <w:p w14:paraId="29379E77" w14:textId="77777777" w:rsidR="00584615" w:rsidRDefault="00000000">
      <w:r>
        <w:t>- No local or regional recurrence of primary tumor</w:t>
      </w:r>
    </w:p>
    <w:p w14:paraId="55C70050" w14:textId="77777777" w:rsidR="00584615" w:rsidRDefault="00000000">
      <w:r>
        <w:t>- No extrahepatic metastatic disease confirmed by PET-CT and cross-sectional imaging</w:t>
      </w:r>
      <w:r>
        <w:t xml:space="preserve">{Gorji, 2024 #20}</w:t>
      </w:r>
    </w:p>
    <w:p w14:paraId="4E63E909" w14:textId="77777777" w:rsidR="00584615" w:rsidRDefault="00000000">
      <w:r>
        <w:t>- Disease confined to the liver</w:t>
      </w:r>
    </w:p>
    <w:p w14:paraId="69EFCE4A" w14:textId="77777777" w:rsidR="00584615" w:rsidRDefault="00000000">
      <w:r>
        <w:t>- Chemotherapy exposure and response: documented OBJECTIVE response to systemic chemotherapy sustained over at least 3 months, within at most 3 lines of therapy, assessed by RECIST 1.1 — the eligibility standard of the randomized trial supporting this pathway (TransMet; Adam R et al., Lancet 2024;404(10458):1107-1118; {Adam, 2024 #39}). Stable disease without objective response does not satisfy this criterion and requires explicit selection-committee justification recorded as a deviation.</w:t>
      </w:r>
    </w:p>
    <w:p>
      <w:pPr/>
      <w:r>
        <w:t>- Observation interval: at least 12 months from diagnosis of liver metastases to the initial exception request, per the OPTN transplant-oncology guidance. Where an institutional bar is set more stringently than the trial or the guidance, state that it is an institutional restriction and record the reason; do not attribute it to the guidance or to the trial.</w:t>
      </w:r>
    </w:p>
    <w:p w14:paraId="2FC9ECC9" w14:textId="77777777" w:rsidR="00584615" w:rsidRDefault="00000000">
      <w:r>
        <w:t>- ≤3 lines of prior systemic chemotherapy</w:t>
      </w:r>
      <w:r>
        <w:t xml:space="preserve">{Adam, 2024 #39}</w:t>
      </w:r>
    </w:p>
    <w:p w14:paraId="708DB72E" w14:textId="77777777" w:rsidR="00584615" w:rsidRDefault="00000000">
      <w:r>
        <w:lastRenderedPageBreak/>
        <w:t>- Minimum interval of ≥1 year from diagnosis of liver metastases to transplant listing</w:t>
      </w:r>
      <w:r>
        <w:t xml:space="preserve">{Dueland, 2020 #40}</w:t>
      </w:r>
    </w:p>
    <w:p w14:paraId="07B94997" w14:textId="77777777" w:rsidR="00584615" w:rsidRDefault="00000000">
      <w:r>
        <w:rPr>
          <w:b/>
          <w:bCs/>
        </w:rPr>
        <w:t>2.3 Molecular and Histologic Requirements</w:t>
      </w:r>
    </w:p>
    <w:p w14:paraId="6A48CC4B" w14:textId="77777777" w:rsidR="00584615" w:rsidRDefault="00000000">
      <w:r>
        <w:t xml:space="preserve">- BRAF status: the supporting randomized evidence is confined to BRAF-non-mutated colorectal cancer, and BRAF V600E is an absolute exclusion. Non-V600E (class II/III) BRAF alterations were not separately characterized in that trial and carry a different prognosis; they require case-by-case selection-committee review with the alteration and its class documented, rather than automatic exclusion. Record the exact variant, not "BRAF mutant". VERIFY the guidance wording: if the guidance excludes any BRAF alteration, the guidance governs the exception request and this clause governs candidacy only.{Gorji, 2024 #20}</w:t>
      </w:r>
    </w:p>
    <w:p w14:paraId="05D23A0F" w14:textId="77777777" w:rsidR="00584615" w:rsidRDefault="00000000">
      <w:r>
        <w:t>- Microsatellite stable (MSS) / proficient mismatch repair (</w:t>
      </w:r>
      <w:proofErr w:type="spellStart"/>
      <w:r>
        <w:t>pMMR</w:t>
      </w:r>
      <w:proofErr w:type="spellEnd"/>
      <w:r>
        <w:t>)</w:t>
      </w:r>
      <w:r>
        <w:t xml:space="preserve">{Gorji, 2024 #20}</w:t>
      </w:r>
    </w:p>
    <w:p w14:paraId="6D09F8A2" w14:textId="77777777" w:rsidR="00584615" w:rsidRDefault="00000000">
      <w:r>
        <w:t>- No undifferentiated adenocarcinoma or signet ring cell carcinoma histology</w:t>
      </w:r>
      <w:r>
        <w:t xml:space="preserve">{Gorji, 2024 #20}</w:t>
      </w:r>
    </w:p>
    <w:p w14:paraId="32945EFB" w14:textId="77777777" w:rsidR="00584615" w:rsidRDefault="00000000">
      <w:r>
        <w:rPr>
          <w:b/>
          <w:bCs/>
        </w:rPr>
        <w:t>2.4 Imaging and Biomarker Requirements</w:t>
      </w:r>
    </w:p>
    <w:p>
      <w:pPr/>
      <w:r>
        <w:rPr>
          <w:sz w:val="21"/>
        </w:rPr>
        <w:t>- No hepatic lesion &gt;10 cm before the start of treatment, as required by the December 2025 guidance.</w:t>
      </w:r>
    </w:p>
    <w:p w14:paraId="010C8DE4" w14:textId="77777777" w:rsidR="00584615" w:rsidRDefault="00000000">
      <w:r>
        <w:t>- FDG PET-CT within 4 weeks of listing:</w:t>
      </w:r>
    </w:p>
    <w:p w14:paraId="59AC1AF9" w14:textId="77777777" w:rsidR="00584615" w:rsidRDefault="00000000">
      <w:r>
        <w:t>- Metabolic tumour volume (MTV) 70 cm3 or less. This threshold derives from the Oslo group's PET-based prognostic work in transplanted CRLM. It is a prognostic cut-point from observational cohorts, not a validated eligibility rule.</w:t>
      </w:r>
    </w:p>
    <w:p w14:paraId="3A93B6AC" w14:textId="77777777" w:rsidR="00584615" w:rsidRDefault="00000000">
      <w:r>
        <w:t>- Total lesion glycolysis (TLG) 260 g or less, with the same provenance and the same limitation as the MTV threshold above.</w:t>
      </w:r>
    </w:p>
    <w:p w14:paraId="4FD3BF39" w14:textId="77777777" w:rsidR="00584615" w:rsidRDefault="00000000">
      <w:r>
        <w:t>- CEA level ≤80 µg/L (up-trending CEA &gt;80 µg/L is an absolute contraindication; CEA &gt;80 µg/L and down-trending is a relative contraindication)</w:t>
      </w:r>
      <w:r>
        <w:t xml:space="preserve">{Gorji, 2024 #20;Ueberroth, 2025 #41}</w:t>
      </w:r>
    </w:p>
    <w:p w14:paraId="095BC647" w14:textId="77777777" w:rsidR="00584615" w:rsidRDefault="00000000">
      <w:r>
        <w:t>- Largest liver lesion ≤5.5 cm (preferred; &gt;5.5 cm is a relative contraindication)</w:t>
      </w:r>
      <w:r>
        <w:t xml:space="preserve">{Ueberroth, 2025 #41}</w:t>
      </w:r>
    </w:p>
    <w:p w14:paraId="20D239BB" w14:textId="77777777" w:rsidR="00584615" w:rsidRDefault="00000000">
      <w:pPr>
        <w:pStyle w:val="Heading3"/>
      </w:pPr>
      <w:r>
        <w:rPr>
          <w:b w:val="0"/>
          <w:bCs w:val="0"/>
        </w:rPr>
        <w:t>3. Patient Selection — Exclusion Criteria</w:t>
      </w:r>
    </w:p>
    <w:p w14:paraId="3BFD8DA8" w14:textId="77777777" w:rsidR="00584615" w:rsidRDefault="00000000">
      <w:r>
        <w:t>- Any extrahepatic metastatic disease (including peritoneal, pulmonary, or nodal disease)</w:t>
      </w:r>
    </w:p>
    <w:p w14:paraId="09302DE4" w14:textId="77777777" w:rsidR="00584615" w:rsidRDefault="00000000">
      <w:r>
        <w:t>- Disease progression on most recent chemotherapy regimen</w:t>
      </w:r>
    </w:p>
    <w:p w14:paraId="185D3EB9" w14:textId="77777777" w:rsidR="00584615" w:rsidRDefault="00000000">
      <w:r>
        <w:t>- BRAF V600E (absolute). Non-V600E BRAF alterations are not automatically excluded — see the BRAF status criterion in Section 2.3.</w:t>
      </w:r>
    </w:p>
    <w:p w14:paraId="4C3C1034" w14:textId="77777777" w:rsidR="00584615" w:rsidRDefault="00000000">
      <w:r>
        <w:t xml:space="preserve">- </w:t>
      </w:r>
      <w:proofErr w:type="spellStart"/>
      <w:r>
        <w:t>dMMR</w:t>
      </w:r>
      <w:proofErr w:type="spellEnd"/>
      <w:r>
        <w:t>/MSI-H tumors (these patients should be considered for immunotherapy-based approaches)</w:t>
      </w:r>
    </w:p>
    <w:p w14:paraId="3746824B" w14:textId="77777777" w:rsidR="00584615" w:rsidRDefault="00000000">
      <w:r>
        <w:t>- Undifferentiated or signet ring cell histology</w:t>
      </w:r>
    </w:p>
    <w:p w14:paraId="27014433" w14:textId="77777777" w:rsidR="00584615" w:rsidRDefault="00000000">
      <w:r>
        <w:t>- Prior extrahepatic metastases or local recurrence, even if treated</w:t>
      </w:r>
    </w:p>
    <w:p w14:paraId="76A220E8" w14:textId="77777777" w:rsidR="00584615" w:rsidRDefault="00000000">
      <w:r>
        <w:t>- Active alcohol or substance abuse</w:t>
      </w:r>
    </w:p>
    <w:p w14:paraId="44D54FF4" w14:textId="77777777" w:rsidR="00584615" w:rsidRDefault="00000000">
      <w:r>
        <w:t>- Active uncontrolled infection</w:t>
      </w:r>
    </w:p>
    <w:p w14:paraId="46691E3B" w14:textId="77777777" w:rsidR="00584615" w:rsidRDefault="00000000">
      <w:r>
        <w:t>- Other malignancy within 5 years (excluding non-melanoma skin cancer, in situ cervical cancer)</w:t>
      </w:r>
    </w:p>
    <w:p w14:paraId="49B98810" w14:textId="77777777" w:rsidR="00584615" w:rsidRDefault="00000000">
      <w:r>
        <w:t>- Pregnancy</w:t>
      </w:r>
    </w:p>
    <w:p w14:paraId="6DA5A45A" w14:textId="77777777" w:rsidR="00584615" w:rsidRDefault="00000000">
      <w:r>
        <w:t>- General contraindications to liver transplantation per institutional policy</w:t>
      </w:r>
    </w:p>
    <w:p w14:paraId="069F0909" w14:textId="77777777" w:rsidR="00584615" w:rsidRDefault="00000000">
      <w:pPr>
        <w:pStyle w:val="Heading3"/>
      </w:pPr>
      <w:r>
        <w:rPr>
          <w:b w:val="0"/>
          <w:bCs w:val="0"/>
        </w:rPr>
        <w:t>4. Pre-Transplant Evaluation</w:t>
      </w:r>
    </w:p>
    <w:p w14:paraId="1E2A46CF" w14:textId="77777777" w:rsidR="00584615" w:rsidRDefault="00000000">
      <w:r>
        <w:rPr>
          <w:b/>
          <w:bCs/>
        </w:rPr>
        <w:t>4.1 Multidisciplinary Tumor Board Review</w:t>
      </w:r>
    </w:p>
    <w:p w14:paraId="56EB30F0" w14:textId="77777777" w:rsidR="00584615" w:rsidRDefault="00000000">
      <w:r>
        <w:lastRenderedPageBreak/>
        <w:t>All candidates must be reviewed and approved by a multidisciplinary tumor board including:</w:t>
      </w:r>
    </w:p>
    <w:p w14:paraId="17C15ACE" w14:textId="77777777" w:rsidR="00584615" w:rsidRDefault="00000000">
      <w:r>
        <w:t>- Transplant hepatology</w:t>
      </w:r>
    </w:p>
    <w:p w14:paraId="6FC54EB9" w14:textId="77777777" w:rsidR="00584615" w:rsidRDefault="00000000">
      <w:r>
        <w:t>- Transplant surgery</w:t>
      </w:r>
    </w:p>
    <w:p w14:paraId="7F6A10C1" w14:textId="77777777" w:rsidR="00584615" w:rsidRDefault="00000000">
      <w:r>
        <w:t>- Hepatobiliary surgery</w:t>
      </w:r>
    </w:p>
    <w:p w14:paraId="2311BE91" w14:textId="77777777" w:rsidR="00584615" w:rsidRDefault="00000000">
      <w:r>
        <w:t>- Medical oncology (GI)</w:t>
      </w:r>
    </w:p>
    <w:p w14:paraId="7AC87D4A" w14:textId="77777777" w:rsidR="00584615" w:rsidRDefault="00000000">
      <w:r>
        <w:t>- Diagnostic radiology</w:t>
      </w:r>
    </w:p>
    <w:p w14:paraId="787B7E0F" w14:textId="77777777" w:rsidR="00584615" w:rsidRDefault="00000000">
      <w:r>
        <w:t>- Interventional radiology</w:t>
      </w:r>
    </w:p>
    <w:p w14:paraId="34A00128" w14:textId="77777777" w:rsidR="00584615" w:rsidRDefault="00000000">
      <w:r>
        <w:t>- Pathology</w:t>
      </w:r>
    </w:p>
    <w:p w14:paraId="7959312C" w14:textId="77777777" w:rsidR="00584615" w:rsidRDefault="00000000">
      <w:r>
        <w:rPr>
          <w:b/>
          <w:bCs/>
        </w:rPr>
        <w:t>4.2 Oncologic Workup</w:t>
      </w:r>
    </w:p>
    <w:p w14:paraId="6DC0566C" w14:textId="77777777" w:rsidR="00584615" w:rsidRDefault="00000000">
      <w:r>
        <w:t>- Contrast-enhanced CT chest/abdomen/pelvis (within 4 weeks of listing)</w:t>
      </w:r>
    </w:p>
    <w:p w14:paraId="06C06D97" w14:textId="77777777" w:rsidR="00584615" w:rsidRDefault="00000000">
      <w:r>
        <w:t>- FDG PET-CT (within 4 weeks of listing)</w:t>
      </w:r>
    </w:p>
    <w:p w14:paraId="1F38F32E" w14:textId="77777777" w:rsidR="00584615" w:rsidRDefault="00000000">
      <w:r>
        <w:t>- Liver MRI with hepatobiliary contrast agent</w:t>
      </w:r>
    </w:p>
    <w:p w14:paraId="66D5DD76" w14:textId="77777777" w:rsidR="00584615" w:rsidRDefault="00000000">
      <w:r>
        <w:t>- Colonoscopy (within 12 months, confirming no local recurrence)</w:t>
      </w:r>
    </w:p>
    <w:p w14:paraId="359DE916" w14:textId="77777777" w:rsidR="00584615" w:rsidRDefault="00000000">
      <w:r>
        <w:t>- CEA and CA 19-9 levels</w:t>
      </w:r>
    </w:p>
    <w:p w14:paraId="0603B614" w14:textId="77777777" w:rsidR="00584615" w:rsidRDefault="00000000">
      <w:r>
        <w:t>- Comprehensive molecular profiling of tumor (RAS, BRAF, MSI/MMR status, HER2)</w:t>
      </w:r>
    </w:p>
    <w:p w14:paraId="576CE2DF" w14:textId="77777777" w:rsidR="00584615" w:rsidRDefault="00000000">
      <w:r>
        <w:t>- Review of all prior pathology</w:t>
      </w:r>
    </w:p>
    <w:p w14:paraId="07487B67" w14:textId="77777777" w:rsidR="00584615" w:rsidRDefault="00000000">
      <w:r>
        <w:rPr>
          <w:b/>
          <w:bCs/>
        </w:rPr>
        <w:t>4.3 Standard Transplant Evaluation</w:t>
      </w:r>
    </w:p>
    <w:p w14:paraId="02B2D199" w14:textId="77777777" w:rsidR="00584615" w:rsidRDefault="00000000">
      <w:r>
        <w:t>- Per institutional liver transplant evaluation protocol (cardiac, pulmonary, renal, psychosocial, infectious disease screening, etc.)</w:t>
      </w:r>
    </w:p>
    <w:p w14:paraId="211F9062" w14:textId="77777777" w:rsidR="00584615" w:rsidRDefault="00000000">
      <w:pPr>
        <w:pStyle w:val="Heading3"/>
      </w:pPr>
      <w:r>
        <w:rPr>
          <w:b w:val="0"/>
          <w:bCs w:val="0"/>
        </w:rPr>
        <w:t>5. Waitlist Management</w:t>
      </w:r>
    </w:p>
    <w:p w14:paraId="52F2C31D" w14:textId="77777777" w:rsidR="00584615" w:rsidRDefault="00000000">
      <w:r>
        <w:t xml:space="preserve">- Submit a non-standard NLRB request. The December 2025 guidance recommends MMaT-20; if that is below 15, Policy 9.4.E sets the exception score to 15. Approval is not automatic.{Dove, 2026 #2}</w:t>
      </w:r>
    </w:p>
    <w:p w14:paraId="46341344" w14:textId="77777777" w:rsidR="00584615" w:rsidRDefault="00000000">
      <w:r>
        <w:t>- Restaging every 8–12 weeks with:</w:t>
      </w:r>
    </w:p>
    <w:p w14:paraId="56D3E87A" w14:textId="77777777" w:rsidR="00584615" w:rsidRDefault="00000000">
      <w:r>
        <w:t xml:space="preserve">  - CT chest/abdomen/pelvis</w:t>
      </w:r>
    </w:p>
    <w:p w14:paraId="1A8A62D2" w14:textId="77777777" w:rsidR="00584615" w:rsidRDefault="00000000">
      <w:r>
        <w:t xml:space="preserve">  - CEA levels</w:t>
      </w:r>
    </w:p>
    <w:p w14:paraId="49FDC53D" w14:textId="77777777" w:rsidR="00584615" w:rsidRDefault="00000000">
      <w:r>
        <w:t xml:space="preserve">  - PET-CT every 3–6 months while listed</w:t>
      </w:r>
    </w:p>
    <w:p w14:paraId="2784A2C8" w14:textId="77777777" w:rsidR="00584615" w:rsidRDefault="00000000">
      <w:r>
        <w:t>- Bridging chemotherapy may continue while listed; LT should be performed within 2 months of last chemotherapy cycle</w:t>
      </w:r>
      <w:r>
        <w:t xml:space="preserve">{Adam, 2024 #39}</w:t>
      </w:r>
    </w:p>
    <w:p w14:paraId="2665A288" w14:textId="77777777" w:rsidR="00584615" w:rsidRDefault="00000000">
      <w:r>
        <w:t>- Removal and re-listing. PERMANENT EXCLUSION (no re-listing): any extrahepatic metastasis at any time, including treated or resected extrahepatic disease; local recurrence of the primary; hepatic progression beyond the lesion-size or PET thresholds in Section 2.4; up-trending CEA above 80 micrograms/L; or a change in molecular or histologic status that violates Section 2.3.</w:t>
      </w:r>
    </w:p>
    <w:p>
      <w:pPr/>
      <w:r>
        <w:t>- TEMPORARY INACTIVATION with possible reactivation: hepatic progression — defined per the transplant-oncology guidance as a greater than 10% increase in diameter of existing lesions (RECIST 1.1) or any new lesion — without any of the permanent-exclusion features. Reactivation requires re-established objective response documented on two consecutive imaging studies at least 8 weeks apart, unchanged compliance with all Section 2 criteria, and fresh selection-committee and MDT approval. The 12-month observation clock is not restarted.</w:t>
      </w:r>
    </w:p>
    <w:p>
      <w:pPr/>
      <w:r>
        <w:t>- Every removal and every reactivation is recorded with its category and the supporting evidence.</w:t>
      </w:r>
    </w:p>
    <w:p w14:paraId="24190703" w14:textId="77777777" w:rsidR="00584615" w:rsidRDefault="00000000">
      <w:pPr>
        <w:pStyle w:val="Heading3"/>
      </w:pPr>
      <w:r>
        <w:rPr>
          <w:b w:val="0"/>
          <w:bCs w:val="0"/>
        </w:rPr>
        <w:t>6. Surgical Procedure</w:t>
      </w:r>
    </w:p>
    <w:p w14:paraId="6F2EBC21" w14:textId="77777777" w:rsidR="00584615" w:rsidRDefault="00000000">
      <w:r>
        <w:t>- Whole cadaveric liver graft with conventional orthotopic transplantation technique</w:t>
      </w:r>
      <w:r>
        <w:t xml:space="preserve">{Adam, 2024 #39}</w:t>
      </w:r>
    </w:p>
    <w:p w14:paraId="6EF4271C" w14:textId="77777777" w:rsidR="00584615" w:rsidRDefault="00000000">
      <w:r>
        <w:t>- Complete abdominal exploration at laparotomy with frozen section of any suspicious lymph nodes</w:t>
      </w:r>
      <w:r>
        <w:t xml:space="preserve">{Adam, 2024 #42}</w:t>
      </w:r>
    </w:p>
    <w:p w14:paraId="278D5762" w14:textId="77777777" w:rsidR="00584615" w:rsidRDefault="00000000">
      <w:r>
        <w:t>- If extrahepatic disease is identified at exploration, transplant is aborted</w:t>
      </w:r>
    </w:p>
    <w:p w14:paraId="745E07F7" w14:textId="77777777" w:rsidR="00584615" w:rsidRDefault="00000000">
      <w:r>
        <w:t>- Portal lymphadenectomy should be performed and sent for pathologic evaluation</w:t>
      </w:r>
      <w:r>
        <w:t xml:space="preserve">{Lee, 2026 #43}</w:t>
      </w:r>
    </w:p>
    <w:p w14:paraId="566485DE" w14:textId="77777777" w:rsidR="00584615" w:rsidRDefault="00000000">
      <w:pPr>
        <w:pStyle w:val="Heading3"/>
      </w:pPr>
      <w:r>
        <w:rPr>
          <w:b w:val="0"/>
          <w:bCs w:val="0"/>
        </w:rPr>
        <w:t>7. Post-Transplant Immunosuppression</w:t>
      </w:r>
    </w:p>
    <w:p w14:paraId="69706824" w14:textId="77777777" w:rsidR="00584615" w:rsidRDefault="00000000">
      <w:r>
        <w:t xml:space="preserve">Based on the </w:t>
      </w:r>
      <w:proofErr w:type="spellStart"/>
      <w:r>
        <w:t>TransMet</w:t>
      </w:r>
      <w:proofErr w:type="spellEnd"/>
      <w:r>
        <w:t xml:space="preserve"> protocol:</w:t>
      </w:r>
      <w:r>
        <w:t xml:space="preserve">{Adam, 2024 #39}</w:t>
      </w:r>
    </w:p>
    <w:p w14:paraId="18582CC2" w14:textId="77777777" w:rsidR="00584615" w:rsidRDefault="00000000">
      <w:r>
        <w:rPr>
          <w:b/>
          <w:bCs/>
        </w:rPr>
        <w:t>Induction (Day 0):</w:t>
      </w:r>
    </w:p>
    <w:p w14:paraId="09B9D5BD" w14:textId="77777777" w:rsidR="00584615" w:rsidRDefault="00000000">
      <w:r>
        <w:t>- Methylprednisolone 10 mg/kg IV</w:t>
      </w:r>
    </w:p>
    <w:p w14:paraId="39495D2C" w14:textId="77777777" w:rsidR="00584615" w:rsidRDefault="00000000">
      <w:r>
        <w:rPr>
          <w:b/>
          <w:bCs/>
        </w:rPr>
        <w:t>Maintenance:</w:t>
      </w:r>
    </w:p>
    <w:p w14:paraId="4E882C96" w14:textId="77777777" w:rsidR="00584615" w:rsidRDefault="00000000">
      <w:r>
        <w:t>- Tacrolimus 0.1 mg/kg via gastric tube on Day 0; target trough 6–10 ng/mL for first 14 days</w:t>
      </w:r>
    </w:p>
    <w:p w14:paraId="59235AE5" w14:textId="77777777" w:rsidR="00584615" w:rsidRDefault="00000000">
      <w:r>
        <w:t>- Mycophenolate mofetil 10 mg/kg IV from Day 0 until under 2 months post-transplant, per the TransMet trial regimen. These are trial-derived doses, not institutional standing orders, and must be reviewed by transplant pharmacy before use. Any deviation from the trial regimen must be documented with its rationale, because the outcome data in Sections 1 and 10 apply to the regimen as administered in the trial.</w:t>
      </w:r>
    </w:p>
    <w:p w14:paraId="3C62EC51" w14:textId="77777777" w:rsidR="00584615" w:rsidRDefault="00000000">
      <w:r>
        <w:t>- Within 2 months post-LT: switch MMF to everolimus, target trough 5–8 ng/mL</w:t>
      </w:r>
      <w:r>
        <w:t xml:space="preserve">{Adam, 2024 #39;Bonney, 2021 #44}</w:t>
      </w:r>
    </w:p>
    <w:p w14:paraId="3A10B332" w14:textId="77777777" w:rsidR="00584615" w:rsidRDefault="00000000">
      <w:r>
        <w:t>- After everolimus introduction: reduce tacrolimus target trough to 3–5 ng/mL</w:t>
      </w:r>
      <w:r>
        <w:t xml:space="preserve">{Adam, 2024 #39}</w:t>
      </w:r>
    </w:p>
    <w:p w14:paraId="2DB761DA" w14:textId="77777777" w:rsidR="00584615" w:rsidRDefault="00000000">
      <w:r>
        <w:t>- Taper steroids over first 3–6 months</w:t>
      </w:r>
      <w:r>
        <w:t xml:space="preserve">{Adam, 2024 #39}</w:t>
      </w:r>
    </w:p>
    <w:p w14:paraId="6F31B61E" w14:textId="77777777" w:rsidR="00584615" w:rsidRDefault="00000000">
      <w:r>
        <w:rPr>
          <w:b/>
          <w:bCs/>
        </w:rPr>
        <w:t>Rationale for mTOR Inhibitor Use:</w:t>
      </w:r>
    </w:p>
    <w:p w14:paraId="61249981" w14:textId="77777777" w:rsidR="00584615" w:rsidRDefault="00000000">
      <w:r>
        <w:t>mTOR inhibitors (everolimus) are preferred over calcineurin inhibitor monotherapy due to potential anti-tumor properties and reduced risk of malignancy recurrence, extrapolated from HCC data.</w:t>
      </w:r>
      <w:r>
        <w:t xml:space="preserve">{Bonney, 2021 #44;Te, 2026 #11}</w:t>
      </w:r>
    </w:p>
    <w:p w14:paraId="5421C666" w14:textId="77777777" w:rsidR="00584615" w:rsidRDefault="00000000">
      <w:pPr>
        <w:pStyle w:val="Heading3"/>
      </w:pPr>
      <w:r>
        <w:rPr>
          <w:b w:val="0"/>
          <w:bCs w:val="0"/>
        </w:rPr>
        <w:t>8. Post-Transplant Adjuvant Chemotherapy</w:t>
      </w:r>
    </w:p>
    <w:p w14:paraId="2EC51D68" w14:textId="77777777" w:rsidR="00584615" w:rsidRDefault="00000000">
      <w:r>
        <w:t xml:space="preserve">{Adam, 2024 #39}</w:t>
      </w:r>
      <w:r>
        <w:t xml:space="preserve">- Routine post-transplant systemic chemotherapy is not an established standard and is not recommended by the IHPBA LT-CoMet 21 consensus. Consider it only case-by-case or within a prospective protocol after graft recovery and multidisciplinary review.{Adam, 2024 #39;Bonney, 2021 #44}</w:t>
      </w:r>
    </w:p>
    <w:p w14:paraId="5B05FD44" w14:textId="77777777" w:rsidR="00584615" w:rsidRDefault="00000000">
      <w:r>
        <w:t>- Any treatment decision requires joint medical-oncology, transplant-surgery, hepatology, and transplant-pharmacy review; the absence of proven overall-survival benefit must be documented.</w:t>
      </w:r>
    </w:p>
    <w:p w14:paraId="0FD1F56B" w14:textId="77777777" w:rsidR="00584615" w:rsidRDefault="00000000">
      <w:r>
        <w:t>- If investigational adjuvant therapy is selected, timing must depend on graft function, wound healing, infection status, marrow recovery, and immunosuppressant interactions.</w:t>
      </w:r>
    </w:p>
    <w:p w14:paraId="04C0C9F0" w14:textId="77777777" w:rsidR="00584615" w:rsidRDefault="00000000">
      <w:r>
        <w:t>- Duration is not evidence-defined after LT and must be specified by the approved protocol.</w:t>
      </w:r>
    </w:p>
    <w:p w14:paraId="730FBB46" w14:textId="77777777" w:rsidR="00584615" w:rsidRDefault="00000000">
      <w:r>
        <w:t>- Note: The IHPBA LT-</w:t>
      </w:r>
      <w:proofErr w:type="spellStart"/>
      <w:r>
        <w:t>CoMet</w:t>
      </w:r>
      <w:proofErr w:type="spellEnd"/>
      <w:r>
        <w:t xml:space="preserve"> 21 guidelines do not recommend routine adjuvant chemotherapy given the absence of proven OS benefit and risk of chemotoxicity in immunosuppressed patients</w:t>
      </w:r>
      <w:r>
        <w:t xml:space="preserve">{Bonney, 2021 #44}</w:t>
      </w:r>
    </w:p>
    <w:p w14:paraId="3D906A62" w14:textId="77777777" w:rsidR="00584615" w:rsidRDefault="00000000">
      <w:pPr>
        <w:pStyle w:val="Heading3"/>
      </w:pPr>
      <w:r>
        <w:rPr>
          <w:b w:val="0"/>
          <w:bCs w:val="0"/>
        </w:rPr>
        <w:t>9. Post-Transplant Surveillance</w:t>
      </w:r>
    </w:p>
    <w:p w14:paraId="684E187A" w14:textId="77777777" w:rsidR="00584615" w:rsidRDefault="00000000">
      <w:r>
        <w:rPr>
          <w:b/>
          <w:bCs/>
        </w:rPr>
        <w:t>Oncologic Surveillance:</w:t>
      </w:r>
      <w:r>
        <w:t xml:space="preserve">{Adam, 2024 #39}</w:t>
      </w:r>
    </w:p>
    <w:p w14:paraId="170DE939" w14:textId="77777777" w:rsidR="00584615" w:rsidRDefault="00000000">
      <w:r>
        <w:t>- CT chest/abdomen/pelvis + tumor markers (CEA) every 3 months for years 1–2</w:t>
      </w:r>
    </w:p>
    <w:p w14:paraId="0BB8EE93" w14:textId="77777777" w:rsidR="00584615" w:rsidRDefault="00000000">
      <w:r>
        <w:t>- CT chest/abdomen/pelvis + tumor markers every 6 months for years 3–5</w:t>
      </w:r>
    </w:p>
    <w:p w14:paraId="50A54016" w14:textId="77777777" w:rsidR="00584615" w:rsidRDefault="00000000">
      <w:r>
        <w:t>- PET-CT at 6, 12, 24 months, then annually through year 5</w:t>
      </w:r>
    </w:p>
    <w:p w14:paraId="6E987F28" w14:textId="77777777" w:rsidR="00584615" w:rsidRDefault="00000000">
      <w:r>
        <w:t xml:space="preserve">- Colonoscopy at </w:t>
      </w:r>
      <w:proofErr w:type="gramStart"/>
      <w:r>
        <w:t>1 year</w:t>
      </w:r>
      <w:proofErr w:type="gramEnd"/>
      <w:r>
        <w:t xml:space="preserve"> post-LT, then per standard CRC surveillance guidelines</w:t>
      </w:r>
    </w:p>
    <w:p w14:paraId="6B530256" w14:textId="77777777" w:rsidR="00584615" w:rsidRDefault="00000000">
      <w:r>
        <w:rPr>
          <w:b/>
          <w:bCs/>
        </w:rPr>
        <w:t>Transplant Surveillance:</w:t>
      </w:r>
    </w:p>
    <w:p w14:paraId="6A8D9127" w14:textId="77777777" w:rsidR="00584615" w:rsidRDefault="00000000">
      <w:r>
        <w:t>- Per institutional liver transplant follow-up protocol (liver function tests, immunosuppression drug levels, renal function, metabolic monitoring)</w:t>
      </w:r>
    </w:p>
    <w:p w14:paraId="5406855F" w14:textId="77777777" w:rsidR="00584615" w:rsidRDefault="00000000">
      <w:pPr>
        <w:pStyle w:val="Heading3"/>
      </w:pPr>
      <w:r>
        <w:rPr>
          <w:b w:val="0"/>
          <w:bCs w:val="0"/>
        </w:rPr>
        <w:t>10. Management of Recurrence</w:t>
      </w:r>
    </w:p>
    <w:p w14:paraId="19375F30" w14:textId="77777777" w:rsidR="00584615" w:rsidRDefault="00000000">
      <w:r>
        <w:t>- Recurrence is common (~50–74%), predominantly pulmonary</w:t>
      </w:r>
      <w:r>
        <w:t xml:space="preserve">{Adam, 2024 #39}</w:t>
      </w:r>
    </w:p>
    <w:p w14:paraId="7C4B6776" w14:textId="77777777" w:rsidR="00584615" w:rsidRDefault="00000000">
      <w:r>
        <w:t>- Small, slow-growing pulmonary metastases may be observed until amenable to curative resection</w:t>
      </w:r>
      <w:r>
        <w:t xml:space="preserve">{Bonney, 2021 #44}</w:t>
      </w:r>
    </w:p>
    <w:p w14:paraId="73CD0E74" w14:textId="77777777" w:rsidR="00584615" w:rsidRDefault="00000000">
      <w:r>
        <w:t xml:space="preserve">- Isolated extrahepatic recurrence, most commonly pulmonary, may reasonably be managed with metastasectomy or ablation when technically feasible and when the recurrence is solitary or oligometastatic and slow-growing. This is consensus opinion based on observational series, not a strong recommendation: no controlled data establish a survival benefit for aggressive local therapy of post-transplant recurrence in this population. Decisions require MDT review with explicit consideration of immunosuppression burden.{Bonney, 2021 #44}</w:t>
      </w:r>
    </w:p>
    <w:p w14:paraId="1CB06A42" w14:textId="77777777" w:rsidR="00584615" w:rsidRDefault="00000000">
      <w:r>
        <w:t>- Systemic therapy for unresectable recurrence per standard mCRC guidelines</w:t>
      </w:r>
    </w:p>
    <w:p w14:paraId="36E93208" w14:textId="77777777" w:rsidR="00584615" w:rsidRDefault="00000000">
      <w:r>
        <w:t>- Immunosuppression adjustment in consultation with transplant team</w:t>
      </w:r>
    </w:p>
    <w:p w14:paraId="2B311E65" w14:textId="77777777" w:rsidR="00584615" w:rsidRDefault="00000000">
      <w:r>
        <w:t>---</w:t>
      </w:r>
    </w:p>
    <w:p>
      <w:pPr>
        <w:pStyle w:val="Heading1"/>
      </w:pPr>
      <w:r>
        <w:t>V2 Revision Note (historical — superseded by the V3 Revision Log at the end of this document; retained as the change record for the V2 revision)</w:t>
      </w:r>
    </w:p>
    <w:p>
      <w:r>
        <w:rPr>
          <w:b/>
        </w:rPr>
        <w:t xml:space="preserve">Revision timestamp: </w:t>
      </w:r>
      <w:r>
        <w:t>2026-07-23 17:53:12 CDT</w:t>
      </w:r>
    </w:p>
    <w:p>
      <w:pPr>
        <w:pStyle w:val="ListParagraph"/>
      </w:pPr>
      <w:r>
        <w:t>Resolved the internal contradiction about post-LT chemotherapy.</w:t>
      </w:r>
    </w:p>
    <w:p>
      <w:pPr>
        <w:pStyle w:val="ListParagraph"/>
      </w:pPr>
      <w:r>
        <w:t>Adopted the consensus default of no routine adjuvant chemotherapy, with case-by-case/protocol exceptions.</w:t>
      </w:r>
    </w:p>
    <w:p>
      <w:r>
        <w:rPr>
          <w:b/>
        </w:rPr>
        <w:t xml:space="preserve">Problem: </w:t>
      </w:r>
      <w:r>
        <w:t>The original document was internally contradictory: it recommended post-LT chemotherapy while also stating that consensus guidance does not recommend routine adjuvant treatment because benefit is unproven and toxicity is a concern.</w:t>
      </w:r>
    </w:p>
    <w:p>
      <w:pPr/>
      <w:r>
        <w:rPr>
          <w:b/>
        </w:rPr>
        <w:t xml:space="preserve">Recommended correction: </w:t>
      </w:r>
      <w:r>
        <w:t>Use no routine post-LT adjuvant chemotherapy as the default. Allow treatment only after individualized multidisciplinary review or within a prospective protocol.</w:t>
      </w:r>
    </w:p>
    <w:p>
      <w:pPr>
        <w:pStyle w:val="Heading1"/>
      </w:pPr>
      <w:r>
        <w:t>V3 Revision Log</w:t>
      </w:r>
    </w:p>
    <w:p>
      <w:pPr/>
      <w:r>
        <w:t>V-1 Brought the document's internal version markers into line with the filename: the title now reads V3, and the historical V2 Revision Note heading is labelled as superseded.</w:t>
      </w:r>
    </w:p>
    <w:p>
      <w:pPr/>
      <w:r>
        <w:t>4.1 SAFETY: corrected the mycophenolate dose from 1 g IV twice daily to the TransMet dose of 10 mg/kg IV; the prior figure was approximately double and was attributed to the trial.</w:t>
      </w:r>
    </w:p>
    <w:p>
      <w:pPr/>
      <w:r>
        <w:t>4.2 Corrected the chemotherapy-exposure criterion to the trial standard (objective response over at least 3 months, at most 3 lines) and separated the 12-month guidance interval.</w:t>
      </w:r>
    </w:p>
    <w:p>
      <w:pPr/>
      <w:r>
        <w:t>4.3 Resolved the contradiction between permanent exclusion of prior extrahepatic disease and the re-listing allowance, and defined removal categories.</w:t>
      </w:r>
    </w:p>
    <w:p>
      <w:pPr/>
      <w:r>
        <w:t>4.4 Narrowed the BRAF exclusion to V600E with case-by-case review of non-V600E alterations. VERIFY the guidance wording.</w:t>
      </w:r>
    </w:p>
    <w:p>
      <w:pPr/>
      <w:r>
        <w:t>4.5 Downgraded aggressive management of extrahepatic recurrence to consensus-tier language.</w:t>
      </w:r>
    </w:p>
    <w:p>
      <w:pPr/>
      <w:r>
        <w:t>4.6 Corrected the provenance of the MTV and TLG thresholds.</w:t>
      </w:r>
    </w:p>
    <w:p>
      <w:pPr/>
      <w:r>
        <w:t>4.7 Adopted the guidance definition of progression.</w:t>
      </w:r>
    </w:p>
    <w:p>
      <w:pPr/>
      <w:r>
        <w:t>Revision method: substantive clinical, policy, evidence-quality, safety and eligibility corrections only. Formatting was not altered. All changes are Word tracked changes and can be accepted or rejected individually. Items marked VERIFY remain unresolved against retrievable official text and require human confirmation against the live OPTN posting before adoption.</w:t>
      </w:r>
    </w:p>
    <w:p w14:paraId="5C0F7103" w14:textId="77777777" w:rsidR="00584615" w:rsidRDefault="00000000">
      <w:pPr>
        <w:pStyle w:val="Heading1"/>
      </w:pPr>
      <w:r>
        <w:t>References</w:t>
      </w:r>
    </w:p>
    <w:p w14:paraId="576F6445" w14:textId="77777777" w:rsidR="00584615" w:rsidRDefault="00000000">
      <w:pPr>
        <w:pStyle w:val="ListParagraph"/>
        <w:numPr>
          <w:ilvl w:val="0"/>
          <w:numId w:val="2"/>
        </w:numPr>
      </w:pPr>
      <w:r>
        <w:fldChar w:fldCharType="begin"/>
      </w:r>
      <w:r>
        <w:instrText>HYPERLINK "https://pubmed.ncbi.nlm.nih.gov/39306468"</w:instrText>
      </w:r>
      <w:r>
        <w:fldChar w:fldCharType="separate"/>
      </w:r>
      <w:r>
        <w:rPr>
          <w:rStyle w:val="Hyperlink"/>
        </w:rPr>
        <w:t>Liver Transplantation Plus Chemotherapy Versus Chemotherapy Alone in Patients With Permanently Unresectable Colorectal Liver Metastases (TransMet): Results From a Multicentre, Open-Label, Prospective, Randomised Controlled Trial.</w:t>
      </w:r>
      <w:r>
        <w:fldChar w:fldCharType="end"/>
      </w:r>
      <w:r>
        <w:t xml:space="preserve"> Adam R, </w:t>
      </w:r>
      <w:proofErr w:type="spellStart"/>
      <w:r>
        <w:lastRenderedPageBreak/>
        <w:t>Piedvache</w:t>
      </w:r>
      <w:proofErr w:type="spellEnd"/>
      <w:r>
        <w:t xml:space="preserve"> C, Chiche L, et al. Lancet (London, England). 2024;404(10458):1107-1118. doi:10.1016/S0140-6736(24)01595-2.</w:t>
      </w:r>
      <w:bookmarkEnd w:id="0"/>
    </w:p>
    <w:p w14:paraId="67669649" w14:textId="77777777" w:rsidR="00584615" w:rsidRDefault="00000000">
      <w:pPr>
        <w:pStyle w:val="ListParagraph"/>
        <w:numPr>
          <w:ilvl w:val="0"/>
          <w:numId w:val="2"/>
        </w:numPr>
      </w:pPr>
      <w:r>
        <w:fldChar w:fldCharType="begin"/>
      </w:r>
      <w:r>
        <w:instrText>HYPERLINK "https://pubmed.ncbi.nlm.nih.gov/31188200"</w:instrText>
      </w:r>
      <w:r>
        <w:fldChar w:fldCharType="separate"/>
      </w:r>
      <w:r>
        <w:rPr>
          <w:rStyle w:val="Hyperlink"/>
        </w:rPr>
        <w:t>Survival Following Liver Transplantation for Patients With Nonresectable Liver-Only Colorectal Metastases.</w:t>
      </w:r>
      <w:r>
        <w:fldChar w:fldCharType="end"/>
      </w:r>
      <w:r>
        <w:t xml:space="preserve"> </w:t>
      </w:r>
      <w:proofErr w:type="spellStart"/>
      <w:r>
        <w:t>Dueland</w:t>
      </w:r>
      <w:proofErr w:type="spellEnd"/>
      <w:r>
        <w:t xml:space="preserve"> S, </w:t>
      </w:r>
      <w:proofErr w:type="spellStart"/>
      <w:r>
        <w:t>Syversveen</w:t>
      </w:r>
      <w:proofErr w:type="spellEnd"/>
      <w:r>
        <w:t xml:space="preserve"> T, Solheim JM, et al. Annals of Surgery. 2020;271(2):212-218. doi:10.1097/SLA.0000000000003404.</w:t>
      </w:r>
      <w:bookmarkEnd w:id="1"/>
    </w:p>
    <w:p w14:paraId="65A06BF3" w14:textId="77777777" w:rsidR="00584615" w:rsidRDefault="00000000">
      <w:pPr>
        <w:pStyle w:val="ListParagraph"/>
        <w:numPr>
          <w:ilvl w:val="0"/>
          <w:numId w:val="2"/>
        </w:numPr>
      </w:pPr>
      <w:r>
        <w:fldChar w:fldCharType="begin"/>
      </w:r>
      <w:r>
        <w:instrText>HYPERLINK "https://jamanetwork.com/journals/jamasurgery/fullarticle/10.1001/jamasurg.2023.6083?utm_source=openevidence&amp;utm_medium=referral"</w:instrText>
      </w:r>
      <w:r>
        <w:fldChar w:fldCharType="separate"/>
      </w:r>
      <w:r>
        <w:rPr>
          <w:rStyle w:val="Hyperlink"/>
        </w:rPr>
        <w:t>Liver Transplant as a Treatment of Primary and Secondary Liver Neoplasms.</w:t>
      </w:r>
      <w:r>
        <w:fldChar w:fldCharType="end"/>
      </w:r>
      <w:r>
        <w:t xml:space="preserve"> Gorji L, Brown ZJ, Limkemann A, Schenk AD, Pawlik TM. JAMA Surgery. 2024;159(2):211-218. doi:10.1001/jamasurg.2023.6083.</w:t>
      </w:r>
      <w:bookmarkEnd w:id="2"/>
    </w:p>
    <w:p w14:paraId="565A25AA" w14:textId="77777777" w:rsidR="00584615" w:rsidRDefault="00000000">
      <w:pPr>
        <w:pStyle w:val="ListParagraph"/>
        <w:numPr>
          <w:ilvl w:val="0"/>
          <w:numId w:val="2"/>
        </w:numPr>
      </w:pPr>
      <w:r>
        <w:fldChar w:fldCharType="begin"/>
      </w:r>
      <w:r>
        <w:instrText>HYPERLINK "https://doi.org/10.1097/HEP.0000000000001644"</w:instrText>
      </w:r>
      <w:r>
        <w:fldChar w:fldCharType="separate"/>
      </w:r>
      <w:r>
        <w:rPr>
          <w:rStyle w:val="Hyperlink"/>
        </w:rPr>
        <w:t>AASLD AST Practice Guideline on Adult Liver Transplantation: Candidate Evaluation.</w:t>
      </w:r>
      <w:r>
        <w:fldChar w:fldCharType="end"/>
      </w:r>
      <w:r>
        <w:t xml:space="preserve"> Dove L, Chadha RM, Lai JC, et al. Hepatology (Baltimore, Md.). </w:t>
      </w:r>
      <w:proofErr w:type="gramStart"/>
      <w:r>
        <w:t>2025;:</w:t>
      </w:r>
      <w:proofErr w:type="gramEnd"/>
      <w:r>
        <w:t>01515467-990000000-01508. doi:10.1097/HEP.0000000000001644.</w:t>
      </w:r>
      <w:bookmarkEnd w:id="3"/>
    </w:p>
    <w:p w14:paraId="5B63C32C" w14:textId="77777777" w:rsidR="00584615" w:rsidRDefault="00000000">
      <w:pPr>
        <w:pStyle w:val="ListParagraph"/>
        <w:numPr>
          <w:ilvl w:val="0"/>
          <w:numId w:val="2"/>
        </w:numPr>
      </w:pPr>
      <w:r>
        <w:fldChar w:fldCharType="begin"/>
      </w:r>
      <w:r>
        <w:instrText>HYPERLINK "https://pubmed.ncbi.nlm.nih.gov/39834127"</w:instrText>
      </w:r>
      <w:r>
        <w:fldChar w:fldCharType="separate"/>
      </w:r>
      <w:r>
        <w:rPr>
          <w:rStyle w:val="Hyperlink"/>
        </w:rPr>
        <w:t>Liver Transplantation for Colorectal Cancer With Liver Metastases.</w:t>
      </w:r>
      <w:r>
        <w:fldChar w:fldCharType="end"/>
      </w:r>
      <w:r>
        <w:t xml:space="preserve"> Ueberroth BE, Kriss M, Burton JR, Messersmith WA. The Oncologist. 2025;30(1</w:t>
      </w:r>
      <w:proofErr w:type="gramStart"/>
      <w:r>
        <w:t>):oyae</w:t>
      </w:r>
      <w:proofErr w:type="gramEnd"/>
      <w:r>
        <w:t>367. doi:10.1093/</w:t>
      </w:r>
      <w:proofErr w:type="spellStart"/>
      <w:r>
        <w:t>oncolo</w:t>
      </w:r>
      <w:proofErr w:type="spellEnd"/>
      <w:r>
        <w:t>/oyae367.</w:t>
      </w:r>
      <w:bookmarkEnd w:id="4"/>
    </w:p>
    <w:p w14:paraId="1D4355B7" w14:textId="77777777" w:rsidR="00584615" w:rsidRDefault="00000000">
      <w:pPr>
        <w:pStyle w:val="ListParagraph"/>
        <w:numPr>
          <w:ilvl w:val="0"/>
          <w:numId w:val="2"/>
        </w:numPr>
      </w:pPr>
      <w:r>
        <w:fldChar w:fldCharType="begin"/>
      </w:r>
      <w:r>
        <w:instrText>HYPERLINK "https://pubmed.ncbi.nlm.nih.gov/38721015"</w:instrText>
      </w:r>
      <w:r>
        <w:fldChar w:fldCharType="separate"/>
      </w:r>
      <w:r>
        <w:rPr>
          <w:rStyle w:val="Hyperlink"/>
        </w:rPr>
        <w:t>Safety and Feasibility of Chemotherapy Followed by Liver Transplantation for Patients With Definitely Unresectable Colorectal Liver Metastases: Insights From the TransMet Randomised Clinical Trial.</w:t>
      </w:r>
      <w:r>
        <w:fldChar w:fldCharType="end"/>
      </w:r>
      <w:r>
        <w:t xml:space="preserve"> Adam R, </w:t>
      </w:r>
      <w:proofErr w:type="spellStart"/>
      <w:r>
        <w:t>Badrudin</w:t>
      </w:r>
      <w:proofErr w:type="spellEnd"/>
      <w:r>
        <w:t xml:space="preserve"> D, Chiche L, et al. </w:t>
      </w:r>
      <w:proofErr w:type="spellStart"/>
      <w:r>
        <w:t>EClinicalMedicine</w:t>
      </w:r>
      <w:proofErr w:type="spellEnd"/>
      <w:r>
        <w:t xml:space="preserve">. </w:t>
      </w:r>
      <w:proofErr w:type="gramStart"/>
      <w:r>
        <w:t>2024;72:102608</w:t>
      </w:r>
      <w:proofErr w:type="gramEnd"/>
      <w:r>
        <w:t xml:space="preserve">. </w:t>
      </w:r>
      <w:proofErr w:type="gramStart"/>
      <w:r>
        <w:t>doi:10.1016/j.eclinm</w:t>
      </w:r>
      <w:proofErr w:type="gramEnd"/>
      <w:r>
        <w:t>.2024.102608.</w:t>
      </w:r>
      <w:bookmarkEnd w:id="5"/>
    </w:p>
    <w:p w14:paraId="3B3C0215" w14:textId="77777777" w:rsidR="00584615" w:rsidRDefault="00000000">
      <w:pPr>
        <w:pStyle w:val="ListParagraph"/>
        <w:numPr>
          <w:ilvl w:val="0"/>
          <w:numId w:val="2"/>
        </w:numPr>
      </w:pPr>
      <w:hyperlink r:id="rId5" w:history="1">
        <w:r>
          <w:rPr>
            <w:rStyle w:val="Hyperlink"/>
          </w:rPr>
          <w:t>Liver transplantation (LT) in liver limited metastatic colorectal cancer (CRC): Insights and opportunities.</w:t>
        </w:r>
      </w:hyperlink>
      <w:r>
        <w:t xml:space="preserve"> Lee J, Rocca J, </w:t>
      </w:r>
      <w:proofErr w:type="spellStart"/>
      <w:r>
        <w:t>Samstein</w:t>
      </w:r>
      <w:proofErr w:type="spellEnd"/>
      <w:r>
        <w:t xml:space="preserve"> B, et al. Journal of Clinical Oncology. 2026;44(Suppl 16):3608. </w:t>
      </w:r>
      <w:proofErr w:type="gramStart"/>
      <w:r>
        <w:t>doi:10.1200/JCO.2026.44.16_suppl</w:t>
      </w:r>
      <w:proofErr w:type="gramEnd"/>
      <w:r>
        <w:t>.3608.</w:t>
      </w:r>
    </w:p>
    <w:p w14:paraId="0828A6BD" w14:textId="77777777" w:rsidR="00584615" w:rsidRDefault="00000000">
      <w:pPr>
        <w:pStyle w:val="ListParagraph"/>
        <w:numPr>
          <w:ilvl w:val="0"/>
          <w:numId w:val="2"/>
        </w:numPr>
      </w:pPr>
      <w:r>
        <w:fldChar w:fldCharType="begin"/>
      </w:r>
      <w:r>
        <w:instrText>HYPERLINK "https://pubmed.ncbi.nlm.nih.gov/34506756"</w:instrText>
      </w:r>
      <w:r>
        <w:fldChar w:fldCharType="separate"/>
      </w:r>
      <w:r>
        <w:rPr>
          <w:rStyle w:val="Hyperlink"/>
        </w:rPr>
        <w:t>Liver Transplantation for Non-Resectable Colorectal Liver Metastases: The International Hepato-Pancreato-Biliary Association Consensus Guidelines.</w:t>
      </w:r>
      <w:r>
        <w:fldChar w:fldCharType="end"/>
      </w:r>
      <w:r>
        <w:t xml:space="preserve"> Bonney GK, Chew CA, Lodge P, et al. The Lancet. Gastroenterology &amp; Hepatology. 2021;6(11):933-946. doi:10.1016/S2468-1253(21)00219-3.</w:t>
      </w:r>
      <w:bookmarkEnd w:id="6"/>
    </w:p>
    <w:p w14:paraId="1A91629A" w14:textId="77777777" w:rsidR="00584615" w:rsidRDefault="00000000">
      <w:pPr>
        <w:pStyle w:val="ListParagraph"/>
        <w:numPr>
          <w:ilvl w:val="0"/>
          <w:numId w:val="2"/>
        </w:numPr>
      </w:pPr>
      <w:r>
        <w:fldChar w:fldCharType="begin"/>
      </w:r>
      <w:r>
        <w:instrText>HYPERLINK "https://doi.org/10.1097/LVT.0000000000000715"</w:instrText>
      </w:r>
      <w:r>
        <w:fldChar w:fldCharType="separate"/>
      </w:r>
      <w:r>
        <w:rPr>
          <w:rStyle w:val="Hyperlink"/>
        </w:rPr>
        <w:t>AASLD AST Practice Guideline on Adult Liver Transplantation: Diagnosis and Management of Graft-Related Complications.</w:t>
      </w:r>
      <w:r>
        <w:fldChar w:fldCharType="end"/>
      </w:r>
      <w:r>
        <w:t xml:space="preserve"> </w:t>
      </w:r>
      <w:proofErr w:type="spellStart"/>
      <w:r>
        <w:t>Te</w:t>
      </w:r>
      <w:proofErr w:type="spellEnd"/>
      <w:r>
        <w:t xml:space="preserve"> HS, Agopian VG, Demetris AJ, et al. Liver </w:t>
      </w:r>
      <w:proofErr w:type="gramStart"/>
      <w:r>
        <w:t>Transplantation :</w:t>
      </w:r>
      <w:proofErr w:type="gramEnd"/>
      <w:r>
        <w:t xml:space="preserve"> Official Publication of the American Association for the Study of Liver Diseases and the International Liver Transplantation Society. 2026;32(3):444-490. doi:10.1097/LVT.0000000000000715.</w:t>
      </w:r>
      <w:bookmarkEnd w:id="7"/>
    </w:p>
    <w:p w14:paraId="56805B6D" w14:textId="77777777" w:rsidR="00584615" w:rsidRDefault="00000000">
      <w:pPr>
        <w:pStyle w:val="ListParagraph"/>
        <w:numPr>
          <w:ilvl w:val="0"/>
          <w:numId w:val="2"/>
        </w:numPr>
      </w:pPr>
      <w:r>
        <w:fldChar w:fldCharType="begin"/>
      </w:r>
      <w:r>
        <w:instrText>HYPERLINK "https://meetings.asco.org/abstracts-presentations/267859"</w:instrText>
      </w:r>
      <w:r>
        <w:fldChar w:fldCharType="separate"/>
      </w:r>
      <w:r>
        <w:rPr>
          <w:rStyle w:val="Hyperlink"/>
        </w:rPr>
        <w:t>Multimodality neoadjuvant downstaging therapy before liver transplantation for colorectal liver metastasis: Real-world data from the Cleveland Clinic.</w:t>
      </w:r>
      <w:r>
        <w:fldChar w:fldCharType="end"/>
      </w:r>
      <w:r>
        <w:t xml:space="preserve"> Khalil M, Wehrle C, Ahmed A, et al. Journal of Clinical Oncology. 2026;44(Suppl 16):3594. </w:t>
      </w:r>
      <w:proofErr w:type="gramStart"/>
      <w:r>
        <w:t>doi:10.1200/JCO.2026.44.16_suppl</w:t>
      </w:r>
      <w:proofErr w:type="gramEnd"/>
      <w:r>
        <w:t>.3594.</w:t>
      </w:r>
      <w:bookmarkEnd w:id="8"/>
    </w:p>
    <w:p w14:paraId="15404841" w14:textId="77777777" w:rsidR="00584615" w:rsidRDefault="00000000">
      <w:pPr>
        <w:pStyle w:val="ListParagraph"/>
        <w:numPr>
          <w:ilvl w:val="0"/>
          <w:numId w:val="2"/>
        </w:numPr>
      </w:pPr>
      <w:r>
        <w:fldChar w:fldCharType="begin"/>
      </w:r>
      <w:r>
        <w:instrText>HYPERLINK "https://onlinelibrary.wiley.com/doi/10.1002/jso.27838"</w:instrText>
      </w:r>
      <w:r>
        <w:fldChar w:fldCharType="separate"/>
      </w:r>
      <w:r>
        <w:rPr>
          <w:rStyle w:val="Hyperlink"/>
        </w:rPr>
        <w:t>Utility of circulating tumor DNA in secondary liver malignancies: What we know and what is to come.</w:t>
      </w:r>
      <w:r>
        <w:fldChar w:fldCharType="end"/>
      </w:r>
      <w:r>
        <w:t xml:space="preserve"> Wehrle CJ, Tocci NX, Sun K, et al. Journal of Surgical Oncology. 2025;131(5):888-894. doi:10.1002/jso.27838.</w:t>
      </w:r>
      <w:bookmarkEnd w:id="9"/>
    </w:p>
    <w:p w14:paraId="5E20AF6B" w14:textId="77777777" w:rsidR="00584615" w:rsidRDefault="00000000">
      <w:pPr>
        <w:pStyle w:val="ListParagraph"/>
        <w:numPr>
          <w:ilvl w:val="0"/>
          <w:numId w:val="2"/>
        </w:numPr>
      </w:pPr>
      <w:r>
        <w:fldChar w:fldCharType="begin"/>
      </w:r>
      <w:r>
        <w:instrText>HYPERLINK "https://pubmed.ncbi.nlm.nih.gov/40990644"</w:instrText>
      </w:r>
      <w:r>
        <w:fldChar w:fldCharType="separate"/>
      </w:r>
      <w:r>
        <w:rPr>
          <w:rStyle w:val="Hyperlink"/>
        </w:rPr>
        <w:t>Liver Transplantation in Well-Selected Patients With Unresectable Colorectal Liver Metastases.</w:t>
      </w:r>
      <w:r>
        <w:fldChar w:fldCharType="end"/>
      </w:r>
      <w:r>
        <w:t xml:space="preserve"> </w:t>
      </w:r>
      <w:proofErr w:type="spellStart"/>
      <w:r>
        <w:t>Rauchfuß</w:t>
      </w:r>
      <w:proofErr w:type="spellEnd"/>
      <w:r>
        <w:t xml:space="preserve"> F, Schwenk L, Nadalin S, et al. Liver </w:t>
      </w:r>
      <w:proofErr w:type="gramStart"/>
      <w:r>
        <w:t>Transplantation :</w:t>
      </w:r>
      <w:proofErr w:type="gramEnd"/>
      <w:r>
        <w:t xml:space="preserve"> Official Publication of the American Association for the Study of Liver Diseases and the International Liver Transplantation Society. 2026;32(5):656-668. doi:10.1097/LVT.0000000000000739.</w:t>
      </w:r>
      <w:bookmarkEnd w:id="10"/>
    </w:p>
    <w:p w14:paraId="26F6727D" w14:textId="77777777" w:rsidR="00584615" w:rsidRDefault="00000000">
      <w:pPr>
        <w:pStyle w:val="ListParagraph"/>
        <w:numPr>
          <w:ilvl w:val="0"/>
          <w:numId w:val="2"/>
        </w:numPr>
      </w:pPr>
      <w:r>
        <w:fldChar w:fldCharType="begin"/>
      </w:r>
      <w:r>
        <w:instrText>HYPERLINK "https://pubmed.ncbi.nlm.nih.gov/29916882"</w:instrText>
      </w:r>
      <w:r>
        <w:fldChar w:fldCharType="separate"/>
      </w:r>
      <w:r>
        <w:rPr>
          <w:rStyle w:val="Hyperlink"/>
        </w:rPr>
        <w:t xml:space="preserve">Paradigm Shift in the Management of Irresectable Colorectal Liver Metastases: Living Donor Auxiliary Partial Orthotopic Liver Transplantation in Combination </w:t>
      </w:r>
      <w:r>
        <w:rPr>
          <w:rStyle w:val="Hyperlink"/>
        </w:rPr>
        <w:lastRenderedPageBreak/>
        <w:t>With Two-Stage Hepatectomy (LD-RAPID).</w:t>
      </w:r>
      <w:r>
        <w:fldChar w:fldCharType="end"/>
      </w:r>
      <w:r>
        <w:t xml:space="preserve"> </w:t>
      </w:r>
      <w:proofErr w:type="spellStart"/>
      <w:r>
        <w:t>Königsrainer</w:t>
      </w:r>
      <w:proofErr w:type="spellEnd"/>
      <w:r>
        <w:t xml:space="preserve"> A, Templin S, Capobianco I, et al. Annals of Surgery. 2019;270(2):327-332. doi:10.1097/SLA.0000000000002861.</w:t>
      </w:r>
      <w:bookmarkEnd w:id="11"/>
    </w:p>
    <w:p w14:paraId="5792FE59" w14:textId="77777777" w:rsidR="00584615" w:rsidRDefault="00000000">
      <w:pPr>
        <w:pStyle w:val="ListParagraph"/>
        <w:numPr>
          <w:ilvl w:val="0"/>
          <w:numId w:val="2"/>
        </w:numPr>
      </w:pPr>
      <w:r>
        <w:fldChar w:fldCharType="begin"/>
      </w:r>
      <w:r>
        <w:instrText>HYPERLINK "https://pubmed.ncbi.nlm.nih.gov/37273078"</w:instrText>
      </w:r>
      <w:r>
        <w:fldChar w:fldCharType="separate"/>
      </w:r>
      <w:r>
        <w:rPr>
          <w:rStyle w:val="Hyperlink"/>
        </w:rPr>
        <w:t>Liquid Biopsy by ctDNA in Liver Transplantation for Colorectal Cancer Liver Metastasis.</w:t>
      </w:r>
      <w:r>
        <w:fldChar w:fldCharType="end"/>
      </w:r>
      <w:r>
        <w:t xml:space="preserve"> Wehrle CJ, Raj R, </w:t>
      </w:r>
      <w:proofErr w:type="spellStart"/>
      <w:r>
        <w:t>Aykun</w:t>
      </w:r>
      <w:proofErr w:type="spellEnd"/>
      <w:r>
        <w:t xml:space="preserve"> N, et al. Journal of Gastrointestinal </w:t>
      </w:r>
      <w:proofErr w:type="gramStart"/>
      <w:r>
        <w:t>Surgery :</w:t>
      </w:r>
      <w:proofErr w:type="gramEnd"/>
      <w:r>
        <w:t xml:space="preserve"> Official Journal of the Society for Surgery of the Alimentary Tract. 2023;27(7):1498-1509. doi:10.1007/s11605-023-05723-8.</w:t>
      </w:r>
      <w:bookmarkEnd w:id="12"/>
    </w:p>
    <w:p w14:paraId="3D348D79" w14:textId="77777777" w:rsidR="00584615" w:rsidRDefault="00000000">
      <w:pPr>
        <w:pStyle w:val="ListParagraph"/>
        <w:numPr>
          <w:ilvl w:val="0"/>
          <w:numId w:val="2"/>
        </w:numPr>
      </w:pPr>
      <w:r>
        <w:fldChar w:fldCharType="begin"/>
      </w:r>
      <w:r>
        <w:instrText>HYPERLINK "https://pubmed.ncbi.nlm.nih.gov/35074652"</w:instrText>
      </w:r>
      <w:r>
        <w:fldChar w:fldCharType="separate"/>
      </w:r>
      <w:r>
        <w:rPr>
          <w:rStyle w:val="Hyperlink"/>
        </w:rPr>
        <w:t>Tumour-Agnostic Circulating Tumour DNA Analysis for Improved Recurrence Surveillance After Resection of Colorectal Liver Metastases: A Prospective Cohort Study.</w:t>
      </w:r>
      <w:r>
        <w:fldChar w:fldCharType="end"/>
      </w:r>
      <w:r>
        <w:t xml:space="preserve"> Øgaard N, Reinert T, Henriksen TV, et al. European Journal of Cancer (Oxford, </w:t>
      </w:r>
      <w:proofErr w:type="gramStart"/>
      <w:r>
        <w:t>England :</w:t>
      </w:r>
      <w:proofErr w:type="gramEnd"/>
      <w:r>
        <w:t xml:space="preserve"> 1990). </w:t>
      </w:r>
      <w:proofErr w:type="gramStart"/>
      <w:r>
        <w:t>2022;163:163</w:t>
      </w:r>
      <w:proofErr w:type="gramEnd"/>
      <w:r>
        <w:t xml:space="preserve">-176. </w:t>
      </w:r>
      <w:proofErr w:type="gramStart"/>
      <w:r>
        <w:t>doi:10.1016/j.ejca</w:t>
      </w:r>
      <w:proofErr w:type="gramEnd"/>
      <w:r>
        <w:t>.2021.12.026.</w:t>
      </w:r>
      <w:bookmarkEnd w:id="13"/>
    </w:p>
    <w:p w14:paraId="24243F70" w14:textId="77777777" w:rsidR="00584615" w:rsidRDefault="00000000">
      <w:pPr>
        <w:pStyle w:val="ListParagraph"/>
        <w:numPr>
          <w:ilvl w:val="0"/>
          <w:numId w:val="2"/>
        </w:numPr>
      </w:pPr>
      <w:r>
        <w:fldChar w:fldCharType="begin"/>
      </w:r>
      <w:r>
        <w:instrText>HYPERLINK "https://pubmed.ncbi.nlm.nih.gov/34994972"</w:instrText>
      </w:r>
      <w:r>
        <w:fldChar w:fldCharType="separate"/>
      </w:r>
      <w:r>
        <w:rPr>
          <w:rStyle w:val="Hyperlink"/>
        </w:rPr>
        <w:t>Circulating Tumor DNA for Prognosis Assessment and Postoperative Management After Curative-Intent Resection of Colorectal Liver Metastases.</w:t>
      </w:r>
      <w:r>
        <w:fldChar w:fldCharType="end"/>
      </w:r>
      <w:r>
        <w:t xml:space="preserve"> Reinert T, Petersen LMS, Henriksen TV, et al. International Journal of Cancer. 2022;150(9):1537-1548. doi:10.1002/ijc.33924.</w:t>
      </w:r>
      <w:bookmarkEnd w:id="14"/>
    </w:p>
    <w:p>
      <w:r>
        <w:br w:type="page"/>
      </w:r>
    </w:p>
    <w:bookmarkStart w:id="0" w:name="adam-r,-piedvache-c,-chiche-l,-et-al.-&lt;a"/>
    <w:bookmarkStart w:id="1" w:name="dueland-s,-syversveen-t,-solheim-jm,-et-"/>
    <w:bookmarkStart w:id="2" w:name="gorji-l,-brown-zj,-limkemann-a,-schenk-a"/>
    <w:bookmarkStart w:id="3" w:name="dove-l,-chadha-rm,-lai-jc,-et-al.-&lt;a-tar"/>
    <w:bookmarkStart w:id="4" w:name="ueberroth-be,-kriss-m,-burton-jr,-messer"/>
    <w:bookmarkStart w:id="5" w:name="adam-r,-badrudin-d,-chiche-l,-et-al.-&lt;a-"/>
    <w:bookmarkStart w:id="6" w:name="bonney-gk,-chew-ca,-lodge-p,-et-al.-&lt;a-t"/>
    <w:bookmarkStart w:id="7" w:name="te-hs,-agopian-vg,-demetris-aj,-et-al.-&lt;"/>
    <w:bookmarkStart w:id="8" w:name="j-clin-oncol-44,-2026-(suppl-16;-abstr-3"/>
    <w:bookmarkStart w:id="9" w:name="wehrle-cj,-tocci-nx,-sun-k,-et-al.-&lt;a-ta"/>
    <w:bookmarkStart w:id="10" w:name="rauchfuß-f,-schwenk-l,-nadalin-s,-et-al."/>
    <w:bookmarkStart w:id="11" w:name="königsrainer-a,-templin-s,-capobianco-i,"/>
    <w:bookmarkStart w:id="12" w:name="wehrle-cj,-raj-r,-aykun-n,-et-al.-&lt;a-tar"/>
    <w:bookmarkStart w:id="13" w:name="øgaard-n,-reinert-t,-henriksen-tv,-et-al"/>
    <w:bookmarkStart w:id="14" w:name="reinert-t,-petersen-lms,-henriksen-tv,-e"/>
    <w:sectPr w:rsidR="00584615">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731EE2"/>
    <w:multiLevelType w:val="hybridMultilevel"/>
    <w:tmpl w:val="F5404430"/>
    <w:lvl w:ilvl="0" w:tplc="4E52252A">
      <w:start w:val="1"/>
      <w:numFmt w:val="decimal"/>
      <w:lvlText w:val="%1."/>
      <w:lvlJc w:val="left"/>
      <w:pPr>
        <w:spacing w:before="0" w:after="0"/>
        <w:ind w:left="720" w:hanging="360"/>
      </w:pPr>
    </w:lvl>
    <w:lvl w:ilvl="1" w:tplc="4782C134">
      <w:numFmt w:val="decimal"/>
      <w:lvlText w:val=""/>
      <w:lvlJc w:val="left"/>
    </w:lvl>
    <w:lvl w:ilvl="2" w:tplc="8C7E5D8A">
      <w:numFmt w:val="decimal"/>
      <w:lvlText w:val=""/>
      <w:lvlJc w:val="left"/>
    </w:lvl>
    <w:lvl w:ilvl="3" w:tplc="D436A04C">
      <w:numFmt w:val="decimal"/>
      <w:lvlText w:val=""/>
      <w:lvlJc w:val="left"/>
    </w:lvl>
    <w:lvl w:ilvl="4" w:tplc="21A04742">
      <w:numFmt w:val="decimal"/>
      <w:lvlText w:val=""/>
      <w:lvlJc w:val="left"/>
    </w:lvl>
    <w:lvl w:ilvl="5" w:tplc="237CD40A">
      <w:numFmt w:val="decimal"/>
      <w:lvlText w:val=""/>
      <w:lvlJc w:val="left"/>
    </w:lvl>
    <w:lvl w:ilvl="6" w:tplc="2E585434">
      <w:numFmt w:val="decimal"/>
      <w:lvlText w:val=""/>
      <w:lvlJc w:val="left"/>
    </w:lvl>
    <w:lvl w:ilvl="7" w:tplc="C99275CC">
      <w:numFmt w:val="decimal"/>
      <w:lvlText w:val=""/>
      <w:lvlJc w:val="left"/>
    </w:lvl>
    <w:lvl w:ilvl="8" w:tplc="ADA29F54">
      <w:numFmt w:val="decimal"/>
      <w:lvlText w:val=""/>
      <w:lvlJc w:val="left"/>
    </w:lvl>
  </w:abstractNum>
  <w:abstractNum w:abstractNumId="1" w15:restartNumberingAfterBreak="0">
    <w:nsid w:val="2F825611"/>
    <w:multiLevelType w:val="hybridMultilevel"/>
    <w:tmpl w:val="2CD08502"/>
    <w:lvl w:ilvl="0" w:tplc="1C741052">
      <w:start w:val="1"/>
      <w:numFmt w:val="bullet"/>
      <w:lvlText w:val="●"/>
      <w:lvlJc w:val="left"/>
      <w:pPr>
        <w:ind w:left="720" w:hanging="360"/>
      </w:pPr>
    </w:lvl>
    <w:lvl w:ilvl="1" w:tplc="66D21AB8">
      <w:start w:val="1"/>
      <w:numFmt w:val="bullet"/>
      <w:lvlText w:val="○"/>
      <w:lvlJc w:val="left"/>
      <w:pPr>
        <w:ind w:left="1440" w:hanging="360"/>
      </w:pPr>
    </w:lvl>
    <w:lvl w:ilvl="2" w:tplc="703A0068">
      <w:start w:val="1"/>
      <w:numFmt w:val="bullet"/>
      <w:lvlText w:val="■"/>
      <w:lvlJc w:val="left"/>
      <w:pPr>
        <w:ind w:left="2160" w:hanging="360"/>
      </w:pPr>
    </w:lvl>
    <w:lvl w:ilvl="3" w:tplc="02281D6E">
      <w:start w:val="1"/>
      <w:numFmt w:val="bullet"/>
      <w:lvlText w:val="●"/>
      <w:lvlJc w:val="left"/>
      <w:pPr>
        <w:ind w:left="2880" w:hanging="360"/>
      </w:pPr>
    </w:lvl>
    <w:lvl w:ilvl="4" w:tplc="66D6AA06">
      <w:start w:val="1"/>
      <w:numFmt w:val="bullet"/>
      <w:lvlText w:val="○"/>
      <w:lvlJc w:val="left"/>
      <w:pPr>
        <w:ind w:left="3600" w:hanging="360"/>
      </w:pPr>
    </w:lvl>
    <w:lvl w:ilvl="5" w:tplc="15C4676A">
      <w:start w:val="1"/>
      <w:numFmt w:val="bullet"/>
      <w:lvlText w:val="■"/>
      <w:lvlJc w:val="left"/>
      <w:pPr>
        <w:ind w:left="4320" w:hanging="360"/>
      </w:pPr>
    </w:lvl>
    <w:lvl w:ilvl="6" w:tplc="A9268944">
      <w:start w:val="1"/>
      <w:numFmt w:val="bullet"/>
      <w:lvlText w:val="●"/>
      <w:lvlJc w:val="left"/>
      <w:pPr>
        <w:ind w:left="5040" w:hanging="360"/>
      </w:pPr>
    </w:lvl>
    <w:lvl w:ilvl="7" w:tplc="59A46504">
      <w:start w:val="1"/>
      <w:numFmt w:val="bullet"/>
      <w:lvlText w:val="●"/>
      <w:lvlJc w:val="left"/>
      <w:pPr>
        <w:ind w:left="5760" w:hanging="360"/>
      </w:pPr>
    </w:lvl>
    <w:lvl w:ilvl="8" w:tplc="D62ABFF0">
      <w:start w:val="1"/>
      <w:numFmt w:val="bullet"/>
      <w:lvlText w:val="●"/>
      <w:lvlJc w:val="left"/>
      <w:pPr>
        <w:ind w:left="6480" w:hanging="360"/>
      </w:pPr>
    </w:lvl>
  </w:abstractNum>
  <w:num w:numId="1" w16cid:durableId="469636105">
    <w:abstractNumId w:val="1"/>
    <w:lvlOverride w:ilvl="0">
      <w:startOverride w:val="1"/>
    </w:lvlOverride>
  </w:num>
  <w:num w:numId="2" w16cid:durableId="159438923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584615"/>
    <w:rsid w:val="00584615"/>
    <w:rsid w:val="007357E4"/>
    <w:rsid w:val="00F264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FD8F3A3"/>
  <w15:docId w15:val="{161943B8-DA62-2840-B9E3-92DB815AC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ings.asco.org/abstracts-presentations/2625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6050</Words>
  <Characters>34487</Characters>
  <Application>Microsoft Office Word</Application>
  <DocSecurity>0</DocSecurity>
  <Lines>287</Lines>
  <Paragraphs>80</Paragraphs>
  <ScaleCrop>false</ScaleCrop>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Liu, Hao</cp:lastModifiedBy>
  <cp:revision>2</cp:revision>
  <dcterms:created xsi:type="dcterms:W3CDTF">2026-07-15T22:53:00Z</dcterms:created>
  <dcterms:modified xsi:type="dcterms:W3CDTF">2026-07-15T23:08:00Z</dcterms:modified>
  <dc:title>UTHealth CRLM Guidance-Aligned Protocol — V2</dc:title>
  <dc:subject>Non-standard NLRB pathway under December 2025 transplant-oncology guidance</dc:subject>
  <dc:description>V2 generated 2026-07-23 17:53:12 CDT; evidence corrections documented in 04_review_summary/OpenEvidence_Protocol_Audit_2026-07-23.md.</dc:description>
</cp:coreProperties>
</file>