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Hepatic Adenoma Liver Transplant Protocol - Guidance-Aligned NLRB Pathway - V3</w:t>
      </w:r>
    </w:p>
    <w:p>
      <w:pPr>
        <w:pStyle w:val="Heading2"/>
      </w:pPr>
      <w:r>
        <w:t>Policy and allocation status</w:t>
      </w:r>
    </w:p>
    <w:p>
      <w:pPr>
        <w:pStyle w:val="Normal"/>
      </w:pPr>
      <w:r>
        <w:rPr>
          <w:sz w:val="21"/>
        </w:rPr>
        <w:t>GUIDANCE-ALIGNED RARE-INDICATION NON-STANDARD EXCEPTION. Hepatocellular adenoma (HCA) is not a standardized diagnosis under OPTN Policy 9.5, and liver transplantation is not routine therapy for HCA. The December 2025 transplant-oncology guidance supports Adult Transplant Oncology NLRB consideration for specified high-risk, unresectable, or syndromic presentations. Recommended score: MMaT-3. Approval and extension are not automatic.</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Standard care remains risk-factor modification, observation, resection, embolization, or ablation. Transplantation requires multidisciplinary confirmation that these options are unsafe, infeasible, or inadequate and that the expected benefit justifies lifelong immunosuppression and graft use.</w:t>
      </w:r>
    </w:p>
    <w:p>
      <w:pPr>
        <w:pStyle w:val="Heading2"/>
      </w:pPr>
      <w:r>
        <w:t>PROTOCOL: HEPATOCELLULAR ADENOMA / HEPATIC ADENOMATOSIS</w:t>
      </w:r>
    </w:p>
    <w:p>
      <w:pPr>
        <w:pStyle w:val="Heading3"/>
      </w:pPr>
      <w:r>
        <w:t>1. Purpose and scope</w:t>
      </w:r>
    </w:p>
    <w:p>
      <w:pPr>
        <w:pStyle w:val="Normal"/>
      </w:pPr>
      <w:r>
        <w:t>This protocol defines adult evaluation, disease-specific selection, NLRB exception submission, transplantation, and surveillance for rare HCA presentations in which non-transplant management cannot provide acceptable control. It does not expand transplant eligibility beyond the current guidance categories.</w:t>
      </w:r>
      <w:r>
        <w:t xml:space="preserve"> </w:t>
      </w:r>
      <w:r>
        <w:t xml:space="preserve">{Optn/Hrsa, 2025 #64}</w:t>
      </w:r>
    </w:p>
    <w:p>
      <w:pPr>
        <w:pStyle w:val="Heading3"/>
      </w:pPr>
      <w:r>
        <w:t>2. Qualifying guidance routes</w:t>
      </w:r>
    </w:p>
    <w:p>
      <w:pPr>
        <w:pStyle w:val="Normal"/>
      </w:pPr>
      <w:r>
        <w:t>A candidate must meet at least one route below, with the route named explicitly in the NLRB narrative:</w:t>
      </w:r>
    </w:p>
    <w:p>
      <w:pPr>
        <w:pStyle w:val="Normal"/>
        <w:numPr>
          <w:ilvl w:val="0"/>
          <w:numId w:val="1"/>
        </w:numPr>
      </w:pPr>
      <w:r>
        <w:t>Syndromic route: adenoma in the presence of glycogen storage disease or Abernethy malformation/congenital portosystemic shunt. The narrative must still explain why transplantation is medically necessary.</w:t>
      </w:r>
    </w:p>
    <w:p>
      <w:pPr>
        <w:pStyle w:val="Normal"/>
        <w:numPr>
          <w:ilvl w:val="0"/>
          <w:numId w:val="1"/>
        </w:numPr>
      </w:pPr>
      <w:r>
        <w:t>Molecular route: unresectable adenoma with a documented CTNNB1 (beta-catenin) activating alteration, WITH THE EXON AND CODON RECORDED. Exon 3 non-S45 alterations carry the strongest association with malignant transformation and satisfy this route directly. S45 exon 3 alterations and exon 7/8 alterations carry substantially lower malignant risk and do NOT by themselves justify transplantation: the selection committee must document an additional risk feature — size, growth, haemorrhage, syndromic driver, or diagnostic uncertainty about transformation — and record why the expected benefit justifies deceased-donor organ use and lifelong immunosuppression. Where the molecular result is an immunohistochemical surrogate rather than sequencing, state which, and its limitations. The OPTN guidance does not itself distinguish exon categories; this is an institutional refinement that restricts rather than expands the route, and must be described as such in the NLRB narrative. (Nault JC et al., Gastroenterology 2017;152(4):880-894.e6; {Nault, 2017 #74}</w:t>
      </w:r>
    </w:p>
    <w:p>
      <w:pPr>
        <w:pStyle w:val="Normal"/>
        <w:numPr>
          <w:ilvl w:val="0"/>
          <w:numId w:val="1"/>
        </w:numPr>
      </w:pPr>
      <w:r>
        <w:t>Adenomatosis route: unresectable liver adenomatosis with more than 10 adenomas AND at least one of the following, documented explicitly: (a) recurrent or life-threatening haemorrhage, or prior rupture, not controllable by embolization or targeted resection; (b) confirmed or strongly suspected malignant transformation, or a high-risk molecular subtype per the molecular route; (c) an underlying syndromic driver (glycogen storage disease, Abernethy malformation/congenital portosystemic shunt) or underlying liver disease that independently threatens hepatic function; or (d) documented progressive disease burden despite at least 6 months of adequate risk-factor modification with liver-directed options exhausted or contraindicated. LESION NUMBER ALONE DOES NOT QUALIFY. Record dominant lesion size, growth trajectory, complication history and molecular status; more than 10 lesions is a necessary but not sufficient condition. (Chiche L et al., Liver Transpl 2016;22(4):516-526; {Chiche, 2016 #73} EASL benign liver tumours CPG, J Hepatol 2016;65(2):386-398; {European Association for the Study of the, 2016 #70}</w:t>
      </w:r>
    </w:p>
    <w:p>
      <w:pPr>
        <w:pStyle w:val="Normal"/>
        <w:numPr>
          <w:ilvl w:val="0"/>
          <w:numId w:val="1"/>
        </w:numPr>
      </w:pPr>
      <w:r>
        <w:t>Progressive/complicated route: adenoma or adenomas meeting all three conditions:</w:t>
      </w:r>
    </w:p>
    <w:p>
      <w:pPr>
        <w:pStyle w:val="Normal"/>
        <w:numPr>
          <w:ilvl w:val="1"/>
          <w:numId w:val="1"/>
        </w:numPr>
      </w:pPr>
      <w:r>
        <w:t>Unresectable after expert hepatobiliary surgical review.</w:t>
      </w:r>
    </w:p>
    <w:p>
      <w:pPr>
        <w:pStyle w:val="Normal"/>
        <w:numPr>
          <w:ilvl w:val="1"/>
          <w:numId w:val="1"/>
        </w:numPr>
      </w:pPr>
      <w:r>
        <w:t>Unresponsive to appropriate non-operative management, such as observation after stopping estrogen-containing medications, efforts to maintain an ideal body weight, transarterial embolization, or thermal ablation.</w:t>
      </w:r>
    </w:p>
    <w:p>
      <w:pPr>
        <w:pStyle w:val="Normal"/>
        <w:numPr>
          <w:ilvl w:val="1"/>
          <w:numId w:val="1"/>
        </w:numPr>
      </w:pPr>
      <w:r>
        <w:t>Progressive or complicated by hemorrhage, rupture, or malignant transformation, with supportive details including lesion size.</w:t>
      </w:r>
    </w:p>
    <w:p>
      <w:pPr>
        <w:pStyle w:val="Heading3"/>
      </w:pPr>
      <w:r>
        <w:t>3. Diagnostic and multidisciplinary confirmation</w:t>
      </w:r>
    </w:p>
    <w:p>
      <w:pPr>
        <w:pStyle w:val="Normal"/>
        <w:numPr>
          <w:ilvl w:val="0"/>
          <w:numId w:val="1"/>
        </w:numPr>
      </w:pPr>
      <w:r>
        <w:t>Review by transplant hepatology, transplant and hepatobiliary surgery, diagnostic and interventional radiology, and expert liver pathology; include metabolic genetics for glycogen storage disease and vascular expertise for Abernethy malformation.</w:t>
      </w:r>
    </w:p>
    <w:p>
      <w:pPr>
        <w:pStyle w:val="Normal"/>
        <w:numPr>
          <w:ilvl w:val="0"/>
          <w:numId w:val="1"/>
        </w:numPr>
      </w:pPr>
      <w:r>
        <w:t>Obtain contrast-enhanced liver MRI, preferably with hepatobiliary contrast, documenting all measurable lesions, dominant-lesion size, distribution, vascular relationships, growth, hemorrhage, and resectability.</w:t>
      </w:r>
      <w:r>
        <w:t xml:space="preserve"> </w:t>
      </w:r>
      <w:r>
        <w:t xml:space="preserve">{European Association for the Study of the, 2016 #70}</w:t>
      </w:r>
    </w:p>
    <w:p>
      <w:pPr>
        <w:pStyle w:val="Normal"/>
        <w:numPr>
          <w:ilvl w:val="0"/>
          <w:numId w:val="1"/>
        </w:numPr>
      </w:pPr>
      <w:r>
        <w:t>Use expert pathology review when tissue is available. Biopsy only when imaging is atypical, malignant transformation is suspected, or molecular subtype will change management; target the dominant or most suspicious lesion.</w:t>
      </w:r>
    </w:p>
    <w:p>
      <w:pPr>
        <w:pStyle w:val="Normal"/>
        <w:numPr>
          <w:ilvl w:val="0"/>
          <w:numId w:val="1"/>
        </w:numPr>
      </w:pPr>
      <w:r>
        <w:t>For the molecular route, document CTNNB1 mutation and exon when possible. Exon 3 carries the strongest malignant association; the OPTN guidance does not distinguish exon categories.</w:t>
      </w:r>
    </w:p>
    <w:p>
      <w:pPr>
        <w:pStyle w:val="Normal"/>
        <w:numPr>
          <w:ilvl w:val="0"/>
          <w:numId w:val="1"/>
        </w:numPr>
      </w:pPr>
      <w:r>
        <w:t>Distinguish HCA from well-differentiated HCC and other hepatocellular neoplasms.</w:t>
      </w:r>
    </w:p>
    <w:p>
      <w:pPr>
        <w:pStyle w:val="Normal"/>
        <w:numPr>
          <w:ilvl w:val="0"/>
          <w:numId w:val="1"/>
        </w:numPr>
      </w:pPr>
      <w:r>
        <w:t>If malignant transformation to HCC is confirmed, re-stage completely (multiphasic liver imaging, chest CT, AFP) and re-route the case. DO NOT ASSUME THE STANDARDIZED HCC EXCEPTION PATHWAY IS AVAILABLE. OPTN Class 5 imaging classification and LI-RADS are defined for patients at risk for HCC — cirrhosis, chronic hepatitis B, or current/prior HCC — and most HCA-derived HCC arises in a non-cirrhotic, non-at-risk liver, where those imaging criteria do not apply and the lesion cannot be classified as Class 5 on imaging alone.</w:t>
      </w:r>
    </w:p>
    <w:p>
      <w:pPr>
        <w:pStyle w:val="Normal"/>
        <w:numPr>
          <w:ilvl w:val="0"/>
          <w:numId w:val="1"/>
        </w:numPr>
      </w:pPr>
      <w:r>
        <w:t>Candidate WITH an at-risk background (cirrhosis or chronic hepatitis B): assess against the standardized HCC pathway on its own terms.</w:t>
      </w:r>
    </w:p>
    <w:p>
      <w:pPr>
        <w:pStyle w:val="Normal"/>
        <w:numPr>
          <w:ilvl w:val="0"/>
          <w:numId w:val="1"/>
        </w:numPr>
      </w:pPr>
      <w:r>
        <w:t>Candidate WITHOUT an at-risk background (the usual case): the standardized pathway is unavailable. Submit a NON-STANDARD NLRB request supported by histologic confirmation of HCC, complete staging, tumour burden relative to Milan criteria, AFP, and an explicit statement of why imaging-based classification does not apply. State the transformation date and the prior HCA route in the narrative.</w:t>
      </w:r>
    </w:p>
    <w:p>
      <w:pPr>
        <w:pStyle w:val="Normal"/>
        <w:numPr>
          <w:ilvl w:val="0"/>
          <w:numId w:val="1"/>
        </w:numPr>
      </w:pPr>
      <w:r>
        <w:t>In either case, extrahepatic metastasis or macrovascular invasion excludes the candidate from this protocol. VERIFY the current Class 5 imaging criteria and the available submission routes against the live Policy 9.5 posting before the first such submission.</w:t>
      </w:r>
    </w:p>
    <w:p>
      <w:pPr>
        <w:pStyle w:val="Heading3"/>
      </w:pPr>
      <w:r>
        <w:t>4. Risk modification and non-transplant treatment prerequisites</w:t>
      </w:r>
    </w:p>
    <w:p>
      <w:pPr>
        <w:pStyle w:val="Normal"/>
        <w:numPr>
          <w:ilvl w:val="0"/>
          <w:numId w:val="1"/>
        </w:numPr>
      </w:pPr>
      <w:r>
        <w:t>Stop estrogen-containing medications and exogenous anabolic-androgen exposure when clinically feasible; provide contraceptive and pregnancy counseling.</w:t>
      </w:r>
    </w:p>
    <w:p>
      <w:pPr>
        <w:pStyle w:val="Normal"/>
        <w:numPr>
          <w:ilvl w:val="0"/>
          <w:numId w:val="1"/>
        </w:numPr>
      </w:pPr>
      <w:r>
        <w:t>Institute weight-loss and metabolic-risk management when overweight or obesity contributes to disease burden.</w:t>
      </w:r>
    </w:p>
    <w:p>
      <w:pPr>
        <w:pStyle w:val="Normal"/>
        <w:numPr>
          <w:ilvl w:val="0"/>
          <w:numId w:val="1"/>
        </w:numPr>
      </w:pPr>
      <w:r>
        <w:t>Optimize glycogen storage disease therapy and assess renal, metabolic, and systemic manifestations.</w:t>
      </w:r>
    </w:p>
    <w:p>
      <w:pPr>
        <w:pStyle w:val="Normal"/>
        <w:numPr>
          <w:ilvl w:val="0"/>
          <w:numId w:val="1"/>
        </w:numPr>
      </w:pPr>
      <w:r>
        <w:t>Define Abernethy anatomy and assess whether shunt closure or another vascular intervention is feasible before transplantation.</w:t>
      </w:r>
    </w:p>
    <w:p>
      <w:pPr>
        <w:pStyle w:val="Normal"/>
        <w:numPr>
          <w:ilvl w:val="0"/>
          <w:numId w:val="1"/>
        </w:numPr>
      </w:pPr>
      <w:r>
        <w:t>Document the feasibility and outcome of resection, staged resection, embolization, and ablation. An unsafe or clearly futile intervention is not required solely to demonstrate failure; the reason must be documented.</w:t>
      </w:r>
    </w:p>
    <w:p>
      <w:pPr>
        <w:pStyle w:val="Normal"/>
        <w:numPr>
          <w:ilvl w:val="0"/>
          <w:numId w:val="1"/>
        </w:numPr>
      </w:pPr>
      <w:r>
        <w:t>For non-urgent estrogen- or weight-associated disease, repeat imaging after approximately 6 months of risk-factor modification before declaring progression. Urgent hemorrhage, rupture, or suspected malignancy may require accelerated decision-making.</w:t>
      </w:r>
    </w:p>
    <w:p>
      <w:pPr>
        <w:pStyle w:val="Heading3"/>
      </w:pPr>
      <w:r>
        <w:t>5. Selection and exclusion criteria</w:t>
      </w:r>
    </w:p>
    <w:p>
      <w:pPr>
        <w:pStyle w:val="Normal"/>
        <w:numPr>
          <w:ilvl w:val="0"/>
          <w:numId w:val="1"/>
        </w:numPr>
      </w:pPr>
      <w:r>
        <w:t>Proceed only when the transplant selection committee concludes that transplantation offers a better risk-benefit profile than surveillance or liver-directed therapy.</w:t>
      </w:r>
    </w:p>
    <w:p>
      <w:pPr>
        <w:pStyle w:val="Normal"/>
        <w:numPr>
          <w:ilvl w:val="0"/>
          <w:numId w:val="1"/>
        </w:numPr>
      </w:pPr>
      <w:r>
        <w:t>Do not list when disease is safely resectable with an adequate liver remnant.</w:t>
      </w:r>
    </w:p>
    <w:p>
      <w:pPr>
        <w:pStyle w:val="Normal"/>
        <w:numPr>
          <w:ilvl w:val="0"/>
          <w:numId w:val="1"/>
        </w:numPr>
      </w:pPr>
      <w:r>
        <w:t>Do not list a stable low-risk HCA responding to hormone withdrawal or weight intervention unless another explicit guidance route is independently met and transplantation is justified.</w:t>
      </w:r>
    </w:p>
    <w:p>
      <w:pPr>
        <w:pStyle w:val="Normal"/>
        <w:numPr>
          <w:ilvl w:val="0"/>
          <w:numId w:val="1"/>
        </w:numPr>
      </w:pPr>
      <w:r>
        <w:t>Do not list when the candidate has no qualifying guidance route or has not undergone adequate hepatobiliary surgical and interventional-radiology assessment.</w:t>
      </w:r>
    </w:p>
    <w:p>
      <w:pPr>
        <w:pStyle w:val="Normal"/>
        <w:numPr>
          <w:ilvl w:val="0"/>
          <w:numId w:val="1"/>
        </w:numPr>
      </w:pPr>
      <w:r>
        <w:t>Exclude uncontrolled infection, prohibitive comorbidity, active uncontrolled substance-use disorder, or another standard transplant contraindication.</w:t>
      </w:r>
    </w:p>
    <w:p>
      <w:pPr>
        <w:pStyle w:val="Normal"/>
        <w:numPr>
          <w:ilvl w:val="0"/>
          <w:numId w:val="1"/>
        </w:numPr>
      </w:pPr>
      <w:r>
        <w:t>For confirmed malignant transformation, exclude extrahepatic metastasis or macrovascular invasion from this protocol and route the case through the appropriate malignancy pathway.</w:t>
      </w:r>
    </w:p>
    <w:p>
      <w:pPr>
        <w:pStyle w:val="Heading3"/>
      </w:pPr>
      <w:r>
        <w:t>6. Pretransplant evaluation and waitlist surveillance</w:t>
      </w:r>
    </w:p>
    <w:p>
      <w:pPr>
        <w:pStyle w:val="Normal"/>
        <w:numPr>
          <w:ilvl w:val="0"/>
          <w:numId w:val="1"/>
        </w:numPr>
      </w:pPr>
      <w:r>
        <w:t>Record HCA number, dominant and aggregate dimensions, bilobar distribution, growth trajectory, hemorrhage/rupture history, symptoms, prior resections, embolizations, ablations, and pathology/molecular results.</w:t>
      </w:r>
    </w:p>
    <w:p>
      <w:pPr>
        <w:pStyle w:val="Normal"/>
        <w:numPr>
          <w:ilvl w:val="0"/>
          <w:numId w:val="1"/>
        </w:numPr>
      </w:pPr>
      <w:r>
        <w:t>Obtain CBC, comprehensive metabolic panel, INR, liver tests, and AFP when malignant transformation remains a concern. AFP does not exclude HCC when normal.</w:t>
      </w:r>
    </w:p>
    <w:p>
      <w:pPr>
        <w:pStyle w:val="Normal"/>
        <w:numPr>
          <w:ilvl w:val="0"/>
          <w:numId w:val="1"/>
        </w:numPr>
      </w:pPr>
      <w:r>
        <w:t>For suspected or proven malignant transformation, complete chest and abdominal staging and review the case under the applicable HCC criteria.</w:t>
      </w:r>
    </w:p>
    <w:p>
      <w:pPr>
        <w:pStyle w:val="Normal"/>
        <w:numPr>
          <w:ilvl w:val="0"/>
          <w:numId w:val="1"/>
        </w:numPr>
      </w:pPr>
      <w:r>
        <w:t>While listed, obtain multiphasic MRI or CT every 3 months, aligned with the 90-day exception-extension cycle. Shorten the interval for active growth, hemorrhage, or suspicious transformation.</w:t>
      </w:r>
    </w:p>
    <w:p>
      <w:pPr>
        <w:pStyle w:val="Normal"/>
        <w:numPr>
          <w:ilvl w:val="0"/>
          <w:numId w:val="1"/>
        </w:numPr>
      </w:pPr>
      <w:r>
        <w:t>Re-review immediately for a new rupture, major hemorrhage, rapid growth, suspected HCC, or a newly feasible non-transplant option.</w:t>
      </w:r>
    </w:p>
    <w:p>
      <w:pPr>
        <w:pStyle w:val="Heading3"/>
      </w:pPr>
      <w:r>
        <w:t>7. NLRB exception request and extension</w:t>
      </w:r>
    </w:p>
    <w:p>
      <w:pPr>
        <w:pStyle w:val="Normal"/>
        <w:numPr>
          <w:ilvl w:val="0"/>
          <w:numId w:val="1"/>
        </w:numPr>
      </w:pPr>
      <w:r>
        <w:t>Select the hepatic adenoma diagnosis option and submit a written justification narrative.</w:t>
      </w:r>
    </w:p>
    <w:p>
      <w:pPr>
        <w:pStyle w:val="Normal"/>
        <w:numPr>
          <w:ilvl w:val="0"/>
          <w:numId w:val="1"/>
        </w:numPr>
      </w:pPr>
      <w:r>
        <w:t>Request MMaT-3 as recommended by the December 2025 guidance; do not describe the score as guaranteed or standardized.</w:t>
      </w:r>
    </w:p>
    <w:p>
      <w:pPr>
        <w:pStyle w:val="Normal"/>
        <w:numPr>
          <w:ilvl w:val="0"/>
          <w:numId w:val="1"/>
        </w:numPr>
      </w:pPr>
      <w:r>
        <w:t>Name the qualifying route and provide supporting evidence: underlying syndrome or malformation; lesion number and dominant size; CTNNB1 result; resectability determination; risk-factor modification; treatments attempted or contraindicated; serial imaging; hemorrhage, rupture, progression, or malignant transformation; and current transplant suitability.</w:t>
      </w:r>
    </w:p>
    <w:p>
      <w:pPr>
        <w:pStyle w:val="Normal"/>
        <w:numPr>
          <w:ilvl w:val="0"/>
          <w:numId w:val="1"/>
        </w:numPr>
      </w:pPr>
      <w:r>
        <w:t xml:space="preserve">An approved exception runs on a 3-month (approximately 90-day) extension cycle under OPTN Policy 9.4.C. Submit extensions before expiration with updated imaging, intervening treatment or complications, and continued unresectability and transplant need. The automatic extension provision for HCC candidates at a policy-assigned score does NOT extend to non-standard transplant-oncology requests. VERIFY the cycle length and governing subsection against the live Policy 9.4 posting. {Optn/Hrsa, 2025 #64}</w:t>
      </w:r>
    </w:p>
    <w:p>
      <w:pPr>
        <w:pStyle w:val="Heading3"/>
      </w:pPr>
      <w:r>
        <w:t>8. Transplant and pathology management</w:t>
      </w:r>
    </w:p>
    <w:p>
      <w:pPr>
        <w:pStyle w:val="Normal"/>
        <w:numPr>
          <w:ilvl w:val="0"/>
          <w:numId w:val="1"/>
        </w:numPr>
      </w:pPr>
      <w:r>
        <w:t>Deceased- or living-donor transplantation must comply with current OPTN allocation requirements and institutional donor-source ethics review.</w:t>
      </w:r>
    </w:p>
    <w:p>
      <w:pPr>
        <w:pStyle w:val="Normal"/>
        <w:numPr>
          <w:ilvl w:val="0"/>
          <w:numId w:val="1"/>
        </w:numPr>
      </w:pPr>
      <w:r>
        <w:t>Use the standard institutional operative and immunosuppression protocols. No tumor-specific immunosuppression regimen is established for benign HCA.</w:t>
      </w:r>
    </w:p>
    <w:p>
      <w:pPr>
        <w:pStyle w:val="Normal"/>
        <w:numPr>
          <w:ilvl w:val="0"/>
          <w:numId w:val="1"/>
        </w:numPr>
      </w:pPr>
      <w:r>
        <w:t>Perform comprehensive explant mapping and pathology, including lesion count, largest size, subtype, CTNNB1 findings, hemorrhage, necrosis, atypia, and occult HCC.</w:t>
      </w:r>
    </w:p>
    <w:p>
      <w:pPr>
        <w:pStyle w:val="Normal"/>
        <w:numPr>
          <w:ilvl w:val="0"/>
          <w:numId w:val="1"/>
        </w:numPr>
      </w:pPr>
      <w:r>
        <w:t>If malignant transformation is found, stage the explant and define post-transplant surveillance in the transplant-oncology conference.</w:t>
      </w:r>
    </w:p>
    <w:p>
      <w:pPr>
        <w:pStyle w:val="Heading3"/>
      </w:pPr>
      <w:r>
        <w:t>9. Post-transplant follow-up</w:t>
      </w:r>
    </w:p>
    <w:p>
      <w:pPr>
        <w:pStyle w:val="Normal"/>
        <w:numPr>
          <w:ilvl w:val="0"/>
          <w:numId w:val="1"/>
        </w:numPr>
      </w:pPr>
      <w:r>
        <w:t>For HCA without malignant transformation, follow standard transplant clinical and graft surveillance; no routine tumor imaging beyond clinically indicated baseline follow-up is mandated.</w:t>
      </w:r>
    </w:p>
    <w:p>
      <w:pPr>
        <w:pStyle w:val="Normal"/>
        <w:numPr>
          <w:ilvl w:val="0"/>
          <w:numId w:val="1"/>
        </w:numPr>
      </w:pPr>
      <w:r>
        <w:t>For occult or known malignant transformation, use risk-adapted HCC surveillance, typically cross-sectional chest and abdominal imaging every 3 to 6 months for the first 2 years, then every 6 months through year 5, individualized to stage and pathology.</w:t>
      </w:r>
    </w:p>
    <w:p>
      <w:pPr>
        <w:pStyle w:val="Normal"/>
        <w:numPr>
          <w:ilvl w:val="0"/>
          <w:numId w:val="1"/>
        </w:numPr>
      </w:pPr>
      <w:r>
        <w:t>Continue syndrome-specific follow-up for glycogen storage disease and congenital portosystemic-shunt manifestations that are not corrected completely by transplantation.</w:t>
      </w:r>
    </w:p>
    <w:p>
      <w:pPr>
        <w:pStyle w:val="Heading3"/>
      </w:pPr>
      <w:r>
        <w:t>10. Governance and quality review</w:t>
      </w:r>
    </w:p>
    <w:p>
      <w:pPr>
        <w:pStyle w:val="Normal"/>
        <w:numPr>
          <w:ilvl w:val="0"/>
          <w:numId w:val="1"/>
        </w:numPr>
      </w:pPr>
      <w:r>
        <w:t>This is a clinical-operational draft, not patient-specific medical advice or final institutional policy.</w:t>
      </w:r>
    </w:p>
    <w:p>
      <w:pPr>
        <w:pStyle w:val="Normal"/>
        <w:numPr>
          <w:ilvl w:val="0"/>
          <w:numId w:val="1"/>
        </w:numPr>
      </w:pPr>
      <w:r>
        <w:t>Require transplant selection and multidisciplinary benign-liver-tumor review before activation and before every exception submission or extension.</w:t>
      </w:r>
    </w:p>
    <w:p>
      <w:pPr>
        <w:pStyle w:val="Normal"/>
        <w:numPr>
          <w:ilvl w:val="0"/>
          <w:numId w:val="1"/>
        </w:numPr>
      </w:pPr>
      <w:r>
        <w:t>Track NLRB decisions, waitlist events, donor source, pathology concordance, perioperative morbidity and mortality, graft and patient survival, and malignant transformation.</w:t>
      </w:r>
    </w:p>
    <w:p>
      <w:pPr>
        <w:pStyle w:val="Normal"/>
        <w:numPr>
          <w:ilvl w:val="0"/>
          <w:numId w:val="1"/>
        </w:numPr>
      </w:pPr>
      <w:r>
        <w:t>Recheck the live OPTN policy and guidance immediately before committee adoption, exception submission, or extension.</w:t>
      </w:r>
    </w:p>
    <w:p>
      <w:pPr>
        <w:pStyle w:val="Heading1"/>
        <w:numPr>
          <w:ilvl w:val="0"/>
          <w:numId w:val="2"/>
        </w:numPr>
      </w:pPr>
      <w:r>
        <w:t>V3 Revision Log</w:t>
      </w:r>
    </w:p>
    <w:p>
      <w:pPr>
        <w:pStyle w:val="Normal"/>
        <w:numPr>
          <w:ilvl w:val="0"/>
          <w:numId w:val="2"/>
        </w:numPr>
      </w:pPr>
      <w:r>
        <w:t>V-1 Brought the document's internal version markers into line with the filename: the title now reads V3, and the historical V2 Revision Note heading is labelled as superseded.</w:t>
      </w:r>
    </w:p>
    <w:p>
      <w:pPr>
        <w:pStyle w:val="Normal"/>
        <w:numPr>
          <w:ilvl w:val="0"/>
          <w:numId w:val="2"/>
        </w:numPr>
      </w:pPr>
      <w:r>
        <w:t>7.1 Corrected the malignant-transformation routing: HCA-derived HCC usually arises in a non-at-risk liver where OPTN Class 5 imaging classification does not apply, so the standardized HCC pathway is generally unavailable and a non-standard request with histologic proof is required.</w:t>
      </w:r>
    </w:p>
    <w:p>
      <w:pPr>
        <w:pStyle w:val="Normal"/>
        <w:numPr>
          <w:ilvl w:val="0"/>
          <w:numId w:val="2"/>
        </w:numPr>
      </w:pPr>
      <w:r>
        <w:t>7.2 Required the CTNNB1 exon and codon in the selection decision; exon 7/8 and S45 alterations no longer qualify the molecular route on their own.</w:t>
      </w:r>
    </w:p>
    <w:p>
      <w:pPr>
        <w:pStyle w:val="Normal"/>
        <w:numPr>
          <w:ilvl w:val="0"/>
          <w:numId w:val="2"/>
        </w:numPr>
      </w:pPr>
      <w:r>
        <w:t>7.3 Made the adenomatosis route conjunctive: lesion count alone no longer qualifies.</w:t>
      </w:r>
    </w:p>
    <w:p>
      <w:pPr>
        <w:pStyle w:val="Normal"/>
        <w:numPr>
          <w:ilvl w:val="0"/>
          <w:numId w:val="2"/>
        </w:numPr>
      </w:pPr>
      <w:r>
        <w:t>7.4 Cited Policy 9.4.C for the extension cycle and noted the non-standard caveat. VERIFY.</w:t>
      </w:r>
    </w:p>
    <w:p>
      <w:pPr>
        <w:pStyle w:val="Normal"/>
        <w:numPr>
          <w:ilvl w:val="0"/>
          <w:numId w:val="2"/>
        </w:numPr>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References</w:t>
      </w:r>
    </w:p>
    <w:p>
      <w:pPr>
        <w:pStyle w:val="Normal"/>
        <w:numPr>
          <w:ilvl w:val="0"/>
          <w:numId w:val="2"/>
        </w:numPr>
      </w:pPr>
      <w:r>
        <w:rPr>
          <w:sz w:val="20"/>
        </w:rPr>
        <w:t xml:space="preserve">OPTN/HRSA. Adult MELD Exceptions for Transplant Oncology Review Guidance. December 2025. </w:t>
      </w:r>
      <w:hyperlink r:id="rId6">
        <w:r>
          <w:rPr>
            <w:rStyle w:val="Hyperlink"/>
          </w:rPr>
          <w:t>Open reference source</w:t>
        </w:r>
      </w:hyperlink>
    </w:p>
    <w:p>
      <w:pPr>
        <w:pStyle w:val="Normal"/>
        <w:numPr>
          <w:ilvl w:val="0"/>
          <w:numId w:val="2"/>
        </w:numPr>
      </w:pPr>
      <w:r>
        <w:rPr>
          <w:sz w:val="20"/>
        </w:rPr>
        <w:t xml:space="preserve">European Association for the Study of the Liver. EASL Clinical Practice Guidelines on the management of benign liver tumours. J Hepatol. 2016;65:386-398. doi:10.1016/j.jhep.2016.04.001. </w:t>
      </w:r>
      <w:hyperlink r:id="rId7">
        <w:r>
          <w:rPr>
            <w:rStyle w:val="Hyperlink"/>
          </w:rPr>
          <w:t>Open reference source</w:t>
        </w:r>
      </w:hyperlink>
    </w:p>
    <w:p>
      <w:pPr>
        <w:pStyle w:val="Normal"/>
        <w:numPr>
          <w:ilvl w:val="0"/>
          <w:numId w:val="2"/>
        </w:numPr>
      </w:pPr>
      <w:r>
        <w:rPr>
          <w:sz w:val="20"/>
        </w:rPr>
        <w:t xml:space="preserve">Frenette CT, et al. ACG Clinical Guideline: Focal Liver Lesions. Am J Gastroenterol. 2024. doi:10.14309/ajg.0000000000002857. </w:t>
      </w:r>
      <w:hyperlink r:id="rId9">
        <w:r>
          <w:rPr>
            <w:rStyle w:val="Hyperlink"/>
          </w:rPr>
          <w:t>Open reference source</w:t>
        </w:r>
      </w:hyperlink>
    </w:p>
    <w:p>
      <w:pPr>
        <w:pStyle w:val="Normal"/>
        <w:numPr>
          <w:ilvl w:val="0"/>
          <w:numId w:val="2"/>
        </w:numPr>
      </w:pPr>
      <w:r>
        <w:rPr>
          <w:sz w:val="20"/>
        </w:rPr>
        <w:t xml:space="preserve">Ziogas IA, Tasoudis PT, Serifis N, et al. Liver Transplantation for Hepatic Adenoma: A UNOS Database Analysis and Systematic Review. Transplant Direct. 2022;8:e1264. doi:10.1097/TXD.0000000000001264. </w:t>
      </w:r>
      <w:hyperlink r:id="rId10">
        <w:r>
          <w:rPr>
            <w:rStyle w:val="Hyperlink"/>
          </w:rPr>
          <w:t>Open reference source</w:t>
        </w:r>
      </w:hyperlink>
    </w:p>
    <w:p>
      <w:pPr>
        <w:pStyle w:val="Normal"/>
        <w:numPr>
          <w:ilvl w:val="0"/>
          <w:numId w:val="2"/>
        </w:numPr>
      </w:pPr>
      <w:r>
        <w:rPr>
          <w:sz w:val="20"/>
        </w:rPr>
        <w:t xml:space="preserve">Chiche L, David A, Adam R, et al. Liver transplantation for adenomatosis: European experience. Liver Transpl. 2016;22:516-526. doi:10.1002/lt.24417. </w:t>
      </w:r>
      <w:hyperlink r:id="rId11">
        <w:r>
          <w:rPr>
            <w:rStyle w:val="Hyperlink"/>
          </w:rPr>
          <w:t>Open reference source</w:t>
        </w:r>
      </w:hyperlink>
    </w:p>
    <w:p>
      <w:pPr>
        <w:pStyle w:val="Normal"/>
        <w:numPr>
          <w:ilvl w:val="0"/>
          <w:numId w:val="2"/>
        </w:numPr>
      </w:pPr>
      <w:r>
        <w:rPr>
          <w:sz w:val="20"/>
        </w:rPr>
        <w:t xml:space="preserve">Nault JC, Couchy G, Balabaud C, et al. Molecular Classification of Hepatocellular Adenoma Associates With Risk Factors, Bleeding, and Malignant Transformation. Gastroenterology. 2017;152:880-894.e6. doi:10.1053/j.gastro.2016.11.042. </w:t>
      </w:r>
      <w:hyperlink r:id="rId12">
        <w:r>
          <w:rPr>
            <w:rStyle w:val="Hyperlink"/>
          </w:rPr>
          <w:t>Open reference source</w:t>
        </w:r>
      </w:hyperlink>
    </w:p>
    <w:p>
      <w:pPr>
        <w:pStyle w:val="Normal"/>
        <w:numPr>
          <w:ilvl w:val="0"/>
          <w:numId w:val="2"/>
        </w:numPr>
      </w:pPr>
      <w:r>
        <w:rPr>
          <w:sz w:val="20"/>
        </w:rPr>
        <w:t xml:space="preserve">Alagusundaramoorthy SS, Vilchez V, Zanni A, et al. Role of Transplantation in the Treatment of Benign Solid Tumors of the Liver: A Review of the UNOS Data Set. JAMA Surg. 2015;150:337-342. doi:10.1001/jamasurg.2014.3166. </w:t>
      </w:r>
      <w:hyperlink r:id="rId13">
        <w:r>
          <w:rPr>
            <w:rStyle w:val="Hyperlink"/>
          </w:rPr>
          <w:t>Open reference source</w:t>
        </w:r>
      </w:hyperlink>
    </w:p>
    <w:p>
      <w:pPr>
        <w:pStyle w:val="Normal"/>
        <w:numPr>
          <w:ilvl w:val="0"/>
          <w:numId w:val="2"/>
        </w:numPr>
      </w:pPr>
      <w:r>
        <w:rPr>
          <w:sz w:val="20"/>
        </w:rPr>
        <w:t xml:space="preserve">Dokmak S, Paradis V, Vilgrain V, et al. A single-center surgical experience of 122 patients with single and multiple hepatocellular adenomas. Gastroenterology. 2009;137:1698-1705. doi:10.1053/j.gastro.2009.07.061. </w:t>
      </w:r>
      <w:hyperlink r:id="rId14">
        <w:r>
          <w:rPr>
            <w:rStyle w:val="Hyperlink"/>
          </w:rPr>
          <w:t>Open reference source</w:t>
        </w:r>
      </w:hyperlink>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16/j.jhep.2016.04.001" TargetMode="External"/><Relationship Id="rId8" Type="http://schemas.openxmlformats.org/officeDocument/2006/relationships/hyperlink" Target="https://www.hrsa.gov/sites/default/files/hrsa/optn/optn_policies.pdf" TargetMode="External"/><Relationship Id="rId9" Type="http://schemas.openxmlformats.org/officeDocument/2006/relationships/hyperlink" Target="https://doi.org/10.14309/ajg.0000000000002857" TargetMode="External"/><Relationship Id="rId10" Type="http://schemas.openxmlformats.org/officeDocument/2006/relationships/hyperlink" Target="https://doi.org/10.1097/TXD.0000000000001264" TargetMode="External"/><Relationship Id="rId11" Type="http://schemas.openxmlformats.org/officeDocument/2006/relationships/hyperlink" Target="https://doi.org/10.1002/lt.24417" TargetMode="External"/><Relationship Id="rId12" Type="http://schemas.openxmlformats.org/officeDocument/2006/relationships/hyperlink" Target="https://doi.org/10.1053/j.gastro.2016.11.042" TargetMode="External"/><Relationship Id="rId13" Type="http://schemas.openxmlformats.org/officeDocument/2006/relationships/hyperlink" Target="https://doi.org/10.1001/jamasurg.2014.3166" TargetMode="External"/><Relationship Id="rId14" Type="http://schemas.openxmlformats.org/officeDocument/2006/relationships/hyperlink" Target="https://doi.org/10.1053/j.gastro.2009.07.06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2026-07-15T23:24:18.551Z</dcterms:modified>
  <dc:title>UTHealth Houston Hepatic Adenoma Liver Transplant Protocol - Guidance-Aligned NLRB Pathway</dc:title>
  <dc:subject>Non-standard NLRB pathway for hepatic adenoma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