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UTHealth Houston Liver Transplant Protocol for HCC — Standard Protocol — V3</w:t>
      </w:r>
    </w:p>
    <w:p>
      <w:pPr>
        <w:pStyle w:val="Heading2"/>
      </w:pPr>
      <w:r>
        <w:t>Policy and allocation status</w:t>
      </w:r>
    </w:p>
    <w:p>
      <w:pPr>
        <w:pStyle w:val="Normal"/>
      </w:pPr>
      <w:r>
        <w:rPr>
          <w:sz w:val="21"/>
        </w:rPr>
        <w:t>STANDARDIZED EXCEPTION PATHWAY. HCC is standardized only when the candidate satisfies OPTN Policy 9.5.I, including the initial assessment, Class 5/T2 or qualifying downstaging criteria, imaging requirements, and AFP rules. Cases outside those criteria require NLRB review and have no automatic exception entitlement.</w:t>
      </w:r>
    </w:p>
    <w:p>
      <w:pPr>
        <w:pStyle w:val="Normal"/>
      </w:pPr>
      <w:r>
        <w:t>Policy review date: 21 September 2026. Controlling allocation sources: OPTN Policies (Policy 9.4 and 9.5, current HRSA posting) and the OPTN/HRSA Guidance to Liver Transplant Programs and the National Liver Review Board for Adult MELD Exceptions for Transplant Oncology (current posting; https://www.hrsa.gov/sites/default/files/hrsa/optn/adult-meld-exception-transplant-oncology-review-guidance.pdf). The guidance is not OPTN policy and does not define a clinical standard of care. Classification verified: the OPTN Board action of 9 June 2025 (guidance effective 1 July 2025) added recommended exception scores for NON-STANDARD transplant-oncology diagnoses; it did not move intrahepatic cholangiocarcinoma, colorectal liver metastases, neuroendocrine liver metastases, hepatic epithelioid hemangioendothelioma or hepatocellular adenoma into the standardized list in Policy 9.5 (9.5.A-9.5.I). Secondary literature stating otherwise (doi:10.1245/s10434-025-18408-0) is imprecise on this point. Re-verify against the live posting before committee adoption and before each exception submission.</w:t>
      </w:r>
    </w:p>
    <w:p>
      <w:pPr>
        <w:pStyle w:val="Normal"/>
      </w:pPr>
      <w:r>
        <w:rPr>
          <w:sz w:val="21"/>
        </w:rPr>
        <w:t>This file is a clinical-operational draft and must be approved through UTHealth transplant governance before activation. All drug selection, dose, washout, immunosuppression, surveillance, donor-source, and stopping-rule decisions require current multidisciplinary review and applicable pharmacy, IRB, DSMB, institutional, and regulatory approval before clinical use.</w:t>
      </w:r>
    </w:p>
    <w:p>
      <w:pPr>
        <w:pStyle w:val="Heading2"/>
      </w:pPr>
      <w:r>
        <w:rPr>
          <w:b w:val="false"/>
          <w:bCs w:val="false"/>
          <w:i w:val="false"/>
          <w:iCs w:val="false"/>
        </w:rPr>
        <w:t xml:space="preserve">1. Purpose and Scope</w:t>
      </w:r>
    </w:p>
    <w:p>
      <w:pPr>
        <w:pStyle w:val="Normal"/>
      </w:pPr>
      <w:r>
        <w:rPr>
          <w:b w:val="false"/>
          <w:bCs w:val="false"/>
          <w:i w:val="false"/>
          <w:iCs w:val="false"/>
        </w:rPr>
        <w:t xml:space="preserve">This protocol establishes the standard clinical pathway for evaluation, listing, bridging therapy, transplantation, and post-transplant surveillance of patients with hepatocellular carcinoma (HCC) at UTHealth Houston.</w:t>
      </w:r>
      <w:r>
        <w:rPr>
          <w:b w:val="false"/>
          <w:bCs w:val="false"/>
          <w:i w:val="false"/>
          <w:iCs w:val="false"/>
        </w:rPr>
        <w:t xml:space="preserve"> It is grounded in current UNOS policy, NCCN Guidelines (v1.2026), and AASLD Practice Guidance (2023/2025).</w:t>
      </w:r>
      <w:r>
        <w:t xml:space="preserve">{National Comprehensive Cancer, 2026 #1;Dove, 2026 #2;Singal, 2023 #3}</w:t>
      </w:r>
    </w:p>
    <w:p>
      <w:pPr>
        <w:pStyle w:val="Heading2"/>
      </w:pPr>
      <w:r>
        <w:rPr>
          <w:b w:val="false"/>
          <w:bCs w:val="false"/>
          <w:i w:val="false"/>
          <w:iCs w:val="false"/>
        </w:rPr>
        <w:t xml:space="preserve">2. Multidisciplinary Team</w:t>
      </w:r>
    </w:p>
    <w:p>
      <w:pPr>
        <w:pStyle w:val="Normal"/>
      </w:pPr>
      <w:r>
        <w:rPr>
          <w:b w:val="false"/>
          <w:bCs w:val="false"/>
          <w:i w:val="false"/>
          <w:iCs w:val="false"/>
        </w:rPr>
        <w:t xml:space="preserve">All patients with HCC must be evaluated by a multidisciplinary team (MDT) including hepatologists, transplant surgeons, medical oncologists, diagnostic and interventional radiologists, radiation oncologists, and pathologists with HCC expertise.</w:t>
      </w:r>
      <w:r>
        <w:t xml:space="preserve">{National Comprehensive Cancer, 2026 #1}</w:t>
      </w:r>
      <w:r>
        <w:rPr>
          <w:b w:val="false"/>
          <w:bCs w:val="false"/>
          <w:i w:val="false"/>
          <w:iCs w:val="false"/>
        </w:rPr>
        <w:t xml:space="preserve"> MDT conference review is required prior to listing, initiation of bridging/downstaging therapy, and at each restaging interval.</w:t>
      </w:r>
    </w:p>
    <w:p>
      <w:pPr>
        <w:pStyle w:val="Heading2"/>
      </w:pPr>
      <w:r>
        <w:rPr>
          <w:b w:val="false"/>
          <w:bCs w:val="false"/>
          <w:i w:val="false"/>
          <w:iCs w:val="false"/>
        </w:rPr>
        <w:t xml:space="preserve">3. Patient Selection Criteria</w:t>
      </w:r>
    </w:p>
    <w:p>
      <w:pPr>
        <w:pStyle w:val="Heading3"/>
      </w:pPr>
      <w:r>
        <w:t>3.1 Transplant candidacy (center listing decision)</w:t>
      </w:r>
    </w:p>
    <w:p>
      <w:pPr>
        <w:pStyle w:val="Normal"/>
      </w:pPr>
      <w:r>
        <w:t>Transplant candidacy is determined by the transplant selection committee and is independent of MELD-exception eligibility. Requirements: histologic or OPTN Class 5 imaging diagnosis of HCC; no extrahepatic disease; no macrovascular invasion of the main portal vein, hepatic vein or IVC; tumour burden judged acceptable by MDT after consideration of Milan criteria, downstaging potential and tumour biology; medically fit for major surgery (adequate cardiopulmonary reserve, acceptable performance status); and no absolute transplant contraindication per Section 3.4b. There is no minimum lesion size for transplant candidacy.</w:t>
      </w:r>
    </w:p>
    <w:p>
      <w:pPr>
        <w:pStyle w:val="Normal"/>
      </w:pPr>
      <w:r>
        <w:t>3.1b Standardized MELD-exception eligibility (OPTN Policy 9.5.I)</w:t>
      </w:r>
    </w:p>
    <w:p>
      <w:pPr>
        <w:pStyle w:val="Normal"/>
      </w:pPr>
      <w:r>
        <w:t xml:space="preserve">Separate from candidacy, and assessed only after candidacy is established. To qualify for the standardized exception the candidate must satisfy every element of Policy 9.5.I, including the imaging requirements, the AFP rules in Section 3.2, and the Class 5/T2 criteria below:{Dove, 2026 #2}</w:t>
      </w:r>
    </w:p>
    <w:p>
      <w:pPr>
        <w:pStyle w:val="Normal"/>
      </w:pPr>
      <w:r>
        <w:rPr>
          <w:b w:val="false"/>
          <w:bCs w:val="false"/>
          <w:i w:val="false"/>
          <w:iCs w:val="false"/>
        </w:rPr>
        <w:t xml:space="preserve">- </w:t>
      </w:r>
      <w:r>
        <w:rPr>
          <w:b/>
          <w:bCs/>
          <w:i w:val="false"/>
          <w:iCs w:val="false"/>
        </w:rPr>
        <w:t xml:space="preserve">Single lesion ≥2 cm and ≤5 cm</w:t>
      </w:r>
      <w:r>
        <w:rPr>
          <w:b w:val="false"/>
          <w:bCs w:val="false"/>
          <w:i w:val="false"/>
          <w:iCs w:val="false"/>
        </w:rPr>
        <w:t xml:space="preserve">, OR </w:t>
      </w:r>
      <w:r>
        <w:rPr>
          <w:b/>
          <w:bCs/>
          <w:i w:val="false"/>
          <w:iCs w:val="false"/>
        </w:rPr>
        <w:t xml:space="preserve">2–3 lesions each ≥1 cm and ≤3 cm</w:t>
      </w:r>
    </w:p>
    <w:p>
      <w:pPr>
        <w:pStyle w:val="Normal"/>
      </w:pPr>
      <w:r>
        <w:rPr>
          <w:b w:val="false"/>
          <w:bCs w:val="false"/>
          <w:i w:val="false"/>
          <w:iCs w:val="false"/>
        </w:rPr>
        <w:t xml:space="preserve">- AFP ≤1,000 ng/mL</w:t>
      </w:r>
    </w:p>
    <w:p>
      <w:pPr>
        <w:pStyle w:val="Normal"/>
      </w:pPr>
      <w:r>
        <w:rPr>
          <w:b w:val="false"/>
          <w:bCs w:val="false"/>
          <w:i w:val="false"/>
          <w:iCs w:val="false"/>
        </w:rPr>
        <w:t xml:space="preserve">- No macrovascular invasion on cross-sectional imaging</w:t>
      </w:r>
    </w:p>
    <w:p>
      <w:pPr>
        <w:pStyle w:val="Normal"/>
      </w:pPr>
      <w:r>
        <w:rPr>
          <w:b w:val="false"/>
          <w:bCs w:val="false"/>
          <w:i w:val="false"/>
          <w:iCs w:val="false"/>
        </w:rPr>
        <w:t xml:space="preserve">- No extrahepatic disease</w:t>
      </w:r>
    </w:p>
    <w:p>
      <w:pPr>
        <w:pStyle w:val="Normal"/>
      </w:pPr>
      <w:r>
        <w:t>Candidates who are transplant candidates but do not meet Policy 9.5.I are listed at their calculated MELD-Na score, are reassessed at each restaging interval, and may be submitted to the NLRB as a non-standard request. Failure to meet Policy 9.5.I is never by itself a reason to decline candidacy or to remove a patient from the waitlist.</w:t>
      </w:r>
    </w:p>
    <w:p>
      <w:pPr>
        <w:pStyle w:val="Heading3"/>
      </w:pPr>
      <w:r>
        <w:rPr>
          <w:b w:val="false"/>
          <w:bCs w:val="false"/>
          <w:i w:val="false"/>
          <w:iCs w:val="false"/>
        </w:rPr>
        <w:t xml:space="preserve">3.2 AFP Requirements</w:t>
      </w:r>
    </w:p>
    <w:p>
      <w:pPr>
        <w:pStyle w:val="Normal"/>
      </w:pPr>
      <w:r>
        <w:t xml:space="preserve">- AFP must be ≤1,000 ng/mL for T2 standardized-exception eligibility.{Dove, 2026 #2}</w:t>
      </w:r>
    </w:p>
    <w:p>
      <w:pPr>
        <w:pStyle w:val="Normal"/>
      </w:pPr>
      <w:r>
        <w:t xml:space="preserve">- If AFP has ever exceeded 1,000 ng/mL, it must fall below 500 ng/mL after locoregional therapy and remain below 500 ng/mL; any subsequent AFP ≥500 ng/mL requires NLRB review.{Dove, 2026 #2}</w:t>
      </w:r>
    </w:p>
    <w:p>
      <w:pPr>
        <w:pStyle w:val="Normal"/>
      </w:pPr>
      <w:r>
        <w:t>- Candidates with AFP greater than 1,000 ng/mL who do not respond to treatment with a fall below 500 ng/mL are not eligible for the standardized exception and must be reviewed by the Adult Transplant Oncology Review Board. The guidance states that such candidates are in general not suitable for an HCC MELD exception, though some may be appropriate; the justification narrative must address this directly.</w:t>
      </w:r>
    </w:p>
    <w:p>
      <w:pPr>
        <w:pStyle w:val="Heading3"/>
      </w:pPr>
      <w:r>
        <w:rPr>
          <w:b w:val="false"/>
          <w:bCs w:val="false"/>
          <w:i w:val="false"/>
          <w:iCs w:val="false"/>
        </w:rPr>
        <w:t xml:space="preserve">3.3 Liver Function Assessment</w:t>
      </w:r>
    </w:p>
    <w:p>
      <w:pPr>
        <w:pStyle w:val="Normal"/>
      </w:pPr>
      <w:r>
        <w:rPr>
          <w:b w:val="false"/>
          <w:bCs w:val="false"/>
          <w:i w:val="false"/>
          <w:iCs w:val="false"/>
        </w:rPr>
        <w:t xml:space="preserve">- Child-Turcotte-Pugh (CTP) classification and MELD-Na score</w:t>
      </w:r>
    </w:p>
    <w:p>
      <w:pPr>
        <w:pStyle w:val="Normal"/>
      </w:pPr>
      <w:r>
        <w:rPr>
          <w:b w:val="false"/>
          <w:bCs w:val="false"/>
          <w:i w:val="false"/>
          <w:iCs w:val="false"/>
        </w:rPr>
        <w:t xml:space="preserve">- Assessment for portal hypertension (varices, splenomegaly, thrombocytopenia)</w:t>
      </w:r>
    </w:p>
    <w:p>
      <w:pPr>
        <w:pStyle w:val="Normal"/>
      </w:pPr>
      <w:r>
        <w:rPr>
          <w:b w:val="false"/>
          <w:bCs w:val="false"/>
          <w:i w:val="false"/>
          <w:iCs w:val="false"/>
        </w:rPr>
        <w:t xml:space="preserve">- Patients with CTP Class A who are both resectable and transplantable should be discussed at MDT for individualized decision-making regarding resection vs. transplant.</w:t>
      </w:r>
      <w:r>
        <w:t xml:space="preserve">{National Comprehensive Cancer, 2026 #1}</w:t>
      </w:r>
    </w:p>
    <w:p>
      <w:pPr>
        <w:pStyle w:val="Heading3"/>
      </w:pPr>
      <w:r>
        <w:t>3.4a Contraindications to the standardized HCC MELD exception (Policy 9.5.I / NLRB guidance)</w:t>
      </w:r>
    </w:p>
    <w:p>
      <w:pPr>
        <w:pStyle w:val="Normal"/>
      </w:pPr>
      <w:r>
        <w:rPr>
          <w:sz w:val="21"/>
        </w:rPr>
        <w:t>- HCC exception-specific contraindications in the December 2025 guidance include T1 HCC, ruptured HCC, extrahepatic metastatic disease, and macrovascular invasion of the main portal vein or hepatic vein.</w:t>
      </w:r>
    </w:p>
    <w:p>
      <w:pPr>
        <w:pStyle w:val="Normal"/>
      </w:pPr>
      <w:r>
        <w:rPr>
          <w:sz w:val="21"/>
        </w:rPr>
        <w:t>- Primary portal-vein branch invasion or ruptured HCC may be considered only through a non-standard request after treatment and at least 12 months of documented stability; neither is automatically eligible.</w:t>
      </w:r>
    </w:p>
    <w:p>
      <w:pPr>
        <w:pStyle w:val="Normal"/>
      </w:pPr>
      <w:r>
        <w:t>These are exception-ineligibility criteria. They do not by themselves determine transplant candidacy: a candidate with T1 HCC is not exception-eligible but may be an appropriate transplant candidate at calculated MELD.</w:t>
      </w:r>
    </w:p>
    <w:p>
      <w:pPr>
        <w:pStyle w:val="Normal"/>
      </w:pPr>
      <w:r>
        <w:t>3.4b Contraindications to liver transplantation (center criteria)</w:t>
      </w:r>
    </w:p>
    <w:p>
      <w:pPr>
        <w:pStyle w:val="Normal"/>
      </w:pPr>
      <w:r>
        <w:rPr>
          <w:b w:val="false"/>
          <w:bCs w:val="false"/>
          <w:i w:val="false"/>
          <w:iCs w:val="false"/>
        </w:rPr>
        <w:t xml:space="preserve">- Extrahepatic metastatic disease</w:t>
      </w:r>
    </w:p>
    <w:p>
      <w:pPr>
        <w:pStyle w:val="Normal"/>
      </w:pPr>
      <w:r>
        <w:rPr>
          <w:b w:val="false"/>
          <w:bCs w:val="false"/>
          <w:i w:val="false"/>
          <w:iCs w:val="false"/>
        </w:rPr>
        <w:t xml:space="preserve">- Macrovascular invasion (main portal vein, hepatic vein, or IVC)</w:t>
      </w:r>
    </w:p>
    <w:p>
      <w:pPr>
        <w:pStyle w:val="Normal"/>
      </w:pPr>
      <w:r>
        <w:rPr>
          <w:b w:val="false"/>
          <w:bCs w:val="false"/>
          <w:i w:val="false"/>
          <w:iCs w:val="false"/>
        </w:rPr>
        <w:t xml:space="preserve">- Infiltrative tumor growth pattern</w:t>
      </w:r>
    </w:p>
    <w:p>
      <w:pPr>
        <w:pStyle w:val="Normal"/>
      </w:pPr>
      <w:r>
        <w:rPr>
          <w:b w:val="false"/>
          <w:bCs w:val="false"/>
          <w:i w:val="false"/>
          <w:iCs w:val="false"/>
        </w:rPr>
        <w:t xml:space="preserve">- Active uncontrolled infection or sepsis</w:t>
      </w:r>
    </w:p>
    <w:p>
      <w:pPr>
        <w:pStyle w:val="Normal"/>
      </w:pPr>
      <w:r>
        <w:rPr>
          <w:b w:val="false"/>
          <w:bCs w:val="false"/>
          <w:i w:val="false"/>
          <w:iCs w:val="false"/>
        </w:rPr>
        <w:t xml:space="preserve">- Severe cardiopulmonary disease precluding major surgery</w:t>
      </w:r>
    </w:p>
    <w:p>
      <w:pPr>
        <w:pStyle w:val="Normal"/>
      </w:pPr>
      <w:r>
        <w:rPr>
          <w:b w:val="false"/>
          <w:bCs w:val="false"/>
          <w:i w:val="false"/>
          <w:iCs w:val="false"/>
        </w:rPr>
        <w:t xml:space="preserve">- Active substance abuse (per institutional policy)</w:t>
      </w:r>
    </w:p>
    <w:p>
      <w:pPr>
        <w:pStyle w:val="Heading2"/>
      </w:pPr>
      <w:r>
        <w:rPr>
          <w:b w:val="false"/>
          <w:bCs w:val="false"/>
          <w:i w:val="false"/>
          <w:iCs w:val="false"/>
        </w:rPr>
        <w:t xml:space="preserve">4. Pre-Transplant Workup</w:t>
      </w:r>
    </w:p>
    <w:p>
      <w:pPr>
        <w:pStyle w:val="Heading3"/>
      </w:pPr>
      <w:r>
        <w:rPr>
          <w:b w:val="false"/>
          <w:bCs w:val="false"/>
          <w:i w:val="false"/>
          <w:iCs w:val="false"/>
        </w:rPr>
        <w:t xml:space="preserve">4.1 Imaging</w:t>
      </w:r>
    </w:p>
    <w:p>
      <w:pPr>
        <w:pStyle w:val="Normal"/>
      </w:pPr>
      <w:r>
        <w:rPr>
          <w:b w:val="false"/>
          <w:bCs w:val="false"/>
          <w:i w:val="false"/>
          <w:iCs w:val="false"/>
        </w:rPr>
        <w:t xml:space="preserve">- Multiphasic contrast-enhanced abdominal </w:t>
      </w:r>
      <w:r>
        <w:rPr>
          <w:b/>
          <w:bCs/>
          <w:i w:val="false"/>
          <w:iCs w:val="false"/>
        </w:rPr>
        <w:t xml:space="preserve">MRI</w:t>
      </w:r>
      <w:r>
        <w:rPr>
          <w:b w:val="false"/>
          <w:bCs w:val="false"/>
          <w:i w:val="false"/>
          <w:iCs w:val="false"/>
        </w:rPr>
        <w:t xml:space="preserve"> (preferred) or multiphase </w:t>
      </w:r>
      <w:r>
        <w:rPr>
          <w:b/>
          <w:bCs/>
          <w:i w:val="false"/>
          <w:iCs w:val="false"/>
        </w:rPr>
        <w:t xml:space="preserve">CT</w:t>
      </w:r>
      <w:r>
        <w:rPr>
          <w:b w:val="false"/>
          <w:bCs w:val="false"/>
          <w:i w:val="false"/>
          <w:iCs w:val="false"/>
        </w:rPr>
        <w:t xml:space="preserve"> with interpretation at the transplant center</w:t>
      </w:r>
      <w:r>
        <w:t xml:space="preserve">{National Comprehensive Cancer, 2026 #1;Dove, 2026 #2}</w:t>
      </w:r>
    </w:p>
    <w:p>
      <w:pPr>
        <w:pStyle w:val="Normal"/>
      </w:pPr>
      <w:r>
        <w:t>- Contrast-enhanced ultrasound (CEUS) is an additional acceptable diagnostic modality for standard HCC exceptions following the OPTN Board action of 9 June 2025, which also aligns Policy 9.5.I imaging classification with LI-RADS terminology. VERIFY the implementation status of the policy language against the live Policy 9.5.I posting before relying on CEUS for an exception request.</w:t>
      </w:r>
    </w:p>
    <w:p>
      <w:pPr>
        <w:pStyle w:val="Normal"/>
      </w:pPr>
      <w:r>
        <w:rPr>
          <w:b w:val="false"/>
          <w:bCs w:val="false"/>
          <w:i w:val="false"/>
          <w:iCs w:val="false"/>
        </w:rPr>
        <w:t xml:space="preserve">- CT chest for thoracic staging</w:t>
      </w:r>
      <w:r>
        <w:t xml:space="preserve">{National Comprehensive Cancer, 2026 #1;Dove, 2026 #2}</w:t>
      </w:r>
    </w:p>
    <w:p>
      <w:pPr>
        <w:pStyle w:val="Normal"/>
      </w:pPr>
      <w:r>
        <w:rPr>
          <w:b w:val="false"/>
          <w:bCs w:val="false"/>
          <w:i w:val="false"/>
          <w:iCs w:val="false"/>
        </w:rPr>
        <w:t xml:space="preserve">- Bone scan if clinically indicated</w:t>
      </w:r>
      <w:r>
        <w:t xml:space="preserve">{National Comprehensive Cancer, 2026 #1}</w:t>
      </w:r>
    </w:p>
    <w:p>
      <w:pPr>
        <w:pStyle w:val="Normal"/>
      </w:pPr>
      <w:r>
        <w:rPr>
          <w:b w:val="false"/>
          <w:bCs w:val="false"/>
          <w:i w:val="false"/>
          <w:iCs w:val="false"/>
        </w:rPr>
        <w:t xml:space="preserve">- Imaging should conform to LI-RADS criteria</w:t>
      </w:r>
    </w:p>
    <w:p>
      <w:pPr>
        <w:pStyle w:val="Heading3"/>
      </w:pPr>
      <w:r>
        <w:rPr>
          <w:b w:val="false"/>
          <w:bCs w:val="false"/>
          <w:i w:val="false"/>
          <w:iCs w:val="false"/>
        </w:rPr>
        <w:t xml:space="preserve">4.2 Laboratory Studies</w:t>
      </w:r>
    </w:p>
    <w:p>
      <w:pPr>
        <w:pStyle w:val="Normal"/>
      </w:pPr>
      <w:r>
        <w:rPr>
          <w:b w:val="false"/>
          <w:bCs w:val="false"/>
          <w:i w:val="false"/>
          <w:iCs w:val="false"/>
        </w:rPr>
        <w:t xml:space="preserve">- AFP (baseline and serial)</w:t>
      </w:r>
      <w:r>
        <w:t xml:space="preserve">{National Comprehensive Cancer, 2026 #1}</w:t>
      </w:r>
    </w:p>
    <w:p>
      <w:pPr>
        <w:pStyle w:val="Normal"/>
      </w:pPr>
      <w:r>
        <w:rPr>
          <w:b w:val="false"/>
          <w:bCs w:val="false"/>
          <w:i w:val="false"/>
          <w:iCs w:val="false"/>
        </w:rPr>
        <w:t xml:space="preserve">- Complete hepatitis panel (HBsAg, HBcAb IgG, HCV Ab with reflex RNA/genotype)</w:t>
      </w:r>
      <w:r>
        <w:t xml:space="preserve">{National Comprehensive Cancer, 2026 #1}</w:t>
      </w:r>
    </w:p>
    <w:p>
      <w:pPr>
        <w:pStyle w:val="Normal"/>
      </w:pPr>
      <w:r>
        <w:rPr>
          <w:b w:val="false"/>
          <w:bCs w:val="false"/>
          <w:i w:val="false"/>
          <w:iCs w:val="false"/>
        </w:rPr>
        <w:t xml:space="preserve">- Bilirubin, transaminases, alkaline phosphatase, albumin</w:t>
      </w:r>
    </w:p>
    <w:p>
      <w:pPr>
        <w:pStyle w:val="Normal"/>
      </w:pPr>
      <w:r>
        <w:rPr>
          <w:b w:val="false"/>
          <w:bCs w:val="false"/>
          <w:i w:val="false"/>
          <w:iCs w:val="false"/>
        </w:rPr>
        <w:t xml:space="preserve">- PT/INR, CBC with platelets</w:t>
      </w:r>
    </w:p>
    <w:p>
      <w:pPr>
        <w:pStyle w:val="Normal"/>
      </w:pPr>
      <w:r>
        <w:rPr>
          <w:b w:val="false"/>
          <w:bCs w:val="false"/>
          <w:i w:val="false"/>
          <w:iCs w:val="false"/>
        </w:rPr>
        <w:t xml:space="preserve">- BUN, creatinine</w:t>
      </w:r>
    </w:p>
    <w:p>
      <w:pPr>
        <w:pStyle w:val="Normal"/>
      </w:pPr>
      <w:r>
        <w:rPr>
          <w:b w:val="false"/>
          <w:bCs w:val="false"/>
          <w:i w:val="false"/>
          <w:iCs w:val="false"/>
        </w:rPr>
        <w:t xml:space="preserve">- MELD-Na calculation</w:t>
      </w:r>
    </w:p>
    <w:p>
      <w:pPr>
        <w:pStyle w:val="Heading3"/>
      </w:pPr>
      <w:r>
        <w:rPr>
          <w:b w:val="false"/>
          <w:bCs w:val="false"/>
          <w:i w:val="false"/>
          <w:iCs w:val="false"/>
        </w:rPr>
        <w:t xml:space="preserve">4.3 Restaging While on Waitlist</w:t>
      </w:r>
    </w:p>
    <w:p>
      <w:pPr>
        <w:pStyle w:val="Normal"/>
      </w:pPr>
      <w:r>
        <w:rPr>
          <w:b w:val="false"/>
          <w:bCs w:val="false"/>
          <w:i w:val="false"/>
          <w:iCs w:val="false"/>
        </w:rPr>
        <w:t xml:space="preserve">- Abdominal imaging (multiphasic MRI or CT) </w:t>
      </w:r>
      <w:r>
        <w:rPr>
          <w:b/>
          <w:bCs/>
          <w:i w:val="false"/>
          <w:iCs w:val="false"/>
        </w:rPr>
        <w:t xml:space="preserve">every 3 months</w:t>
      </w:r>
      <w:r>
        <w:t xml:space="preserve">{Dove, 2026 #2}</w:t>
      </w:r>
    </w:p>
    <w:p>
      <w:pPr>
        <w:pStyle w:val="Normal"/>
      </w:pPr>
      <w:r>
        <w:rPr>
          <w:b w:val="false"/>
          <w:bCs w:val="false"/>
          <w:i w:val="false"/>
          <w:iCs w:val="false"/>
        </w:rPr>
        <w:t xml:space="preserve">- CT chest </w:t>
      </w:r>
      <w:r>
        <w:rPr>
          <w:b/>
          <w:bCs/>
          <w:i w:val="false"/>
          <w:iCs w:val="false"/>
        </w:rPr>
        <w:t xml:space="preserve">every 6–12 months</w:t>
      </w:r>
      <w:r>
        <w:t xml:space="preserve">{Dove, 2026 #2}</w:t>
      </w:r>
    </w:p>
    <w:p>
      <w:pPr>
        <w:pStyle w:val="Normal"/>
      </w:pPr>
      <w:r>
        <w:rPr>
          <w:b w:val="false"/>
          <w:bCs w:val="false"/>
          <w:i w:val="false"/>
          <w:iCs w:val="false"/>
        </w:rPr>
        <w:t xml:space="preserve">- AFP </w:t>
      </w:r>
      <w:r>
        <w:rPr>
          <w:b/>
          <w:bCs/>
          <w:i w:val="false"/>
          <w:iCs w:val="false"/>
        </w:rPr>
        <w:t xml:space="preserve">every 3 months</w:t>
      </w:r>
    </w:p>
    <w:p>
      <w:pPr>
        <w:pStyle w:val="Heading2"/>
      </w:pPr>
      <w:r>
        <w:rPr>
          <w:b w:val="false"/>
          <w:bCs w:val="false"/>
          <w:i w:val="false"/>
          <w:iCs w:val="false"/>
        </w:rPr>
        <w:t xml:space="preserve">5. UNOS Listing and MELD Exception</w:t>
      </w:r>
    </w:p>
    <w:p>
      <w:pPr>
        <w:pStyle w:val="Normal"/>
      </w:pPr>
      <w:r>
        <w:t xml:space="preserve">- Adults who meet Policy 9.5.I criteria may receive a standardized exception pathway. The initial request and first extension use calculated MELD; qualifying extensions after the first receive MMaT-3, which generally produces an approximately 6-month delay before exception priority.{Dove, 2026 #2;Singal, 2023 #3}</w:t>
      </w:r>
    </w:p>
    <w:p>
      <w:pPr>
        <w:pStyle w:val="Normal"/>
      </w:pPr>
      <w:r>
        <w:rPr>
          <w:b w:val="false"/>
          <w:bCs w:val="false"/>
          <w:i w:val="false"/>
          <w:iCs w:val="false"/>
        </w:rPr>
        <w:t xml:space="preserve">- Exception score: MMaT-3 (3 points below the median MELD at transplant for the distribution area).</w:t>
      </w:r>
      <w:r>
        <w:t xml:space="preserve">{Singal, 2023 #3}</w:t>
      </w:r>
    </w:p>
    <w:p>
      <w:pPr>
        <w:pStyle w:val="Normal"/>
      </w:pPr>
      <w:r>
        <w:t>- Recurrence pathway (guidance). A candidate who presented with stage T2 HCC (LI-RADS 5 or biopsy proven) that was treated by locoregional therapy or resected, and who then develops T1 or T2 (LI-RADS 5 or biopsy proven) recurrence, is eligible for a MELD exception without the six-month waiting period when the program is requesting an INITIAL HCC exception more than 6 months but less than 60 months following the initial treatment or resection. All three conditions apply: original presentation at stage T2; treatment by locoregional therapy or resection; and an initial exception request. VERIFY the wording verbatim against the live guidance before submission.</w:t>
      </w:r>
    </w:p>
    <w:p>
      <w:pPr>
        <w:pStyle w:val="Heading2"/>
      </w:pPr>
      <w:r>
        <w:rPr>
          <w:b w:val="false"/>
          <w:bCs w:val="false"/>
          <w:i w:val="false"/>
          <w:iCs w:val="false"/>
        </w:rPr>
        <w:t xml:space="preserve">6. Bridging Therapy</w:t>
      </w:r>
    </w:p>
    <w:p>
      <w:pPr>
        <w:pStyle w:val="Normal"/>
      </w:pPr>
      <w:r>
        <w:t xml:space="preserve">{Dove, 2026 #2;Singal, 2023 #3}</w:t>
      </w:r>
      <w:r>
        <w:rPr>
          <w:b w:val="false"/>
          <w:bCs w:val="false"/>
          <w:i w:val="false"/>
          <w:iCs w:val="false"/>
        </w:rPr>
        <w:t xml:space="preserve">Bridging locoregional therapy (LRT) should be considered for transplant candidates when the anticipated wait, tumor stage, hepatic reserve, treatment feasibility, and risk of decompensation support treatment. It is not mandatory for every candidate; selection and modality require multidisciplinary review.{Dove, 2026 #2;Singal, 2023 #3}</w:t>
      </w:r>
    </w:p>
    <w:p>
      <w:pPr>
        <w:pStyle w:val="Heading3"/>
      </w:pPr>
      <w:r>
        <w:rPr>
          <w:b w:val="false"/>
          <w:bCs w:val="false"/>
          <w:i w:val="false"/>
          <w:iCs w:val="false"/>
        </w:rPr>
        <w:t xml:space="preserve">6.1 Modalities (no single LRT is preferred over another; selection based on tumor size, location, and center expertise):</w:t>
      </w:r>
    </w:p>
    <w:p>
      <w:pPr>
        <w:pStyle w:val="Normal"/>
      </w:pPr>
      <w:r>
        <w:rPr>
          <w:b w:val="false"/>
          <w:bCs w:val="false"/>
          <w:i w:val="false"/>
          <w:iCs w:val="false"/>
        </w:rPr>
        <w:t xml:space="preserve">- </w:t>
      </w:r>
      <w:r>
        <w:rPr>
          <w:b/>
          <w:bCs/>
          <w:i w:val="false"/>
          <w:iCs w:val="false"/>
        </w:rPr>
        <w:t xml:space="preserve">Ablation</w:t>
      </w:r>
      <w:r>
        <w:rPr>
          <w:b w:val="false"/>
          <w:bCs w:val="false"/>
          <w:i w:val="false"/>
          <w:iCs w:val="false"/>
        </w:rPr>
        <w:t xml:space="preserve"> (microwave or radiofrequency): Preferred for tumors ≤3 cm in accessible locations</w:t>
      </w:r>
      <w:r>
        <w:t xml:space="preserve">{National Comprehensive Cancer, 2026 #1}</w:t>
      </w:r>
    </w:p>
    <w:p>
      <w:pPr>
        <w:pStyle w:val="Normal"/>
      </w:pPr>
      <w:r>
        <w:rPr>
          <w:b w:val="false"/>
          <w:bCs w:val="false"/>
          <w:i w:val="false"/>
          <w:iCs w:val="false"/>
        </w:rPr>
        <w:t xml:space="preserve">- </w:t>
      </w:r>
      <w:r>
        <w:rPr>
          <w:b/>
          <w:bCs/>
          <w:i w:val="false"/>
          <w:iCs w:val="false"/>
        </w:rPr>
        <w:t xml:space="preserve">Transarterial chemoembolization (TACE)</w:t>
      </w:r>
      <w:r>
        <w:rPr>
          <w:b w:val="false"/>
          <w:bCs w:val="false"/>
          <w:i w:val="false"/>
          <w:iCs w:val="false"/>
        </w:rPr>
        <w:t xml:space="preserve"> or </w:t>
      </w:r>
      <w:r>
        <w:rPr>
          <w:b/>
          <w:bCs/>
          <w:i w:val="false"/>
          <w:iCs w:val="false"/>
        </w:rPr>
        <w:t xml:space="preserve">TACE with drug-eluting beads (DEB-TACE)</w:t>
      </w:r>
    </w:p>
    <w:p>
      <w:pPr>
        <w:pStyle w:val="Normal"/>
      </w:pPr>
      <w:r>
        <w:t xml:space="preserve">- Transarterial radioembolization (TARE/Y-90). Registry and observational comparisons report lower waitlist dropout and higher rates of complete pathologic necrosis than TACE. These are non-randomized comparisons subject to confounding by indication — tumour size, location, hepatic reserve and center practice all drive modality choice — and they do not establish superiority.{Fakhoury, 2026 #4}</w:t>
      </w:r>
    </w:p>
    <w:p>
      <w:pPr>
        <w:pStyle w:val="Normal"/>
      </w:pPr>
      <w:r>
        <w:t xml:space="preserve">- Stereotactic body radiation therapy (SBRT). Pooled post-transplant survival figures from meta-analyses of observational bridging and downstaging series are favourable, but they reflect selected candidates who reached transplantation and have no comparator arm. They may not be used to rank SBRT against other locoregional modalities.{Fernandes, 2026 #5}</w:t>
      </w:r>
    </w:p>
    <w:p>
      <w:pPr>
        <w:pStyle w:val="Normal"/>
      </w:pPr>
      <w:r>
        <w:rPr>
          <w:b w:val="false"/>
          <w:bCs w:val="false"/>
          <w:i w:val="false"/>
          <w:iCs w:val="false"/>
        </w:rPr>
        <w:t xml:space="preserve">- </w:t>
      </w:r>
      <w:r>
        <w:rPr>
          <w:b/>
          <w:bCs/>
          <w:i w:val="false"/>
          <w:iCs w:val="false"/>
        </w:rPr>
        <w:t xml:space="preserve">External beam radiation therapy (EBRT)</w:t>
      </w:r>
    </w:p>
    <w:p>
      <w:pPr>
        <w:pStyle w:val="Heading3"/>
      </w:pPr>
      <w:r>
        <w:rPr>
          <w:b w:val="false"/>
          <w:bCs w:val="false"/>
          <w:i w:val="false"/>
          <w:iCs w:val="false"/>
        </w:rPr>
        <w:t xml:space="preserve">6.2 Contraindications to Arterially Directed Therapies</w:t>
      </w:r>
    </w:p>
    <w:p>
      <w:pPr>
        <w:pStyle w:val="Normal"/>
      </w:pPr>
      <w:r>
        <w:rPr>
          <w:b w:val="false"/>
          <w:bCs w:val="false"/>
          <w:i w:val="false"/>
          <w:iCs w:val="false"/>
        </w:rPr>
        <w:t xml:space="preserve">- Bilirubin &gt;3 mg/dL (unless segmental treatment is feasible)</w:t>
      </w:r>
      <w:r>
        <w:t xml:space="preserve">{National Comprehensive Cancer, 2026 #1}</w:t>
      </w:r>
    </w:p>
    <w:p>
      <w:pPr>
        <w:pStyle w:val="Normal"/>
      </w:pPr>
      <w:r>
        <w:rPr>
          <w:b w:val="false"/>
          <w:bCs w:val="false"/>
          <w:i w:val="false"/>
          <w:iCs w:val="false"/>
        </w:rPr>
        <w:t xml:space="preserve">- Y-90: Increased risk of radiation-induced liver disease if bilirubin &gt;2 mg/dL</w:t>
      </w:r>
      <w:r>
        <w:t xml:space="preserve">{National Comprehensive Cancer, 2026 #1}</w:t>
      </w:r>
    </w:p>
    <w:p>
      <w:pPr>
        <w:pStyle w:val="Heading3"/>
      </w:pPr>
      <w:r>
        <w:rPr>
          <w:b w:val="false"/>
          <w:bCs w:val="false"/>
          <w:i w:val="false"/>
          <w:iCs w:val="false"/>
        </w:rPr>
        <w:t xml:space="preserve">6.3 Systemic Therapy as Bridging</w:t>
      </w:r>
    </w:p>
    <w:p>
      <w:pPr>
        <w:pStyle w:val="Normal"/>
      </w:pPr>
      <w:r>
        <w:rPr>
          <w:b w:val="false"/>
          <w:bCs w:val="false"/>
          <w:i w:val="false"/>
          <w:iCs w:val="false"/>
        </w:rPr>
        <w:t xml:space="preserve">- Routine use of systemic therapy (including immune checkpoint inhibitors) as bridging is </w:t>
      </w:r>
      <w:r>
        <w:rPr>
          <w:b/>
          <w:bCs/>
          <w:i w:val="false"/>
          <w:iCs w:val="false"/>
        </w:rPr>
        <w:t xml:space="preserve">not recommended</w:t>
      </w:r>
      <w:r>
        <w:rPr>
          <w:b w:val="false"/>
          <w:bCs w:val="false"/>
          <w:i w:val="false"/>
          <w:iCs w:val="false"/>
        </w:rPr>
        <w:t xml:space="preserve">.</w:t>
      </w:r>
      <w:r>
        <w:t xml:space="preserve">{Singal, 2023 #3}</w:t>
      </w:r>
    </w:p>
    <w:p>
      <w:pPr>
        <w:pStyle w:val="Normal"/>
      </w:pPr>
      <w:r>
        <w:rPr>
          <w:b w:val="false"/>
          <w:bCs w:val="false"/>
          <w:i w:val="false"/>
          <w:iCs w:val="false"/>
        </w:rPr>
        <w:t xml:space="preserve">- However, prior systemic therapy use does not preclude transplant eligibility.</w:t>
      </w:r>
      <w:r>
        <w:t xml:space="preserve">{Singal, 2023 #3}</w:t>
      </w:r>
    </w:p>
    <w:p>
      <w:pPr>
        <w:pStyle w:val="Heading2"/>
      </w:pPr>
      <w:r>
        <w:rPr>
          <w:b w:val="false"/>
          <w:bCs w:val="false"/>
          <w:i w:val="false"/>
          <w:iCs w:val="false"/>
        </w:rPr>
        <w:t xml:space="preserve">7. Downstaging Protocol (UNOS-DS Criteria)</w:t>
      </w:r>
    </w:p>
    <w:p>
      <w:pPr>
        <w:pStyle w:val="Normal"/>
      </w:pPr>
      <w:r>
        <w:rPr>
          <w:b w:val="false"/>
          <w:bCs w:val="false"/>
          <w:i w:val="false"/>
          <w:iCs w:val="false"/>
        </w:rPr>
        <w:t xml:space="preserve">Patients with HCC exceeding Milan criteria but within UNOS downstaging criteria may be considered for transplant after successful downstaging.</w:t>
      </w:r>
      <w:r>
        <w:t xml:space="preserve">{Dove, 2026 #2;Singal, 2023 #3}</w:t>
      </w:r>
    </w:p>
    <w:p>
      <w:pPr>
        <w:pStyle w:val="Heading3"/>
      </w:pPr>
      <w:r>
        <w:rPr>
          <w:b w:val="false"/>
          <w:bCs w:val="false"/>
          <w:i w:val="false"/>
          <w:iCs w:val="false"/>
        </w:rPr>
        <w:t xml:space="preserve">7.1 UNOS Downstaging Inclusion Criteria:</w:t>
      </w:r>
    </w:p>
    <w:p>
      <w:pPr>
        <w:pStyle w:val="Normal"/>
      </w:pPr>
      <w:r>
        <w:rPr>
          <w:b w:val="false"/>
          <w:bCs w:val="false"/>
          <w:i w:val="false"/>
          <w:iCs w:val="false"/>
        </w:rPr>
        <w:t xml:space="preserve">- Single lesion 5.1–8 cm, OR</w:t>
      </w:r>
    </w:p>
    <w:p>
      <w:pPr>
        <w:pStyle w:val="Normal"/>
      </w:pPr>
      <w:r>
        <w:rPr>
          <w:b w:val="false"/>
          <w:bCs w:val="false"/>
          <w:i w:val="false"/>
          <w:iCs w:val="false"/>
        </w:rPr>
        <w:t xml:space="preserve">- 2–3 lesions each ≤5 cm with sum of maximal tumor diameters ≤8 cm, OR</w:t>
      </w:r>
    </w:p>
    <w:p>
      <w:pPr>
        <w:pStyle w:val="Normal"/>
      </w:pPr>
      <w:r>
        <w:t>- 4–5 Class 5 lesions each &lt;3 cm, with total maximal diameters ≤8 cm</w:t>
      </w:r>
    </w:p>
    <w:p>
      <w:pPr>
        <w:pStyle w:val="Normal"/>
      </w:pPr>
      <w:r>
        <w:rPr>
          <w:b w:val="false"/>
          <w:bCs w:val="false"/>
          <w:i w:val="false"/>
          <w:iCs w:val="false"/>
        </w:rPr>
        <w:t xml:space="preserve">- AND absence of vascular invasion or extrahepatic disease</w:t>
      </w:r>
    </w:p>
    <w:p>
      <w:pPr>
        <w:pStyle w:val="Heading3"/>
      </w:pPr>
      <w:r>
        <w:rPr>
          <w:b w:val="false"/>
          <w:bCs w:val="false"/>
          <w:i w:val="false"/>
          <w:iCs w:val="false"/>
        </w:rPr>
        <w:t xml:space="preserve">7.2 Successful Downstaging Defined As:</w:t>
      </w:r>
    </w:p>
    <w:p>
      <w:pPr>
        <w:pStyle w:val="Normal"/>
      </w:pPr>
      <w:r>
        <w:rPr>
          <w:b w:val="false"/>
          <w:bCs w:val="false"/>
          <w:i w:val="false"/>
          <w:iCs w:val="false"/>
        </w:rPr>
        <w:t xml:space="preserve">- Residual viable tumor within Milan criteria (1 lesion ≤5 cm, or 2–3 lesions ≤3 cm)</w:t>
      </w:r>
    </w:p>
    <w:p>
      <w:pPr>
        <w:pStyle w:val="Normal"/>
      </w:pPr>
      <w:r>
        <w:rPr>
          <w:b w:val="false"/>
          <w:bCs w:val="false"/>
          <w:i w:val="false"/>
          <w:iCs w:val="false"/>
        </w:rPr>
        <w:t xml:space="preserve">- Only viable tumor is measured; necrosis from therapy is excluded</w:t>
      </w:r>
    </w:p>
    <w:p>
      <w:pPr>
        <w:pStyle w:val="Normal"/>
      </w:pPr>
      <w:r>
        <w:t>- AFP &lt;500 ng/mL if AFP was ever &gt;1,000 ng/mL</w:t>
      </w:r>
    </w:p>
    <w:p>
      <w:pPr>
        <w:pStyle w:val="Heading3"/>
      </w:pPr>
      <w:r>
        <w:rPr>
          <w:b w:val="false"/>
          <w:bCs w:val="false"/>
          <w:i w:val="false"/>
          <w:iCs w:val="false"/>
        </w:rPr>
        <w:t xml:space="preserve">7.3 Downstaging Failure Criteria:</w:t>
      </w:r>
    </w:p>
    <w:p>
      <w:pPr>
        <w:pStyle w:val="Normal"/>
      </w:pPr>
      <w:r>
        <w:rPr>
          <w:b w:val="false"/>
          <w:bCs w:val="false"/>
          <w:i w:val="false"/>
          <w:iCs w:val="false"/>
        </w:rPr>
        <w:t xml:space="preserve">- Tumor progression beyond downstaging inclusion criteria</w:t>
      </w:r>
    </w:p>
    <w:p>
      <w:pPr>
        <w:pStyle w:val="Normal"/>
      </w:pPr>
      <w:r>
        <w:rPr>
          <w:b w:val="false"/>
          <w:bCs w:val="false"/>
          <w:i w:val="false"/>
          <w:iCs w:val="false"/>
        </w:rPr>
        <w:t xml:space="preserve">- Major hepatic vessel invasion</w:t>
      </w:r>
    </w:p>
    <w:p>
      <w:pPr>
        <w:pStyle w:val="Normal"/>
      </w:pPr>
      <w:r>
        <w:rPr>
          <w:b w:val="false"/>
          <w:bCs w:val="false"/>
          <w:i w:val="false"/>
          <w:iCs w:val="false"/>
        </w:rPr>
        <w:t xml:space="preserve">- Lymph node involvement or extrahepatic spread</w:t>
      </w:r>
    </w:p>
    <w:p>
      <w:pPr>
        <w:pStyle w:val="Normal"/>
      </w:pPr>
      <w:r>
        <w:rPr>
          <w:b w:val="false"/>
          <w:bCs w:val="false"/>
          <w:i w:val="false"/>
          <w:iCs w:val="false"/>
        </w:rPr>
        <w:t xml:space="preserve">- Infiltrative tumor growth pattern</w:t>
      </w:r>
    </w:p>
    <w:p>
      <w:pPr>
        <w:pStyle w:val="Normal"/>
      </w:pPr>
      <w:r>
        <w:rPr>
          <w:b w:val="false"/>
          <w:bCs w:val="false"/>
          <w:i w:val="false"/>
          <w:iCs w:val="false"/>
        </w:rPr>
        <w:t xml:space="preserve">- Persistent AFP &gt;500 ng/mL in patients with prior AFP ≥1,000 ng/mL</w:t>
      </w:r>
    </w:p>
    <w:p>
      <w:pPr>
        <w:pStyle w:val="Heading3"/>
      </w:pPr>
      <w:r>
        <w:rPr>
          <w:b w:val="false"/>
          <w:bCs w:val="false"/>
          <w:i w:val="false"/>
          <w:iCs w:val="false"/>
        </w:rPr>
        <w:t xml:space="preserve">7.4 Observation Period</w:t>
      </w:r>
    </w:p>
    <w:p>
      <w:pPr>
        <w:pStyle w:val="Normal"/>
      </w:pPr>
      <w:r>
        <w:t>- There is no separate institutional stability-observation requirement after successful downstaging. Per the transplant-oncology guidance, candidates downstaged to T2 may be appropriate for exception provided there is no extrahepatic metastasis, no macrovascular invasion and AFP is not greater than 1,000 ng/mL; imaging must be performed at least 4 weeks after the last downstaging treatment; and the candidate must still wait 6 months from the time of the first request to be eligible for an HCC exception score.</w:t>
      </w:r>
    </w:p>
    <w:p>
      <w:pPr>
        <w:pStyle w:val="Normal"/>
      </w:pPr>
      <w:r>
        <w:t>- Candidates beyond standard criteria with continued progression while waiting despite locoregional therapy are generally not acceptable candidates for an HCC MELD exception.</w:t>
      </w:r>
    </w:p>
    <w:p>
      <w:pPr>
        <w:pStyle w:val="Normal"/>
      </w:pPr>
      <w:r>
        <w:t xml:space="preserve">- OPTN Table 9-10 governs priority: for adults, the initial request and first extension remain at calculated MELD; any extension after the first receives MMaT-3 if criteria continue to be met. This produces the allocation delay and should not be described as a separate post-downstaging stability rule.{Singal, 2023 #3}</w:t>
      </w:r>
    </w:p>
    <w:p>
      <w:pPr>
        <w:pStyle w:val="Heading3"/>
      </w:pPr>
      <w:r>
        <w:rPr>
          <w:b w:val="false"/>
          <w:bCs w:val="false"/>
          <w:i w:val="false"/>
          <w:iCs w:val="false"/>
        </w:rPr>
        <w:t xml:space="preserve">7.5 Downstaging Modalities</w:t>
      </w:r>
    </w:p>
    <w:p>
      <w:pPr>
        <w:pStyle w:val="Normal"/>
      </w:pPr>
      <w:r>
        <w:rPr>
          <w:b w:val="false"/>
          <w:bCs w:val="false"/>
          <w:i w:val="false"/>
          <w:iCs w:val="false"/>
        </w:rPr>
        <w:t xml:space="preserve">- Same locoregional modalities as bridging therapy (Section 6.1)</w:t>
      </w:r>
    </w:p>
    <w:p>
      <w:pPr>
        <w:pStyle w:val="Normal"/>
      </w:pPr>
      <w:r>
        <w:rPr>
          <w:b w:val="false"/>
          <w:bCs w:val="false"/>
          <w:i w:val="false"/>
          <w:iCs w:val="false"/>
        </w:rPr>
        <w:t xml:space="preserve">- Y-90 may achieve higher downstaging success than TACE in patients beyond standard criteria (74% vs. 65%)</w:t>
      </w:r>
      <w:r>
        <w:t xml:space="preserve">{Xu, 2025 #6}</w:t>
      </w:r>
    </w:p>
    <w:p>
      <w:pPr>
        <w:pStyle w:val="Normal"/>
      </w:pPr>
      <w:r>
        <w:rPr>
          <w:b w:val="false"/>
          <w:bCs w:val="false"/>
          <w:i w:val="false"/>
          <w:iCs w:val="false"/>
        </w:rPr>
        <w:t xml:space="preserve">- Over 80% of patients meeting UNOS-DS criteria can be successfully downstaged with protocolized LRT</w:t>
      </w:r>
      <w:r>
        <w:t xml:space="preserve">{Dove, 2026 #2}</w:t>
      </w:r>
    </w:p>
    <w:p>
      <w:pPr>
        <w:pStyle w:val="Heading2"/>
      </w:pPr>
      <w:r>
        <w:rPr>
          <w:b w:val="false"/>
          <w:bCs w:val="false"/>
          <w:i w:val="false"/>
          <w:iCs w:val="false"/>
        </w:rPr>
        <w:t xml:space="preserve">8. Living Donor Liver Transplantation (LDLT)</w:t>
      </w:r>
    </w:p>
    <w:p>
      <w:pPr>
        <w:pStyle w:val="Normal"/>
      </w:pPr>
      <w:r>
        <w:rPr>
          <w:b w:val="false"/>
          <w:bCs w:val="false"/>
          <w:i w:val="false"/>
          <w:iCs w:val="false"/>
        </w:rPr>
        <w:t xml:space="preserve">- LDLT is an acceptable option for HCC patients, including those beyond typical criteria who demonstrate favorable tumor biology.</w:t>
      </w:r>
      <w:r>
        <w:t xml:space="preserve">{National Comprehensive Cancer, 2026 #1;Singal, 2023 #3}</w:t>
      </w:r>
    </w:p>
    <w:p>
      <w:pPr>
        <w:pStyle w:val="Normal"/>
      </w:pPr>
      <w:r>
        <w:rPr>
          <w:b w:val="false"/>
          <w:bCs w:val="false"/>
          <w:i w:val="false"/>
          <w:iCs w:val="false"/>
        </w:rPr>
        <w:t xml:space="preserve">- LDLT offers scheduling advantages including precise timing of ICI washout periods when applicable.</w:t>
      </w:r>
      <w:r>
        <w:t xml:space="preserve">{Abdelrahim, 2026 #7}</w:t>
      </w:r>
    </w:p>
    <w:p>
      <w:pPr>
        <w:pStyle w:val="Normal"/>
      </w:pPr>
      <w:r>
        <w:rPr>
          <w:b w:val="false"/>
          <w:bCs w:val="false"/>
          <w:i w:val="false"/>
          <w:iCs w:val="false"/>
        </w:rPr>
        <w:t xml:space="preserve">- A minimum 3-month observation period is recommended before LDLT in recipients with HCC to allow tumor biology to manifest.</w:t>
      </w:r>
      <w:r>
        <w:t xml:space="preserve">{Clavien, 2012 #8}</w:t>
      </w:r>
    </w:p>
    <w:p>
      <w:pPr>
        <w:pStyle w:val="Normal"/>
      </w:pPr>
      <w:r>
        <w:rPr>
          <w:b w:val="false"/>
          <w:bCs w:val="false"/>
          <w:i w:val="false"/>
          <w:iCs w:val="false"/>
        </w:rPr>
        <w:t xml:space="preserve">- LDLT is associated with shorter time to transplant and improved intention-to-treat survival due to reduced waitlist dropout.</w:t>
      </w:r>
      <w:r>
        <w:t xml:space="preserve">{Singal, 2023 #3;Di Benedetto, 2025 #9}</w:t>
      </w:r>
    </w:p>
    <w:p>
      <w:pPr>
        <w:pStyle w:val="Normal"/>
      </w:pPr>
      <w:r>
        <w:rPr>
          <w:b w:val="false"/>
          <w:bCs w:val="false"/>
          <w:i w:val="false"/>
          <w:iCs w:val="false"/>
        </w:rPr>
        <w:t xml:space="preserve">- Must be performed at centers with established LDLT expertise.</w:t>
      </w:r>
      <w:r>
        <w:t xml:space="preserve">{Clavien, 2012 #8}</w:t>
      </w:r>
    </w:p>
    <w:p>
      <w:pPr>
        <w:pStyle w:val="Heading2"/>
      </w:pPr>
      <w:r>
        <w:rPr>
          <w:b w:val="false"/>
          <w:bCs w:val="false"/>
          <w:i w:val="false"/>
          <w:iCs w:val="false"/>
        </w:rPr>
        <w:t xml:space="preserve">9. Transplant Surgery</w:t>
      </w:r>
    </w:p>
    <w:p>
      <w:pPr>
        <w:pStyle w:val="Heading3"/>
      </w:pPr>
      <w:r>
        <w:rPr>
          <w:b w:val="false"/>
          <w:bCs w:val="false"/>
          <w:i w:val="false"/>
          <w:iCs w:val="false"/>
        </w:rPr>
        <w:t xml:space="preserve">9.1 Intraoperative Considerations</w:t>
      </w:r>
    </w:p>
    <w:p>
      <w:pPr>
        <w:pStyle w:val="Normal"/>
      </w:pPr>
      <w:r>
        <w:rPr>
          <w:b w:val="false"/>
          <w:bCs w:val="false"/>
          <w:i w:val="false"/>
          <w:iCs w:val="false"/>
        </w:rPr>
        <w:t xml:space="preserve">- Standard deceased donor or living donor hepatectomy and orthotopic liver transplantation</w:t>
      </w:r>
    </w:p>
    <w:p>
      <w:pPr>
        <w:pStyle w:val="Normal"/>
      </w:pPr>
      <w:r>
        <w:rPr>
          <w:b w:val="false"/>
          <w:bCs w:val="false"/>
          <w:i w:val="false"/>
          <w:iCs w:val="false"/>
        </w:rPr>
        <w:t xml:space="preserve">- Explant pathology with detailed assessment of: viable tumor number and size, microvascular invasion, tumor differentiation, satellite lesions, and margin status</w:t>
      </w:r>
      <w:r>
        <w:t xml:space="preserve">{National Comprehensive Cancer, 2026 #1}</w:t>
      </w:r>
    </w:p>
    <w:p>
      <w:pPr>
        <w:pStyle w:val="Heading3"/>
      </w:pPr>
      <w:r>
        <w:rPr>
          <w:b w:val="false"/>
          <w:bCs w:val="false"/>
          <w:i w:val="false"/>
          <w:iCs w:val="false"/>
        </w:rPr>
        <w:t xml:space="preserve">9.2 Explant-Based Risk Stratification</w:t>
      </w:r>
    </w:p>
    <w:p>
      <w:pPr>
        <w:pStyle w:val="Normal"/>
      </w:pPr>
      <w:r>
        <w:rPr>
          <w:b w:val="false"/>
          <w:bCs w:val="false"/>
          <w:i w:val="false"/>
          <w:iCs w:val="false"/>
        </w:rPr>
        <w:t xml:space="preserve">- Calculate </w:t>
      </w:r>
      <w:r>
        <w:rPr>
          <w:b/>
          <w:bCs/>
          <w:i w:val="false"/>
          <w:iCs w:val="false"/>
        </w:rPr>
        <w:t xml:space="preserve">RETREAT score</w:t>
      </w:r>
      <w:r>
        <w:rPr>
          <w:b w:val="false"/>
          <w:bCs w:val="false"/>
          <w:i w:val="false"/>
          <w:iCs w:val="false"/>
        </w:rPr>
        <w:t xml:space="preserve"> incorporating: AFP at transplant, microvascular invasion, sum of largest viable tumor diameter, and number of viable tumors</w:t>
      </w:r>
      <w:r>
        <w:t xml:space="preserve">{Singal, 2023 #3}</w:t>
      </w:r>
    </w:p>
    <w:p>
      <w:pPr>
        <w:pStyle w:val="Normal"/>
      </w:pPr>
      <w:r>
        <w:rPr>
          <w:b w:val="false"/>
          <w:bCs w:val="false"/>
          <w:i w:val="false"/>
          <w:iCs w:val="false"/>
        </w:rPr>
        <w:t xml:space="preserve">- RETREAT score guides intensity of post-transplant surveillance</w:t>
      </w:r>
    </w:p>
    <w:p>
      <w:pPr>
        <w:pStyle w:val="Heading2"/>
      </w:pPr>
      <w:r>
        <w:rPr>
          <w:b w:val="false"/>
          <w:bCs w:val="false"/>
          <w:i w:val="false"/>
          <w:iCs w:val="false"/>
        </w:rPr>
        <w:t xml:space="preserve">10. Post-Transplant Immunosuppression</w:t>
      </w:r>
    </w:p>
    <w:p>
      <w:pPr>
        <w:pStyle w:val="Heading3"/>
      </w:pPr>
      <w:r>
        <w:rPr>
          <w:b w:val="false"/>
          <w:bCs w:val="false"/>
          <w:i w:val="false"/>
          <w:iCs w:val="false"/>
        </w:rPr>
        <w:t xml:space="preserve">10.1 Standard Regimen</w:t>
      </w:r>
    </w:p>
    <w:p>
      <w:pPr>
        <w:pStyle w:val="Normal"/>
      </w:pPr>
      <w:r>
        <w:rPr>
          <w:b w:val="false"/>
          <w:bCs w:val="false"/>
          <w:i w:val="false"/>
          <w:iCs w:val="false"/>
        </w:rPr>
        <w:t xml:space="preserve">- </w:t>
      </w:r>
      <w:r>
        <w:rPr>
          <w:b/>
          <w:bCs/>
          <w:i w:val="false"/>
          <w:iCs w:val="false"/>
        </w:rPr>
        <w:t xml:space="preserve">Induction</w:t>
      </w:r>
      <w:r>
        <w:rPr>
          <w:b w:val="false"/>
          <w:bCs w:val="false"/>
          <w:i w:val="false"/>
          <w:iCs w:val="false"/>
        </w:rPr>
        <w:t xml:space="preserve">: Corticosteroids ± basiliximab (per institutional protocol)</w:t>
      </w:r>
      <w:r>
        <w:t xml:space="preserve">{Kulkarni, 2025 #10}</w:t>
      </w:r>
    </w:p>
    <w:p>
      <w:pPr>
        <w:pStyle w:val="Normal"/>
      </w:pPr>
      <w:r>
        <w:rPr>
          <w:b w:val="false"/>
          <w:bCs w:val="false"/>
          <w:i w:val="false"/>
          <w:iCs w:val="false"/>
        </w:rPr>
        <w:t xml:space="preserve">- </w:t>
      </w:r>
      <w:r>
        <w:rPr>
          <w:b/>
          <w:bCs/>
          <w:i w:val="false"/>
          <w:iCs w:val="false"/>
        </w:rPr>
        <w:t xml:space="preserve">Maintenance</w:t>
      </w:r>
      <w:r>
        <w:rPr>
          <w:b w:val="false"/>
          <w:bCs w:val="false"/>
          <w:i w:val="false"/>
          <w:iCs w:val="false"/>
        </w:rPr>
        <w:t xml:space="preserve">: Tacrolimus-based immunosuppression with target trough levels per institutional protocol</w:t>
      </w:r>
      <w:r>
        <w:t xml:space="preserve">{Te, 2026 #11}</w:t>
      </w:r>
    </w:p>
    <w:p>
      <w:pPr>
        <w:pStyle w:val="Normal"/>
      </w:pPr>
      <w:r>
        <w:rPr>
          <w:b w:val="false"/>
          <w:bCs w:val="false"/>
          <w:i w:val="false"/>
          <w:iCs w:val="false"/>
        </w:rPr>
        <w:t xml:space="preserve">  - Consider combination with mycophenolate mofetil (MMF) for renal-sparing</w:t>
      </w:r>
      <w:r>
        <w:t xml:space="preserve">{Te, 2026 #11}</w:t>
      </w:r>
    </w:p>
    <w:p>
      <w:pPr>
        <w:pStyle w:val="Normal"/>
      </w:pPr>
      <w:r>
        <w:rPr>
          <w:b w:val="false"/>
          <w:bCs w:val="false"/>
          <w:i w:val="false"/>
          <w:iCs w:val="false"/>
        </w:rPr>
        <w:t xml:space="preserve">  - Steroid taper per institutional protocol</w:t>
      </w:r>
    </w:p>
    <w:p>
      <w:pPr>
        <w:pStyle w:val="Heading3"/>
      </w:pPr>
      <w:r>
        <w:rPr>
          <w:b w:val="false"/>
          <w:bCs w:val="false"/>
          <w:i w:val="false"/>
          <w:iCs w:val="false"/>
        </w:rPr>
        <w:t xml:space="preserve">10.2 mTOR Inhibitor Consideration</w:t>
      </w:r>
    </w:p>
    <w:p>
      <w:pPr>
        <w:pStyle w:val="Normal"/>
      </w:pPr>
      <w:r>
        <w:t xml:space="preserve">- mTOR-inhibitor conversion after transplantation for HCC is a reasonable consideration, not established standard care. Where it is chosen, the documented rationale should be renal sparing or an individualized MDT recurrence-risk judgment. Do not initiate earlier than 30 days post-transplant, and not before adequate wound healing and documented hepatic-artery patency.{Singal, 2023 #3;Clavien, 2012 #8;Te, 2026 #11}</w:t>
      </w:r>
    </w:p>
    <w:p>
      <w:pPr>
        <w:pStyle w:val="Normal"/>
      </w:pPr>
      <w:r>
        <w:t>- In the SiLVER randomized trial (n = 525, randomized 4-6 weeks post-transplant) the primary endpoint of recurrence-free survival was NOT met: 64.5% without sirolimus versus 70.2% with sirolimus (p = 0.28; HR 0.84, 95% CI 0.62-1.15). Overall survival also did not differ (HR 0.81, 95% CI 0.58-1.13). A benefit was apparent only across the first 3-5 years. The greater apparent benefit in low-risk (within-Milan) recipients and in recipients aged 60 or under comes from exploratory subgroup analyses that were neither powered nor corrected for multiplicity, and must not be presented to patients as a proven reduction in HCC recurrence. Geissler EK et al., Transplantation 2016;100(1):116-125; doi:10.1097/TP.0000000000000965; PMID 26555945.</w:t>
      </w:r>
    </w:p>
    <w:p>
      <w:pPr>
        <w:pStyle w:val="Normal"/>
      </w:pPr>
      <w:r>
        <w:rPr>
          <w:b w:val="false"/>
          <w:bCs w:val="false"/>
          <w:i w:val="false"/>
          <w:iCs w:val="false"/>
        </w:rPr>
        <w:t xml:space="preserve">- mTOR inhibitors carry risks of bone marrow suppression, hypertriglyceridemia, delayed wound healing, pulmonary toxicity, and proteinuria.</w:t>
      </w:r>
      <w:r>
        <w:t xml:space="preserve">{Te, 2026 #11}</w:t>
      </w:r>
    </w:p>
    <w:p>
      <w:pPr>
        <w:pStyle w:val="Normal"/>
      </w:pPr>
      <w:r>
        <w:rPr>
          <w:b w:val="false"/>
          <w:bCs w:val="false"/>
          <w:i w:val="false"/>
          <w:iCs w:val="false"/>
        </w:rPr>
        <w:t xml:space="preserve">- Sirolimus carries a black box warning for hepatic artery thrombosis; everolimus does not appear to carry this risk.</w:t>
      </w:r>
      <w:r>
        <w:t xml:space="preserve">{Te, 2026 #11}</w:t>
      </w:r>
    </w:p>
    <w:p>
      <w:pPr>
        <w:pStyle w:val="Heading2"/>
      </w:pPr>
      <w:r>
        <w:rPr>
          <w:b w:val="false"/>
          <w:bCs w:val="false"/>
          <w:i w:val="false"/>
          <w:iCs w:val="false"/>
        </w:rPr>
        <w:t xml:space="preserve">11. Post-Transplant Surveillance</w:t>
      </w:r>
    </w:p>
    <w:p>
      <w:pPr>
        <w:pStyle w:val="Heading3"/>
      </w:pPr>
      <w:r>
        <w:rPr>
          <w:b w:val="false"/>
          <w:bCs w:val="false"/>
          <w:i w:val="false"/>
          <w:iCs w:val="false"/>
        </w:rPr>
        <w:t xml:space="preserve">11.1 HCC Recurrence Surveillance</w:t>
      </w:r>
    </w:p>
    <w:p>
      <w:pPr>
        <w:pStyle w:val="Normal"/>
      </w:pPr>
      <w:r>
        <w:rPr>
          <w:b w:val="false"/>
          <w:bCs w:val="false"/>
          <w:i w:val="false"/>
          <w:iCs w:val="false"/>
        </w:rPr>
        <w:t xml:space="preserve">- </w:t>
      </w:r>
      <w:r>
        <w:rPr>
          <w:b/>
          <w:bCs/>
          <w:i w:val="false"/>
          <w:iCs w:val="false"/>
        </w:rPr>
        <w:t xml:space="preserve">Years 1–2</w:t>
      </w:r>
      <w:r>
        <w:rPr>
          <w:b w:val="false"/>
          <w:bCs w:val="false"/>
          <w:i w:val="false"/>
          <w:iCs w:val="false"/>
        </w:rPr>
        <w:t xml:space="preserve">: Multiphasic contrast-enhanced abdominal CT or MRI AND CT chest </w:t>
      </w:r>
      <w:r>
        <w:rPr>
          <w:b/>
          <w:bCs/>
          <w:i w:val="false"/>
          <w:iCs w:val="false"/>
        </w:rPr>
        <w:t xml:space="preserve">every 3–6 months</w:t>
      </w:r>
    </w:p>
    <w:p>
      <w:pPr>
        <w:pStyle w:val="Normal"/>
      </w:pPr>
      <w:r>
        <w:rPr>
          <w:b w:val="false"/>
          <w:bCs w:val="false"/>
          <w:i w:val="false"/>
          <w:iCs w:val="false"/>
        </w:rPr>
        <w:t xml:space="preserve">- </w:t>
      </w:r>
      <w:r>
        <w:rPr>
          <w:b/>
          <w:bCs/>
          <w:i w:val="false"/>
          <w:iCs w:val="false"/>
        </w:rPr>
        <w:t xml:space="preserve">Years 3–5</w:t>
      </w:r>
      <w:r>
        <w:rPr>
          <w:b w:val="false"/>
          <w:bCs w:val="false"/>
          <w:i w:val="false"/>
          <w:iCs w:val="false"/>
        </w:rPr>
        <w:t xml:space="preserve">: Imaging </w:t>
      </w:r>
      <w:r>
        <w:rPr>
          <w:b/>
          <w:bCs/>
          <w:i w:val="false"/>
          <w:iCs w:val="false"/>
        </w:rPr>
        <w:t xml:space="preserve">every 6 months</w:t>
      </w:r>
    </w:p>
    <w:p>
      <w:pPr>
        <w:pStyle w:val="Normal"/>
      </w:pPr>
      <w:r>
        <w:rPr>
          <w:b w:val="false"/>
          <w:bCs w:val="false"/>
          <w:i w:val="false"/>
          <w:iCs w:val="false"/>
        </w:rPr>
        <w:t xml:space="preserve">- </w:t>
      </w:r>
      <w:r>
        <w:rPr>
          <w:b/>
          <w:bCs/>
          <w:i w:val="false"/>
          <w:iCs w:val="false"/>
        </w:rPr>
        <w:t xml:space="preserve">Beyond 5 years</w:t>
      </w:r>
      <w:r>
        <w:rPr>
          <w:b w:val="false"/>
          <w:bCs w:val="false"/>
          <w:i w:val="false"/>
          <w:iCs w:val="false"/>
        </w:rPr>
        <w:t xml:space="preserve">: Screening dependent on HCC risk factors</w:t>
      </w:r>
      <w:r>
        <w:t xml:space="preserve">{National Comprehensive Cancer, 2026 #1}</w:t>
      </w:r>
    </w:p>
    <w:p>
      <w:pPr>
        <w:pStyle w:val="Normal"/>
      </w:pPr>
      <w:r>
        <w:rPr>
          <w:b w:val="false"/>
          <w:bCs w:val="false"/>
          <w:i w:val="false"/>
          <w:iCs w:val="false"/>
        </w:rPr>
        <w:t xml:space="preserve">- AFP every 3–6 months for 2 years, then every 6 months</w:t>
      </w:r>
      <w:r>
        <w:t xml:space="preserve">{National Comprehensive Cancer, 2026 #1}</w:t>
      </w:r>
    </w:p>
    <w:p>
      <w:pPr>
        <w:pStyle w:val="Heading3"/>
      </w:pPr>
      <w:r>
        <w:rPr>
          <w:b w:val="false"/>
          <w:bCs w:val="false"/>
          <w:i w:val="false"/>
          <w:iCs w:val="false"/>
        </w:rPr>
        <w:t xml:space="preserve">11.2 Recurrence Sites</w:t>
      </w:r>
    </w:p>
    <w:p>
      <w:pPr>
        <w:pStyle w:val="Normal"/>
      </w:pPr>
      <w:r>
        <w:rPr>
          <w:b w:val="false"/>
          <w:bCs w:val="false"/>
          <w:i w:val="false"/>
          <w:iCs w:val="false"/>
        </w:rPr>
        <w:t xml:space="preserve">- Most common: lung (~40%), liver (33%)</w:t>
      </w:r>
      <w:r>
        <w:t xml:space="preserve">{Singal, 2023 #3}</w:t>
      </w:r>
    </w:p>
    <w:p>
      <w:pPr>
        <w:pStyle w:val="Normal"/>
      </w:pPr>
      <w:r>
        <w:rPr>
          <w:b w:val="false"/>
          <w:bCs w:val="false"/>
          <w:i w:val="false"/>
          <w:iCs w:val="false"/>
        </w:rPr>
        <w:t xml:space="preserve">- If AFP elevated without overt recurrence: repeat imaging with alternative modality, consider pelvic CT or PET scan</w:t>
      </w:r>
      <w:r>
        <w:t xml:space="preserve">{Singal, 2023 #3}</w:t>
      </w:r>
    </w:p>
    <w:p>
      <w:pPr>
        <w:pStyle w:val="Heading3"/>
      </w:pPr>
      <w:r>
        <w:rPr>
          <w:b w:val="false"/>
          <w:bCs w:val="false"/>
          <w:i w:val="false"/>
          <w:iCs w:val="false"/>
        </w:rPr>
        <w:t xml:space="preserve">11.3 Management of Recurrence</w:t>
      </w:r>
    </w:p>
    <w:p>
      <w:pPr>
        <w:pStyle w:val="Normal"/>
      </w:pPr>
      <w:r>
        <w:rPr>
          <w:b w:val="false"/>
          <w:bCs w:val="false"/>
          <w:i w:val="false"/>
          <w:iCs w:val="false"/>
        </w:rPr>
        <w:t xml:space="preserve">- Multidisciplinary review for all recurrences</w:t>
      </w:r>
      <w:r>
        <w:t xml:space="preserve">{Au, 2018 #12}</w:t>
      </w:r>
    </w:p>
    <w:p>
      <w:pPr>
        <w:pStyle w:val="Normal"/>
      </w:pPr>
      <w:r>
        <w:rPr>
          <w:b w:val="false"/>
          <w:bCs w:val="false"/>
          <w:i w:val="false"/>
          <w:iCs w:val="false"/>
        </w:rPr>
        <w:t xml:space="preserve">- Surgical resection for oligometastatic disease when feasible</w:t>
      </w:r>
      <w:r>
        <w:t xml:space="preserve">{Au, 2018 #12;Sposito, 2022 #13}</w:t>
      </w:r>
    </w:p>
    <w:p>
      <w:pPr>
        <w:pStyle w:val="Normal"/>
      </w:pPr>
      <w:r>
        <w:rPr>
          <w:b w:val="false"/>
          <w:bCs w:val="false"/>
          <w:i w:val="false"/>
          <w:iCs w:val="false"/>
        </w:rPr>
        <w:t xml:space="preserve">- Locoregional therapy (ablation, TACE, Y-90, SBRT) for intrahepatic recurrence</w:t>
      </w:r>
      <w:r>
        <w:t xml:space="preserve">{Au, 2018 #12;Sposito, 2022 #13}</w:t>
      </w:r>
    </w:p>
    <w:p>
      <w:pPr>
        <w:pStyle w:val="Normal"/>
      </w:pPr>
      <w:r>
        <w:t>- Systemic therapy for post-transplant recurrence: multikinase inhibitors (sorafenib, lenvatinib) are the usual first choice.</w:t>
      </w:r>
    </w:p>
    <w:p>
      <w:pPr>
        <w:pStyle w:val="Normal"/>
      </w:pPr>
      <w:r>
        <w:t>- Immune checkpoint inhibitors given de novo AFTER liver transplantation carry a substantial risk of acute allograft rejection, graft loss and treatment-related death, and are not standard care in this setting. Use only after transplant-oncology and hepatology review, with consent that specifically addresses graft loss and death, a defined graft-monitoring and biopsy plan, and a pre-agreed stopping rule.</w:t>
      </w:r>
    </w:p>
    <w:p>
      <w:pPr>
        <w:pStyle w:val="Normal"/>
      </w:pPr>
      <w:r>
        <w:t>- Do not extrapolate the rejection risk observed after PRE-transplant checkpoint exposure — pooled at 19% (95% CI 12-30%), with 78% complete recovery, 4% graft loss and 2% rejection-related mortality across 8 retrospective studies, n = 229 (doi:10.3389/fonc.2025.1689820; PMID 41234720) — to de novo post-transplant administration. VERIFY: a post-transplant-specific source must be attached to this section before adoption.</w:t>
      </w:r>
    </w:p>
    <w:p>
      <w:pPr>
        <w:pStyle w:val="Normal"/>
      </w:pPr>
      <w:r>
        <w:rPr>
          <w:b w:val="false"/>
          <w:bCs w:val="false"/>
          <w:i w:val="false"/>
          <w:iCs w:val="false"/>
        </w:rPr>
        <w:t xml:space="preserve">- Immunosuppression: taper to lowest effective dose; consider mTOR inhibitor with reduced CNI</w:t>
      </w:r>
      <w:r>
        <w:t xml:space="preserve">{Au, 2018 #12;Sposito, 2022 #13}</w:t>
      </w:r>
    </w:p>
    <w:p>
      <w:pPr>
        <w:pStyle w:val="Heading2"/>
      </w:pPr>
      <w:r>
        <w:rPr>
          <w:b w:val="false"/>
          <w:bCs w:val="false"/>
          <w:i w:val="false"/>
          <w:iCs w:val="false"/>
        </w:rPr>
        <w:t xml:space="preserve">12. Hepatitis Management</w:t>
      </w:r>
    </w:p>
    <w:p>
      <w:pPr>
        <w:pStyle w:val="Normal"/>
      </w:pPr>
      <w:r>
        <w:rPr>
          <w:b w:val="false"/>
          <w:bCs w:val="false"/>
          <w:i w:val="false"/>
          <w:iCs w:val="false"/>
        </w:rPr>
        <w:t xml:space="preserve">- All patients with chronic hepatitis B or C should be referred to hepatology for antiviral therapy evaluation if not previously done.</w:t>
      </w:r>
      <w:r>
        <w:t xml:space="preserve">{National Comprehensive Cancer, 2026 #1}</w:t>
      </w:r>
    </w:p>
    <w:p>
      <w:pPr>
        <w:pStyle w:val="Normal"/>
      </w:pPr>
      <w:r>
        <w:rPr>
          <w:b w:val="false"/>
          <w:bCs w:val="false"/>
          <w:i w:val="false"/>
          <w:iCs w:val="false"/>
        </w:rPr>
        <w:t xml:space="preserve">- Antiviral therapy should be initiated or continued per current guidelines.</w:t>
      </w:r>
    </w:p>
    <w:p>
      <w:pPr>
        <w:pStyle w:val="Heading2"/>
      </w:pPr>
      <w:r>
        <w:rPr>
          <w:b w:val="false"/>
          <w:bCs w:val="false"/>
          <w:i w:val="false"/>
          <w:iCs w:val="false"/>
        </w:rPr>
        <w:t xml:space="preserve">13. Quality Metrics and Outcomes Tracking</w:t>
      </w:r>
    </w:p>
    <w:p>
      <w:pPr>
        <w:pStyle w:val="Normal"/>
      </w:pPr>
      <w:r>
        <w:rPr>
          <w:b w:val="false"/>
          <w:bCs w:val="false"/>
          <w:i w:val="false"/>
          <w:iCs w:val="false"/>
        </w:rPr>
        <w:t xml:space="preserve">- 90-day and 1-year post-transplant survival</w:t>
      </w:r>
    </w:p>
    <w:p>
      <w:pPr>
        <w:pStyle w:val="Normal"/>
      </w:pPr>
      <w:r>
        <w:rPr>
          <w:b w:val="false"/>
          <w:bCs w:val="false"/>
          <w:i w:val="false"/>
          <w:iCs w:val="false"/>
        </w:rPr>
        <w:t xml:space="preserve">- 5-year overall survival (target: &gt;70%)</w:t>
      </w:r>
      <w:r>
        <w:t xml:space="preserve">{Dove, 2026 #2;Budiman, 2026 #15}</w:t>
      </w:r>
    </w:p>
    <w:p>
      <w:pPr>
        <w:pStyle w:val="Normal"/>
      </w:pPr>
      <w:r>
        <w:t xml:space="preserve">- Post-transplant HCC recurrence rate: target below 15% at 5 years, computed as recurrences per transplanted HCC recipient with at least 5 years of follow-up or censoring, reviewed annually by the transplant quality committee, with documented root-cause review if the point estimate exceeds target.{Dove, 2026 #2;Budiman, 2026 #15}</w:t>
      </w:r>
    </w:p>
    <w:p>
      <w:pPr>
        <w:pStyle w:val="Normal"/>
      </w:pPr>
      <w:r>
        <w:rPr>
          <w:b w:val="false"/>
          <w:bCs w:val="false"/>
          <w:i w:val="false"/>
          <w:iCs w:val="false"/>
        </w:rPr>
        <w:t xml:space="preserve">- Waitlist dropout rate</w:t>
      </w:r>
    </w:p>
    <w:p>
      <w:pPr>
        <w:pStyle w:val="Normal"/>
      </w:pPr>
      <w:r>
        <w:rPr>
          <w:b w:val="false"/>
          <w:bCs w:val="false"/>
          <w:i w:val="false"/>
          <w:iCs w:val="false"/>
        </w:rPr>
        <w:t xml:space="preserve">- Bridging/downstaging success rate</w:t>
      </w:r>
    </w:p>
    <w:p>
      <w:pPr>
        <w:pStyle w:val="Normal"/>
      </w:pPr>
      <w:r>
        <w:rPr>
          <w:b w:val="false"/>
          <w:bCs w:val="false"/>
          <w:i w:val="false"/>
          <w:iCs w:val="false"/>
        </w:rPr>
        <w:t xml:space="preserve">- RETREAT score distribution on explant</w:t>
      </w:r>
    </w:p>
    <w:p>
      <w:pPr>
        <w:sectPr>
          <w:type w:val="continuous"/>
          <w:pgSz w:w="11906" w:h="16838" w:orient="portrait"/>
          <w:pgMar w:top="1440" w:right="1440" w:bottom="1440" w:left="1440" w:header="708" w:footer="708" w:gutter="0"/>
          <w:pgNumType/>
          <w:docGrid w:linePitch="360"/>
        </w:sectPr>
      </w:pPr>
    </w:p>
    <w:p>
      <w:pPr>
        <w:pStyle w:val="Heading1"/>
      </w:pPr>
      <w:r>
        <w:t>V2 Revision Note (historical — superseded by the V3 Revision Log at the end of this document; retained as the change record for the V2 revision)</w:t>
      </w:r>
    </w:p>
    <w:p>
      <w:r>
        <w:rPr>
          <w:b/>
        </w:rPr>
        <w:t xml:space="preserve">Revision timestamp: </w:t>
      </w:r>
      <w:r>
        <w:t>2026-07-23 17:53:12 CDT</w:t>
      </w:r>
    </w:p>
    <w:p>
      <w:pPr>
        <w:pStyle w:val="ListParagraph"/>
      </w:pPr>
      <w:r>
        <w:t>Qualified the bridging-therapy recommendation so it is individualized rather than mandatory for all candidates.</w:t>
      </w:r>
    </w:p>
    <w:p>
      <w:pPr>
        <w:pStyle w:val="ListParagraph"/>
      </w:pPr>
      <w:r>
        <w:t>No other substantive evidence correction was required in this focused review.</w:t>
      </w:r>
    </w:p>
    <w:p>
      <w:r>
        <w:rPr>
          <w:b/>
        </w:rPr>
        <w:t xml:space="preserve">Problem: </w:t>
      </w:r>
      <w:r>
        <w:t>The original bridging-language recommended locoregional therapy for all candidates with an anticipated wait, which overstates the evidence and does not account for tumor stage, hepatic reserve, feasibility, or risk of decompensation.</w:t>
      </w:r>
    </w:p>
    <w:p>
      <w:pPr/>
      <w:r>
        <w:rPr>
          <w:b/>
        </w:rPr>
        <w:t xml:space="preserve">Recommended correction: </w:t>
      </w:r>
      <w:r>
        <w:t>Consider bridging therapy individually according to anticipated wait, tumor stage, hepatic reserve, treatment feasibility, and decompensation risk, with modality selected through multidisciplinary review.</w:t>
      </w:r>
    </w:p>
    <w:p>
      <w:pPr>
        <w:pStyle w:val="Heading1"/>
      </w:pPr>
      <w:r>
        <w:t>V3 Revision Log</w:t>
      </w:r>
    </w:p>
    <w:p>
      <w:pPr/>
      <w:r>
        <w:t>V-1 Brought the document's internal version markers into line with the filename: the title now reads V3, and the historical V2 Revision Note heading is labelled as superseded.</w:t>
      </w:r>
    </w:p>
    <w:p>
      <w:pPr/>
      <w:r>
        <w:t>1.1 Separated transplant candidacy from standardized MELD-exception eligibility in Section 3.1; the OPTN Class 5/T2 size floors and the AFP threshold are exception criteria and were being applied as listing criteria.</w:t>
      </w:r>
    </w:p>
    <w:p>
      <w:pPr/>
      <w:r>
        <w:t>1.2 Split Section 3.4 into exception-ineligibility (3.4a) and transplant contraindications (3.4b); T1 HCC is not a contraindication to transplantation.</w:t>
      </w:r>
    </w:p>
    <w:p>
      <w:pPr/>
      <w:r>
        <w:t>1.3 Removed the contradictory post-downstaging stability rule and replaced it with the guidance text, including the 4-week post-treatment imaging requirement and the 6-month clock from first request.</w:t>
      </w:r>
    </w:p>
    <w:p>
      <w:pPr/>
      <w:r>
        <w:t>1.4 Corrected the SiLVER characterization: the trial's primary endpoint was negative and the within-Milan finding is an exploratory subgroup analysis.</w:t>
      </w:r>
    </w:p>
    <w:p>
      <w:pPr/>
      <w:r>
        <w:t>1.5 Corrected the checkpoint-inhibitor rejection figure, which was imported from the pre-transplant setting into a post-transplant recommendation.</w:t>
      </w:r>
    </w:p>
    <w:p>
      <w:pPr/>
      <w:r>
        <w:t>1.6 Labelled the TARE and SBRT outcome figures as uncontrolled and non-comparative.</w:t>
      </w:r>
    </w:p>
    <w:p>
      <w:pPr/>
      <w:r>
        <w:t>1.7 Rewrote the recurrence-exception provision to match the guidance (original T2 presentation required; resection qualifies; applies to an initial request). VERIFY verbatim.</w:t>
      </w:r>
    </w:p>
    <w:p>
      <w:pPr/>
      <w:r>
        <w:t>1.8 Confirmed the AFP rule as correct and added the guidance provision for non-responders.</w:t>
      </w:r>
    </w:p>
    <w:p>
      <w:pPr/>
      <w:r>
        <w:t>1.9 Made the recurrence quality target actionable (inequality, denominator, horizon).</w:t>
      </w:r>
    </w:p>
    <w:p>
      <w:pPr/>
      <w:r>
        <w:t>1.10 Added contrast-enhanced ultrasound per the June 2025 Board action. VERIFY implementation status.</w:t>
      </w:r>
    </w:p>
    <w:p>
      <w:pPr/>
      <w:r>
        <w:t>Revision method: substantive clinical, policy, evidence-quality, safety and eligibility corrections only. Formatting was not altered. All changes are Word tracked changes and can be accepted or rejected individually. Items marked VERIFY remain unresolved against retrievable official text and require human confirmation against the live OPTN posting before adoption.</w:t>
      </w:r>
    </w:p>
    <w:p>
      <w:pPr>
        <w:pStyle w:val="Heading1"/>
      </w:pPr>
      <w:r>
        <w:t xml:space="preserve">References</w:t>
      </w:r>
    </w:p>
    <w:p>
      <w:pPr>
        <w:pStyle w:val="ListParagraph"/>
        <w:numPr>
          <w:ilvl w:val="0"/>
          <w:numId w:val="2"/>
        </w:numPr>
      </w:pPr>
      <w:bookmarkStart w:name="national-comprehensive-cancer-network.-hepatocellular-carcinoma." w:id="1"/>
      <w:hyperlink w:history="1" r:id="rId5lrxb-njeletugqmmsxsk">
        <w:r>
          <w:rPr>
            <w:rStyle w:val="Hyperlink"/>
          </w:rPr>
          <w:t xml:space="preserve">Hepatocellular Carcinoma.</w:t>
        </w:r>
      </w:hyperlink>
      <w:r>
        <w:t xml:space="preserve"> National Comprehensive Cancer Network.</w:t>
      </w:r>
      <w:r>
        <w:t xml:space="preserve"> Updated 2026-03-10.</w:t>
      </w:r>
      <w:bookmarkEnd w:id="1"/>
    </w:p>
    <w:p>
      <w:pPr>
        <w:pStyle w:val="ListParagraph"/>
        <w:numPr>
          <w:ilvl w:val="0"/>
          <w:numId w:val="2"/>
        </w:numPr>
      </w:pPr>
      <w:bookmarkStart w:name="dove-l,-chadha-rm,-lai-jc,-et-al.-&lt;a-target=&quot;_blank&quot;-href=&quot;https://doi.org/10.1097/hep.0000000000001644&quot;&gt;aasld-ast-practice-guideline-on-adult-liver-transplantation:-candidate-evaluation&lt;/a&gt;.-hepatology-(baltimore,-md.).-2025;:01515467-990000000-01508.-doi:10.1097/hep.0000000000001644." w:id="1"/>
      <w:hyperlink w:history="1" r:id="rIdmjvvzvxullpnrltz1vgm_">
        <w:r>
          <w:rPr>
            <w:rStyle w:val="Hyperlink"/>
          </w:rPr>
          <w:t xml:space="preserve">AASLD AST Practice Guideline on Adult Liver Transplantation: Candidate Evaluation.</w:t>
        </w:r>
      </w:hyperlink>
      <w:r>
        <w:t xml:space="preserve"> Dove L, Chadha RM, Lai JC, et al.</w:t>
      </w:r>
      <w:r>
        <w:t xml:space="preserve"> Hepatology (Baltimore, Md.). 2025;:01515467-990000000-01508. doi:10.1097/HEP.0000000000001644.</w:t>
      </w:r>
      <w:bookmarkEnd w:id="1"/>
    </w:p>
    <w:p>
      <w:pPr>
        <w:pStyle w:val="ListParagraph"/>
        <w:numPr>
          <w:ilvl w:val="0"/>
          <w:numId w:val="2"/>
        </w:numPr>
      </w:pPr>
      <w:bookmarkStart w:name="singal-ag,-llovet-jm,-yarchoan-m,-et-al.-&lt;a-target=&quot;_blank&quot;-href=&quot;https://www.ncbi.nlm.nih.gov/pmc/articles/pmc10663390/&quot;&gt;aasld-practice-guidance-on-prevention,-diagnosis,-and-treatment-of-hepatocellular-carcinoma&lt;/a&gt;.-hepatology-(baltimore,-md.).-2023;78(6):1922-1965.-doi:10.1097/hep.0000000000000466." w:id="1"/>
      <w:hyperlink w:history="1" r:id="rId_hbeafakn_hgndoic6fjz">
        <w:r>
          <w:rPr>
            <w:rStyle w:val="Hyperlink"/>
          </w:rPr>
          <w:t xml:space="preserve">AASLD Practice Guidance on Prevention, Diagnosis, and Treatment of Hepatocellular Carcinoma.</w:t>
        </w:r>
      </w:hyperlink>
      <w:r>
        <w:t xml:space="preserve"> Singal AG, Llovet JM, Yarchoan M, et al.</w:t>
      </w:r>
      <w:r>
        <w:t xml:space="preserve"> Hepatology (Baltimore, Md.). 2023;78(6):1922-1965. doi:10.1097/HEP.0000000000000466.</w:t>
      </w:r>
      <w:bookmarkEnd w:id="1"/>
    </w:p>
    <w:p>
      <w:pPr>
        <w:pStyle w:val="ListParagraph"/>
        <w:numPr>
          <w:ilvl w:val="0"/>
          <w:numId w:val="2"/>
        </w:numPr>
      </w:pPr>
      <w:bookmarkStart w:name="fakhoury-b,-jahagirdar-v,-alsaqa-m,-et-al.-&lt;a-target=&quot;_blank&quot;-href=&quot;https://pubmed.ncbi.nlm.nih.gov/41056563&quot;&gt;evolving-trends-and-comparative-outcomes-of-bridging-transarterial-locoregional-therapy-in-liver-transplant-candidates-with-hepatocellular-carcinoma&lt;/a&gt;.-liver-transplantation-:-official-publication-of-the-american-association-for-the-study-of-liver-diseases-and-the-international-liver-transplantation-society.-2026;32(6):799-811.-doi:10.1097/lvt.0000000000000743." w:id="1"/>
      <w:hyperlink w:history="1" r:id="rIdi7ldhdyetl-ajv6irg6pm">
        <w:r>
          <w:rPr>
            <w:rStyle w:val="Hyperlink"/>
          </w:rPr>
          <w:t xml:space="preserve">Evolving Trends and Comparative Outcomes of Bridging Transarterial Locoregional Therapy in Liver Transplant Candidates With Hepatocellular Carcinoma.</w:t>
        </w:r>
      </w:hyperlink>
      <w:r>
        <w:t xml:space="preserve"> Fakhoury B, Jahagirdar V, Alsaqa M, et al.</w:t>
      </w:r>
      <w:r>
        <w:t xml:space="preserve"> Liver Transplantation : Official Publication of the American Association for the Study of Liver Diseases and the International Liver Transplantation Society. 2026;32(6):799-811. doi:10.1097/LVT.0000000000000743.</w:t>
      </w:r>
      <w:bookmarkEnd w:id="1"/>
    </w:p>
    <w:p>
      <w:pPr>
        <w:pStyle w:val="ListParagraph"/>
        <w:numPr>
          <w:ilvl w:val="0"/>
          <w:numId w:val="2"/>
        </w:numPr>
      </w:pPr>
      <w:bookmarkStart w:name="fernandes-mv,-rodriguez-s,-barbosa-martins-ma,-fernandes-oliveira-amador-w,-de-mello-brandão-ab.-&lt;a-target=&quot;_blank&quot;-href=&quot;https://pubmed.ncbi.nlm.nih.gov/41490475&quot;&gt;stereotactic-body-radiation-therapy-as-bridging-or-downstaging-therapy-for-hepatocellular-carcinoma-in-liver-transplant-candidates:-a-systematic-review-and-meta-analysis&lt;/a&gt;.-liver-transplantation-:-official-publication-of-the-american-association-for-the-study-of-liver-diseases-and-the-international-liver-transplantation-society.-2025;:01445473-990000000-00778.-doi:10.1097/lvt.0000000000000803." w:id="1"/>
      <w:hyperlink w:history="1" r:id="rIden93sz_22sktxulquzuyc">
        <w:r>
          <w:rPr>
            <w:rStyle w:val="Hyperlink"/>
          </w:rPr>
          <w:t xml:space="preserve">Stereotactic Body Radiation Therapy as Bridging or Downstaging Therapy for Hepatocellular Carcinoma in Liver Transplant Candidates: A Systematic Review and Meta-Analysis.</w:t>
        </w:r>
      </w:hyperlink>
      <w:r>
        <w:t xml:space="preserve"> Fernandes MV, Rodriguez S, Barbosa Martins MA, Fernandes Oliveira Amador W, de Mello Brandão AB.</w:t>
      </w:r>
      <w:r>
        <w:t xml:space="preserve"> Liver Transplantation : Official Publication of the American Association for the Study of Liver Diseases and the International Liver Transplantation Society. 2025;:01445473-990000000-00778. doi:10.1097/LVT.0000000000000803.</w:t>
      </w:r>
      <w:bookmarkEnd w:id="1"/>
    </w:p>
    <w:p>
      <w:pPr>
        <w:pStyle w:val="ListParagraph"/>
        <w:numPr>
          <w:ilvl w:val="0"/>
          <w:numId w:val="2"/>
        </w:numPr>
      </w:pPr>
      <w:bookmarkStart w:name="xu-e,-tabrizian-p,-gutierrez-j,-et-al.-&lt;a-target=&quot;_blank&quot;-href=&quot;https://pubmed.ncbi.nlm.nih.gov/39808828&quot;&gt;downstaging-of-hepatocellular-carcinoma-before-liver-transplantation:-results-from-a-national-multicenter-prospective-cohort-study&lt;/a&gt;.-hepatology-(baltimore,-md.).-2025;:01515467-990000000-01140.-doi:10.1097/hep.0000000000001231." w:id="1"/>
      <w:hyperlink w:history="1" r:id="rIdlojurg3krzsjhmzdutxk7">
        <w:r>
          <w:rPr>
            <w:rStyle w:val="Hyperlink"/>
          </w:rPr>
          <w:t xml:space="preserve">Downstaging of Hepatocellular Carcinoma Before Liver Transplantation: Results From a National Multicenter Prospective Cohort Study.</w:t>
        </w:r>
      </w:hyperlink>
      <w:r>
        <w:t xml:space="preserve"> Xu E, Tabrizian P, Gutierrez J, et al.</w:t>
      </w:r>
      <w:r>
        <w:t xml:space="preserve"> Hepatology (Baltimore, Md.). 2025;:01515467-990000000-01140. doi:10.1097/HEP.0000000000001231.</w:t>
      </w:r>
      <w:bookmarkEnd w:id="1"/>
    </w:p>
    <w:p>
      <w:pPr>
        <w:pStyle w:val="ListParagraph"/>
        <w:numPr>
          <w:ilvl w:val="0"/>
          <w:numId w:val="2"/>
        </w:numPr>
      </w:pPr>
      <w:bookmarkStart w:name="abdelrahim-m,-esmail-a,-al-judaibi-b,-et-al.-&lt;a-target=&quot;_blank&quot;-href=&quot;https://pubmed.ncbi.nlm.nih.gov/42294332&quot;&gt;peri-transplant-use-of-immune-checkpoint-inhibitors-in-hepatocellular-carcinoma:-a-transplant-oncology-perspective-on-safety,-timing,-post-transplant-management,-and-future-directions&lt;/a&gt;.-frontiers-in-oncology.-2026;16:1826765.-doi:10.3389/fonc.2026.1826765." w:id="1"/>
      <w:hyperlink w:history="1" r:id="rIdgbbqa5e13x3shydiqs8-n">
        <w:r>
          <w:rPr>
            <w:rStyle w:val="Hyperlink"/>
          </w:rPr>
          <w:t xml:space="preserve">Peri-Transplant Use of Immune Checkpoint Inhibitors in Hepatocellular Carcinoma: A Transplant Oncology Perspective on Safety, Timing, Post-Transplant Management, and Future Directions.</w:t>
        </w:r>
      </w:hyperlink>
      <w:r>
        <w:t xml:space="preserve"> Abdelrahim M, Esmail A, Al-Judaibi B, et al.</w:t>
      </w:r>
      <w:r>
        <w:t xml:space="preserve"> Frontiers in Oncology. 2026;16:1826765. doi:10.3389/fonc.2026.1826765.</w:t>
      </w:r>
      <w:bookmarkEnd w:id="1"/>
    </w:p>
    <w:p>
      <w:pPr>
        <w:pStyle w:val="ListParagraph"/>
        <w:numPr>
          <w:ilvl w:val="0"/>
          <w:numId w:val="2"/>
        </w:numPr>
      </w:pPr>
      <w:bookmarkStart w:name="clavien-pa,-lesurtel-m,-bossuyt-pm,-et-al.-&lt;a-target=&quot;_blank&quot;-href=&quot;https://pubmed.ncbi.nlm.nih.gov/22047762&quot;&gt;recommendations-for-liver-transplantation-for-hepatocellular-carcinoma:-an-international-consensus-conference-report&lt;/a&gt;.-the-lancet.-oncology.-2012;13(1):e11-22.-doi:10.1016/s1470-2045(11)70175-9." w:id="1"/>
      <w:hyperlink w:history="1" r:id="rIdcit1rwr_ch9ctpr4ukzg-">
        <w:r>
          <w:rPr>
            <w:rStyle w:val="Hyperlink"/>
          </w:rPr>
          <w:t xml:space="preserve">Recommendations for Liver Transplantation for Hepatocellular Carcinoma: An International Consensus Conference Report.</w:t>
        </w:r>
      </w:hyperlink>
      <w:r>
        <w:t xml:space="preserve"> Clavien PA, Lesurtel M, Bossuyt PM, et al.</w:t>
      </w:r>
      <w:r>
        <w:t xml:space="preserve"> The Lancet. Oncology. 2012;13(1):e11-22. doi:10.1016/S1470-2045(11)70175-9.</w:t>
      </w:r>
      <w:bookmarkEnd w:id="1"/>
    </w:p>
    <w:p>
      <w:pPr>
        <w:pStyle w:val="ListParagraph"/>
        <w:numPr>
          <w:ilvl w:val="0"/>
          <w:numId w:val="2"/>
        </w:numPr>
      </w:pPr>
      <w:bookmarkStart w:name="di-benedetto-f,-guidetti-c,-raptis-da,-et-al.-&lt;a-target=&quot;_blank&quot;-href=&quot;https://pubmed.ncbi.nlm.nih.gov/40789776&quot;&gt;long-term-outcomes-in-deceased-versus-living-donor-liver-transplantation-for-hepatocellular-carcinoma:-a-bi-institutional-study-of-486-cases&lt;/a&gt;.-surgical-endoscopy.-2025;:10.1007/s00464-025-12011-w.-doi:10.1007/s00464-025-12011-w." w:id="1"/>
      <w:hyperlink w:history="1" r:id="rIdchrdc6i-rpejz4jugan1l">
        <w:r>
          <w:rPr>
            <w:rStyle w:val="Hyperlink"/>
          </w:rPr>
          <w:t xml:space="preserve">Long-Term Outcomes in Deceased Versus Living Donor Liver Transplantation for Hepatocellular Carcinoma: A Bi-Institutional Study of 486 Cases.</w:t>
        </w:r>
      </w:hyperlink>
      <w:r>
        <w:t xml:space="preserve"> Di Benedetto F, Guidetti C, Raptis DA, et al.</w:t>
      </w:r>
      <w:r>
        <w:t xml:space="preserve"> Surgical Endoscopy. 2025;:10.1007/s00464-025-12011-w. doi:10.1007/s00464-025-12011-w.</w:t>
      </w:r>
      <w:bookmarkEnd w:id="1"/>
    </w:p>
    <w:p>
      <w:pPr>
        <w:pStyle w:val="ListParagraph"/>
        <w:numPr>
          <w:ilvl w:val="0"/>
          <w:numId w:val="2"/>
        </w:numPr>
      </w:pPr>
      <w:bookmarkStart w:name="kulkarni-av,-singal-ag,-reddy-kr.-&lt;a-target=&quot;_blank&quot;-href=&quot;https://onlinelibrary.wiley.com/doi/10.1111/apt.70333&quot;&gt;review-article:-liver-transplantation-for-hepatocellular-carcinoma-in-the-era-of-immune-checkpoint-inhibitors&lt;/a&gt;.-alimentary-pharmacology-&amp;-therapeutics.-2025;62(6):585-601.-doi:10.1111/apt.70333." w:id="1"/>
      <w:hyperlink w:history="1" r:id="rIdhbnea2cq__tuvntu1is6k">
        <w:r>
          <w:rPr>
            <w:rStyle w:val="Hyperlink"/>
          </w:rPr>
          <w:t xml:space="preserve">Review Article: Liver Transplantation for Hepatocellular Carcinoma in the Era of Immune Checkpoint Inhibitors.</w:t>
        </w:r>
      </w:hyperlink>
      <w:r>
        <w:t xml:space="preserve"> Kulkarni AV, Singal AG, Reddy KR.</w:t>
      </w:r>
      <w:r>
        <w:t xml:space="preserve"> Alimentary Pharmacology &amp; Therapeutics. 2025;62(6):585-601. doi:10.1111/apt.70333.</w:t>
      </w:r>
      <w:bookmarkEnd w:id="1"/>
    </w:p>
    <w:p>
      <w:pPr>
        <w:pStyle w:val="ListParagraph"/>
        <w:numPr>
          <w:ilvl w:val="0"/>
          <w:numId w:val="2"/>
        </w:numPr>
      </w:pPr>
      <w:bookmarkStart w:name="te-hs,-agopian-vg,-demetris-aj,-et-al.-&lt;a-target=&quot;_blank&quot;-href=&quot;https://doi.org/10.1097/lvt.0000000000000715&quot;&gt;aasld-ast-practice-guideline-on-adult-liver-transplantation:-diagnosis-and-management-of-graft-related-complications&lt;/a&gt;.-liver-transplantation-:-official-publication-of-the-american-association-for-the-study-of-liver-diseases-and-the-international-liver-transplantation-society.-2026;32(3):444-490.-doi:10.1097/lvt.0000000000000715." w:id="1"/>
      <w:hyperlink w:history="1" r:id="rIdmctpjrl5wr8fch1tyqkmu">
        <w:r>
          <w:rPr>
            <w:rStyle w:val="Hyperlink"/>
          </w:rPr>
          <w:t xml:space="preserve">AASLD AST Practice Guideline on Adult Liver Transplantation: Diagnosis and Management of Graft-Related Complications.</w:t>
        </w:r>
      </w:hyperlink>
      <w:r>
        <w:t xml:space="preserve"> Te HS, Agopian VG, Demetris AJ, et al.</w:t>
      </w:r>
      <w:r>
        <w:t xml:space="preserve"> Liver Transplantation : Official Publication of the American Association for the Study of Liver Diseases and the International Liver Transplantation Society. 2026;32(3):444-490. doi:10.1097/LVT.0000000000000715.</w:t>
      </w:r>
      <w:bookmarkEnd w:id="1"/>
    </w:p>
    <w:p>
      <w:pPr>
        <w:pStyle w:val="ListParagraph"/>
        <w:numPr>
          <w:ilvl w:val="0"/>
          <w:numId w:val="2"/>
        </w:numPr>
      </w:pPr>
      <w:bookmarkStart w:name="au-kp,-chok-ksh.-&lt;a-target=&quot;_blank&quot;-href=&quot;https://pubmed.ncbi.nlm.nih.gov/30568386&quot;&gt;multidisciplinary-approach-for-post-liver-transplant-recurrence-of-hepatocellular-carcinoma:-a-proposed-management-algorithm&lt;/a&gt;.-world-journal-of-gastroenterology.-2018;24(45):5081-5094.-doi:10.3748/wjg.v24.i45.5081." w:id="1"/>
      <w:hyperlink w:history="1" r:id="rIdq4wadstbsegih6_mrjlxy">
        <w:r>
          <w:rPr>
            <w:rStyle w:val="Hyperlink"/>
          </w:rPr>
          <w:t xml:space="preserve">Multidisciplinary Approach for Post-Liver Transplant Recurrence of Hepatocellular Carcinoma: A Proposed Management Algorithm.</w:t>
        </w:r>
      </w:hyperlink>
      <w:r>
        <w:t xml:space="preserve"> Au KP, Chok KSH.</w:t>
      </w:r>
      <w:r>
        <w:t xml:space="preserve"> World Journal of Gastroenterology. 2018;24(45):5081-5094. doi:10.3748/wjg.v24.i45.5081.</w:t>
      </w:r>
      <w:bookmarkEnd w:id="1"/>
    </w:p>
    <w:p>
      <w:pPr>
        <w:pStyle w:val="ListParagraph"/>
        <w:numPr>
          <w:ilvl w:val="0"/>
          <w:numId w:val="2"/>
        </w:numPr>
      </w:pPr>
      <w:bookmarkStart w:name="sposito-c,-citterio-d,-virdis-m,-et-al.-&lt;a-target=&quot;_blank&quot;-href=&quot;https://pubmed.ncbi.nlm.nih.gov/36160651&quot;&gt;therapeutic-strategies-for-post-transplant-recurrence-of-hepatocellular-carcinoma&lt;/a&gt;.-world-journal-of-gastroenterology.-2022;28(34):4929-4942.-doi:10.3748/wjg.v28.i34.4929." w:id="1"/>
      <w:hyperlink w:history="1" r:id="rIds-qz-3-_mlawvv-f2tdbr">
        <w:r>
          <w:rPr>
            <w:rStyle w:val="Hyperlink"/>
          </w:rPr>
          <w:t xml:space="preserve">Therapeutic Strategies for Post-Transplant Recurrence of Hepatocellular Carcinoma.</w:t>
        </w:r>
      </w:hyperlink>
      <w:r>
        <w:t xml:space="preserve"> Sposito C, Citterio D, Virdis M, et al.</w:t>
      </w:r>
      <w:r>
        <w:t xml:space="preserve"> World Journal of Gastroenterology. 2022;28(34):4929-4942. doi:10.3748/wjg.v28.i34.4929.</w:t>
      </w:r>
      <w:bookmarkEnd w:id="1"/>
    </w:p>
    <w:p>
      <w:pPr>
        <w:pStyle w:val="ListParagraph"/>
        <w:numPr>
          <w:ilvl w:val="0"/>
          <w:numId w:val="2"/>
        </w:numPr>
      </w:pPr>
      <w:bookmarkStart w:name="yamada-t,-tateishi-r,-fujishiro-m.-&lt;a-target=&quot;_blank&quot;-href=&quot;https://pubmed.ncbi.nlm.nih.gov/41622628&quot;&gt;post-transplant-hepatocellular-carcinoma:-balancing-immunosuppression-and-immune-checkpoint-inhibitors&lt;/a&gt;.-clinical-and-molecular-hepatology.-2026;32(2):580-598.-doi:10.3350/cmh.2025.1179." w:id="1"/>
      <w:hyperlink w:history="1" r:id="rIdolr8dqj40o6ixexaccyqg">
        <w:r>
          <w:rPr>
            <w:rStyle w:val="Hyperlink"/>
          </w:rPr>
          <w:t xml:space="preserve">Post-Transplant Hepatocellular Carcinoma: Balancing Immunosuppression and Immune Checkpoint Inhibitors.</w:t>
        </w:r>
      </w:hyperlink>
      <w:r>
        <w:t xml:space="preserve"> Yamada T, Tateishi R, Fujishiro M.</w:t>
      </w:r>
      <w:r>
        <w:t xml:space="preserve"> Clinical and Molecular Hepatology. 2026;32(2):580-598. doi:10.3350/cmh.2025.1179.</w:t>
      </w:r>
      <w:bookmarkEnd w:id="1"/>
    </w:p>
    <w:p>
      <w:pPr>
        <w:pStyle w:val="ListParagraph"/>
        <w:numPr>
          <w:ilvl w:val="0"/>
          <w:numId w:val="2"/>
        </w:numPr>
      </w:pPr>
      <w:bookmarkStart w:name="budiman-d,-chu-cw,-oh-j,-et-al.-&lt;a-target=&quot;_blank&quot;-href=&quot;https://pubmed.ncbi.nlm.nih.gov/41986186&quot;&gt;liver-transplantation-criteria-for-hepatocellular-carcinoma:-a-systematic-review&lt;/a&gt;.-transplantation-proceedings.-2026;58(4):748-754.-doi:10.1016/j.transproceed.2026.03.021." w:id="1"/>
      <w:hyperlink w:history="1" r:id="rIdwkz08jt6a-pmtrkvfzbxp">
        <w:r>
          <w:rPr>
            <w:rStyle w:val="Hyperlink"/>
          </w:rPr>
          <w:t xml:space="preserve">Liver Transplantation Criteria for Hepatocellular Carcinoma: A Systematic Review.</w:t>
        </w:r>
      </w:hyperlink>
      <w:r>
        <w:t xml:space="preserve"> Budiman D, Chu CW, Oh J, et al.</w:t>
      </w:r>
      <w:r>
        <w:t xml:space="preserve"> Transplantation Proceedings. 2026;58(4):748-754. doi:10.1016/j.transproceed.2026.03.021.</w:t>
      </w:r>
      <w:bookmarkEnd w:id="1"/>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lrxb-njeletugqmmsxsk" Type="http://schemas.openxmlformats.org/officeDocument/2006/relationships/hyperlink" Target="https://www.nccn.org/professionals/physician_gls/pdf/hcc.pdf#page=10" TargetMode="External"/><Relationship Id="rIdmjvvzvxullpnrltz1vgm_" Type="http://schemas.openxmlformats.org/officeDocument/2006/relationships/hyperlink" Target="https://doi.org/10.1097/HEP.0000000000001644" TargetMode="External"/><Relationship Id="rId_hbeafakn_hgndoic6fjz" Type="http://schemas.openxmlformats.org/officeDocument/2006/relationships/hyperlink" Target="https://www.ncbi.nlm.nih.gov/pmc/articles/PMC10663390/" TargetMode="External"/><Relationship Id="rIdi7ldhdyetl-ajv6irg6pm" Type="http://schemas.openxmlformats.org/officeDocument/2006/relationships/hyperlink" Target="https://pubmed.ncbi.nlm.nih.gov/41056563" TargetMode="External"/><Relationship Id="rIden93sz_22sktxulquzuyc" Type="http://schemas.openxmlformats.org/officeDocument/2006/relationships/hyperlink" Target="https://pubmed.ncbi.nlm.nih.gov/41490475" TargetMode="External"/><Relationship Id="rIdlojurg3krzsjhmzdutxk7" Type="http://schemas.openxmlformats.org/officeDocument/2006/relationships/hyperlink" Target="https://pubmed.ncbi.nlm.nih.gov/39808828" TargetMode="External"/><Relationship Id="rIdgbbqa5e13x3shydiqs8-n" Type="http://schemas.openxmlformats.org/officeDocument/2006/relationships/hyperlink" Target="https://pubmed.ncbi.nlm.nih.gov/42294332" TargetMode="External"/><Relationship Id="rIdcit1rwr_ch9ctpr4ukzg-" Type="http://schemas.openxmlformats.org/officeDocument/2006/relationships/hyperlink" Target="https://pubmed.ncbi.nlm.nih.gov/22047762" TargetMode="External"/><Relationship Id="rIdchrdc6i-rpejz4jugan1l" Type="http://schemas.openxmlformats.org/officeDocument/2006/relationships/hyperlink" Target="https://pubmed.ncbi.nlm.nih.gov/40789776" TargetMode="External"/><Relationship Id="rIdhbnea2cq__tuvntu1is6k" Type="http://schemas.openxmlformats.org/officeDocument/2006/relationships/hyperlink" Target="https://onlinelibrary.wiley.com/doi/10.1111/apt.70333" TargetMode="External"/><Relationship Id="rIdmctpjrl5wr8fch1tyqkmu" Type="http://schemas.openxmlformats.org/officeDocument/2006/relationships/hyperlink" Target="https://doi.org/10.1097/LVT.0000000000000715" TargetMode="External"/><Relationship Id="rIdq4wadstbsegih6_mrjlxy" Type="http://schemas.openxmlformats.org/officeDocument/2006/relationships/hyperlink" Target="https://pubmed.ncbi.nlm.nih.gov/30568386" TargetMode="External"/><Relationship Id="rIds-qz-3-_mlawvv-f2tdbr" Type="http://schemas.openxmlformats.org/officeDocument/2006/relationships/hyperlink" Target="https://pubmed.ncbi.nlm.nih.gov/36160651" TargetMode="External"/><Relationship Id="rIdolr8dqj40o6ixexaccyqg" Type="http://schemas.openxmlformats.org/officeDocument/2006/relationships/hyperlink" Target="https://pubmed.ncbi.nlm.nih.gov/41622628" TargetMode="External"/><Relationship Id="rIdwkz08jt6a-pmtrkvfzbxp" Type="http://schemas.openxmlformats.org/officeDocument/2006/relationships/hyperlink" Target="https://pubmed.ncbi.nlm.nih.gov/41986186" TargetMode="External"/><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2026-07-15T23:22:32.139Z</dcterms:created>
  <dcterms:modified xsi:type="dcterms:W3CDTF">2026-07-15T23:22:32.139Z</dcterms:modified>
  <dc:title>UTHealth HCC Standard Protocol — V2</dc:title>
  <dc:subject>OPTN Policy 9.5.I standardized exception pathway</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