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UTHealth Houston iCCA Liver Transplant Protocol — Guidance-Aligned NLRB Pathway — V3</w:t>
      </w:r>
    </w:p>
    <w:p>
      <w:pPr>
        <w:pStyle w:val="Heading2"/>
      </w:pPr>
      <w:r>
        <w:t>Policy and allocation status</w:t>
      </w:r>
    </w:p>
    <w:p>
      <w:pPr>
        <w:pStyle w:val="Normal"/>
      </w:pPr>
      <w:r>
        <w:rPr>
          <w:sz w:val="21"/>
        </w:rPr>
        <w:t>GUIDANCE-ALIGNED NON-STANDARD EXCEPTION. iCCA and mixed HCC-iCCA are not standardized diagnoses under OPTN Policy 9.5. The December 2025 guidance supports NLRB consideration for biopsy-proven, unresectable, solitary disease ≤3 cm in a candidate with cirrhosis after locoregional or systemic therapy and at least 6 months of stability, with no new lesions or extrahepatic disease. Recommended score: MMaT-3.</w:t>
      </w:r>
    </w:p>
    <w:p>
      <w:pPr>
        <w:pStyle w:val="Normal"/>
      </w:pPr>
      <w:r>
        <w:t>Policy review date: 21 September 2026. Controlling allocation sources: OPTN Policies (Policy 9.4 and 9.5, current HRSA posting) and the OPTN/HRSA Guidance to Liver Transplant Programs and the National Liver Review Board for Adult MELD Exceptions for Transplant Oncology (current posting; https://www.hrsa.gov/sites/default/files/hrsa/optn/adult-meld-exception-transplant-oncology-review-guidance.pdf). The guidance is not OPTN policy and does not define a clinical standard of care. Classification verified: the OPTN Board action of 9 June 2025 (guidance effective 1 July 2025) added recommended exception scores for NON-STANDARD transplant-oncology diagnoses; it did not move intrahepatic cholangiocarcinoma, colorectal liver metastases, neuroendocrine liver metastases, hepatic epithelioid hemangioendothelioma or hepatocellular adenoma into the standardized list in Policy 9.5 (9.5.A-9.5.I). Secondary literature stating otherwise (doi:10.1245/s10434-025-18408-0) is imprecise on this point. Re-verify against the live posting before committee adoption and before each exception submission.</w:t>
      </w:r>
    </w:p>
    <w:p>
      <w:pPr>
        <w:pStyle w:val="Normal"/>
      </w:pPr>
      <w:r>
        <w:rPr>
          <w:sz w:val="21"/>
        </w:rPr>
        <w:t>Extension requests should document imaging every 3 months, tumor remaining ≤3 cm, and absence of extrahepatic disease. All drug selection, dose, washout, immunosuppression, surveillance, donor-source, and stopping-rule decisions require current multidisciplinary review and applicable pharmacy, IRB, DSMB, institutional, and regulatory approval before clinical use.</w:t>
      </w:r>
    </w:p>
    <w:p>
      <w:pPr>
        <w:pStyle w:val="Heading2"/>
      </w:pPr>
      <w:r>
        <w:rPr>
          <w:b w:val="false"/>
          <w:bCs w:val="false"/>
          <w:i w:val="false"/>
          <w:iCs w:val="false"/>
        </w:rPr>
        <w:t xml:space="preserve">1. Purpose and Scope</w:t>
      </w:r>
    </w:p>
    <w:p>
      <w:pPr>
        <w:pStyle w:val="Normal"/>
      </w:pPr>
      <w:r>
        <w:t xml:space="preserve">This protocol establishes an institutional clinical pathway for liver transplantation in carefully selected patients with intrahepatic cholangiocarcinoma (iCCA). iCCA is not a standardized exception diagnosis in OPTN Policy 9.5; this pathway is aligned to the December 2025 transplant-oncology NLRB guidance, with NCCN and AASLD/AST sources used for clinical care.{National Comprehensive Cancer, 2026 #35;Dove, 2026 #2}</w:t>
      </w:r>
    </w:p>
    <w:p>
      <w:pPr>
        <w:pStyle w:val="Heading2"/>
      </w:pPr>
      <w:r>
        <w:rPr>
          <w:b w:val="false"/>
          <w:bCs w:val="false"/>
          <w:i w:val="false"/>
          <w:iCs w:val="false"/>
        </w:rPr>
        <w:t xml:space="preserve">2. Patient Selection Criteria</w:t>
      </w:r>
    </w:p>
    <w:p>
      <w:pPr>
        <w:pStyle w:val="Heading3"/>
      </w:pPr>
      <w:r>
        <w:rPr>
          <w:b w:val="false"/>
          <w:bCs w:val="false"/>
          <w:i w:val="false"/>
          <w:iCs w:val="false"/>
        </w:rPr>
        <w:t xml:space="preserve">2.1 Inclusion Criteria</w:t>
      </w:r>
    </w:p>
    <w:p>
      <w:pPr>
        <w:pStyle w:val="Normal"/>
      </w:pPr>
      <w:r>
        <w:rPr>
          <w:b w:val="false"/>
          <w:bCs w:val="false"/>
          <w:i w:val="false"/>
          <w:iCs w:val="false"/>
        </w:rPr>
        <w:t xml:space="preserve">- Biopsy-proven intrahepatic cholangiocarcinoma (iCCA) or mixed HCC-iCCA</w:t>
      </w:r>
      <w:r>
        <w:t xml:space="preserve">{National Comprehensive Cancer, 2026 #35;Dove, 2026 #2}</w:t>
      </w:r>
    </w:p>
    <w:p>
      <w:pPr>
        <w:pStyle w:val="Normal"/>
      </w:pPr>
      <w:r>
        <w:t xml:space="preserve">- Solitary tumor with maximum diameter ≤3 cm{Dove, 2026 #2}</w:t>
      </w:r>
    </w:p>
    <w:p>
      <w:pPr>
        <w:pStyle w:val="Normal"/>
      </w:pPr>
      <w:r>
        <w:t>- Evidence note on the size threshold: the solitary 3 cm limit follows the OPTN transplant-oncology guidance. The strongest supporting outcome data are for very early iCCA defined as a SINGLE tumour 2 cm or less: 5-year cumulative recurrence 18% and 5-year actuarial survival 65% for single tumours 2 cm or less (n = 15), versus 61% recurrence and 45% survival for tumours above 2 cm or multifocal disease (n = 33). Sapisochin G et al., Hepatology 2016;64(4):1178-1188; doi:10.1002/hep.28744; PMID 27481548. Candidates in the 2-3 cm band sit above the size range with the most favourable published outcomes; this must be stated in the consent discussion and in the NLRB narrative.</w:t>
      </w:r>
    </w:p>
    <w:p>
      <w:pPr>
        <w:pStyle w:val="Normal"/>
      </w:pPr>
      <w:r>
        <w:t xml:space="preserve">- Cirrhosis is REQUIRED: documented cirrhosis (histology, or unequivocal imaging plus clinical or laboratory evidence of portal hypertension), recorded explicitly in the NLRB narrative. Candidates without cirrhosis do not meet the guidance-supported category and may not be submitted under this pathway; any such request must be a separately justified non-standard submission reviewed by the selection committee and transplant-oncology conference, with the deviation stated explicitly.{Dove, 2026 #2;Bowlus, 2023 #16}</w:t>
      </w:r>
    </w:p>
    <w:p>
      <w:pPr>
        <w:pStyle w:val="Normal"/>
      </w:pPr>
      <w:r>
        <w:t xml:space="preserve">- Unresectability is REQUIRED, determined by the hepatobiliary and transplant multidisciplinary tumour board, with the anatomic and functional reasons documented (remnant volume, vascular or biliary involvement, hepatic reserve).{National Comprehensive Cancer, 2026 #35;Dove, 2026 #2}</w:t>
      </w:r>
    </w:p>
    <w:p>
      <w:pPr>
        <w:pStyle w:val="Normal"/>
      </w:pPr>
      <w:r>
        <w:rPr>
          <w:b w:val="false"/>
          <w:bCs w:val="false"/>
          <w:i w:val="false"/>
          <w:iCs w:val="false"/>
        </w:rPr>
        <w:t xml:space="preserve">- No extrahepatic disease on cross-sectional imaging (multiphasic CT or MRI of abdomen/pelvis and chest CT)</w:t>
      </w:r>
      <w:r>
        <w:t xml:space="preserve">{National Comprehensive Cancer, 2026 #35;Dove, 2026 #2}</w:t>
      </w:r>
    </w:p>
    <w:p>
      <w:pPr>
        <w:pStyle w:val="Normal"/>
      </w:pPr>
      <w:r>
        <w:rPr>
          <w:b w:val="false"/>
          <w:bCs w:val="false"/>
          <w:i w:val="false"/>
          <w:iCs w:val="false"/>
        </w:rPr>
        <w:t xml:space="preserve">- No lymph node metastases on imaging and/or EUS-FNA</w:t>
      </w:r>
      <w:r>
        <w:t xml:space="preserve">{Dove, 2026 #2;Bowlus, 2023 #16}</w:t>
      </w:r>
    </w:p>
    <w:p>
      <w:pPr>
        <w:pStyle w:val="Normal"/>
      </w:pPr>
      <w:r>
        <w:rPr>
          <w:b w:val="false"/>
          <w:bCs w:val="false"/>
          <w:i w:val="false"/>
          <w:iCs w:val="false"/>
        </w:rPr>
        <w:t xml:space="preserve">- ECOG performance status 0–1</w:t>
      </w:r>
    </w:p>
    <w:p>
      <w:pPr>
        <w:pStyle w:val="Normal"/>
      </w:pPr>
      <w:r>
        <w:t xml:space="preserve">- Age: no absolute upper age limit; OPTN policy sets none. Candidates over 70 years require documented enhanced physiologic assessment — frailty (Liver Frailty Index or equivalent), sarcopenia assessment, formal cardiopulmonary evaluation, and geriatric or anaesthesia consultation as indicated — and explicit selection-committee sign-off recording why the expected benefit justifies transplantation and lifelong immunosuppression. The committee may decline on physiologic grounds; it may not decline on chronological age alone.{Schleimer, 2026 #36}</w:t>
      </w:r>
    </w:p>
    <w:p>
      <w:pPr>
        <w:pStyle w:val="Normal"/>
      </w:pPr>
      <w:r>
        <w:rPr>
          <w:b w:val="false"/>
          <w:bCs w:val="false"/>
          <w:i w:val="false"/>
          <w:iCs w:val="false"/>
        </w:rPr>
        <w:t xml:space="preserve">- No major comorbidities precluding transplantation per standard LT evaluation</w:t>
      </w:r>
    </w:p>
    <w:p>
      <w:pPr>
        <w:pStyle w:val="Heading3"/>
      </w:pPr>
      <w:r>
        <w:rPr>
          <w:b w:val="false"/>
          <w:bCs w:val="false"/>
          <w:i w:val="false"/>
          <w:iCs w:val="false"/>
        </w:rPr>
        <w:t xml:space="preserve">2.2 Exclusion Criteria</w:t>
      </w:r>
    </w:p>
    <w:p>
      <w:pPr>
        <w:pStyle w:val="Normal"/>
      </w:pPr>
      <w:r>
        <w:rPr>
          <w:b w:val="false"/>
          <w:bCs w:val="false"/>
          <w:i w:val="false"/>
          <w:iCs w:val="false"/>
        </w:rPr>
        <w:t xml:space="preserve">- Extrahepatic disease or intrahepatic metastases</w:t>
      </w:r>
      <w:r>
        <w:t xml:space="preserve">{Dove, 2026 #2}</w:t>
      </w:r>
    </w:p>
    <w:p>
      <w:pPr>
        <w:pStyle w:val="Normal"/>
      </w:pPr>
      <w:r>
        <w:rPr>
          <w:b w:val="false"/>
          <w:bCs w:val="false"/>
          <w:i w:val="false"/>
          <w:iCs w:val="false"/>
        </w:rPr>
        <w:t xml:space="preserve">- Macrovascular invasion</w:t>
      </w:r>
      <w:r>
        <w:t xml:space="preserve">{Schleimer, 2026 #36}</w:t>
      </w:r>
    </w:p>
    <w:p>
      <w:pPr>
        <w:pStyle w:val="Normal"/>
      </w:pPr>
      <w:r>
        <w:rPr>
          <w:b w:val="false"/>
          <w:bCs w:val="false"/>
          <w:i w:val="false"/>
          <w:iCs w:val="false"/>
        </w:rPr>
        <w:t xml:space="preserve">- Prior transperitoneal biopsy with concern for peritoneal seeding</w:t>
      </w:r>
      <w:r>
        <w:t xml:space="preserve">{Bowlus, 2023 #16}</w:t>
      </w:r>
    </w:p>
    <w:p>
      <w:pPr>
        <w:pStyle w:val="Normal"/>
      </w:pPr>
      <w:r>
        <w:rPr>
          <w:b w:val="false"/>
          <w:bCs w:val="false"/>
          <w:i w:val="false"/>
          <w:iCs w:val="false"/>
        </w:rPr>
        <w:t xml:space="preserve">- Prior biliary resection or attempted resection</w:t>
      </w:r>
      <w:r>
        <w:t xml:space="preserve">{Dove, 2026 #2}</w:t>
      </w:r>
    </w:p>
    <w:p>
      <w:pPr>
        <w:pStyle w:val="Normal"/>
      </w:pPr>
      <w:r>
        <w:rPr>
          <w:b w:val="false"/>
          <w:bCs w:val="false"/>
          <w:i w:val="false"/>
          <w:iCs w:val="false"/>
        </w:rPr>
        <w:t xml:space="preserve">- Uncontrolled infection</w:t>
      </w:r>
      <w:r>
        <w:t xml:space="preserve">{Dove, 2026 #2}</w:t>
      </w:r>
    </w:p>
    <w:p>
      <w:pPr>
        <w:pStyle w:val="Normal"/>
      </w:pPr>
      <w:r>
        <w:rPr>
          <w:b w:val="false"/>
          <w:bCs w:val="false"/>
          <w:i w:val="false"/>
          <w:iCs w:val="false"/>
        </w:rPr>
        <w:t xml:space="preserve">- Poorly differentiated histology (relative contraindication)</w:t>
      </w:r>
      <w:r>
        <w:t xml:space="preserve">{Bowlus, 2023 #16}</w:t>
      </w:r>
    </w:p>
    <w:p>
      <w:pPr>
        <w:pStyle w:val="Normal"/>
      </w:pPr>
      <w:r>
        <w:rPr>
          <w:b w:val="false"/>
          <w:bCs w:val="false"/>
          <w:i w:val="false"/>
          <w:iCs w:val="false"/>
        </w:rPr>
        <w:t xml:space="preserve">- Inability to tolerate neoadjuvant systemic or locoregional therapy</w:t>
      </w:r>
    </w:p>
    <w:p>
      <w:pPr>
        <w:pStyle w:val="Heading2"/>
      </w:pPr>
      <w:r>
        <w:rPr>
          <w:b w:val="false"/>
          <w:bCs w:val="false"/>
          <w:i w:val="false"/>
          <w:iCs w:val="false"/>
        </w:rPr>
        <w:t xml:space="preserve">3. Pre-Transplant Workup</w:t>
      </w:r>
    </w:p>
    <w:p>
      <w:pPr>
        <w:pStyle w:val="Heading3"/>
      </w:pPr>
      <w:r>
        <w:rPr>
          <w:b w:val="false"/>
          <w:bCs w:val="false"/>
          <w:i w:val="false"/>
          <w:iCs w:val="false"/>
        </w:rPr>
        <w:t xml:space="preserve">3.1 Diagnostic Evaluation</w:t>
      </w:r>
    </w:p>
    <w:p>
      <w:pPr>
        <w:pStyle w:val="Normal"/>
      </w:pPr>
      <w:r>
        <w:rPr>
          <w:b w:val="false"/>
          <w:bCs w:val="false"/>
          <w:i w:val="false"/>
          <w:iCs w:val="false"/>
        </w:rPr>
        <w:t xml:space="preserve">- Multiphasic abdomen/pelvis CT or MRI with IV contrast (preferred)</w:t>
      </w:r>
      <w:r>
        <w:t xml:space="preserve">{National Comprehensive Cancer, 2026 #35}</w:t>
      </w:r>
    </w:p>
    <w:p>
      <w:pPr>
        <w:pStyle w:val="Normal"/>
      </w:pPr>
      <w:r>
        <w:rPr>
          <w:b w:val="false"/>
          <w:bCs w:val="false"/>
          <w:i w:val="false"/>
          <w:iCs w:val="false"/>
        </w:rPr>
        <w:t xml:space="preserve">- Chest CT ± contrast</w:t>
      </w:r>
      <w:r>
        <w:t xml:space="preserve">{National Comprehensive Cancer, 2026 #35}</w:t>
      </w:r>
    </w:p>
    <w:p>
      <w:pPr>
        <w:pStyle w:val="Normal"/>
      </w:pPr>
      <w:r>
        <w:rPr>
          <w:b w:val="false"/>
          <w:bCs w:val="false"/>
          <w:i w:val="false"/>
          <w:iCs w:val="false"/>
        </w:rPr>
        <w:t xml:space="preserve">- Core biopsy (preferred over FNA) with pathologic confirmation of iCCA</w:t>
      </w:r>
      <w:r>
        <w:t xml:space="preserve">{National Comprehensive Cancer, 2026 #35}</w:t>
      </w:r>
    </w:p>
    <w:p>
      <w:pPr>
        <w:pStyle w:val="Normal"/>
      </w:pPr>
      <w:r>
        <w:rPr>
          <w:b w:val="false"/>
          <w:bCs w:val="false"/>
          <w:i w:val="false"/>
          <w:iCs w:val="false"/>
        </w:rPr>
        <w:t xml:space="preserve">- Biomarker testing: comprehensive genomic profiling including MSI/MMR status, FGFR2 fusions, IDH1/2 mutations, BRAF, HER2, NTRK, RET</w:t>
      </w:r>
      <w:r>
        <w:t xml:space="preserve">{National Comprehensive Cancer, 2026 #35}</w:t>
      </w:r>
    </w:p>
    <w:p>
      <w:pPr>
        <w:pStyle w:val="Normal"/>
      </w:pPr>
      <w:r>
        <w:rPr>
          <w:b w:val="false"/>
          <w:bCs w:val="false"/>
          <w:i w:val="false"/>
          <w:iCs w:val="false"/>
        </w:rPr>
        <w:t xml:space="preserve">- Baseline tumor markers: CA 19-9, CEA, AFP</w:t>
      </w:r>
      <w:r>
        <w:t xml:space="preserve">{National Comprehensive Cancer, 2026 #35}</w:t>
      </w:r>
    </w:p>
    <w:p>
      <w:pPr>
        <w:pStyle w:val="Normal"/>
      </w:pPr>
      <w:r>
        <w:rPr>
          <w:b w:val="false"/>
          <w:bCs w:val="false"/>
          <w:i w:val="false"/>
          <w:iCs w:val="false"/>
        </w:rPr>
        <w:t xml:space="preserve">- Liver function tests, viral hepatitis serologies (HBV, HCV)</w:t>
      </w:r>
      <w:r>
        <w:t xml:space="preserve">{National Comprehensive Cancer, 2026 #35}</w:t>
      </w:r>
    </w:p>
    <w:p>
      <w:pPr>
        <w:pStyle w:val="Normal"/>
      </w:pPr>
      <w:r>
        <w:rPr>
          <w:b w:val="false"/>
          <w:bCs w:val="false"/>
          <w:i w:val="false"/>
          <w:iCs w:val="false"/>
        </w:rPr>
        <w:t xml:space="preserve">- MELD score calculation</w:t>
      </w:r>
    </w:p>
    <w:p>
      <w:pPr>
        <w:pStyle w:val="Normal"/>
      </w:pPr>
      <w:r>
        <w:rPr>
          <w:b w:val="false"/>
          <w:bCs w:val="false"/>
          <w:i w:val="false"/>
          <w:iCs w:val="false"/>
        </w:rPr>
        <w:t xml:space="preserve">- Standard LT evaluation (cardiac, pulmonary, psychosocial, nutritional)</w:t>
      </w:r>
    </w:p>
    <w:p>
      <w:pPr>
        <w:pStyle w:val="Heading3"/>
      </w:pPr>
      <w:r>
        <w:rPr>
          <w:b w:val="false"/>
          <w:bCs w:val="false"/>
          <w:i w:val="false"/>
          <w:iCs w:val="false"/>
        </w:rPr>
        <w:t xml:space="preserve">3.2 Staging Procedures</w:t>
      </w:r>
    </w:p>
    <w:p>
      <w:pPr>
        <w:pStyle w:val="Normal"/>
      </w:pPr>
      <w:r>
        <w:rPr>
          <w:b w:val="false"/>
          <w:bCs w:val="false"/>
          <w:i w:val="false"/>
          <w:iCs w:val="false"/>
        </w:rPr>
        <w:t xml:space="preserve">- EUS-FNA of regional lymph nodes to exclude nodal metastases</w:t>
      </w:r>
      <w:r>
        <w:t xml:space="preserve">{Bowlus, 2023 #16}</w:t>
      </w:r>
    </w:p>
    <w:p>
      <w:pPr>
        <w:pStyle w:val="Normal"/>
      </w:pPr>
      <w:r>
        <w:rPr>
          <w:b w:val="false"/>
          <w:bCs w:val="false"/>
          <w:i w:val="false"/>
          <w:iCs w:val="false"/>
        </w:rPr>
        <w:t xml:space="preserve">- Consider PET-CT for occult extrahepatic disease</w:t>
      </w:r>
    </w:p>
    <w:p>
      <w:pPr>
        <w:pStyle w:val="Normal"/>
      </w:pPr>
      <w:r>
        <w:rPr>
          <w:b w:val="false"/>
          <w:bCs w:val="false"/>
          <w:i w:val="false"/>
          <w:iCs w:val="false"/>
        </w:rPr>
        <w:t xml:space="preserve">- Consider diagnostic laparoscopy prior to listing</w:t>
      </w:r>
      <w:r>
        <w:t xml:space="preserve">{National Comprehensive Cancer, 2026 #35}</w:t>
      </w:r>
    </w:p>
    <w:p>
      <w:pPr>
        <w:pStyle w:val="Heading2"/>
      </w:pPr>
      <w:r>
        <w:rPr>
          <w:b w:val="false"/>
          <w:bCs w:val="false"/>
          <w:i w:val="false"/>
          <w:iCs w:val="false"/>
        </w:rPr>
        <w:t xml:space="preserve">4. Neoadjuvant Therapy</w:t>
      </w:r>
    </w:p>
    <w:p>
      <w:pPr>
        <w:pStyle w:val="Heading3"/>
      </w:pPr>
      <w:r>
        <w:rPr>
          <w:b w:val="false"/>
          <w:bCs w:val="false"/>
          <w:i w:val="false"/>
          <w:iCs w:val="false"/>
        </w:rPr>
        <w:t xml:space="preserve">4.1 Systemic Therapy</w:t>
      </w:r>
    </w:p>
    <w:p>
      <w:pPr>
        <w:pStyle w:val="Normal"/>
      </w:pPr>
      <w:r>
        <w:t xml:space="preserve">{National Comprehensive Cancer, 2026 #35}</w:t>
      </w:r>
      <w:r>
        <w:rPr>
          <w:b w:val="false"/>
          <w:bCs w:val="false"/>
          <w:i w:val="false"/>
          <w:iCs w:val="false"/>
        </w:rPr>
        <w:t>Before listing, candidates must demonstrate at least 6 months of stability after locoregional or systemic therapy, selected by the multidisciplinary transplant-oncology team. No single systemic regimen is established as the standard neoadjuvant transplant regimen.</w:t>
      </w:r>
    </w:p>
    <w:p>
      <w:pPr>
        <w:pStyle w:val="Normal"/>
      </w:pPr>
      <w:r>
        <w:rPr>
          <w:b w:val="false"/>
          <w:bCs w:val="false"/>
          <w:i w:val="false"/>
          <w:iCs w:val="false"/>
        </w:rPr>
        <w:t>- Gemcitabine/cisplatin with durvalumab may be used for advanced biliary tract cancer, but its use as neoadjuvant therapy before LT is investigational.</w:t>
      </w:r>
    </w:p>
    <w:p>
      <w:pPr>
        <w:pStyle w:val="Normal"/>
      </w:pPr>
      <w:r>
        <w:rPr>
          <w:b w:val="false"/>
          <w:bCs w:val="false"/>
          <w:i w:val="false"/>
          <w:iCs w:val="false"/>
        </w:rPr>
        <w:t>- Gemcitabine/cisplatin with pembrolizumab may be used for advanced biliary tract cancer, but its use as neoadjuvant therapy before LT is investigational.</w:t>
      </w:r>
    </w:p>
    <w:p>
      <w:pPr>
        <w:pStyle w:val="Normal"/>
      </w:pPr>
      <w:r>
        <w:t xml:space="preserve">{National Comprehensive Cancer, 2026 #35}</w:t>
      </w:r>
      <w:r>
        <w:rPr>
          <w:b w:val="false"/>
          <w:bCs w:val="false"/>
          <w:i w:val="false"/>
          <w:iCs w:val="false"/>
        </w:rPr>
        <w:t xml:space="preserve">Systemic alternatives, when systemic therapy is selected, include gemcitabine/cisplatin (with carboplatin substitution when appropriate), gemcitabine/oxaliplatin, or capecitabine/gemcitabine; selection requires current oncology and transplant-pharmacy review.{National Comprehensive Cancer, 2026 #35}</w:t>
      </w:r>
    </w:p>
    <w:p>
      <w:pPr>
        <w:pStyle w:val="Normal"/>
      </w:pPr>
      <w:r>
        <w:t xml:space="preserve">Important note regarding immune checkpoint inhibitors (ICIs): ICI-containing therapy is not a validated neoadjuvant LT standard. If used under an approved protocol, require transplant-specific consent and a prospectively defined washout of at least 90 days. The 90-day interval is a protocol convention, not a validated threshold: no washout duration has been shown to eliminate rejection risk, and rejection has been reported after longer intervals. Record the interval used and the rationale for any deviation. The supporting evidence is largely retrospective and HCC-derived.{Demirors, 2026 #30;Singal, 2023 #3}</w:t>
      </w:r>
    </w:p>
    <w:p>
      <w:pPr>
        <w:pStyle w:val="Heading3"/>
      </w:pPr>
      <w:r>
        <w:rPr>
          <w:b w:val="false"/>
          <w:bCs w:val="false"/>
          <w:i w:val="false"/>
          <w:iCs w:val="false"/>
        </w:rPr>
        <w:t xml:space="preserve">4.2 Locoregional Therapy</w:t>
      </w:r>
    </w:p>
    <w:p>
      <w:pPr>
        <w:pStyle w:val="Normal"/>
      </w:pPr>
      <w:r>
        <w:rPr>
          <w:b w:val="false"/>
          <w:bCs w:val="false"/>
          <w:i w:val="false"/>
          <w:iCs w:val="false"/>
        </w:rPr>
        <w:t xml:space="preserve">Consider as adjunct to systemic therapy:</w:t>
      </w:r>
      <w:r>
        <w:t xml:space="preserve">{National Comprehensive Cancer, 2026 #35}</w:t>
      </w:r>
    </w:p>
    <w:p>
      <w:pPr>
        <w:pStyle w:val="Normal"/>
      </w:pPr>
      <w:r>
        <w:rPr>
          <w:b w:val="false"/>
          <w:bCs w:val="false"/>
          <w:i w:val="false"/>
          <w:iCs w:val="false"/>
        </w:rPr>
        <w:t xml:space="preserve">- Transarterial chemoembolization (TACE)</w:t>
      </w:r>
    </w:p>
    <w:p>
      <w:pPr>
        <w:pStyle w:val="Normal"/>
      </w:pPr>
      <w:r>
        <w:rPr>
          <w:b w:val="false"/>
          <w:bCs w:val="false"/>
          <w:i w:val="false"/>
          <w:iCs w:val="false"/>
        </w:rPr>
        <w:t xml:space="preserve">- Yttrium-90 (Y-90) radioembolization</w:t>
      </w:r>
    </w:p>
    <w:p>
      <w:pPr>
        <w:pStyle w:val="Normal"/>
      </w:pPr>
      <w:r>
        <w:t>- Radiofrequency or microwave ablation for tumors ≤3 cm when anatomically appropriate</w:t>
      </w:r>
    </w:p>
    <w:p>
      <w:pPr>
        <w:pStyle w:val="Normal"/>
      </w:pPr>
      <w:r>
        <w:rPr>
          <w:b w:val="false"/>
          <w:bCs w:val="false"/>
          <w:i w:val="false"/>
          <w:iCs w:val="false"/>
        </w:rPr>
        <w:t xml:space="preserve">- Stereotactic body radiotherapy (SBRT)</w:t>
      </w:r>
    </w:p>
    <w:p>
      <w:pPr>
        <w:pStyle w:val="Heading3"/>
      </w:pPr>
      <w:r>
        <w:rPr>
          <w:b w:val="false"/>
          <w:bCs w:val="false"/>
          <w:i w:val="false"/>
          <w:iCs w:val="false"/>
        </w:rPr>
        <w:t xml:space="preserve">4.3 Disease Stability Requirement</w:t>
      </w:r>
    </w:p>
    <w:p>
      <w:pPr>
        <w:pStyle w:val="Normal"/>
      </w:pPr>
      <w:r>
        <w:rPr>
          <w:b w:val="false"/>
          <w:bCs w:val="false"/>
          <w:i w:val="false"/>
          <w:iCs w:val="false"/>
        </w:rPr>
        <w:t xml:space="preserve">- Minimum </w:t>
      </w:r>
      <w:r>
        <w:rPr>
          <w:b/>
          <w:bCs/>
          <w:i w:val="false"/>
          <w:iCs w:val="false"/>
        </w:rPr>
        <w:t xml:space="preserve">6 months</w:t>
      </w:r>
      <w:r>
        <w:rPr>
          <w:b w:val="false"/>
          <w:bCs w:val="false"/>
          <w:i w:val="false"/>
          <w:iCs w:val="false"/>
        </w:rPr>
        <w:t xml:space="preserve"> from time of diagnosis or last treatment demonstrating </w:t>
      </w:r>
      <w:r>
        <w:rPr>
          <w:b/>
          <w:bCs/>
          <w:i w:val="false"/>
          <w:iCs w:val="false"/>
        </w:rPr>
        <w:t xml:space="preserve">no new lesions and no extrahepatic disease</w:t>
      </w:r>
      <w:r>
        <w:rPr>
          <w:b w:val="false"/>
          <w:bCs w:val="false"/>
          <w:i w:val="false"/>
          <w:iCs w:val="false"/>
        </w:rPr>
        <w:t xml:space="preserve"> on cross-sectional imaging</w:t>
      </w:r>
      <w:r>
        <w:t xml:space="preserve">{National Comprehensive Cancer, 2026 #35;Dove, 2026 #2}</w:t>
      </w:r>
    </w:p>
    <w:p>
      <w:pPr>
        <w:pStyle w:val="Normal"/>
      </w:pPr>
      <w:r>
        <w:rPr>
          <w:b w:val="false"/>
          <w:bCs w:val="false"/>
          <w:i w:val="false"/>
          <w:iCs w:val="false"/>
        </w:rPr>
        <w:t xml:space="preserve">- Imaging surveillance every 3 months during the waiting period with multiphasic CT or MRI</w:t>
      </w:r>
      <w:r>
        <w:t xml:space="preserve">{Dove, 2026 #2}</w:t>
      </w:r>
    </w:p>
    <w:p>
      <w:pPr>
        <w:pStyle w:val="Heading2"/>
      </w:pPr>
      <w:r>
        <w:rPr>
          <w:b w:val="false"/>
          <w:bCs w:val="false"/>
          <w:i w:val="false"/>
          <w:iCs w:val="false"/>
        </w:rPr>
        <w:t xml:space="preserve">5. MELD Exception and Listing</w:t>
      </w:r>
    </w:p>
    <w:p>
      <w:pPr>
        <w:pStyle w:val="Normal"/>
      </w:pPr>
      <w:r>
        <w:t xml:space="preserve">- Submit a non-standard NLRB exception request. The December 2025 guidance recommends consideration at MMaT-3; approval is not automatic.{Dove, 2026 #2}</w:t>
      </w:r>
    </w:p>
    <w:p>
      <w:pPr>
        <w:pStyle w:val="Normal"/>
      </w:pPr>
      <w:r>
        <w:rPr>
          <w:b w:val="false"/>
          <w:bCs w:val="false"/>
          <w:i w:val="false"/>
          <w:iCs w:val="false"/>
        </w:rPr>
        <w:t xml:space="preserve">- Imaging confirmation of disease stability every 3 months while listed</w:t>
      </w:r>
      <w:r>
        <w:t xml:space="preserve">{Dove, 2026 #2}</w:t>
      </w:r>
    </w:p>
    <w:p>
      <w:pPr>
        <w:pStyle w:val="Normal"/>
      </w:pPr>
      <w:r>
        <w:t>- Progression is defined per the transplant-oncology guidance as a greater than 10% increase in diameter of existing lesions (RECIST 1.1) OR any new lesion. Progression so defined, extrahepatic spread, or a rising CA 19-9 warrants case review and potential delisting.</w:t>
      </w:r>
    </w:p>
    <w:p>
      <w:pPr>
        <w:pStyle w:val="Heading2"/>
      </w:pPr>
      <w:r>
        <w:rPr>
          <w:b w:val="false"/>
          <w:bCs w:val="false"/>
          <w:i w:val="false"/>
          <w:iCs w:val="false"/>
        </w:rPr>
        <w:t xml:space="preserve">6. Operative Staging and Transplant Procedure</w:t>
      </w:r>
    </w:p>
    <w:p>
      <w:pPr>
        <w:pStyle w:val="Heading3"/>
      </w:pPr>
      <w:r>
        <w:rPr>
          <w:b w:val="false"/>
          <w:bCs w:val="false"/>
          <w:i w:val="false"/>
          <w:iCs w:val="false"/>
        </w:rPr>
        <w:t xml:space="preserve">6.1 Staging Laparotomy</w:t>
      </w:r>
    </w:p>
    <w:p>
      <w:pPr>
        <w:pStyle w:val="Normal"/>
      </w:pPr>
      <w:r>
        <w:rPr>
          <w:b w:val="false"/>
          <w:bCs w:val="false"/>
          <w:i w:val="false"/>
          <w:iCs w:val="false"/>
        </w:rPr>
        <w:t xml:space="preserve">- Performed at the time of transplant (at donor liver visualization to minimize cold ischemia)</w:t>
      </w:r>
      <w:r>
        <w:t xml:space="preserve">{Lunsford, 2018 #22}</w:t>
      </w:r>
    </w:p>
    <w:p>
      <w:pPr>
        <w:pStyle w:val="Normal"/>
      </w:pPr>
      <w:r>
        <w:rPr>
          <w:b w:val="false"/>
          <w:bCs w:val="false"/>
          <w:i w:val="false"/>
          <w:iCs w:val="false"/>
        </w:rPr>
        <w:t xml:space="preserve">- Perihepatic lymph node sampling with frozen-section analysis</w:t>
      </w:r>
      <w:r>
        <w:t xml:space="preserve">{Lunsford, 2018 #22}</w:t>
      </w:r>
    </w:p>
    <w:p>
      <w:pPr>
        <w:pStyle w:val="Normal"/>
      </w:pPr>
      <w:r>
        <w:t xml:space="preserve">- If frozen section identifies extrahepatic or extrabiliary spread, the transplant is aborted. The transplant center immediately notifies the host OPO so the organ can be reallocated through the OPTN match run; the center does not return the organ to a waitlist pool. Document the decision, the pathology and the notification time.{Lunsford, 2018 #22}</w:t>
      </w:r>
    </w:p>
    <w:p>
      <w:pPr>
        <w:pStyle w:val="Heading3"/>
      </w:pPr>
      <w:r>
        <w:rPr>
          <w:b w:val="false"/>
          <w:bCs w:val="false"/>
          <w:i w:val="false"/>
          <w:iCs w:val="false"/>
        </w:rPr>
        <w:t xml:space="preserve">6.2 Transplant Surgery</w:t>
      </w:r>
    </w:p>
    <w:p>
      <w:pPr>
        <w:pStyle w:val="Normal"/>
      </w:pPr>
      <w:r>
        <w:rPr>
          <w:b w:val="false"/>
          <w:bCs w:val="false"/>
          <w:i w:val="false"/>
          <w:iCs w:val="false"/>
        </w:rPr>
        <w:t xml:space="preserve">- Standard orthotopic liver transplantation with caval anastomosis (piggyback technique preferred)</w:t>
      </w:r>
      <w:r>
        <w:t xml:space="preserve">{Lunsford, 2018 #22}</w:t>
      </w:r>
    </w:p>
    <w:p>
      <w:pPr>
        <w:pStyle w:val="Normal"/>
      </w:pPr>
      <w:r>
        <w:rPr>
          <w:b w:val="false"/>
          <w:bCs w:val="false"/>
          <w:i w:val="false"/>
          <w:iCs w:val="false"/>
        </w:rPr>
        <w:t xml:space="preserve">- Deceased donor or living donor liver transplantation per institutional protocol</w:t>
      </w:r>
    </w:p>
    <w:p>
      <w:pPr>
        <w:pStyle w:val="Heading2"/>
      </w:pPr>
      <w:r>
        <w:rPr>
          <w:b w:val="false"/>
          <w:bCs w:val="false"/>
          <w:i w:val="false"/>
          <w:iCs w:val="false"/>
        </w:rPr>
        <w:t xml:space="preserve">7. Post-Transplant Immunosuppression</w:t>
      </w:r>
    </w:p>
    <w:p>
      <w:pPr>
        <w:pStyle w:val="Heading3"/>
      </w:pPr>
      <w:r>
        <w:rPr>
          <w:b w:val="false"/>
          <w:bCs w:val="false"/>
          <w:i w:val="false"/>
          <w:iCs w:val="false"/>
        </w:rPr>
        <w:t xml:space="preserve">7.1 Induction</w:t>
      </w:r>
    </w:p>
    <w:p>
      <w:pPr>
        <w:pStyle w:val="Normal"/>
      </w:pPr>
      <w:r>
        <w:rPr>
          <w:b w:val="false"/>
          <w:bCs w:val="false"/>
          <w:i w:val="false"/>
          <w:iCs w:val="false"/>
        </w:rPr>
        <w:t xml:space="preserve">- Bolus steroid induction during the anhepatic phase</w:t>
      </w:r>
      <w:r>
        <w:t xml:space="preserve">{Lunsford, 2018 #22}</w:t>
      </w:r>
    </w:p>
    <w:p>
      <w:pPr>
        <w:pStyle w:val="Normal"/>
      </w:pPr>
      <w:r>
        <w:rPr>
          <w:b w:val="false"/>
          <w:bCs w:val="false"/>
          <w:i w:val="false"/>
          <w:iCs w:val="false"/>
        </w:rPr>
        <w:t xml:space="preserve">- Steroid taper and withdrawal by post-operative day 30</w:t>
      </w:r>
      <w:r>
        <w:t xml:space="preserve">{Lunsford, 2018 #22}</w:t>
      </w:r>
    </w:p>
    <w:p>
      <w:pPr>
        <w:pStyle w:val="Heading3"/>
      </w:pPr>
      <w:r>
        <w:rPr>
          <w:b w:val="false"/>
          <w:bCs w:val="false"/>
          <w:i w:val="false"/>
          <w:iCs w:val="false"/>
        </w:rPr>
        <w:t xml:space="preserve">7.2 Maintenance</w:t>
      </w:r>
    </w:p>
    <w:p>
      <w:pPr>
        <w:pStyle w:val="Normal"/>
      </w:pPr>
      <w:r>
        <w:rPr>
          <w:b w:val="false"/>
          <w:bCs w:val="false"/>
          <w:i w:val="false"/>
          <w:iCs w:val="false"/>
        </w:rPr>
        <w:t xml:space="preserve">- </w:t>
      </w:r>
      <w:r>
        <w:rPr>
          <w:b/>
          <w:bCs/>
          <w:i w:val="false"/>
          <w:iCs w:val="false"/>
        </w:rPr>
        <w:t xml:space="preserve">Tacrolimus + Mycophenolate mofetil</w:t>
      </w:r>
      <w:r>
        <w:rPr>
          <w:b w:val="false"/>
          <w:bCs w:val="false"/>
          <w:i w:val="false"/>
          <w:iCs w:val="false"/>
        </w:rPr>
        <w:t xml:space="preserve"> for the first 30 days</w:t>
      </w:r>
      <w:r>
        <w:t xml:space="preserve">{Lunsford, 2018 #22;Ramanan, 2017 #23}</w:t>
      </w:r>
    </w:p>
    <w:p>
      <w:pPr>
        <w:pStyle w:val="Normal"/>
      </w:pPr>
      <w:r>
        <w:rPr>
          <w:b w:val="false"/>
          <w:bCs w:val="false"/>
          <w:i w:val="false"/>
          <w:iCs w:val="false"/>
        </w:rPr>
        <w:t xml:space="preserve">- Transition to </w:t>
      </w:r>
      <w:r>
        <w:rPr>
          <w:b/>
          <w:bCs/>
          <w:i w:val="false"/>
          <w:iCs w:val="false"/>
        </w:rPr>
        <w:t xml:space="preserve">Everolimus (mTOR inhibitor) + low-dose Tacrolimus</w:t>
      </w:r>
      <w:r>
        <w:rPr>
          <w:b w:val="false"/>
          <w:bCs w:val="false"/>
          <w:i w:val="false"/>
          <w:iCs w:val="false"/>
        </w:rPr>
        <w:t xml:space="preserve"> dual therapy by day 30–38, unless contraindicated (e.g., severe proteinuria)</w:t>
      </w:r>
      <w:r>
        <w:t xml:space="preserve">{Lunsford, 2018 #22;Semaan, 2025 #24}</w:t>
      </w:r>
    </w:p>
    <w:p>
      <w:pPr>
        <w:pStyle w:val="Normal"/>
      </w:pPr>
      <w:r>
        <w:rPr>
          <w:b w:val="false"/>
          <w:bCs w:val="false"/>
          <w:i w:val="false"/>
          <w:iCs w:val="false"/>
        </w:rPr>
        <w:t xml:space="preserve">- Immunosuppression minimization as tolerated</w:t>
      </w:r>
      <w:r>
        <w:t xml:space="preserve">{Lunsford, 2018 #22}</w:t>
      </w:r>
    </w:p>
    <w:p>
      <w:pPr>
        <w:pStyle w:val="Normal"/>
      </w:pPr>
      <w:r>
        <w:t>- Prior checkpoint-inhibitor exposure: rejection risk is elevated — pooled allograft rejection 19% (95% CI 12-30%) across 8 retrospective studies (n = 229), with complete recovery in 78% of rejection episodes, graft loss in 4% and rejection-related mortality in 2% (doi:10.3389/fonc.2025.1689820; PMID 41234720). Reported events cluster in the early post-transplant weeks; no reliable median time to onset has been established and none should be quoted.</w:t>
      </w:r>
    </w:p>
    <w:p>
      <w:pPr>
        <w:pStyle w:val="Normal"/>
      </w:pPr>
      <w:r>
        <w:t>- Operational rule for any recipient with pre-transplant ICI exposure: liver tests at least twice weekly for 4 weeks, then weekly to week 12; allograft biopsy for any unexplained rise in transaminases or cholestatic indices rather than empiric treatment; record the agent, last dose date and washout interval in the transplant record; manage suspected rejection per institutional protocol with early hepatology involvement.</w:t>
      </w:r>
    </w:p>
    <w:p>
      <w:pPr>
        <w:pStyle w:val="Heading2"/>
      </w:pPr>
      <w:r>
        <w:rPr>
          <w:b w:val="false"/>
          <w:bCs w:val="false"/>
          <w:i w:val="false"/>
          <w:iCs w:val="false"/>
        </w:rPr>
        <w:t xml:space="preserve">8. Adjuvant Therapy Post-Transplant</w:t>
      </w:r>
    </w:p>
    <w:p>
      <w:pPr>
        <w:pStyle w:val="Normal"/>
      </w:pPr>
      <w:r>
        <w:t xml:space="preserve">{Lunsford, 2018 #22}</w:t>
      </w:r>
      <w:r>
        <w:rPr>
          <w:b w:val="false"/>
          <w:bCs w:val="false"/>
          <w:i w:val="false"/>
          <w:iCs w:val="false"/>
        </w:rPr>
        <w:t>- Complete pathologic response on explant: surveillance without routine adjuvant therapy unless a separate prospective protocol specifies otherwise.</w:t>
      </w:r>
    </w:p>
    <w:p>
      <w:pPr>
        <w:pStyle w:val="Normal"/>
      </w:pPr>
      <w:r>
        <w:t xml:space="preserve">{Lunsford, 2018 #22}</w:t>
      </w:r>
      <w:r>
        <w:rPr>
          <w:b w:val="false"/>
          <w:bCs w:val="false"/>
          <w:i w:val="false"/>
          <w:iCs w:val="false"/>
        </w:rPr>
        <w:t>- Residual viable tumor on explant: no established post-LT adjuvant standard exists. Consider chemotherapy only case-by-case or within a prospective protocol; benefit and tolerability in immunosuppressed LT recipients are unproven.</w:t>
      </w:r>
    </w:p>
    <w:p>
      <w:pPr>
        <w:pStyle w:val="Heading2"/>
      </w:pPr>
      <w:r>
        <w:rPr>
          <w:b w:val="false"/>
          <w:bCs w:val="false"/>
          <w:i w:val="false"/>
          <w:iCs w:val="false"/>
        </w:rPr>
        <w:t xml:space="preserve">9. Post-Transplant Surveillance</w:t>
      </w:r>
    </w:p>
    <w:p>
      <w:pPr>
        <w:pStyle w:val="Heading3"/>
      </w:pPr>
      <w:r>
        <w:rPr>
          <w:b w:val="false"/>
          <w:bCs w:val="false"/>
          <w:i w:val="false"/>
          <w:iCs w:val="false"/>
        </w:rPr>
        <w:t xml:space="preserve">9.1 Oncologic Surveillance</w:t>
      </w:r>
    </w:p>
    <w:p>
      <w:pPr>
        <w:pStyle w:val="Normal"/>
      </w:pPr>
      <w:r>
        <w:rPr>
          <w:b w:val="false"/>
          <w:bCs w:val="false"/>
          <w:i w:val="false"/>
          <w:iCs w:val="false"/>
        </w:rPr>
        <w:t xml:space="preserve">- Multiphasic abdomen/pelvis CT or MRI with IV contrast and chest CT every </w:t>
      </w:r>
      <w:r>
        <w:rPr>
          <w:b/>
          <w:bCs/>
          <w:i w:val="false"/>
          <w:iCs w:val="false"/>
        </w:rPr>
        <w:t xml:space="preserve">3 months for years 1–2</w:t>
      </w:r>
      <w:r>
        <w:t xml:space="preserve">{Heinrich, 2026 #25}</w:t>
      </w:r>
    </w:p>
    <w:p>
      <w:pPr>
        <w:pStyle w:val="Normal"/>
      </w:pPr>
      <w:r>
        <w:rPr>
          <w:b w:val="false"/>
          <w:bCs w:val="false"/>
          <w:i w:val="false"/>
          <w:iCs w:val="false"/>
        </w:rPr>
        <w:t xml:space="preserve">- Every </w:t>
      </w:r>
      <w:r>
        <w:rPr>
          <w:b/>
          <w:bCs/>
          <w:i w:val="false"/>
          <w:iCs w:val="false"/>
        </w:rPr>
        <w:t xml:space="preserve">6 months for years 3–5</w:t>
      </w:r>
      <w:r>
        <w:t xml:space="preserve">{Heinrich, 2026 #25}</w:t>
      </w:r>
    </w:p>
    <w:p>
      <w:pPr>
        <w:pStyle w:val="Normal"/>
      </w:pPr>
      <w:r>
        <w:rPr>
          <w:b w:val="false"/>
          <w:bCs w:val="false"/>
          <w:i w:val="false"/>
          <w:iCs w:val="false"/>
        </w:rPr>
        <w:t xml:space="preserve">- CA 19-9 and CEA at each surveillance visit</w:t>
      </w:r>
    </w:p>
    <w:p>
      <w:pPr>
        <w:pStyle w:val="Normal"/>
      </w:pPr>
      <w:r>
        <w:rPr>
          <w:b w:val="false"/>
          <w:bCs w:val="false"/>
          <w:i w:val="false"/>
          <w:iCs w:val="false"/>
        </w:rPr>
        <w:t xml:space="preserve">- Annual surveillance thereafter as clinically indicated</w:t>
      </w:r>
    </w:p>
    <w:p>
      <w:pPr>
        <w:pStyle w:val="Heading3"/>
      </w:pPr>
      <w:r>
        <w:rPr>
          <w:b w:val="false"/>
          <w:bCs w:val="false"/>
          <w:i w:val="false"/>
          <w:iCs w:val="false"/>
        </w:rPr>
        <w:t xml:space="preserve">9.2 General Post-Transplant Care</w:t>
      </w:r>
    </w:p>
    <w:p>
      <w:pPr>
        <w:pStyle w:val="Normal"/>
      </w:pPr>
      <w:r>
        <w:rPr>
          <w:b w:val="false"/>
          <w:bCs w:val="false"/>
          <w:i w:val="false"/>
          <w:iCs w:val="false"/>
        </w:rPr>
        <w:t xml:space="preserve">- Standard LT recipient monitoring: renal function, metabolic parameters, infection prophylaxis</w:t>
      </w:r>
    </w:p>
    <w:p>
      <w:pPr>
        <w:pStyle w:val="Normal"/>
      </w:pPr>
      <w:r>
        <w:rPr>
          <w:b w:val="false"/>
          <w:bCs w:val="false"/>
          <w:i w:val="false"/>
          <w:iCs w:val="false"/>
        </w:rPr>
        <w:t xml:space="preserve">- Annual dermatologic screening for skin cancer</w:t>
      </w:r>
      <w:r>
        <w:t xml:space="preserve">{Sharma, 2026 #37}</w:t>
      </w:r>
    </w:p>
    <w:p>
      <w:pPr>
        <w:pStyle w:val="Normal"/>
      </w:pPr>
      <w:r>
        <w:rPr>
          <w:b w:val="false"/>
          <w:bCs w:val="false"/>
          <w:i w:val="false"/>
          <w:iCs w:val="false"/>
        </w:rPr>
        <w:t xml:space="preserve">- Age-appropriate cancer screening per USPSTF with enhanced protocols for LT recipients</w:t>
      </w:r>
      <w:r>
        <w:t xml:space="preserve">{Sharma, 2026 #37}</w:t>
      </w:r>
    </w:p>
    <w:p>
      <w:pPr>
        <w:pStyle w:val="Normal"/>
      </w:pPr>
      <w:r>
        <w:rPr>
          <w:b w:val="false"/>
          <w:bCs w:val="false"/>
          <w:i w:val="false"/>
          <w:iCs w:val="false"/>
        </w:rPr>
        <w:t xml:space="preserve">- Colonoscopy preferred over stool-based testing for colorectal cancer screening</w:t>
      </w:r>
      <w:r>
        <w:t xml:space="preserve">{Sharma, 2026 #37}</w:t>
      </w:r>
    </w:p>
    <w:p>
      <w:pPr>
        <w:pStyle w:val="Heading2"/>
      </w:pPr>
      <w:r>
        <w:rPr>
          <w:b w:val="false"/>
          <w:bCs w:val="false"/>
          <w:i w:val="false"/>
          <w:iCs w:val="false"/>
        </w:rPr>
        <w:t xml:space="preserve">10. Recurrence Management</w:t>
      </w:r>
    </w:p>
    <w:p>
      <w:pPr>
        <w:pStyle w:val="Normal"/>
      </w:pPr>
      <w:r>
        <w:t xml:space="preserve">- Post-transplant recurrence is managed by individualized multidisciplinary decision. Resection or ablation may be considered for isolated, technically resectable recurrence, particularly when late; systemic therapy follows biliary-tract-cancer guidelines with attention to immunosuppressant interactions; palliative-intent care is appropriate for multifocal or early recurrence. No data support a uniformly aggressive multimodal approach in transplanted iCCA recipients.{Lunsford, 2018 #22}</w:t>
      </w:r>
    </w:p>
    <w:p>
      <w:pPr>
        <w:pStyle w:val="Normal"/>
      </w:pPr>
      <w:r>
        <w:rPr>
          <w:b w:val="false"/>
          <w:bCs w:val="false"/>
          <w:i w:val="false"/>
          <w:iCs w:val="false"/>
        </w:rPr>
        <w:t xml:space="preserve">- Consider reduction of immunosuppression upon confirmed recurrence</w:t>
      </w:r>
      <w:r>
        <w:t xml:space="preserve">{Gul-Klein, 2022 #38}</w:t>
      </w:r>
    </w:p>
    <w:p>
      <w:pPr>
        <w:pStyle w:val="Normal"/>
      </w:pPr>
      <w:r>
        <w:rPr>
          <w:b w:val="false"/>
          <w:bCs w:val="false"/>
          <w:i w:val="false"/>
          <w:iCs w:val="false"/>
        </w:rPr>
        <w:t xml:space="preserve">- Multidisciplinary tumor board review for all recurrences</w:t>
      </w:r>
    </w:p>
    <w:p>
      <w:pPr>
        <w:pStyle w:val="Normal"/>
      </w:pPr>
      <w:r>
        <w:rPr>
          <w:b w:val="false"/>
          <w:bCs w:val="false"/>
          <w:i w:val="false"/>
          <w:iCs w:val="false"/>
        </w:rPr>
        <w:t xml:space="preserve">- Molecular profiling of recurrent tumor to identify targetable alterations</w:t>
      </w:r>
      <w:r>
        <w:t xml:space="preserve">{National Comprehensive Cancer, 2026 #35}</w:t>
      </w:r>
    </w:p>
    <w:p>
      <w:pPr>
        <w:pStyle w:val="Heading2"/>
      </w:pPr>
      <w:r>
        <w:rPr>
          <w:b w:val="false"/>
          <w:bCs w:val="false"/>
          <w:i w:val="false"/>
          <w:iCs w:val="false"/>
        </w:rPr>
        <w:t xml:space="preserve">11. Multidisciplinary Team</w:t>
      </w:r>
    </w:p>
    <w:p>
      <w:pPr>
        <w:pStyle w:val="Normal"/>
      </w:pPr>
      <w:r>
        <w:rPr>
          <w:b w:val="false"/>
          <w:bCs w:val="false"/>
          <w:i w:val="false"/>
          <w:iCs w:val="false"/>
        </w:rPr>
        <w:t xml:space="preserve">All cases must be reviewed by the UTHealth Houston Hepatobiliary Multidisciplinary Tumor Board, including:</w:t>
      </w:r>
    </w:p>
    <w:p>
      <w:pPr>
        <w:pStyle w:val="Normal"/>
      </w:pPr>
      <w:r>
        <w:rPr>
          <w:b w:val="false"/>
          <w:bCs w:val="false"/>
          <w:i w:val="false"/>
          <w:iCs w:val="false"/>
        </w:rPr>
        <w:t xml:space="preserve">- Transplant surgery</w:t>
      </w:r>
    </w:p>
    <w:p>
      <w:pPr>
        <w:pStyle w:val="Normal"/>
      </w:pPr>
      <w:r>
        <w:rPr>
          <w:b w:val="false"/>
          <w:bCs w:val="false"/>
          <w:i w:val="false"/>
          <w:iCs w:val="false"/>
        </w:rPr>
        <w:t xml:space="preserve">- Surgical oncology</w:t>
      </w:r>
    </w:p>
    <w:p>
      <w:pPr>
        <w:pStyle w:val="Normal"/>
      </w:pPr>
      <w:r>
        <w:rPr>
          <w:b w:val="false"/>
          <w:bCs w:val="false"/>
          <w:i w:val="false"/>
          <w:iCs w:val="false"/>
        </w:rPr>
        <w:t xml:space="preserve">- Medical oncology</w:t>
      </w:r>
    </w:p>
    <w:p>
      <w:pPr>
        <w:pStyle w:val="Normal"/>
      </w:pPr>
      <w:r>
        <w:rPr>
          <w:b w:val="false"/>
          <w:bCs w:val="false"/>
          <w:i w:val="false"/>
          <w:iCs w:val="false"/>
        </w:rPr>
        <w:t xml:space="preserve">- Hepatology</w:t>
      </w:r>
    </w:p>
    <w:p>
      <w:pPr>
        <w:pStyle w:val="Normal"/>
      </w:pPr>
      <w:r>
        <w:rPr>
          <w:b w:val="false"/>
          <w:bCs w:val="false"/>
          <w:i w:val="false"/>
          <w:iCs w:val="false"/>
        </w:rPr>
        <w:t xml:space="preserve">- Radiation oncology</w:t>
      </w:r>
    </w:p>
    <w:p>
      <w:pPr>
        <w:pStyle w:val="Normal"/>
      </w:pPr>
      <w:r>
        <w:rPr>
          <w:b w:val="false"/>
          <w:bCs w:val="false"/>
          <w:i w:val="false"/>
          <w:iCs w:val="false"/>
        </w:rPr>
        <w:t xml:space="preserve">- Interventional radiology</w:t>
      </w:r>
    </w:p>
    <w:p>
      <w:pPr>
        <w:pStyle w:val="Normal"/>
      </w:pPr>
      <w:r>
        <w:rPr>
          <w:b w:val="false"/>
          <w:bCs w:val="false"/>
          <w:i w:val="false"/>
          <w:iCs w:val="false"/>
        </w:rPr>
        <w:t xml:space="preserve">- Pathology</w:t>
      </w:r>
    </w:p>
    <w:p>
      <w:pPr>
        <w:pStyle w:val="Normal"/>
      </w:pPr>
      <w:r>
        <w:rPr>
          <w:b w:val="false"/>
          <w:bCs w:val="false"/>
          <w:i w:val="false"/>
          <w:iCs w:val="false"/>
        </w:rPr>
        <w:t xml:space="preserve">- Radiology</w:t>
      </w:r>
    </w:p>
    <w:p>
      <w:pPr>
        <w:pStyle w:val="Heading2"/>
      </w:pPr>
      <w:r>
        <w:rPr>
          <w:b w:val="false"/>
          <w:bCs w:val="false"/>
          <w:i w:val="false"/>
          <w:iCs w:val="false"/>
        </w:rPr>
        <w:t xml:space="preserve">12. Quality Metrics and Data Collection</w:t>
      </w:r>
    </w:p>
    <w:p>
      <w:pPr>
        <w:pStyle w:val="Normal"/>
      </w:pPr>
      <w:r>
        <w:rPr>
          <w:b w:val="false"/>
          <w:bCs w:val="false"/>
          <w:i w:val="false"/>
          <w:iCs w:val="false"/>
        </w:rPr>
        <w:t xml:space="preserve">- Track intent-to-treat survival, post-transplant survival, recurrence-free survival</w:t>
      </w:r>
    </w:p>
    <w:p>
      <w:pPr>
        <w:pStyle w:val="Normal"/>
      </w:pPr>
      <w:r>
        <w:rPr>
          <w:b w:val="false"/>
          <w:bCs w:val="false"/>
          <w:i w:val="false"/>
          <w:iCs w:val="false"/>
        </w:rPr>
        <w:t xml:space="preserve">- Document dropout rates and reasons</w:t>
      </w:r>
    </w:p>
    <w:p>
      <w:pPr>
        <w:pStyle w:val="Normal"/>
      </w:pPr>
      <w:r>
        <w:rPr>
          <w:b w:val="false"/>
          <w:bCs w:val="false"/>
          <w:i w:val="false"/>
          <w:iCs w:val="false"/>
        </w:rPr>
        <w:t xml:space="preserve">- Explant pathology correlation with pre-transplant imaging</w:t>
      </w:r>
    </w:p>
    <w:p>
      <w:pPr>
        <w:pStyle w:val="Normal"/>
      </w:pPr>
      <w:r>
        <w:rPr>
          <w:b w:val="false"/>
          <w:bCs w:val="false"/>
          <w:i w:val="false"/>
          <w:iCs w:val="false"/>
        </w:rPr>
        <w:t xml:space="preserve">- Report outcomes to UNOS/OPTN as required</w:t>
      </w:r>
    </w:p>
    <w:p>
      <w:pPr>
        <w:sectPr>
          <w:type w:val="continuous"/>
          <w:pgSz w:w="11906" w:h="16838" w:orient="portrait"/>
          <w:pgMar w:top="1440" w:right="1440" w:bottom="1440" w:left="1440" w:header="708" w:footer="708" w:gutter="0"/>
          <w:pgNumType/>
          <w:docGrid w:linePitch="360"/>
        </w:sectPr>
      </w:pPr>
    </w:p>
    <w:p>
      <w:pPr>
        <w:pStyle w:val="Heading1"/>
      </w:pPr>
      <w:r>
        <w:t>V2 Revision Note (historical — superseded by the V3 Revision Log at the end of this document; retained as the change record for the V2 revision)</w:t>
      </w:r>
    </w:p>
    <w:p>
      <w:r>
        <w:rPr>
          <w:b/>
        </w:rPr>
        <w:t xml:space="preserve">Revision timestamp: </w:t>
      </w:r>
      <w:r>
        <w:t>2026-07-23 17:53:12 CDT</w:t>
      </w:r>
    </w:p>
    <w:p>
      <w:pPr>
        <w:pStyle w:val="ListParagraph"/>
      </w:pPr>
      <w:r>
        <w:t>Removed the implication that every candidate must receive an ICI-containing systemic regimen.</w:t>
      </w:r>
    </w:p>
    <w:p>
      <w:pPr>
        <w:pStyle w:val="ListParagraph"/>
      </w:pPr>
      <w:r>
        <w:t>Clarified that ICI-containing neoadjuvant treatment and post-LT adjuvant chemotherapy remain investigational/extrapolated.</w:t>
      </w:r>
    </w:p>
    <w:p>
      <w:r>
        <w:rPr>
          <w:b/>
        </w:rPr>
        <w:t xml:space="preserve">Problem: </w:t>
      </w:r>
      <w:r>
        <w:t>The original pathway implied that all candidates should receive an ICI-containing neoadjuvant regimen and prescribed post-LT adjuvant chemotherapy, although neither approach is validated as a transplant standard for iCCA.</w:t>
      </w:r>
    </w:p>
    <w:p>
      <w:pPr/>
      <w:r>
        <w:rPr>
          <w:b/>
        </w:rPr>
        <w:t xml:space="preserve">Recommended correction: </w:t>
      </w:r>
      <w:r>
        <w:t>Individualize pre-LT systemic therapy. Treat ICI-containing therapy as investigational with protocol approval, transplant-specific consent, and a prospective washout rule; do not use routine post-LT adjuvant chemotherapy outside case-by-case review or a protocol.</w:t>
      </w:r>
    </w:p>
    <w:p>
      <w:pPr>
        <w:pStyle w:val="Heading1"/>
      </w:pPr>
      <w:r>
        <w:t>V3 Revision Log</w:t>
      </w:r>
    </w:p>
    <w:p>
      <w:pPr/>
      <w:r>
        <w:t>V-1 Brought the document's internal version markers into line with the filename: the title now reads V3, and the historical V2 Revision Note heading is labelled as superseded.</w:t>
      </w:r>
    </w:p>
    <w:p>
      <w:pPr/>
      <w:r>
        <w:t>3.1 Removed the absolute age ceiling of 72 years and replaced it with physiologic assessment plus documented committee sign-off.</w:t>
      </w:r>
    </w:p>
    <w:p>
      <w:pPr/>
      <w:r>
        <w:t>3.2 Made cirrhosis and unresectability standalone mandatory criteria and stated the consequence for non-cirrhotic candidates.</w:t>
      </w:r>
    </w:p>
    <w:p>
      <w:pPr/>
      <w:r>
        <w:t>3.3 Removed the unsupported 7-10 day median rejection-onset figure and replaced it with the pooled risk estimate plus an explicit monitoring rule.</w:t>
      </w:r>
    </w:p>
    <w:p>
      <w:pPr/>
      <w:r>
        <w:t>3.4 Added the evidence base for the 3 cm threshold (strongest data are for tumours 2 cm or less).</w:t>
      </w:r>
    </w:p>
    <w:p>
      <w:pPr/>
      <w:r>
        <w:t>3.5 Labelled the 90-day ICI washout as a protocol convention rather than a validated threshold.</w:t>
      </w:r>
    </w:p>
    <w:p>
      <w:pPr/>
      <w:r>
        <w:t>3.6 Removed the directive to treat recurrence aggressively.</w:t>
      </w:r>
    </w:p>
    <w:p>
      <w:pPr/>
      <w:r>
        <w:t>3.7 Corrected the organ-reallocation language to the OPO match-run process.</w:t>
      </w:r>
    </w:p>
    <w:p>
      <w:pPr/>
      <w:r>
        <w:t>3.8 Adopted the guidance definition of progression (greater than 10% diameter increase per RECIST 1.1, or any new lesion).</w:t>
      </w:r>
    </w:p>
    <w:p>
      <w:pPr/>
      <w:r>
        <w:t>Revision method: substantive clinical, policy, evidence-quality, safety and eligibility corrections only. Formatting was not altered. All changes are Word tracked changes and can be accepted or rejected individually. Items marked VERIFY remain unresolved against retrievable official text and require human confirmation against the live OPTN posting before adoption.</w:t>
      </w:r>
    </w:p>
    <w:p>
      <w:pPr>
        <w:pStyle w:val="Heading1"/>
      </w:pPr>
      <w:r>
        <w:t xml:space="preserve">References</w:t>
      </w:r>
    </w:p>
    <w:p>
      <w:pPr>
        <w:pStyle w:val="ListParagraph"/>
        <w:numPr>
          <w:ilvl w:val="0"/>
          <w:numId w:val="2"/>
        </w:numPr>
      </w:pPr>
      <w:bookmarkStart w:name="national-comprehensive-cancer-network.-biliary-tract-cancers." w:id="1"/>
      <w:hyperlink w:history="1" r:id="rIdiqa-q5pxnh6rlrbigja05">
        <w:r>
          <w:rPr>
            <w:rStyle w:val="Hyperlink"/>
          </w:rPr>
          <w:t xml:space="preserve">Biliary Tract Cancers.</w:t>
        </w:r>
      </w:hyperlink>
      <w:r>
        <w:t xml:space="preserve"> National Comprehensive Cancer Network.</w:t>
      </w:r>
      <w:r>
        <w:t xml:space="preserve"> Updated 2026-03-10.</w:t>
      </w:r>
      <w:bookmarkEnd w:id="1"/>
    </w:p>
    <w:p>
      <w:pPr>
        <w:pStyle w:val="ListParagraph"/>
        <w:numPr>
          <w:ilvl w:val="0"/>
          <w:numId w:val="2"/>
        </w:numPr>
      </w:pPr>
      <w:bookmarkStart w:name="dove-l,-chadha-rm,-lai-jc,-et-al.-&lt;a-target=&quot;_blank&quot;-href=&quot;https://doi.org/10.1097/hep.0000000000001644&quot;&gt;aasld-ast-practice-guideline-on-adult-liver-transplantation:-candidate-evaluation&lt;/a&gt;.-hepatology-(baltimore,-md.).-2025;:01515467-990000000-01508.-doi:10.1097/hep.0000000000001644." w:id="1"/>
      <w:hyperlink w:history="1" r:id="rIdsfzbedrz9qzcr937bzzuc">
        <w:r>
          <w:rPr>
            <w:rStyle w:val="Hyperlink"/>
          </w:rPr>
          <w:t xml:space="preserve">AASLD AST Practice Guideline on Adult Liver Transplantation: Candidate Evaluation.</w:t>
        </w:r>
      </w:hyperlink>
      <w:r>
        <w:t xml:space="preserve"> Dove L, Chadha RM, Lai JC, et al.</w:t>
      </w:r>
      <w:r>
        <w:t xml:space="preserve"> Hepatology (Baltimore, Md.). 2025;:01515467-990000000-01508. doi:10.1097/HEP.0000000000001644.</w:t>
      </w:r>
      <w:bookmarkEnd w:id="1"/>
    </w:p>
    <w:p>
      <w:pPr>
        <w:pStyle w:val="ListParagraph"/>
        <w:numPr>
          <w:ilvl w:val="0"/>
          <w:numId w:val="2"/>
        </w:numPr>
      </w:pPr>
      <w:bookmarkStart w:name="bowlus-cl,-arrivé-l,-bergquist-a,-et-al.-&lt;a-target=&quot;_blank&quot;-href=&quot;https://doi.org/10.1002/hep.32771&quot;&gt;aasld-practice-guidance-on-primary-sclerosing-cholangitis-and-cholangiocarcinoma&lt;/a&gt;.-hepatology-(baltimore,-md.).-2023;77(2):659-702.-doi:10.1002/hep.32771." w:id="1"/>
      <w:hyperlink w:history="1" r:id="rIdcg8meyfsz0bmjnhwzvczz">
        <w:r>
          <w:rPr>
            <w:rStyle w:val="Hyperlink"/>
          </w:rPr>
          <w:t xml:space="preserve">AASLD Practice Guidance on Primary Sclerosing Cholangitis and Cholangiocarcinoma.</w:t>
        </w:r>
      </w:hyperlink>
      <w:r>
        <w:t xml:space="preserve"> Bowlus CL, Arrivé L, Bergquist A, et al.</w:t>
      </w:r>
      <w:r>
        <w:t xml:space="preserve"> Hepatology (Baltimore, Md.). 2023;77(2):659-702. doi:10.1002/hep.32771.</w:t>
      </w:r>
      <w:bookmarkEnd w:id="1"/>
    </w:p>
    <w:p>
      <w:pPr>
        <w:pStyle w:val="ListParagraph"/>
        <w:numPr>
          <w:ilvl w:val="0"/>
          <w:numId w:val="2"/>
        </w:numPr>
      </w:pPr>
      <w:bookmarkStart w:name="schleimer-le,-rousian-m,-alessandris-r,-et-al.-&lt;a-target=&quot;_blank&quot;-href=&quot;https://pubmed.ncbi.nlm.nih.gov/41991890&quot;&gt;eligibility-for-liver-transplantation-in-patients-with-intrahepatic-cholangiocarcinoma&lt;/a&gt;.-annals-of-surgical-oncology.-2026;33(7):6099-6109.-doi:10.1245/s10434-026-19652-8." w:id="1"/>
      <w:hyperlink w:history="1" r:id="rIdhpve-elr2_shlzi_mvxxl">
        <w:r>
          <w:rPr>
            <w:rStyle w:val="Hyperlink"/>
          </w:rPr>
          <w:t xml:space="preserve">Eligibility for Liver Transplantation in Patients With Intrahepatic Cholangiocarcinoma.</w:t>
        </w:r>
      </w:hyperlink>
      <w:r>
        <w:t xml:space="preserve"> Schleimer LE, Rousian M, Alessandris R, et al.</w:t>
      </w:r>
      <w:r>
        <w:t xml:space="preserve"> Annals of Surgical Oncology. 2026;33(7):6099-6109. doi:10.1245/s10434-026-19652-8.</w:t>
      </w:r>
      <w:bookmarkEnd w:id="1"/>
    </w:p>
    <w:p>
      <w:pPr>
        <w:pStyle w:val="ListParagraph"/>
        <w:numPr>
          <w:ilvl w:val="0"/>
          <w:numId w:val="2"/>
        </w:numPr>
      </w:pPr>
      <w:bookmarkStart w:name="demirors-b,-lin-my,-spitz-fj,-et-al.-&lt;a-target=&quot;_blank&quot;-href=&quot;https://pubmed.ncbi.nlm.nih.gov/42073607&quot;&gt;balancing-tumor-response-and-rejection-risk-after-pre-transplant-immunotherapy:-a-scoping-review&lt;/a&gt;.-cancers.-2026;18(8):1284.-doi:10.3390/cancers18081284." w:id="1"/>
      <w:hyperlink w:history="1" r:id="rIdexda8wsukgi3v3vy8b8pf">
        <w:r>
          <w:rPr>
            <w:rStyle w:val="Hyperlink"/>
          </w:rPr>
          <w:t xml:space="preserve">Balancing Tumor Response and Rejection Risk After Pre-Transplant Immunotherapy: A Scoping Review.</w:t>
        </w:r>
      </w:hyperlink>
      <w:r>
        <w:t xml:space="preserve"> Demirors B, Lin MY, Spitz FJ, et al.</w:t>
      </w:r>
      <w:r>
        <w:t xml:space="preserve"> Cancers. 2026;18(8):1284. doi:10.3390/cancers18081284.</w:t>
      </w:r>
      <w:bookmarkEnd w:id="1"/>
    </w:p>
    <w:p>
      <w:pPr>
        <w:pStyle w:val="ListParagraph"/>
        <w:numPr>
          <w:ilvl w:val="0"/>
          <w:numId w:val="2"/>
        </w:numPr>
      </w:pPr>
      <w:bookmarkStart w:name="singal-ag,-llovet-jm,-yarchoan-m,-et-al.-&lt;a-target=&quot;_blank&quot;-href=&quot;https://www.ncbi.nlm.nih.gov/pmc/articles/pmc10663390/&quot;&gt;aasld-practice-guidance-on-prevention,-diagnosis,-and-treatment-of-hepatocellular-carcinoma&lt;/a&gt;.-hepatology-(baltimore,-md.).-2023;78(6):1922-1965.-doi:10.1097/hep.0000000000000466." w:id="1"/>
      <w:hyperlink w:history="1" r:id="rId1v8pv354vpkxaaef2ri8t">
        <w:r>
          <w:rPr>
            <w:rStyle w:val="Hyperlink"/>
          </w:rPr>
          <w:t xml:space="preserve">AASLD Practice Guidance on Prevention, Diagnosis, and Treatment of Hepatocellular Carcinoma.</w:t>
        </w:r>
      </w:hyperlink>
      <w:r>
        <w:t xml:space="preserve"> Singal AG, Llovet JM, Yarchoan M, et al.</w:t>
      </w:r>
      <w:r>
        <w:t xml:space="preserve"> Hepatology (Baltimore, Md.). 2023;78(6):1922-1965. doi:10.1097/HEP.0000000000000466.</w:t>
      </w:r>
      <w:bookmarkEnd w:id="1"/>
    </w:p>
    <w:p>
      <w:pPr>
        <w:pStyle w:val="ListParagraph"/>
        <w:numPr>
          <w:ilvl w:val="0"/>
          <w:numId w:val="2"/>
        </w:numPr>
      </w:pPr>
      <w:bookmarkStart w:name="j-clin-oncol-43,-2025-(suppl-16;-abstr-e14624)" w:id="1"/>
      <w:hyperlink w:history="1" r:id="rIdpgx8utgpalcrktmuninc4">
        <w:r>
          <w:rPr>
            <w:rStyle w:val="Hyperlink"/>
          </w:rPr>
          <w:t xml:space="preserve">Immune checkpoint inhibitors as a neoadjuvant therapy pre-liver transplantation for hepatobiliary carcinoma.</w:t>
        </w:r>
      </w:hyperlink>
      <w:r>
        <w:t xml:space="preserve"> Abdullah Esmail and Maen Abdelrahim.</w:t>
      </w:r>
      <w:r>
        <w:t xml:space="preserve"> Journal of Clinical Oncology. 2025;43(Suppl 16):e14624. doi:10.1200/JCO.2025.43.16_suppl.e14624.</w:t>
      </w:r>
      <w:bookmarkEnd w:id="1"/>
    </w:p>
    <w:p>
      <w:pPr>
        <w:pStyle w:val="ListParagraph"/>
        <w:numPr>
          <w:ilvl w:val="0"/>
          <w:numId w:val="2"/>
        </w:numPr>
      </w:pPr>
      <w:bookmarkStart w:name="j-clin-oncol-44,-2026-(suppl-2;-abstr-570)" w:id="1"/>
      <w:hyperlink w:history="1" r:id="rId2v02qz9e8hk69cpv1wpda">
        <w:r>
          <w:rPr>
            <w:rStyle w:val="Hyperlink"/>
          </w:rPr>
          <w:t xml:space="preserve">Utilization of immunotherapy as a neoadjuvant treatment in liver transplant recipients with hepatobiliary carcinoma.</w:t>
        </w:r>
      </w:hyperlink>
      <w:r>
        <w:t xml:space="preserve"> Abdelrahim M, Esmail A, Connor A, et al.</w:t>
      </w:r>
      <w:r>
        <w:t xml:space="preserve"> Journal of Clinical Oncology. 2026;44(Suppl 2):570. doi:10.1200/JCO.2026.44.2_suppl.570.</w:t>
      </w:r>
      <w:bookmarkEnd w:id="1"/>
    </w:p>
    <w:p>
      <w:pPr>
        <w:pStyle w:val="ListParagraph"/>
        <w:numPr>
          <w:ilvl w:val="0"/>
          <w:numId w:val="2"/>
        </w:numPr>
      </w:pPr>
      <w:bookmarkStart w:name="lunsford-ke,-javle-m,-heyne-k,-et-al.-&lt;a-target=&quot;_blank&quot;-href=&quot;https://pubmed.ncbi.nlm.nih.gov/29548617&quot;&gt;liver-transplantation-for-locally-advanced-intrahepatic-cholangiocarcinoma-treated-with-neoadjuvant-therapy:-a-prospective-case-series&lt;/a&gt;.-the-lancet.-gastroenterology-&amp;-hepatology.-2018;3(5):337-348.-doi:10.1016/s2468-1253(18)30045-1." w:id="1"/>
      <w:hyperlink w:history="1" r:id="rIdezmd3b86lfy-ymntip4zo">
        <w:r>
          <w:rPr>
            <w:rStyle w:val="Hyperlink"/>
          </w:rPr>
          <w:t xml:space="preserve">Liver Transplantation for Locally Advanced Intrahepatic Cholangiocarcinoma Treated With Neoadjuvant Therapy: A Prospective Case-Series.</w:t>
        </w:r>
      </w:hyperlink>
      <w:r>
        <w:t xml:space="preserve"> Lunsford KE, Javle M, Heyne K, et al.</w:t>
      </w:r>
      <w:r>
        <w:t xml:space="preserve"> The Lancet. Gastroenterology &amp; Hepatology. 2018;3(5):337-348. doi:10.1016/S2468-1253(18)30045-1.</w:t>
      </w:r>
      <w:bookmarkEnd w:id="1"/>
    </w:p>
    <w:p>
      <w:pPr>
        <w:pStyle w:val="ListParagraph"/>
        <w:numPr>
          <w:ilvl w:val="0"/>
          <w:numId w:val="2"/>
        </w:numPr>
      </w:pPr>
      <w:bookmarkStart w:name="ramanan-p,-cummins-nw,-wilhelm-mp,-et-al.-&lt;a-target=&quot;_blank&quot;-href=&quot;https://onlinelibrary.wiley.com/doi/10.1111/ctr.13023&quot;&gt;epidemiology,-risk-factors,-and-outcomes-of-infections-in-patients-undergoing-liver-transplantation-for-hilar-cholangiocarcinoma&lt;/a&gt;.-clinical-transplantation.-2017;31(8).-doi:10.1111/ctr.13023." w:id="1"/>
      <w:hyperlink w:history="1" r:id="rIdbzxdx5z8iv-cu9gjngpt0">
        <w:r>
          <w:rPr>
            <w:rStyle w:val="Hyperlink"/>
          </w:rPr>
          <w:t xml:space="preserve">Epidemiology, risk factors, and outcomes of infections in patients undergoing liver transplantation for hilar cholangiocarcinoma.</w:t>
        </w:r>
      </w:hyperlink>
      <w:r>
        <w:t xml:space="preserve"> Ramanan P, Cummins NW, Wilhelm MP, et al.</w:t>
      </w:r>
      <w:r>
        <w:t xml:space="preserve"> Clinical Transplantation. 2017;31(8). doi:10.1111/ctr.13023.</w:t>
      </w:r>
      <w:bookmarkEnd w:id="1"/>
    </w:p>
    <w:p>
      <w:pPr>
        <w:pStyle w:val="ListParagraph"/>
        <w:numPr>
          <w:ilvl w:val="0"/>
          <w:numId w:val="2"/>
        </w:numPr>
      </w:pPr>
      <w:bookmarkStart w:name="semaan-s,-connor-aa,-saharia-a,-et-al.-&lt;a-target=&quot;_blank&quot;-href=&quot;https://pubmed.ncbi.nlm.nih.gov/39939239&quot;&gt;transplantation-for-peri-hilar-and-intrahepatic-cholangiocarcinoma-with-mtor-immunosuppression&lt;/a&gt;.-transplantation-proceedings.-2025;57(2):255-263.-doi:10.1016/j.transproceed.2025.02.001." w:id="1"/>
      <w:hyperlink w:history="1" r:id="rIdszyp66l9fiesl4dpma6yy">
        <w:r>
          <w:rPr>
            <w:rStyle w:val="Hyperlink"/>
          </w:rPr>
          <w:t xml:space="preserve">Transplantation for Peri-Hilar and Intrahepatic Cholangiocarcinoma With mTOR Immunosuppression.</w:t>
        </w:r>
      </w:hyperlink>
      <w:r>
        <w:t xml:space="preserve"> Semaan S, Connor AA, Saharia A, et al.</w:t>
      </w:r>
      <w:r>
        <w:t xml:space="preserve"> Transplantation Proceedings. 2025;57(2):255-263. doi:10.1016/j.transproceed.2025.02.001.</w:t>
      </w:r>
      <w:bookmarkEnd w:id="1"/>
    </w:p>
    <w:p>
      <w:pPr>
        <w:pStyle w:val="ListParagraph"/>
        <w:numPr>
          <w:ilvl w:val="0"/>
          <w:numId w:val="2"/>
        </w:numPr>
      </w:pPr>
      <w:bookmarkStart w:name="heinrich-s,-campos-murguia-a,-mensah-a,-et-al.-&lt;a-target=&quot;_blank&quot;-href=&quot;https://onlinelibrary.wiley.com/doi/10.1111/ctr.70547&quot;&gt;a-retrospective-multicenter-study-identifies-a-similar-overall-survival-of-patients-after-liver-transplantation-with-incidental-cholangiocarcinoma-compared-to-hepatocellular-carcinoma&lt;/a&gt;.-clinical-transplantation.-2026;40(5):e70547.-doi:10.1111/ctr.70547." w:id="1"/>
      <w:hyperlink w:history="1" r:id="rId5eboyzog_xvnwugtgbhjc">
        <w:r>
          <w:rPr>
            <w:rStyle w:val="Hyperlink"/>
          </w:rPr>
          <w:t xml:space="preserve">A Retrospective Multicenter Study Identifies a Similar Overall Survival of Patients After Liver Transplantation With Incidental Cholangiocarcinoma Compared to Hepatocellular Carcinoma.</w:t>
        </w:r>
      </w:hyperlink>
      <w:r>
        <w:t xml:space="preserve"> Heinrich S, Campos-Murguia A, Mensah A, et al.</w:t>
      </w:r>
      <w:r>
        <w:t xml:space="preserve"> Clinical Transplantation. 2026;40(5):e70547. doi:10.1111/ctr.70547.</w:t>
      </w:r>
      <w:bookmarkEnd w:id="1"/>
    </w:p>
    <w:p>
      <w:pPr>
        <w:pStyle w:val="ListParagraph"/>
        <w:numPr>
          <w:ilvl w:val="0"/>
          <w:numId w:val="2"/>
        </w:numPr>
      </w:pPr>
      <w:bookmarkStart w:name="sharma-p,-izzy-m,-ghabril-ms,-et-al.-&lt;a-target=&quot;_blank&quot;-href=&quot;https://doi.org/10.1097/lvt.0000000000000785&quot;&gt;aasld-ast-practice-guideline-on-adult-liver-transplantation:-diagnosis-and-post-transplant-management-of-non-graft-related-complications&lt;/a&gt;.-liver-transplantation-:-official-publication-of-the-american-association-for-the-study-of-liver-diseases-and-the-international-liver-transplantation-society.-2025;:01445473-990000000-00763.-doi:10.1097/lvt.0000000000000785." w:id="1"/>
      <w:hyperlink w:history="1" r:id="rIdjfu1dqn2hmy7dilosodu2">
        <w:r>
          <w:rPr>
            <w:rStyle w:val="Hyperlink"/>
          </w:rPr>
          <w:t xml:space="preserve">AASLD AST Practice Guideline on Adult Liver Transplantation: Diagnosis and Post-Transplant Management of Non-Graft-Related Complications.</w:t>
        </w:r>
      </w:hyperlink>
      <w:r>
        <w:t xml:space="preserve"> Sharma P, Izzy M, Ghabril MS, et al.</w:t>
      </w:r>
      <w:r>
        <w:t xml:space="preserve"> Liver Transplantation : Official Publication of the American Association for the Study of Liver Diseases and the International Liver Transplantation Society. 2025;:01445473-990000000-00763. doi:10.1097/LVT.0000000000000785.</w:t>
      </w:r>
      <w:bookmarkEnd w:id="1"/>
    </w:p>
    <w:p>
      <w:pPr>
        <w:pStyle w:val="ListParagraph"/>
        <w:numPr>
          <w:ilvl w:val="0"/>
          <w:numId w:val="2"/>
        </w:numPr>
      </w:pPr>
      <w:bookmarkStart w:name="gül-klein-s,-schmitz-p,-schöning-w,-et-al.-&lt;a-target=&quot;_blank&quot;-href=&quot;https://pubmed.ncbi.nlm.nih.gov/35740555&quot;&gt;the-role-of-immunosuppression-for-recurrent-cholangiocellular-carcinoma-after-liver-transplantation&lt;/a&gt;.-cancers.-2022;14(12):2890.-doi:10.3390/cancers14122890." w:id="1"/>
      <w:hyperlink w:history="1" r:id="rIdcljpb_ryluws-ziqqiu2e">
        <w:r>
          <w:rPr>
            <w:rStyle w:val="Hyperlink"/>
          </w:rPr>
          <w:t xml:space="preserve">The Role of Immunosuppression for Recurrent Cholangiocellular Carcinoma After Liver Transplantation.</w:t>
        </w:r>
      </w:hyperlink>
      <w:r>
        <w:t xml:space="preserve"> Gül-Klein S, Schmitz P, Schöning W, et al.</w:t>
      </w:r>
      <w:r>
        <w:t xml:space="preserve"> Cancers. 2022;14(12):2890. doi:10.3390/cancers14122890.</w:t>
      </w:r>
      <w:bookmarkEnd w:id="1"/>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qa-q5pxnh6rlrbigja05" Type="http://schemas.openxmlformats.org/officeDocument/2006/relationships/hyperlink" Target="https://www.nccn.org/professionals/physician_gls/pdf/btc.pdf#page=16" TargetMode="External"/><Relationship Id="rIdsfzbedrz9qzcr937bzzuc" Type="http://schemas.openxmlformats.org/officeDocument/2006/relationships/hyperlink" Target="https://doi.org/10.1097/HEP.0000000000001644" TargetMode="External"/><Relationship Id="rIdcg8meyfsz0bmjnhwzvczz" Type="http://schemas.openxmlformats.org/officeDocument/2006/relationships/hyperlink" Target="https://doi.org/10.1002/hep.32771" TargetMode="External"/><Relationship Id="rIdhpve-elr2_shlzi_mvxxl" Type="http://schemas.openxmlformats.org/officeDocument/2006/relationships/hyperlink" Target="https://pubmed.ncbi.nlm.nih.gov/41991890" TargetMode="External"/><Relationship Id="rIdexda8wsukgi3v3vy8b8pf" Type="http://schemas.openxmlformats.org/officeDocument/2006/relationships/hyperlink" Target="https://pubmed.ncbi.nlm.nih.gov/42073607" TargetMode="External"/><Relationship Id="rId1v8pv354vpkxaaef2ri8t" Type="http://schemas.openxmlformats.org/officeDocument/2006/relationships/hyperlink" Target="https://www.ncbi.nlm.nih.gov/pmc/articles/PMC10663390/" TargetMode="External"/><Relationship Id="rIdpgx8utgpalcrktmuninc4" Type="http://schemas.openxmlformats.org/officeDocument/2006/relationships/hyperlink" Target="https://meetings.asco.org/abstracts-presentations/247656" TargetMode="External"/><Relationship Id="rId2v02qz9e8hk69cpv1wpda" Type="http://schemas.openxmlformats.org/officeDocument/2006/relationships/hyperlink" Target="https://meetings.asco.org/abstracts-presentations/255564" TargetMode="External"/><Relationship Id="rIdezmd3b86lfy-ymntip4zo" Type="http://schemas.openxmlformats.org/officeDocument/2006/relationships/hyperlink" Target="https://pubmed.ncbi.nlm.nih.gov/29548617" TargetMode="External"/><Relationship Id="rIdbzxdx5z8iv-cu9gjngpt0" Type="http://schemas.openxmlformats.org/officeDocument/2006/relationships/hyperlink" Target="https://onlinelibrary.wiley.com/doi/10.1111/ctr.13023" TargetMode="External"/><Relationship Id="rIdszyp66l9fiesl4dpma6yy" Type="http://schemas.openxmlformats.org/officeDocument/2006/relationships/hyperlink" Target="https://pubmed.ncbi.nlm.nih.gov/39939239" TargetMode="External"/><Relationship Id="rId5eboyzog_xvnwugtgbhjc" Type="http://schemas.openxmlformats.org/officeDocument/2006/relationships/hyperlink" Target="https://onlinelibrary.wiley.com/doi/10.1111/ctr.70547" TargetMode="External"/><Relationship Id="rIdjfu1dqn2hmy7dilosodu2" Type="http://schemas.openxmlformats.org/officeDocument/2006/relationships/hyperlink" Target="https://doi.org/10.1097/LVT.0000000000000785" TargetMode="External"/><Relationship Id="rIdcljpb_ryluws-ziqqiu2e" Type="http://schemas.openxmlformats.org/officeDocument/2006/relationships/hyperlink" Target="https://pubmed.ncbi.nlm.nih.gov/35740555" TargetMode="External"/><Relationship Id="rId2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2026-07-15T23:24:01.673Z</dcterms:created>
  <dcterms:modified xsi:type="dcterms:W3CDTF">2026-07-15T23:24:01.673Z</dcterms:modified>
  <dc:title>UTHealth iCCA Guidance-Aligned Protocol — V2</dc:title>
  <dc:subject>Non-standard NLRB pathway under December 2025 transplant-oncology guidance</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