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UTHealth Houston NET Liver Metastases Transplant Protocol — Guidance-Aligned NLRB Pathway — V3</w:t>
      </w:r>
    </w:p>
    <w:p>
      <w:pPr>
        <w:pStyle w:val="Heading2"/>
      </w:pPr>
      <w:r>
        <w:t>Policy and allocation status</w:t>
      </w:r>
    </w:p>
    <w:p>
      <w:pPr>
        <w:pStyle w:val="Normal"/>
      </w:pPr>
      <w:r>
        <w:rPr>
          <w:sz w:val="21"/>
        </w:rPr>
        <w:t>GUIDANCE-ALIGNED NON-STANDARD EXCEPTION. NET liver metastases are not a standardized diagnosis in OPTN Policy 9.5. The December 2025 guidance supports NLRB consideration for selected unresectable GEP-NET liver metastases after resection of the primary and extrahepatic disease, at least 6 months without recurrence, G1/G2 well-differentiated biology, and negative metastatic workup within 3 months. Recommended score: MMaT-3.</w:t>
      </w:r>
    </w:p>
    <w:p>
      <w:pPr>
        <w:pStyle w:val="Normal"/>
      </w:pPr>
      <w:r>
        <w:t>Policy review date: 21 September 2026. Controlling allocation sources: OPTN Policies (Policy 9.4 and 9.5, current HRSA posting) and the OPTN/HRSA Guidance to Liver Transplant Programs and the National Liver Review Board for Adult MELD Exceptions for Transplant Oncology (current posting; https://www.hrsa.gov/sites/default/files/hrsa/optn/adult-meld-exception-transplant-oncology-review-guidance.pdf). The guidance is not OPTN policy and does not define a clinical standard of care. Classification verified: the OPTN Board action of 9 June 2025 (guidance effective 1 July 2025) added recommended exception scores for NON-STANDARD transplant-oncology diagnoses; it did not move intrahepatic cholangiocarcinoma, colorectal liver metastases, neuroendocrine liver metastases, hepatic epithelioid hemangioendothelioma or hepatocellular adenoma into the standardized list in Policy 9.5 (9.5.A-9.5.I). Secondary literature stating otherwise (doi:10.1245/s10434-025-18408-0) is imprecise on this point. Re-verify against the live posting before committee adoption and before each exception submission.</w:t>
      </w:r>
    </w:p>
    <w:p>
      <w:pPr>
        <w:pStyle w:val="Normal"/>
      </w:pPr>
      <w:r>
        <w:rPr>
          <w:sz w:val="21"/>
        </w:rPr>
        <w:t>Extrahepatic solid-organ metastasis is a permanent exclusion from the guidance-supported exception pathway; eradicated nodal disease may be reconsidered only after at least 6 months without recurrence. All drug selection, dose, washout, immunosuppression, surveillance, donor-source, and stopping-rule decisions require current multidisciplinary review and applicable pharmacy, IRB, DSMB, institutional, and regulatory approval before clinical use.</w:t>
      </w:r>
    </w:p>
    <w:p>
      <w:pPr>
        <w:pStyle w:val="Heading2"/>
      </w:pPr>
      <w:r>
        <w:rPr>
          <w:b w:val="false"/>
          <w:bCs w:val="false"/>
          <w:i w:val="false"/>
          <w:iCs w:val="false"/>
        </w:rPr>
        <w:t xml:space="preserve">PROTOCOL A: STANDARD LIVER TRANSPLANT PROTOCOL FOR NEUROENDOCRINE TUMOR LIVER METASTASES (NETLM)</w:t>
      </w:r>
    </w:p>
    <w:p>
      <w:pPr>
        <w:pStyle w:val="Heading3"/>
      </w:pPr>
      <w:r>
        <w:rPr>
          <w:b w:val="false"/>
          <w:bCs w:val="false"/>
          <w:i w:val="false"/>
          <w:iCs w:val="false"/>
        </w:rPr>
        <w:t xml:space="preserve">1. Purpose and Scope</w:t>
      </w:r>
    </w:p>
    <w:p>
      <w:pPr>
        <w:pStyle w:val="Normal"/>
      </w:pPr>
      <w:r>
        <w:rPr>
          <w:b w:val="false"/>
          <w:bCs w:val="false"/>
          <w:i w:val="false"/>
          <w:iCs w:val="false"/>
        </w:rPr>
        <w:t xml:space="preserve">This protocol establishes the standard criteria and management pathway for liver transplantation (LT) in patients with unresectable neuroendocrine tumor liver metastases (NETLM) at UTHealth Houston.</w:t>
      </w:r>
      <w:r>
        <w:rPr>
          <w:b w:val="false"/>
          <w:bCs w:val="false"/>
          <w:i w:val="false"/>
          <w:iCs w:val="false"/>
        </w:rPr>
        <w:t xml:space="preserve"> It is based on the Milan-NET criteria, UNOS/OPTN guidance, and AASLD/AST Practice Guidelines.</w:t>
      </w:r>
      <w:r>
        <w:t xml:space="preserve">{Dove, 2026 #2;Gorji, 2024 #20;Kasai, 2025 #52}</w:t>
      </w:r>
    </w:p>
    <w:p>
      <w:pPr>
        <w:pStyle w:val="Heading3"/>
      </w:pPr>
      <w:r>
        <w:rPr>
          <w:b w:val="false"/>
          <w:bCs w:val="false"/>
          <w:i w:val="false"/>
          <w:iCs w:val="false"/>
        </w:rPr>
        <w:t xml:space="preserve">2. Patient Selection Criteria (Milan-NET Criteria)</w:t>
      </w:r>
    </w:p>
    <w:p>
      <w:pPr>
        <w:pStyle w:val="Normal"/>
      </w:pPr>
      <w:r>
        <w:rPr>
          <w:b w:val="false"/>
          <w:bCs w:val="false"/>
          <w:i w:val="false"/>
          <w:iCs w:val="false"/>
        </w:rPr>
        <w:t xml:space="preserve">All of the following must be met:</w:t>
      </w:r>
      <w:r>
        <w:t xml:space="preserve">{Gorji, 2024 #20;Kasai, 2025 #52;Eshmuminov, 2023 #53}</w:t>
      </w:r>
    </w:p>
    <w:p>
      <w:pPr>
        <w:pStyle w:val="Normal"/>
      </w:pPr>
      <w:r>
        <w:rPr>
          <w:b/>
          <w:bCs/>
          <w:i w:val="false"/>
          <w:iCs w:val="false"/>
        </w:rPr>
        <w:t xml:space="preserve">A. Tumor Biology</w:t>
      </w:r>
    </w:p>
    <w:p>
      <w:pPr>
        <w:pStyle w:val="Normal"/>
      </w:pPr>
      <w:r>
        <w:t>- Well-differentiated G1 or G2 NET, mitotic rate &lt;20 per 10 HPF and Ki-67 index &lt;20%, based on the primary tumor or liver metastasis</w:t>
      </w:r>
    </w:p>
    <w:p>
      <w:pPr>
        <w:pStyle w:val="Normal"/>
      </w:pPr>
      <w:r>
        <w:t>- Poorly differentiated neuroendocrine carcinoma and G3 disease are outside the guidance-supported exception pathway</w:t>
      </w:r>
    </w:p>
    <w:p>
      <w:pPr>
        <w:pStyle w:val="Normal"/>
      </w:pPr>
      <w:r>
        <w:rPr>
          <w:b/>
          <w:bCs/>
          <w:i w:val="false"/>
          <w:iCs w:val="false"/>
        </w:rPr>
        <w:t xml:space="preserve">B. Primary Tumor</w:t>
      </w:r>
    </w:p>
    <w:p>
      <w:pPr>
        <w:pStyle w:val="Normal"/>
      </w:pPr>
      <w:r>
        <w:t>- Gastro-entero-pancreatic primary with portal-system drainage; lower rectal, esophageal, pulmonary, adrenal, and thyroid primaries are excluded by the December 2025 guidance</w:t>
      </w:r>
    </w:p>
    <w:p>
      <w:pPr>
        <w:pStyle w:val="Normal"/>
      </w:pPr>
      <w:r>
        <w:t>- Primary malignancy and any extrahepatic disease must be resected with no recurrence for at least 6 months before the MELD exception request; synchronous primary resection is not guidance-concordant</w:t>
      </w:r>
    </w:p>
    <w:p>
      <w:pPr>
        <w:pStyle w:val="Normal"/>
      </w:pPr>
      <w:r>
        <w:rPr>
          <w:b/>
          <w:bCs/>
          <w:i w:val="false"/>
          <w:iCs w:val="false"/>
        </w:rPr>
        <w:t xml:space="preserve">C. Disease Burden and Stability</w:t>
      </w:r>
    </w:p>
    <w:p>
      <w:pPr>
        <w:pStyle w:val="Normal"/>
      </w:pPr>
      <w:r>
        <w:rPr>
          <w:b w:val="false"/>
          <w:bCs w:val="false"/>
          <w:i w:val="false"/>
          <w:iCs w:val="false"/>
        </w:rPr>
        <w:t xml:space="preserve">- Hepatic tumor involvement ≤50% of total liver volume</w:t>
      </w:r>
    </w:p>
    <w:p>
      <w:pPr>
        <w:pStyle w:val="Normal"/>
      </w:pPr>
      <w:r>
        <w:t>- Neuroendocrine liver metastases must be liver-limited, BILOBAR, and NOT AMENABLE TO RESECTION (including staged or parenchyma-sparing resection), determined by the hepatobiliary and transplant MDT with the anatomic reasons recorded. This guidance criterion was absent from the prior selection list. VERIFY the bilobar wording verbatim against the live guidance.</w:t>
      </w:r>
    </w:p>
    <w:p>
      <w:pPr>
        <w:pStyle w:val="Normal"/>
      </w:pPr>
      <w:r>
        <w:t>- Evidence note on grade: the guidance admits G2 tumours with Ki-67 up to 20%. The Milan-NET comparative outcome data underpinning restrictive NET transplant selection were generated in a substantially lower-grade and younger cohort (median age 40.5 years in the transplanted group; Mazzaferro V et al., Am J Transplant 2016; doi:10.1111/ajt.13831). Candidates with Ki-67 in the upper G2 range sit at the permissive edge of the criteria and outside the population with the strongest supporting outcomes; state this in consent and in the NLRB narrative. Report grading using WHO 2022 conventions (mitoses per 2 mm2 alongside Ki-67) while retaining the per-10-HPF expression required by the guidance text.</w:t>
      </w:r>
    </w:p>
    <w:p>
      <w:pPr>
        <w:pStyle w:val="Normal"/>
      </w:pPr>
      <w:r>
        <w:rPr>
          <w:b w:val="false"/>
          <w:bCs w:val="false"/>
          <w:i w:val="false"/>
          <w:iCs w:val="false"/>
        </w:rPr>
        <w:t xml:space="preserve">- No extrahepatic disease (exception: resected perihilar lymph nodes)</w:t>
      </w:r>
      <w:r>
        <w:t xml:space="preserve">{Gorji, 2024 #20;Frilling, 2014 #54}</w:t>
      </w:r>
    </w:p>
    <w:p>
      <w:pPr>
        <w:pStyle w:val="Normal"/>
      </w:pPr>
      <w:r>
        <w:rPr>
          <w:b w:val="false"/>
          <w:bCs w:val="false"/>
          <w:i w:val="false"/>
          <w:iCs w:val="false"/>
        </w:rPr>
        <w:t xml:space="preserve">- Documented stable disease or response to therapy for ≥6 months prior to listing</w:t>
      </w:r>
      <w:r>
        <w:t xml:space="preserve">{Gorji, 2024 #20;Kasai, 2025 #52}</w:t>
      </w:r>
    </w:p>
    <w:p>
      <w:pPr>
        <w:pStyle w:val="Normal"/>
      </w:pPr>
      <w:r>
        <w:rPr>
          <w:b/>
          <w:bCs/>
          <w:i w:val="false"/>
          <w:iCs w:val="false"/>
        </w:rPr>
        <w:t xml:space="preserve">D. Patient Factors</w:t>
      </w:r>
    </w:p>
    <w:p>
      <w:pPr>
        <w:pStyle w:val="Normal"/>
      </w:pPr>
      <w:r>
        <w:t xml:space="preserve">- Age 60 years or less is an INSTITUTIONAL criterion, extended from the Milan-NET selection criteria, which specified 55 years or less. It is NOT an OPTN requirement: OPTN policy sets no upper age limit for liver-transplant candidacy, and the transplant-oncology guidance criteria for NET liver metastases do not include an age ceiling. Candidates older than 60 are not automatically excluded; they require enhanced physiologic assessment and explicit selection-committee justification recorded as an institutional deviation.{Gorji, 2024 #20}</w:t>
      </w:r>
    </w:p>
    <w:p>
      <w:pPr>
        <w:pStyle w:val="Normal"/>
      </w:pPr>
      <w:r>
        <w:rPr>
          <w:b w:val="false"/>
          <w:bCs w:val="false"/>
          <w:i w:val="false"/>
          <w:iCs w:val="false"/>
        </w:rPr>
        <w:t xml:space="preserve">- ECOG performance status 0–1</w:t>
      </w:r>
    </w:p>
    <w:p>
      <w:pPr>
        <w:pStyle w:val="Normal"/>
      </w:pPr>
      <w:r>
        <w:rPr>
          <w:b w:val="false"/>
          <w:bCs w:val="false"/>
          <w:i w:val="false"/>
          <w:iCs w:val="false"/>
        </w:rPr>
        <w:t xml:space="preserve">- No severe carcinoid heart disease (CHD); if CHD present, valve replacement must be completed prior to LT</w:t>
      </w:r>
      <w:r>
        <w:t xml:space="preserve">{Frilling, 2014 #54;National Comprehensive Cancer, 2026 #55}</w:t>
      </w:r>
    </w:p>
    <w:p>
      <w:pPr>
        <w:pStyle w:val="Normal"/>
      </w:pPr>
      <w:r>
        <w:rPr>
          <w:b w:val="false"/>
          <w:bCs w:val="false"/>
          <w:i w:val="false"/>
          <w:iCs w:val="false"/>
        </w:rPr>
        <w:t xml:space="preserve">- Standard liver transplant medical and psychosocial evaluation per AASLD/AST guidelines</w:t>
      </w:r>
      <w:r>
        <w:t xml:space="preserve">{Dove, 2026 #2}</w:t>
      </w:r>
    </w:p>
    <w:p>
      <w:pPr>
        <w:pStyle w:val="Heading3"/>
      </w:pPr>
      <w:r>
        <w:rPr>
          <w:b w:val="false"/>
          <w:bCs w:val="false"/>
          <w:i w:val="false"/>
          <w:iCs w:val="false"/>
        </w:rPr>
        <w:t xml:space="preserve">3. Pre-Transplant Workup</w:t>
      </w:r>
    </w:p>
    <w:p>
      <w:pPr>
        <w:pStyle w:val="Normal"/>
      </w:pPr>
      <w:r>
        <w:rPr>
          <w:b/>
          <w:bCs/>
          <w:i w:val="false"/>
          <w:iCs w:val="false"/>
        </w:rPr>
        <w:t xml:space="preserve">A. Oncologic Evaluation</w:t>
      </w:r>
    </w:p>
    <w:p>
      <w:pPr>
        <w:pStyle w:val="Normal"/>
      </w:pPr>
      <w:r>
        <w:rPr>
          <w:b w:val="false"/>
          <w:bCs w:val="false"/>
          <w:i w:val="false"/>
          <w:iCs w:val="false"/>
        </w:rPr>
        <w:t xml:space="preserve">- Histopathologic confirmation: biopsy with Ki-67 index, mitotic rate, synaptophysin, chromogranin A, and grading per WHO 2022 classification</w:t>
      </w:r>
    </w:p>
    <w:p>
      <w:pPr>
        <w:pStyle w:val="Normal"/>
      </w:pPr>
      <w:r>
        <w:rPr>
          <w:b w:val="false"/>
          <w:bCs w:val="false"/>
          <w:i w:val="false"/>
          <w:iCs w:val="false"/>
        </w:rPr>
        <w:t xml:space="preserve">- SSTR-PET/CT (⁶⁸Ga-DOTATATE or ⁶⁴Cu-DOTATATE) within 3 months of listing</w:t>
      </w:r>
      <w:r>
        <w:t xml:space="preserve">{Gorji, 2024 #20;National Comprehensive Cancer, 2026 #55}</w:t>
      </w:r>
    </w:p>
    <w:p>
      <w:pPr>
        <w:pStyle w:val="Normal"/>
      </w:pPr>
      <w:r>
        <w:rPr>
          <w:b w:val="false"/>
          <w:bCs w:val="false"/>
          <w:i w:val="false"/>
          <w:iCs w:val="false"/>
        </w:rPr>
        <w:t xml:space="preserve">- FDG-PET/CT within 3 months of listing to exclude extrahepatic disease and assess tumor biology</w:t>
      </w:r>
      <w:r>
        <w:t xml:space="preserve">{Gorji, 2024 #20}</w:t>
      </w:r>
    </w:p>
    <w:p>
      <w:pPr>
        <w:pStyle w:val="Normal"/>
      </w:pPr>
      <w:r>
        <w:rPr>
          <w:b w:val="false"/>
          <w:bCs w:val="false"/>
          <w:i w:val="false"/>
          <w:iCs w:val="false"/>
        </w:rPr>
        <w:t xml:space="preserve">- Multiphasic CT or MRI of the abdomen/pelvis (arterial and portal venous phases)</w:t>
      </w:r>
      <w:r>
        <w:t xml:space="preserve">{National Comprehensive Cancer, 2026 #55}</w:t>
      </w:r>
    </w:p>
    <w:p>
      <w:pPr>
        <w:pStyle w:val="Normal"/>
      </w:pPr>
      <w:r>
        <w:rPr>
          <w:b w:val="false"/>
          <w:bCs w:val="false"/>
          <w:i w:val="false"/>
          <w:iCs w:val="false"/>
        </w:rPr>
        <w:t xml:space="preserve">- Chest CT with or without contrast</w:t>
      </w:r>
    </w:p>
    <w:p>
      <w:pPr>
        <w:pStyle w:val="Normal"/>
      </w:pPr>
      <w:r>
        <w:rPr>
          <w:b w:val="false"/>
          <w:bCs w:val="false"/>
          <w:i w:val="false"/>
          <w:iCs w:val="false"/>
        </w:rPr>
        <w:t xml:space="preserve">- Biochemical markers: chromogranin A, 5-HIAA (24-hour urine or plasma), neuron-specific enolase, pancreatic polypeptide (as clinically indicated)</w:t>
      </w:r>
      <w:r>
        <w:t xml:space="preserve">{National Comprehensive Cancer, 2026 #55}</w:t>
      </w:r>
    </w:p>
    <w:p>
      <w:pPr>
        <w:pStyle w:val="Normal"/>
      </w:pPr>
      <w:r>
        <w:rPr>
          <w:b w:val="false"/>
          <w:bCs w:val="false"/>
          <w:i w:val="false"/>
          <w:iCs w:val="false"/>
        </w:rPr>
        <w:t xml:space="preserve">- Echocardiogram to evaluate for carcinoid heart disease</w:t>
      </w:r>
      <w:r>
        <w:t xml:space="preserve">{National Comprehensive Cancer, 2026 #55}</w:t>
      </w:r>
    </w:p>
    <w:p>
      <w:pPr>
        <w:pStyle w:val="Normal"/>
      </w:pPr>
      <w:r>
        <w:rPr>
          <w:b/>
          <w:bCs/>
          <w:i w:val="false"/>
          <w:iCs w:val="false"/>
        </w:rPr>
        <w:t xml:space="preserve">B. Transplant Evaluation</w:t>
      </w:r>
    </w:p>
    <w:p>
      <w:pPr>
        <w:pStyle w:val="Normal"/>
      </w:pPr>
      <w:r>
        <w:rPr>
          <w:b w:val="false"/>
          <w:bCs w:val="false"/>
          <w:i w:val="false"/>
          <w:iCs w:val="false"/>
        </w:rPr>
        <w:t xml:space="preserve">- Standard liver transplant evaluation per institutional protocol and AASLD/AST guidelines</w:t>
      </w:r>
      <w:r>
        <w:t xml:space="preserve">{Dove, 2026 #2}</w:t>
      </w:r>
    </w:p>
    <w:p>
      <w:pPr>
        <w:pStyle w:val="Normal"/>
      </w:pPr>
      <w:r>
        <w:rPr>
          <w:b w:val="false"/>
          <w:bCs w:val="false"/>
          <w:i w:val="false"/>
          <w:iCs w:val="false"/>
        </w:rPr>
        <w:t xml:space="preserve">- MELD-Na score calculation</w:t>
      </w:r>
    </w:p>
    <w:p>
      <w:pPr>
        <w:pStyle w:val="Normal"/>
      </w:pPr>
      <w:r>
        <w:rPr>
          <w:b w:val="false"/>
          <w:bCs w:val="false"/>
          <w:i w:val="false"/>
          <w:iCs w:val="false"/>
        </w:rPr>
        <w:t xml:space="preserve">- Cardiopulmonary evaluation including right heart catheterization if carcinoid syndrome present</w:t>
      </w:r>
    </w:p>
    <w:p>
      <w:pPr>
        <w:pStyle w:val="Normal"/>
      </w:pPr>
      <w:r>
        <w:rPr>
          <w:b w:val="false"/>
          <w:bCs w:val="false"/>
          <w:i w:val="false"/>
          <w:iCs w:val="false"/>
        </w:rPr>
        <w:t xml:space="preserve">- Psychosocial evaluation</w:t>
      </w:r>
    </w:p>
    <w:p>
      <w:pPr>
        <w:pStyle w:val="Normal"/>
      </w:pPr>
      <w:r>
        <w:rPr>
          <w:b w:val="false"/>
          <w:bCs w:val="false"/>
          <w:i w:val="false"/>
          <w:iCs w:val="false"/>
        </w:rPr>
        <w:t xml:space="preserve">- Infectious disease screening</w:t>
      </w:r>
    </w:p>
    <w:p>
      <w:pPr>
        <w:pStyle w:val="Heading3"/>
      </w:pPr>
      <w:r>
        <w:rPr>
          <w:b w:val="false"/>
          <w:bCs w:val="false"/>
          <w:i w:val="false"/>
          <w:iCs w:val="false"/>
        </w:rPr>
        <w:t xml:space="preserve">4. Observation Period and Waitlist Management</w:t>
      </w:r>
    </w:p>
    <w:p>
      <w:pPr>
        <w:pStyle w:val="Normal"/>
      </w:pPr>
      <w:r>
        <w:rPr>
          <w:sz w:val="21"/>
        </w:rPr>
        <w:t>- Submit a non-standard NLRB exception request. For candidates meeting the December 2025 guidance criteria, the recommended score is MMaT-3; approval is not automatic.</w:t>
      </w:r>
    </w:p>
    <w:p>
      <w:pPr>
        <w:pStyle w:val="Normal"/>
      </w:pPr>
      <w:r>
        <w:rPr>
          <w:b w:val="false"/>
          <w:bCs w:val="false"/>
          <w:i w:val="false"/>
          <w:iCs w:val="false"/>
        </w:rPr>
        <w:t xml:space="preserve">- Minimum 6-month observation period with documented stable disease or response prior to activation on the waitlist</w:t>
      </w:r>
      <w:r>
        <w:t xml:space="preserve">{Gorji, 2024 #20;Kasai, 2025 #52;Eshmuminov, 2023 #53}</w:t>
      </w:r>
    </w:p>
    <w:p>
      <w:pPr>
        <w:pStyle w:val="Normal"/>
      </w:pPr>
      <w:r>
        <w:rPr>
          <w:b w:val="false"/>
          <w:bCs w:val="false"/>
          <w:i w:val="false"/>
          <w:iCs w:val="false"/>
        </w:rPr>
        <w:t xml:space="preserve">- Imaging surveillance every 3 months during the observation period:</w:t>
      </w:r>
    </w:p>
    <w:p>
      <w:pPr>
        <w:pStyle w:val="Normal"/>
      </w:pPr>
      <w:r>
        <w:rPr>
          <w:b w:val="false"/>
          <w:bCs w:val="false"/>
          <w:i w:val="false"/>
          <w:iCs w:val="false"/>
        </w:rPr>
        <w:t xml:space="preserve">  - Multiphasic abdomen/pelvis CT or MRI</w:t>
      </w:r>
    </w:p>
    <w:p>
      <w:pPr>
        <w:pStyle w:val="Normal"/>
      </w:pPr>
      <w:r>
        <w:rPr>
          <w:b w:val="false"/>
          <w:bCs w:val="false"/>
          <w:i w:val="false"/>
          <w:iCs w:val="false"/>
        </w:rPr>
        <w:t xml:space="preserve">  - FDG-PET/CT at 6 months and as clinically indicated</w:t>
      </w:r>
    </w:p>
    <w:p>
      <w:pPr>
        <w:pStyle w:val="Normal"/>
      </w:pPr>
      <w:r>
        <w:rPr>
          <w:b w:val="false"/>
          <w:bCs w:val="false"/>
          <w:i w:val="false"/>
          <w:iCs w:val="false"/>
        </w:rPr>
        <w:t xml:space="preserve">  - SSTR-PET/CT at 6 months prior to listing and every 6 months on waitlist</w:t>
      </w:r>
    </w:p>
    <w:p>
      <w:pPr>
        <w:pStyle w:val="Normal"/>
      </w:pPr>
      <w:r>
        <w:rPr>
          <w:b w:val="false"/>
          <w:bCs w:val="false"/>
          <w:i w:val="false"/>
          <w:iCs w:val="false"/>
        </w:rPr>
        <w:t xml:space="preserve">- Somatostatin analog therapy (octreotide LAR 20–30 mg IM or lanreotide 120 mg SC every 4 weeks) should be continued during the waitlist period for functional tumors and may be continued for antiproliferative effect in nonfunctional tumors</w:t>
      </w:r>
      <w:r>
        <w:t xml:space="preserve">{National Comprehensive Cancer, 2026 #55}</w:t>
      </w:r>
    </w:p>
    <w:p>
      <w:pPr>
        <w:pStyle w:val="Normal"/>
      </w:pPr>
      <w:r>
        <w:rPr>
          <w:b w:val="false"/>
          <w:bCs w:val="false"/>
          <w:i w:val="false"/>
          <w:iCs w:val="false"/>
        </w:rPr>
        <w:t xml:space="preserve">- Liver-directed therapies (TAE, TACE, TARE, or ablation) may be used as bridging therapy during the waitlist period</w:t>
      </w:r>
      <w:r>
        <w:t xml:space="preserve">{National Comprehensive Cancer, 2026 #55}</w:t>
      </w:r>
    </w:p>
    <w:p>
      <w:pPr>
        <w:pStyle w:val="Normal"/>
      </w:pPr>
      <w:r>
        <w:rPr>
          <w:b/>
          <w:bCs/>
          <w:i w:val="false"/>
          <w:iCs w:val="false"/>
        </w:rPr>
        <w:t xml:space="preserve">Delisting Criteria:</w:t>
      </w:r>
      <w:r>
        <w:t xml:space="preserve">{Gorji, 2024 #20}</w:t>
      </w:r>
    </w:p>
    <w:p>
      <w:pPr>
        <w:pStyle w:val="Normal"/>
      </w:pPr>
      <w:r>
        <w:rPr>
          <w:b w:val="false"/>
          <w:bCs w:val="false"/>
          <w:i w:val="false"/>
          <w:iCs w:val="false"/>
        </w:rPr>
        <w:t xml:space="preserve">- Development of extrahepatic solid organ metastases → permanent delisting</w:t>
      </w:r>
    </w:p>
    <w:p>
      <w:pPr>
        <w:pStyle w:val="Normal"/>
      </w:pPr>
      <w:r>
        <w:rPr>
          <w:b w:val="false"/>
          <w:bCs w:val="false"/>
          <w:i w:val="false"/>
          <w:iCs w:val="false"/>
        </w:rPr>
        <w:t xml:space="preserve">- Lymph node metastases on FDG-PET/CT</w:t>
      </w:r>
    </w:p>
    <w:p>
      <w:pPr>
        <w:pStyle w:val="Normal"/>
      </w:pPr>
      <w:r>
        <w:rPr>
          <w:b w:val="false"/>
          <w:bCs w:val="false"/>
          <w:i w:val="false"/>
          <w:iCs w:val="false"/>
        </w:rPr>
        <w:t xml:space="preserve">- Disease progression with hepatic tumor burden exceeding 50%</w:t>
      </w:r>
    </w:p>
    <w:p>
      <w:pPr>
        <w:pStyle w:val="Normal"/>
      </w:pPr>
      <w:r>
        <w:rPr>
          <w:b w:val="false"/>
          <w:bCs w:val="false"/>
          <w:i w:val="false"/>
          <w:iCs w:val="false"/>
        </w:rPr>
        <w:t xml:space="preserve">- Tumor grade upgrade to G3 or poorly differentiated histology on repeat biopsy</w:t>
      </w:r>
    </w:p>
    <w:p>
      <w:pPr>
        <w:pStyle w:val="Heading3"/>
      </w:pPr>
      <w:r>
        <w:rPr>
          <w:b w:val="false"/>
          <w:bCs w:val="false"/>
          <w:i w:val="false"/>
          <w:iCs w:val="false"/>
        </w:rPr>
        <w:t xml:space="preserve">5. Surgical Procedure</w:t>
      </w:r>
    </w:p>
    <w:p>
      <w:pPr>
        <w:pStyle w:val="Normal"/>
      </w:pPr>
      <w:r>
        <w:t xml:space="preserve">- Deceased-donor whole-liver transplantation is the default. Living-donor transplantation may be considered in selected candidates after independent donor evaluation and donor-advocate review. The supporting evidence is limited to observational reports; conference-abstract sources are not sufficient support for donor-source selection.{Kasai, 2025 #52}</w:t>
      </w:r>
    </w:p>
    <w:p>
      <w:pPr>
        <w:pStyle w:val="Normal"/>
      </w:pPr>
      <w:r>
        <w:rPr>
          <w:b w:val="false"/>
          <w:bCs w:val="false"/>
          <w:i w:val="false"/>
          <w:iCs w:val="false"/>
        </w:rPr>
        <w:t xml:space="preserve">- Cholecystectomy of the native liver at the time of hepatectomy</w:t>
      </w:r>
    </w:p>
    <w:p>
      <w:pPr>
        <w:pStyle w:val="Normal"/>
      </w:pPr>
      <w:r>
        <w:rPr>
          <w:b w:val="false"/>
          <w:bCs w:val="false"/>
          <w:i w:val="false"/>
          <w:iCs w:val="false"/>
        </w:rPr>
        <w:t xml:space="preserve">- Intraoperative octreotide infusion should be available for management of carcinoid crisis; prophylactic octreotide is likely ineffective in preventing intraoperative carcinoid crisis, and its use should not delay vasopressor and fluid administration</w:t>
      </w:r>
      <w:r>
        <w:t xml:space="preserve">{National Comprehensive Cancer, 2026 #55}</w:t>
      </w:r>
    </w:p>
    <w:p>
      <w:pPr>
        <w:pStyle w:val="Normal"/>
      </w:pPr>
      <w:r>
        <w:rPr>
          <w:b w:val="false"/>
          <w:bCs w:val="false"/>
          <w:i w:val="false"/>
          <w:iCs w:val="false"/>
        </w:rPr>
        <w:t xml:space="preserve">- Explant pathology: complete assessment of tumor burden, grade, margins, and vascular invasion</w:t>
      </w:r>
    </w:p>
    <w:p>
      <w:pPr>
        <w:pStyle w:val="Heading3"/>
      </w:pPr>
      <w:r>
        <w:rPr>
          <w:b w:val="false"/>
          <w:bCs w:val="false"/>
          <w:i w:val="false"/>
          <w:iCs w:val="false"/>
        </w:rPr>
        <w:t xml:space="preserve">6. Post-Transplant Immunosuppression</w:t>
      </w:r>
    </w:p>
    <w:p>
      <w:pPr>
        <w:pStyle w:val="Normal"/>
      </w:pPr>
      <w:r>
        <w:rPr>
          <w:b/>
          <w:bCs/>
          <w:i w:val="false"/>
          <w:iCs w:val="false"/>
        </w:rPr>
        <w:t xml:space="preserve">Induction:</w:t>
      </w:r>
    </w:p>
    <w:p>
      <w:pPr>
        <w:pStyle w:val="Normal"/>
      </w:pPr>
      <w:r>
        <w:rPr>
          <w:b w:val="false"/>
          <w:bCs w:val="false"/>
          <w:i w:val="false"/>
          <w:iCs w:val="false"/>
        </w:rPr>
        <w:t xml:space="preserve">- Methylprednisolone 500 mg IV intraoperatively, taper per institutional protocol</w:t>
      </w:r>
    </w:p>
    <w:p>
      <w:pPr>
        <w:pStyle w:val="Normal"/>
      </w:pPr>
      <w:r>
        <w:t xml:space="preserve">{Nedredal, 2020 #57}</w:t>
      </w:r>
      <w:r>
        <w:rPr>
          <w:b w:val="false"/>
          <w:bCs w:val="false"/>
          <w:i w:val="false"/>
          <w:iCs w:val="false"/>
        </w:rPr>
        <w:t xml:space="preserve">- Induction should follow the current institutional LT protocol. Basiliximab may be selected for standard renal or immunologic indications; no NET-specific preferred induction agent is established.{Nedredal, 2020 #57}</w:t>
      </w:r>
    </w:p>
    <w:p>
      <w:pPr>
        <w:pStyle w:val="Normal"/>
      </w:pPr>
      <w:r>
        <w:rPr>
          <w:b/>
          <w:bCs/>
          <w:i w:val="false"/>
          <w:iCs w:val="false"/>
        </w:rPr>
        <w:t>Maintenance (individualized institutional regimen; no NET-specific recurrence-prevention standard):</w:t>
      </w:r>
    </w:p>
    <w:p>
      <w:pPr>
        <w:pStyle w:val="Normal"/>
      </w:pPr>
      <w:r>
        <w:t>- Tacrolimus-based maintenance with targets set by the transplant team and transplant pharmacy according to rejection risk, renal function and infection status — not by this document. No NET-specific induction or maintenance regimen has been shown to reduce post-transplant recurrence. Regimens from trials in other tumour types are not transferable and must not be cited as NET-specific evidence.</w:t>
      </w:r>
    </w:p>
    <w:p>
      <w:pPr>
        <w:pStyle w:val="Normal"/>
      </w:pPr>
      <w:r>
        <w:t xml:space="preserve">{Adam, 2024 #39;Nashan, 2018 #58}</w:t>
      </w:r>
      <w:r>
        <w:rPr>
          <w:b w:val="false"/>
          <w:bCs w:val="false"/>
          <w:i w:val="false"/>
          <w:iCs w:val="false"/>
        </w:rPr>
        <w:t xml:space="preserve">- Everolimus may be considered after adequate wound healing and vascular stability, typically no earlier than 4 weeks, with timing and targets set by transplant pharmacy and the LT team.{Adam, 2024 #39;Nashan, 2018 #58}</w:t>
      </w:r>
    </w:p>
    <w:p>
      <w:pPr>
        <w:pStyle w:val="Normal"/>
      </w:pPr>
      <w:r>
        <w:rPr>
          <w:b w:val="false"/>
          <w:bCs w:val="false"/>
          <w:i w:val="false"/>
          <w:iCs w:val="false"/>
        </w:rPr>
        <w:t xml:space="preserve">- Upon everolimus initiation, reduce tacrolimus target trough to 3–5 ng/mL</w:t>
      </w:r>
      <w:r>
        <w:t xml:space="preserve">{Adam, 2024 #39;Nashan, 2018 #58}</w:t>
      </w:r>
    </w:p>
    <w:p>
      <w:pPr>
        <w:pStyle w:val="Normal"/>
      </w:pPr>
      <w:r>
        <w:rPr>
          <w:b w:val="false"/>
          <w:bCs w:val="false"/>
          <w:i w:val="false"/>
          <w:iCs w:val="false"/>
        </w:rPr>
        <w:t xml:space="preserve">- Mycophenolate mofetil 500–1000 mg BID may be added as adjunctive immunosuppression during the transition period to prevent rejection</w:t>
      </w:r>
      <w:r>
        <w:t xml:space="preserve">{Nashan, 2018 #58}</w:t>
      </w:r>
    </w:p>
    <w:p>
      <w:pPr>
        <w:pStyle w:val="Normal"/>
      </w:pPr>
      <w:r>
        <w:rPr>
          <w:b w:val="false"/>
          <w:bCs w:val="false"/>
          <w:i w:val="false"/>
          <w:iCs w:val="false"/>
        </w:rPr>
        <w:t xml:space="preserve">- Steroid taper over 3–6 months</w:t>
      </w:r>
      <w:r>
        <w:t xml:space="preserve">{Adam, 2024 #39}</w:t>
      </w:r>
    </w:p>
    <w:p>
      <w:pPr>
        <w:pStyle w:val="Normal"/>
      </w:pPr>
      <w:r>
        <w:t xml:space="preserve">{Te, 2026 #11;Nashan, 2018 #58;Te, 2026 #11}</w:t>
      </w:r>
      <w:r>
        <w:rPr>
          <w:b/>
          <w:bCs/>
          <w:i w:val="false"/>
          <w:iCs w:val="false"/>
        </w:rPr>
        <w:t xml:space="preserve">Rationale: mTOR inhibitors can reduce calcineurin-inhibitor exposure and have antitumor activity in other settings, but a NET-specific post-LT recurrence benefit is unproven. Use should not be described as mandatory oncologic prophylaxis.{Nashan, 2018 #58;Te, 2026 #11}</w:t>
      </w:r>
    </w:p>
    <w:p>
      <w:pPr>
        <w:pStyle w:val="Heading3"/>
      </w:pPr>
      <w:r>
        <w:rPr>
          <w:b w:val="false"/>
          <w:bCs w:val="false"/>
          <w:i w:val="false"/>
          <w:iCs w:val="false"/>
        </w:rPr>
        <w:t xml:space="preserve">7. Post-Transplant Surveillance</w:t>
      </w:r>
    </w:p>
    <w:p>
      <w:pPr>
        <w:pStyle w:val="Normal"/>
      </w:pPr>
      <w:r>
        <w:rPr>
          <w:b/>
          <w:bCs/>
          <w:i w:val="false"/>
          <w:iCs w:val="false"/>
        </w:rPr>
        <w:t xml:space="preserve">Oncologic Surveillance:</w:t>
      </w:r>
    </w:p>
    <w:p>
      <w:pPr>
        <w:pStyle w:val="Normal"/>
      </w:pPr>
      <w:r>
        <w:rPr>
          <w:b w:val="false"/>
          <w:bCs w:val="false"/>
          <w:i w:val="false"/>
          <w:iCs w:val="false"/>
        </w:rPr>
        <w:t xml:space="preserve">- Months 1–24: Every 3 months</w:t>
      </w:r>
    </w:p>
    <w:p>
      <w:pPr>
        <w:pStyle w:val="Normal"/>
      </w:pPr>
      <w:r>
        <w:rPr>
          <w:b w:val="false"/>
          <w:bCs w:val="false"/>
          <w:i w:val="false"/>
          <w:iCs w:val="false"/>
        </w:rPr>
        <w:t xml:space="preserve">  - H&amp;P with symptom assessment</w:t>
      </w:r>
    </w:p>
    <w:p>
      <w:pPr>
        <w:pStyle w:val="Normal"/>
      </w:pPr>
      <w:r>
        <w:rPr>
          <w:b w:val="false"/>
          <w:bCs w:val="false"/>
          <w:i w:val="false"/>
          <w:iCs w:val="false"/>
        </w:rPr>
        <w:t xml:space="preserve">  - Multiphasic abdomen/pelvis CT or MRI</w:t>
      </w:r>
    </w:p>
    <w:p>
      <w:pPr>
        <w:pStyle w:val="Normal"/>
      </w:pPr>
      <w:r>
        <w:rPr>
          <w:b w:val="false"/>
          <w:bCs w:val="false"/>
          <w:i w:val="false"/>
          <w:iCs w:val="false"/>
        </w:rPr>
        <w:t xml:space="preserve">  - Chest CT as clinically indicated</w:t>
      </w:r>
    </w:p>
    <w:p>
      <w:pPr>
        <w:pStyle w:val="Normal"/>
      </w:pPr>
      <w:r>
        <w:rPr>
          <w:b w:val="false"/>
          <w:bCs w:val="false"/>
          <w:i w:val="false"/>
          <w:iCs w:val="false"/>
        </w:rPr>
        <w:t xml:space="preserve">  - Biochemical markers (chromogranin A, 5-HIAA as indicated)</w:t>
      </w:r>
    </w:p>
    <w:p>
      <w:pPr>
        <w:pStyle w:val="Normal"/>
      </w:pPr>
      <w:r>
        <w:rPr>
          <w:b w:val="false"/>
          <w:bCs w:val="false"/>
          <w:i w:val="false"/>
          <w:iCs w:val="false"/>
        </w:rPr>
        <w:t xml:space="preserve">  - SSTR-PET/CT at 6 months, 12 months, and annually thereafter for 5 years</w:t>
      </w:r>
      <w:r>
        <w:t xml:space="preserve">{National Comprehensive Cancer, 2026 #55;Adam, 2024 #39}</w:t>
      </w:r>
    </w:p>
    <w:p>
      <w:pPr>
        <w:pStyle w:val="Normal"/>
      </w:pPr>
      <w:r>
        <w:rPr>
          <w:b w:val="false"/>
          <w:bCs w:val="false"/>
          <w:i w:val="false"/>
          <w:iCs w:val="false"/>
        </w:rPr>
        <w:t xml:space="preserve">  - FDG-PET/CT at 6 months, 12 months, and as clinically indicated</w:t>
      </w:r>
    </w:p>
    <w:p>
      <w:pPr>
        <w:pStyle w:val="Normal"/>
      </w:pPr>
      <w:r>
        <w:rPr>
          <w:b w:val="false"/>
          <w:bCs w:val="false"/>
          <w:i w:val="false"/>
          <w:iCs w:val="false"/>
        </w:rPr>
        <w:t xml:space="preserve">- Years 3–5: Every 6 months with the same imaging and laboratory panel</w:t>
      </w:r>
    </w:p>
    <w:p>
      <w:pPr>
        <w:pStyle w:val="Normal"/>
      </w:pPr>
      <w:r>
        <w:rPr>
          <w:b w:val="false"/>
          <w:bCs w:val="false"/>
          <w:i w:val="false"/>
          <w:iCs w:val="false"/>
        </w:rPr>
        <w:t xml:space="preserve">- Years 5–10: Annually with imaging and biochemical markers</w:t>
      </w:r>
      <w:r>
        <w:t xml:space="preserve">{National Comprehensive Cancer, 2026 #55}</w:t>
      </w:r>
    </w:p>
    <w:p>
      <w:pPr>
        <w:pStyle w:val="Normal"/>
      </w:pPr>
      <w:r>
        <w:rPr>
          <w:b/>
          <w:bCs/>
          <w:i w:val="false"/>
          <w:iCs w:val="false"/>
        </w:rPr>
        <w:t xml:space="preserve">Transplant Surveillance:</w:t>
      </w:r>
    </w:p>
    <w:p>
      <w:pPr>
        <w:pStyle w:val="Normal"/>
      </w:pPr>
      <w:r>
        <w:rPr>
          <w:b w:val="false"/>
          <w:bCs w:val="false"/>
          <w:i w:val="false"/>
          <w:iCs w:val="false"/>
        </w:rPr>
        <w:t xml:space="preserve">- Standard post-LT monitoring per institutional protocol (liver function tests, tacrolimus/everolimus levels, renal function, metabolic panel)</w:t>
      </w:r>
    </w:p>
    <w:p>
      <w:pPr>
        <w:pStyle w:val="Normal"/>
      </w:pPr>
      <w:r>
        <w:rPr>
          <w:b w:val="false"/>
          <w:bCs w:val="false"/>
          <w:i w:val="false"/>
          <w:iCs w:val="false"/>
        </w:rPr>
        <w:t xml:space="preserve">- Protocol liver biopsies as clinically indicated</w:t>
      </w:r>
    </w:p>
    <w:p>
      <w:pPr>
        <w:pStyle w:val="Heading3"/>
      </w:pPr>
      <w:r>
        <w:rPr>
          <w:b w:val="false"/>
          <w:bCs w:val="false"/>
          <w:i w:val="false"/>
          <w:iCs w:val="false"/>
        </w:rPr>
        <w:t xml:space="preserve">8. Management of Post-Transplant Recurrence</w:t>
      </w:r>
    </w:p>
    <w:p>
      <w:pPr>
        <w:pStyle w:val="Normal"/>
      </w:pPr>
      <w:r>
        <w:t xml:space="preserve">Post-transplant recurrence occurs in roughly one third to one half of recipients and most often involves abdominal lymph nodes, peritoneum and lung.{Dove, 2026 #2;Sposito, 2021 #59} Post-recurrence survival in retrospective series is heterogeneous. The most favourable reported 5-year post-recurrence survival, approximately 76%, comes from selected patients with late, resectable recurrence in a retrospective cohort (Sposito C et al., Transplantation 2021;105(12):2579-2586; {Sposito, 2021 #59} and should not be presented as an expected outcome or as an effect of aggressive management. Recurrence after 24 months and resectability are markers of favourable biology as much as of treatment effect.</w:t>
      </w:r>
    </w:p>
    <w:p>
      <w:pPr>
        <w:pStyle w:val="Normal"/>
      </w:pPr>
      <w:r>
        <w:rPr>
          <w:b w:val="false"/>
          <w:bCs w:val="false"/>
          <w:i w:val="false"/>
          <w:iCs w:val="false"/>
        </w:rPr>
        <w:t xml:space="preserve">- Multidisciplinary tumor board review for all recurrences</w:t>
      </w:r>
    </w:p>
    <w:p>
      <w:pPr>
        <w:pStyle w:val="Normal"/>
      </w:pPr>
      <w:r>
        <w:rPr>
          <w:b w:val="false"/>
          <w:bCs w:val="false"/>
          <w:i w:val="false"/>
          <w:iCs w:val="false"/>
        </w:rPr>
        <w:t xml:space="preserve">- Surgical resection with curative intent for resectable recurrences (associated with improved survival, particularly if recurrence &gt;24 months post-LT)</w:t>
      </w:r>
      <w:r>
        <w:t xml:space="preserve">{Sposito, 2021 #59}</w:t>
      </w:r>
    </w:p>
    <w:p>
      <w:pPr>
        <w:pStyle w:val="Normal"/>
      </w:pPr>
      <w:r>
        <w:t>- Peptide receptor radionuclide therapy after liver transplantation is INVESTIGATIONAL. It may be considered only for somatostatin-receptor-positive recurrence, case by case, after joint transplant-oncology, nuclear-medicine, hepatology and transplant-pharmacy review, and preferably within a prospective protocol or registry.</w:t>
      </w:r>
    </w:p>
    <w:p>
      <w:pPr>
        <w:pStyle w:val="Normal"/>
      </w:pPr>
      <w:r>
        <w:t>- Requirements before use: documented SSTR positivity on SSTR-PET; baseline renal and haematologic assessment with defined stopping thresholds; an allograft-monitoring plan including liver tests and imaging; and consent specifically addressing radiation exposure to the allograft, renal toxicity, marrow suppression and the absence of controlled safety or efficacy data in transplant recipients.</w:t>
      </w:r>
    </w:p>
    <w:p>
      <w:pPr>
        <w:pStyle w:val="Normal"/>
      </w:pPr>
      <w:r>
        <w:t>- No immunosuppression regimen or trough target is established for concurrent use with PRRT. Continue the recipient's institutional regimen with individualized adjustment; do not specify a trough window for concurrent use. Response figures from small uncontrolled case series must not be used for counselling or entered as an expected outcome.</w:t>
      </w:r>
    </w:p>
    <w:p>
      <w:pPr>
        <w:pStyle w:val="Normal"/>
      </w:pPr>
      <w:r>
        <w:rPr>
          <w:b w:val="false"/>
          <w:bCs w:val="false"/>
          <w:i w:val="false"/>
          <w:iCs w:val="false"/>
        </w:rPr>
        <w:t xml:space="preserve">- Somatostatin analogs for functional tumors and/or antiproliferative effect</w:t>
      </w:r>
      <w:r>
        <w:t xml:space="preserve">{National Comprehensive Cancer, 2026 #55}</w:t>
      </w:r>
    </w:p>
    <w:p>
      <w:pPr>
        <w:pStyle w:val="Normal"/>
      </w:pPr>
      <w:r>
        <w:rPr>
          <w:b w:val="false"/>
          <w:bCs w:val="false"/>
          <w:i w:val="false"/>
          <w:iCs w:val="false"/>
        </w:rPr>
        <w:t xml:space="preserve">- Liver-directed therapies for graft-confined recurrence</w:t>
      </w:r>
      <w:r>
        <w:t xml:space="preserve">{National Comprehensive Cancer, 2026 #55}</w:t>
      </w:r>
    </w:p>
    <w:p>
      <w:pPr>
        <w:pStyle w:val="Normal"/>
      </w:pPr>
      <w:r>
        <w:rPr>
          <w:b w:val="false"/>
          <w:bCs w:val="false"/>
          <w:i w:val="false"/>
          <w:iCs w:val="false"/>
        </w:rPr>
        <w:t xml:space="preserve">- Systemic therapy options per NCCN guidelines (everolimus, cabozantinib, temozolomide-based regimens)</w:t>
      </w:r>
      <w:r>
        <w:t xml:space="preserve">{National Comprehensive Cancer, 2026 #55}</w:t>
      </w:r>
    </w:p>
    <w:p>
      <w:pPr>
        <w:pStyle w:val="Normal"/>
      </w:pPr>
      <w:r>
        <w:rPr>
          <w:b w:val="false"/>
          <w:bCs w:val="false"/>
          <w:i w:val="false"/>
          <w:iCs w:val="false"/>
        </w:rPr>
        <w:t xml:space="preserve">---</w:t>
      </w:r>
    </w:p>
    <w:p>
      <w:pPr>
        <w:pStyle w:val="Heading1"/>
      </w:pPr>
      <w:r>
        <w:t>V2 Revision Note (historical — superseded by the V3 Revision Log at the end of this document; retained as the change record for the V2 revision)</w:t>
      </w:r>
    </w:p>
    <w:p>
      <w:r>
        <w:rPr>
          <w:b/>
        </w:rPr>
        <w:t xml:space="preserve">Revision timestamp: </w:t>
      </w:r>
      <w:r>
        <w:t>2026-07-23 17:53:12 CDT</w:t>
      </w:r>
    </w:p>
    <w:p>
      <w:pPr>
        <w:pStyle w:val="ListParagraph"/>
      </w:pPr>
      <w:r>
        <w:t>Qualified basiliximab and mTOR therapy as individualized transplant management rather than NET-specific preferred standards.</w:t>
      </w:r>
    </w:p>
    <w:p>
      <w:pPr>
        <w:pStyle w:val="ListParagraph"/>
      </w:pPr>
      <w:r>
        <w:t>Preserved the guidance-aligned selection and surveillance framework.</w:t>
      </w:r>
    </w:p>
    <w:p>
      <w:r>
        <w:rPr>
          <w:b/>
        </w:rPr>
        <w:t xml:space="preserve">Problem: </w:t>
      </w:r>
      <w:r>
        <w:t>The original wording described basiliximab induction and an mTOR-based regimen as preferred for NET, although NET-specific recurrence benefit and exact post-LT timing are not established.</w:t>
      </w:r>
    </w:p>
    <w:p>
      <w:pPr/>
      <w:r>
        <w:rPr>
          <w:b/>
        </w:rPr>
        <w:t xml:space="preserve">Recommended correction: </w:t>
      </w:r>
      <w:r>
        <w:t>Individualize induction and maintenance according to graft, renal, infection, wound-healing, vascular, and oncologic risk; do not describe a NET-specific preferred immunosuppression standard.</w:t>
      </w:r>
    </w:p>
    <w:p>
      <w:pPr>
        <w:pStyle w:val="Heading1"/>
      </w:pPr>
      <w:r>
        <w:t>V3 Revision Log</w:t>
      </w:r>
    </w:p>
    <w:p>
      <w:pPr/>
      <w:r>
        <w:t>V-1 Brought the document's internal version markers into line with the filename: the title now reads V3, and the historical V2 Revision Note heading is labelled as superseded.</w:t>
      </w:r>
    </w:p>
    <w:p>
      <w:pPr/>
      <w:r>
        <w:t>5.1 Removed the attribution of the 60-year age cap to UNOS/OPTN; OPTN sets no age ceiling and the guidance NET criteria contain none.</w:t>
      </w:r>
    </w:p>
    <w:p>
      <w:pPr/>
      <w:r>
        <w:t>5.2 SAFETY/EVIDENCE: reclassified post-transplant PRRT as investigational and removed the everolimus trough target and the disease-control rate, which were operationalised from a single case series.</w:t>
      </w:r>
    </w:p>
    <w:p>
      <w:pPr/>
      <w:r>
        <w:t>5.3 Removed the TransMet citation from the NET immunosuppression targets and referred targets to the institutional protocol.</w:t>
      </w:r>
    </w:p>
    <w:p>
      <w:pPr/>
      <w:r>
        <w:t>5.4 Restored the guidance requirement that metastases be bilobar and not amenable to resection, and flagged the grade mismatch against the Milan-NET evidence base.</w:t>
      </w:r>
    </w:p>
    <w:p>
      <w:pPr/>
      <w:r>
        <w:t>5.5 Restated the post-recurrence survival figure with its selection caveat.</w:t>
      </w:r>
    </w:p>
    <w:p>
      <w:pPr/>
      <w:r>
        <w:t>5.6 Removed abstract-only support for living-donor transplantation.</w:t>
      </w:r>
    </w:p>
    <w:p>
      <w:pPr/>
      <w:r>
        <w:t>Revision method: substantive clinical, policy, evidence-quality, safety and eligibility corrections only. Formatting was not altered. All changes are Word tracked changes and can be accepted or rejected individually. Items marked VERIFY remain unresolved against retrievable official text and require human confirmation against the live OPTN posting before adoption.</w:t>
      </w:r>
    </w:p>
    <w:p>
      <w:pPr>
        <w:pStyle w:val="Heading1"/>
      </w:pPr>
      <w:r>
        <w:t xml:space="preserve">References</w:t>
      </w:r>
    </w:p>
    <w:p>
      <w:pPr>
        <w:pStyle w:val="ListParagraph"/>
        <w:numPr>
          <w:ilvl w:val="0"/>
          <w:numId w:val="2"/>
        </w:numPr>
      </w:pPr>
      <w:bookmarkStart w:name="dove-l,-chadha-rm,-lai-jc,-et-al.-&lt;a-target=&quot;_blank&quot;-href=&quot;https://doi.org/10.1097/hep.0000000000001644&quot;&gt;aasld-ast-practice-guideline-on-adult-liver-transplantation:-candidate-evaluation&lt;/a&gt;.-hepatology-(baltimore,-md.).-2025;:01515467-990000000-01508.-doi:10.1097/hep.0000000000001644." w:id="1"/>
      <w:hyperlink w:history="1" r:id="rIdds-wdsufqyxf2rxmes6dj">
        <w:r>
          <w:rPr>
            <w:rStyle w:val="Hyperlink"/>
          </w:rPr>
          <w:t xml:space="preserve">AASLD AST Practice Guideline on Adult Liver Transplantation: Candidate Evaluation.</w:t>
        </w:r>
      </w:hyperlink>
      <w:r>
        <w:t xml:space="preserve"> Dove L, Chadha RM, Lai JC, et al.</w:t>
      </w:r>
      <w:r>
        <w:t xml:space="preserve"> Hepatology (Baltimore, Md.). 2025;:01515467-990000000-01508. doi:10.1097/HEP.0000000000001644.</w:t>
      </w:r>
      <w:bookmarkEnd w:id="1"/>
    </w:p>
    <w:p>
      <w:pPr>
        <w:pStyle w:val="ListParagraph"/>
        <w:numPr>
          <w:ilvl w:val="0"/>
          <w:numId w:val="2"/>
        </w:numPr>
      </w:pPr>
      <w:bookmarkStart w:name="gorji-l,-brown-zj,-limkemann-a,-schenk-ad,-pawlik-tm.-&lt;a-target=&quot;_blank&quot;-href=&quot;https://jamanetwork.com/journals/jamasurgery/fullarticle/10.1001/jamasurg.2023.6083?utm_source=openevidence&amp;utm_medium=referral&quot;&gt;liver-transplant-as-a-treatment-of-primary-and-secondary-liver-neoplasms&lt;/a&gt;.-jama-surgery.-2024;159(2):211-218.-doi:10.1001/jamasurg.2023.6083." w:id="1"/>
      <w:hyperlink w:history="1" r:id="rIdtcfr3obbkkcbhxhuzpwy-">
        <w:r>
          <w:rPr>
            <w:rStyle w:val="Hyperlink"/>
          </w:rPr>
          <w:t xml:space="preserve">Liver Transplant as a Treatment of Primary and Secondary Liver Neoplasms.</w:t>
        </w:r>
      </w:hyperlink>
      <w:r>
        <w:t xml:space="preserve"> Gorji L, Brown ZJ, Limkemann A, Schenk AD, Pawlik TM.</w:t>
      </w:r>
      <w:r>
        <w:t xml:space="preserve"> JAMA Surgery. 2024;159(2):211-218. doi:10.1001/jamasurg.2023.6083.</w:t>
      </w:r>
      <w:bookmarkEnd w:id="1"/>
    </w:p>
    <w:p>
      <w:pPr>
        <w:pStyle w:val="ListParagraph"/>
        <w:numPr>
          <w:ilvl w:val="0"/>
          <w:numId w:val="2"/>
        </w:numPr>
      </w:pPr>
      <w:bookmarkStart w:name="kasai-y,-ito-t,-masui-t,-et-al.-&lt;a-target=&quot;_blank&quot;-href=&quot;https://pubmed.ncbi.nlm.nih.gov/39547997&quot;&gt;liver-transplantation-for-gastroenteropancreatic-neuroendocrine-liver-metastasis:-optimal-patient-selection-and-perioperative-management-in-the-era-of-multimodal-treatments&lt;/a&gt;.-journal-of-gastroenterology.-2025;60(1):1-9.-doi:10.1007/s00535-024-02166-z." w:id="1"/>
      <w:hyperlink w:history="1" r:id="rIdeznrhtsq7h54sptqk9n88">
        <w:r>
          <w:rPr>
            <w:rStyle w:val="Hyperlink"/>
          </w:rPr>
          <w:t xml:space="preserve">Liver Transplantation for Gastroenteropancreatic Neuroendocrine Liver Metastasis: Optimal Patient Selection and Perioperative Management in the Era of Multimodal Treatments.</w:t>
        </w:r>
      </w:hyperlink>
      <w:r>
        <w:t xml:space="preserve"> Kasai Y, Ito T, Masui T, et al.</w:t>
      </w:r>
      <w:r>
        <w:t xml:space="preserve"> Journal of Gastroenterology. 2025;60(1):1-9. doi:10.1007/s00535-024-02166-z.</w:t>
      </w:r>
      <w:bookmarkEnd w:id="1"/>
    </w:p>
    <w:p>
      <w:pPr>
        <w:pStyle w:val="ListParagraph"/>
        <w:numPr>
          <w:ilvl w:val="0"/>
          <w:numId w:val="2"/>
        </w:numPr>
      </w:pPr>
      <w:bookmarkStart w:name="eshmuminov-d,-studer-dj,-lopez-lopez-v,-et-al.-&lt;a-target=&quot;_blank&quot;-href=&quot;https://pubmed.ncbi.nlm.nih.gov/35975918&quot;&gt;controversy-over-liver-transplantation-or-resection-for-neuroendocrine-liver-metastasis:-tumor-biology-cuts-the-deal&lt;/a&gt;.-annals-of-surgery.-2023;277(5):e1063-e1071.-doi:10.1097/sla.0000000000005663." w:id="1"/>
      <w:hyperlink w:history="1" r:id="rIdrqftlgqc6gh4johdfomxs">
        <w:r>
          <w:rPr>
            <w:rStyle w:val="Hyperlink"/>
          </w:rPr>
          <w:t xml:space="preserve">Controversy Over Liver Transplantation or Resection for Neuroendocrine Liver Metastasis: Tumor Biology Cuts the Deal.</w:t>
        </w:r>
      </w:hyperlink>
      <w:r>
        <w:t xml:space="preserve"> Eshmuminov D, Studer DJ, Lopez Lopez V, et al.</w:t>
      </w:r>
      <w:r>
        <w:t xml:space="preserve"> Annals of Surgery. 2023;277(5):e1063-e1071. doi:10.1097/SLA.0000000000005663.</w:t>
      </w:r>
      <w:bookmarkEnd w:id="1"/>
    </w:p>
    <w:p>
      <w:pPr>
        <w:pStyle w:val="ListParagraph"/>
        <w:numPr>
          <w:ilvl w:val="0"/>
          <w:numId w:val="2"/>
        </w:numPr>
      </w:pPr>
      <w:bookmarkStart w:name="frilling-a,-modlin-im,-kidd-m,-et-al.-&lt;a-target=&quot;_blank&quot;-href=&quot;https://pubmed.ncbi.nlm.nih.gov/24384494&quot;&gt;recommendations-for-management-of-patients-with-neuroendocrine-liver-metastases&lt;/a&gt;.-the-lancet.-oncology.-2014;15(1):e8-21.-doi:10.1016/s1470-2045(13)70362-0." w:id="1"/>
      <w:hyperlink w:history="1" r:id="rIdsexfqrynmopwsnzwcaeby">
        <w:r>
          <w:rPr>
            <w:rStyle w:val="Hyperlink"/>
          </w:rPr>
          <w:t xml:space="preserve">Recommendations for Management of Patients With Neuroendocrine Liver Metastases.</w:t>
        </w:r>
      </w:hyperlink>
      <w:r>
        <w:t xml:space="preserve"> Frilling A, Modlin IM, Kidd M, et al.</w:t>
      </w:r>
      <w:r>
        <w:t xml:space="preserve"> The Lancet. Oncology. 2014;15(1):e8-21. doi:10.1016/S1470-2045(13)70362-0.</w:t>
      </w:r>
      <w:bookmarkEnd w:id="1"/>
    </w:p>
    <w:p>
      <w:pPr>
        <w:pStyle w:val="ListParagraph"/>
        <w:numPr>
          <w:ilvl w:val="0"/>
          <w:numId w:val="2"/>
        </w:numPr>
      </w:pPr>
      <w:bookmarkStart w:name="national-comprehensive-cancer-network.-neuroendocrine-and-adrenal-tumors." w:id="1"/>
      <w:hyperlink w:history="1" r:id="rIdqqjatj-j_qy8ssb2ncq4x">
        <w:r>
          <w:rPr>
            <w:rStyle w:val="Hyperlink"/>
          </w:rPr>
          <w:t xml:space="preserve">Neuroendocrine and Adrenal Tumors.</w:t>
        </w:r>
      </w:hyperlink>
      <w:r>
        <w:t xml:space="preserve"> National Comprehensive Cancer Network.</w:t>
      </w:r>
      <w:r>
        <w:t xml:space="preserve"> Updated 2026-04-21.</w:t>
      </w:r>
      <w:bookmarkEnd w:id="1"/>
    </w:p>
    <w:p>
      <w:pPr>
        <w:pStyle w:val="ListParagraph"/>
        <w:numPr>
          <w:ilvl w:val="0"/>
          <w:numId w:val="2"/>
        </w:numPr>
      </w:pPr>
      <w:bookmarkStart w:name="j-clin-oncol-44,-2026-(suppl-16;-abstr-e16238)" w:id="1"/>
      <w:hyperlink w:history="1" r:id="rIdwnn-irhqxyamozrph8ip0">
        <w:r>
          <w:rPr>
            <w:rStyle w:val="Hyperlink"/>
          </w:rPr>
          <w:t xml:space="preserve">Liver transplantation as a therapeutic strategy for far-advanced hepatic malignancies: Survival outcomes from the LT-FAM study.</w:t>
        </w:r>
      </w:hyperlink>
      <w:r>
        <w:t xml:space="preserve"> Wu A, Bambha K, Biggins S, et al.</w:t>
      </w:r>
      <w:r>
        <w:t xml:space="preserve"> Journal of Clinical Oncology. 2026;44(Suppl 16):e16238. doi:10.1200/JCO.2026.44.16_suppl.e16238.</w:t>
      </w:r>
      <w:bookmarkEnd w:id="1"/>
    </w:p>
    <w:p>
      <w:pPr>
        <w:pStyle w:val="ListParagraph"/>
        <w:numPr>
          <w:ilvl w:val="0"/>
          <w:numId w:val="2"/>
        </w:numPr>
      </w:pPr>
      <w:bookmarkStart w:name="nedredal-gi,-picon-rv,-chedid-mf,-foss-a.-&lt;a-target=&quot;_blank&quot;-href=&quot;https://pubmed.ncbi.nlm.nih.gov/32520679&quot;&gt;immunosuppression-in-liver-transplantation:-state-of-the-art-and-future-perspectives&lt;/a&gt;.-current-pharmaceutical-design.-2020;26(28):3389-3401.-doi:10.2174/1381612826666200610183608." w:id="1"/>
      <w:hyperlink w:history="1" r:id="rIdpeghdabylkcldl_men63k">
        <w:r>
          <w:rPr>
            <w:rStyle w:val="Hyperlink"/>
          </w:rPr>
          <w:t xml:space="preserve">Immunosuppression in Liver Transplantation: State of the Art and Future Perspectives.</w:t>
        </w:r>
      </w:hyperlink>
      <w:r>
        <w:t xml:space="preserve"> Nedredal GI, Picon RV, Chedid MF, Foss A.</w:t>
      </w:r>
      <w:r>
        <w:t xml:space="preserve"> Current Pharmaceutical Design. 2020;26(28):3389-3401. doi:10.2174/1381612826666200610183608.</w:t>
      </w:r>
      <w:bookmarkEnd w:id="1"/>
    </w:p>
    <w:p>
      <w:pPr>
        <w:pStyle w:val="ListParagraph"/>
        <w:numPr>
          <w:ilvl w:val="0"/>
          <w:numId w:val="2"/>
        </w:numPr>
      </w:pPr>
      <w:bookmarkStart w:name="adam-r,-piedvache-c,-chiche-l,-et-al.-&lt;a-target=&quot;_blank&quot;-href=&quot;https://pubmed.ncbi.nlm.nih.gov/39306468&quot;&gt;liver-transplantation-plus-chemotherapy-versus-chemotherapy-alone-in-patients-with-permanently-unresectable-colorectal-liver-metastases-(transmet):-results-from-a-multicentre,-open-label,-prospective,-randomised-controlled-trial&lt;/a&gt;.-lancet-(london,-england).-2024;404(10458):1107-1118.-doi:10.1016/s0140-6736(24)01595-2." w:id="1"/>
      <w:hyperlink w:history="1" r:id="rIduotsek3z0zjbexxxhz4ed">
        <w:r>
          <w:rPr>
            <w:rStyle w:val="Hyperlink"/>
          </w:rPr>
          <w:t xml:space="preserve">Liver Transplantation Plus Chemotherapy Versus Chemotherapy Alone in Patients With Permanently Unresectable Colorectal Liver Metastases (TransMet): Results From a Multicentre, Open-Label, Prospective, Randomised Controlled Trial.</w:t>
        </w:r>
      </w:hyperlink>
      <w:r>
        <w:t xml:space="preserve"> Adam R, Piedvache C, Chiche L, et al.</w:t>
      </w:r>
      <w:r>
        <w:t xml:space="preserve"> Lancet (London, England). 2024;404(10458):1107-1118. doi:10.1016/S0140-6736(24)01595-2.</w:t>
      </w:r>
      <w:bookmarkEnd w:id="1"/>
    </w:p>
    <w:p>
      <w:pPr>
        <w:pStyle w:val="ListParagraph"/>
        <w:numPr>
          <w:ilvl w:val="0"/>
          <w:numId w:val="2"/>
        </w:numPr>
      </w:pPr>
      <w:bookmarkStart w:name="nashan-b.-&lt;a-target=&quot;_blank&quot;-href=&quot;https://pubmed.ncbi.nlm.nih.gov/28230639&quot;&gt;mtor-inhibition-and-clinical-transplantation:-liver&lt;/a&gt;.-transplantation.-2018;102(2s-suppl-1):s19-s26.-doi:10.1097/tp.0000000000001690." w:id="1"/>
      <w:hyperlink w:history="1" r:id="rId6ich49yccmu90slafwzqn">
        <w:r>
          <w:rPr>
            <w:rStyle w:val="Hyperlink"/>
          </w:rPr>
          <w:t xml:space="preserve">mTOR Inhibition and Clinical Transplantation: Liver.</w:t>
        </w:r>
      </w:hyperlink>
      <w:r>
        <w:t xml:space="preserve"> Nashan B.</w:t>
      </w:r>
      <w:r>
        <w:t xml:space="preserve"> Transplantation. 2018;102(2S Suppl 1):S19-S26. doi:10.1097/TP.0000000000001690.</w:t>
      </w:r>
      <w:bookmarkEnd w:id="1"/>
    </w:p>
    <w:p>
      <w:pPr>
        <w:pStyle w:val="ListParagraph"/>
        <w:numPr>
          <w:ilvl w:val="0"/>
          <w:numId w:val="2"/>
        </w:numPr>
      </w:pPr>
      <w:bookmarkStart w:name="te-hs,-agopian-vg,-demetris-aj,-et-al.-&lt;a-target=&quot;_blank&quot;-href=&quot;https://doi.org/10.1097/lvt.0000000000000715&quot;&gt;aasld-ast-practice-guideline-on-adult-liver-transplantation:-diagnosis-and-management-of-graft-related-complications&lt;/a&gt;.-liver-transplantation-:-official-publication-of-the-american-association-for-the-study-of-liver-diseases-and-the-international-liver-transplantation-society.-2026;32(3):444-490.-doi:10.1097/lvt.0000000000000715." w:id="1"/>
      <w:hyperlink w:history="1" r:id="rIdmk6hdw8gnueekylov--lw">
        <w:r>
          <w:rPr>
            <w:rStyle w:val="Hyperlink"/>
          </w:rPr>
          <w:t xml:space="preserve">AASLD AST Practice Guideline on Adult Liver Transplantation: Diagnosis and Management of Graft-Related Complications.</w:t>
        </w:r>
      </w:hyperlink>
      <w:r>
        <w:t xml:space="preserve"> Te HS, Agopian VG, Demetris AJ, et al.</w:t>
      </w:r>
      <w:r>
        <w:t xml:space="preserve"> Liver Transplantation : Official Publication of the American Association for the Study of Liver Diseases and the International Liver Transplantation Society. 2026;32(3):444-490. doi:10.1097/LVT.0000000000000715.</w:t>
      </w:r>
      <w:bookmarkEnd w:id="1"/>
    </w:p>
    <w:p>
      <w:pPr>
        <w:pStyle w:val="ListParagraph"/>
        <w:numPr>
          <w:ilvl w:val="0"/>
          <w:numId w:val="2"/>
        </w:numPr>
      </w:pPr>
      <w:bookmarkStart w:name="sposito-c,-rossi-re,-monteleone-m,-et-al.-&lt;a-target=&quot;_blank&quot;-href=&quot;https://pubmed.ncbi.nlm.nih.gov/33908381&quot;&gt;postrecurrence-survival-after-liver-transplantation-for-liver-metastases-from-neuroendocrine-tumors&lt;/a&gt;.-transplantation.-2021;105(12):2579-2586.-doi:10.1097/tp.0000000000003802." w:id="1"/>
      <w:hyperlink w:history="1" r:id="rId_j0ycn_h3oziqsj3ofsz8">
        <w:r>
          <w:rPr>
            <w:rStyle w:val="Hyperlink"/>
          </w:rPr>
          <w:t xml:space="preserve">Postrecurrence Survival After Liver Transplantation for Liver Metastases From Neuroendocrine Tumors.</w:t>
        </w:r>
      </w:hyperlink>
      <w:r>
        <w:t xml:space="preserve"> Sposito C, Rossi RE, Monteleone M, et al.</w:t>
      </w:r>
      <w:r>
        <w:t xml:space="preserve"> Transplantation. 2021;105(12):2579-2586. doi:10.1097/TP.0000000000003802.</w:t>
      </w:r>
      <w:bookmarkEnd w:id="1"/>
    </w:p>
    <w:p>
      <w:pPr>
        <w:pStyle w:val="ListParagraph"/>
        <w:numPr>
          <w:ilvl w:val="0"/>
          <w:numId w:val="2"/>
        </w:numPr>
      </w:pPr>
      <w:bookmarkStart w:name="chen-c,-zheng-q,-zhang-l,-et-al.-&lt;a-target=&quot;_blank&quot;-href=&quot;https://pubmed.ncbi.nlm.nih.gov/41760506&quot;&gt;peptide-receptor-radionuclide-therapy-for-recurrent-neuroendocrine-tumor-liver-metastases-after-liver-transplantation:-a-case-series&lt;/a&gt;.-transplantation-proceedings.-2026;58(3):526-531.-doi:10.1016/j.transproceed.2026.02.019." w:id="1"/>
      <w:hyperlink w:history="1" r:id="rIdyrr_m5zb_ygx24k-h0q47">
        <w:r>
          <w:rPr>
            <w:rStyle w:val="Hyperlink"/>
          </w:rPr>
          <w:t xml:space="preserve">Peptide Receptor Radionuclide Therapy for Recurrent Neuroendocrine Tumor Liver Metastases After Liver Transplantation: A Case Series.</w:t>
        </w:r>
      </w:hyperlink>
      <w:r>
        <w:t xml:space="preserve"> Chen C, Zheng Q, Zhang L, et al.</w:t>
      </w:r>
      <w:r>
        <w:t xml:space="preserve"> Transplantation Proceedings. 2026;58(3):526-531. doi:10.1016/j.transproceed.2026.02.019.</w:t>
      </w:r>
      <w:bookmarkEnd w:id="1"/>
    </w:p>
    <w:p>
      <w:pPr>
        <w:pStyle w:val="ListParagraph"/>
        <w:numPr>
          <w:ilvl w:val="0"/>
          <w:numId w:val="2"/>
        </w:numPr>
      </w:pPr>
      <w:bookmarkStart w:name="clift-ak,-hagness-m,-lehmann-k,-et-al.-&lt;a-target=&quot;_blank&quot;-href=&quot;https://pubmed.ncbi.nlm.nih.gov/37208101&quot;&gt;transplantation-for-metastatic-liver-disease&lt;/a&gt;.-journal-of-hepatology.-2023;78(6):1137-1146.-doi:10.1016/j.jhep.2023.03.029." w:id="1"/>
      <w:hyperlink w:history="1" r:id="rIdjetizatnpmv9j7si54kpj">
        <w:r>
          <w:rPr>
            <w:rStyle w:val="Hyperlink"/>
          </w:rPr>
          <w:t xml:space="preserve">Transplantation for Metastatic Liver Disease.</w:t>
        </w:r>
      </w:hyperlink>
      <w:r>
        <w:t xml:space="preserve"> Clift AK, Hagness M, Lehmann K, et al.</w:t>
      </w:r>
      <w:r>
        <w:t xml:space="preserve"> Journal of Hepatology. 2023;78(6):1137-1146. doi:10.1016/j.jhep.2023.03.029.</w:t>
      </w:r>
      <w:bookmarkEnd w:id="1"/>
    </w:p>
    <w:p>
      <w:pPr>
        <w:pStyle w:val="ListParagraph"/>
        <w:numPr>
          <w:ilvl w:val="0"/>
          <w:numId w:val="2"/>
        </w:numPr>
      </w:pPr>
      <w:bookmarkStart w:name="ricciardello-g,-celesti-g,-bauckneht-m,-et-al.-&lt;a-target=&quot;_blank&quot;-href=&quot;https://pubmed.ncbi.nlm.nih.gov/42234009&quot;&gt;is-there-a-role-for-early-sstr-targeting-prrt-in-gep-net?&lt;/a&gt;.-european-journal-of-nuclear-medicine-and-molecular-imaging.-2026;:10.1007/s00259-026-07974-4.-doi:10.1007/s00259-026-07974-4." w:id="1"/>
      <w:hyperlink w:history="1" r:id="rIdw1jzn_g1vtqsmv9yqhjte">
        <w:r>
          <w:rPr>
            <w:rStyle w:val="Hyperlink"/>
          </w:rPr>
          <w:t xml:space="preserve">Is There a Role for Early SSTR-targeting PRRT in GEP-NET?.</w:t>
        </w:r>
      </w:hyperlink>
      <w:r>
        <w:t xml:space="preserve"> Ricciardello G, Celesti G, Bauckneht M, et al.</w:t>
      </w:r>
      <w:r>
        <w:t xml:space="preserve"> European Journal of Nuclear Medicine and Molecular Imaging. 2026;:10.1007/s00259-026-07974-4. doi:10.1007/s00259-026-07974-4.</w:t>
      </w:r>
      <w:bookmarkEnd w:id="1"/>
    </w:p>
    <w:p>
      <w:pPr>
        <w:pStyle w:val="ListParagraph"/>
        <w:numPr>
          <w:ilvl w:val="0"/>
          <w:numId w:val="2"/>
        </w:numPr>
      </w:pPr>
      <w:bookmarkStart w:name="tejedor-tejada-j,-alonso-martín-c,-almohalla-álvarez-c,-et-al.-&lt;a-target=&quot;_blank&quot;-href=&quot;https://pubmed.ncbi.nlm.nih.gov/32213292&quot;&gt;immunosuppressive-treatment-with-mtor-inhibitors-for-malignancies-after-liver-transplantation:-long-term-survival-retrospective-analysis&lt;/a&gt;.-transplantation-proceedings.-2020;52(5):1507-1510.-doi:10.1016/j.transproceed.2020.02.058." w:id="1"/>
      <w:hyperlink w:history="1" r:id="rIdvicdzinwhbffzc-amx4ne">
        <w:r>
          <w:rPr>
            <w:rStyle w:val="Hyperlink"/>
          </w:rPr>
          <w:t xml:space="preserve">Immunosuppressive Treatment With mTOR Inhibitors for Malignancies After Liver Transplantation: Long-Term Survival Retrospective Analysis.</w:t>
        </w:r>
      </w:hyperlink>
      <w:r>
        <w:t xml:space="preserve"> Tejedor-Tejada J, Alonso-Martín C, Almohalla-Álvarez C, et al.</w:t>
      </w:r>
      <w:r>
        <w:t xml:space="preserve"> Transplantation Proceedings. 2020;52(5):1507-1510. doi:10.1016/j.transproceed.2020.02.058.</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2026-07-15T23:24:18.551Z</dcterms:modified>
  <dc:title>UTHealth NET Liver Metastases Guidance-Aligned Protocol — V2</dc:title>
  <dc:subject>Non-standard NLRB pathway under December 2025 transplant-oncology guidance</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