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UTHealth Houston Standard Liver Transplant Protocol for Hilar (Perihilar) Cholangiocarcinoma — V3</w:t>
      </w:r>
    </w:p>
    <w:p>
      <w:pPr>
        <w:pStyle w:val="Heading2"/>
      </w:pPr>
      <w:r>
        <w:t>Policy and allocation status</w:t>
      </w:r>
    </w:p>
    <w:p>
      <w:pPr>
        <w:pStyle w:val="Normal"/>
      </w:pPr>
      <w:r>
        <w:rPr>
          <w:sz w:val="21"/>
        </w:rPr>
        <w:t>STANDARDIZED EXCEPTION PATHWAY. Hilar/perihilar CCA qualifies only when the transplant program has an OPTN-approved written protocol and the candidate meets every requirement in Policy 9.5.A. For adults, the standardized score is MMaT-3.</w:t>
      </w:r>
    </w:p>
    <w:p>
      <w:pPr>
        <w:pStyle w:val="Normal"/>
      </w:pPr>
      <w:r>
        <w:t>Policy review date: 21 September 2026. Controlling allocation sources: OPTN Policies (Policy 9.4 and 9.5, current HRSA posting) and the OPTN/HRSA Guidance to Liver Transplant Programs and the National Liver Review Board for Adult MELD Exceptions for Transplant Oncology (current posting; https://www.hrsa.gov/sites/default/files/hrsa/optn/adult-meld-exception-transplant-oncology-review-guidance.pdf). The guidance is not OPTN policy and does not define a clinical standard of care. Classification verified: the OPTN Board action of 9 June 2025 (guidance effective 1 July 2025) added recommended exception scores for NON-STANDARD transplant-oncology diagnoses; it did not move intrahepatic cholangiocarcinoma, colorectal liver metastases, neuroendocrine liver metastases, hepatic epithelioid hemangioendothelioma or hepatocellular adenoma into the standardized list in Policy 9.5 (9.5.A-9.5.I). Secondary literature stating otherwise (doi:10.1245/s10434-025-18408-0) is imprecise on this point. Re-verify against the live posting before committee adoption and before each exception submission.</w:t>
      </w:r>
    </w:p>
    <w:p>
      <w:pPr>
        <w:pStyle w:val="Normal"/>
      </w:pPr>
      <w:r>
        <w:rPr>
          <w:sz w:val="21"/>
        </w:rPr>
        <w:t>Transperitoneal aspiration or biopsy of the primary tumor must be avoided; regional-node sampling and operative staging must follow Policy 9.5.A. All drug selection, dose, washout, immunosuppression, surveillance, donor-source, and stopping-rule decisions require current multidisciplinary review and applicable pharmacy, IRB, DSMB, institutional, and regulatory approval before clinical use.</w:t>
      </w:r>
    </w:p>
    <w:p>
      <w:pPr>
        <w:pStyle w:val="Heading2"/>
      </w:pPr>
      <w:r>
        <w:rPr>
          <w:b w:val="false"/>
          <w:bCs w:val="false"/>
          <w:i w:val="false"/>
          <w:iCs w:val="false"/>
        </w:rPr>
        <w:t xml:space="preserve">Protocol A: Standard Liver Transplant Protocol for Hilar Cholangiocarcinoma</w:t>
      </w:r>
    </w:p>
    <w:p>
      <w:pPr>
        <w:pStyle w:val="Heading3"/>
      </w:pPr>
      <w:r>
        <w:rPr>
          <w:b w:val="false"/>
          <w:bCs w:val="false"/>
          <w:i w:val="false"/>
          <w:iCs w:val="false"/>
        </w:rPr>
        <w:t xml:space="preserve">1. Patient Selection Criteria</w:t>
      </w:r>
    </w:p>
    <w:p>
      <w:pPr>
        <w:pStyle w:val="Normal"/>
      </w:pPr>
      <w:r>
        <w:rPr>
          <w:b/>
          <w:bCs/>
          <w:i w:val="false"/>
          <w:iCs w:val="false"/>
        </w:rPr>
        <w:t xml:space="preserve">Inclusion Criteria:</w:t>
      </w:r>
    </w:p>
    <w:p>
      <w:pPr>
        <w:pStyle w:val="Normal"/>
      </w:pPr>
      <w:r>
        <w:rPr>
          <w:b w:val="false"/>
          <w:bCs w:val="false"/>
          <w:i w:val="false"/>
          <w:iCs w:val="false"/>
        </w:rPr>
        <w:t xml:space="preserve">- Histologically or cytologically confirmed perihilar cholangiocarcinoma (pCCA), OR diagnosis established by one of the following:</w:t>
      </w:r>
      <w:r>
        <w:t xml:space="preserve">{Bowlus, 2023 #16}</w:t>
      </w:r>
    </w:p>
    <w:p>
      <w:pPr>
        <w:pStyle w:val="Normal"/>
      </w:pPr>
      <w:r>
        <w:rPr>
          <w:b w:val="false"/>
          <w:bCs w:val="false"/>
          <w:i w:val="false"/>
          <w:iCs w:val="false"/>
        </w:rPr>
        <w:t xml:space="preserve">  - Malignant-appearing biliary stricture with CA 19-9 &gt;100 U/mL (in the absence of cholangitis or unstented obstructive jaundice)</w:t>
      </w:r>
    </w:p>
    <w:p>
      <w:pPr>
        <w:pStyle w:val="Normal"/>
      </w:pPr>
      <w:r>
        <w:rPr>
          <w:b w:val="false"/>
          <w:bCs w:val="false"/>
          <w:i w:val="false"/>
          <w:iCs w:val="false"/>
        </w:rPr>
        <w:t xml:space="preserve">  - Malignant-appearing stricture with suspicious cytology and/or FISH polysomy</w:t>
      </w:r>
    </w:p>
    <w:p>
      <w:pPr>
        <w:pStyle w:val="Normal"/>
      </w:pPr>
      <w:r>
        <w:rPr>
          <w:b w:val="false"/>
          <w:bCs w:val="false"/>
          <w:i w:val="false"/>
          <w:iCs w:val="false"/>
        </w:rPr>
        <w:t xml:space="preserve">  - Perihilar mass with imaging features consistent with CCA</w:t>
      </w:r>
    </w:p>
    <w:p>
      <w:pPr>
        <w:pStyle w:val="Normal"/>
      </w:pPr>
      <w:r>
        <w:t xml:space="preserve">- Hilar mass less than 3 cm in radial diameter. OPTN Policy 9.5.A states the threshold as a strict inequality ("less than 3 cm"). A mass of exactly 3.0 cm does not meet the criterion. VERIFY the verbatim policy wording before adoption.{Dove, 2026 #2;National Comprehensive Cancer, 2026 #17}</w:t>
      </w:r>
    </w:p>
    <w:p>
      <w:pPr>
        <w:pStyle w:val="Normal"/>
      </w:pPr>
      <w:r>
        <w:t xml:space="preserve">- Unresectable disease due to technical considerations or underlying liver disease (for example, primary sclerosing cholangitis [PSC]).{Bowlus, 2023 #16;Tan, 2020 #18}</w:t>
      </w:r>
    </w:p>
    <w:p>
      <w:pPr>
        <w:pStyle w:val="Normal"/>
      </w:pPr>
      <w:r>
        <w:rPr>
          <w:b w:val="false"/>
          <w:bCs w:val="false"/>
          <w:i w:val="false"/>
          <w:iCs w:val="false"/>
        </w:rPr>
        <w:t xml:space="preserve">- No intrahepatic or extrahepatic metastases</w:t>
      </w:r>
      <w:r>
        <w:t xml:space="preserve">{Bowlus, 2023 #16;National Comprehensive Cancer, 2026 #17}</w:t>
      </w:r>
    </w:p>
    <w:p>
      <w:pPr>
        <w:pStyle w:val="Normal"/>
      </w:pPr>
      <w:r>
        <w:rPr>
          <w:b w:val="false"/>
          <w:bCs w:val="false"/>
          <w:i w:val="false"/>
          <w:iCs w:val="false"/>
        </w:rPr>
        <w:t xml:space="preserve">- No regional lymph node metastases (confirmed by EUS-FNA prior to neoadjuvant therapy)</w:t>
      </w:r>
      <w:r>
        <w:t xml:space="preserve">{Bowlus, 2023 #16}</w:t>
      </w:r>
    </w:p>
    <w:p>
      <w:pPr>
        <w:pStyle w:val="Normal"/>
      </w:pPr>
      <w:r>
        <w:rPr>
          <w:b w:val="false"/>
          <w:bCs w:val="false"/>
          <w:i w:val="false"/>
          <w:iCs w:val="false"/>
        </w:rPr>
        <w:t xml:space="preserve">- ECOG performance status 0–1</w:t>
      </w:r>
    </w:p>
    <w:p>
      <w:pPr>
        <w:pStyle w:val="Normal"/>
      </w:pPr>
      <w:r>
        <w:rPr>
          <w:b w:val="false"/>
          <w:bCs w:val="false"/>
          <w:i w:val="false"/>
          <w:iCs w:val="false"/>
        </w:rPr>
        <w:t xml:space="preserve">- Adequate organ function for transplantation candidacy</w:t>
      </w:r>
    </w:p>
    <w:p>
      <w:pPr>
        <w:pStyle w:val="Normal"/>
      </w:pPr>
      <w:r>
        <w:rPr>
          <w:b w:val="false"/>
          <w:bCs w:val="false"/>
          <w:i w:val="false"/>
          <w:iCs w:val="false"/>
        </w:rPr>
        <w:t xml:space="preserve">- Age ≥18 years</w:t>
      </w:r>
    </w:p>
    <w:p>
      <w:pPr>
        <w:pStyle w:val="Normal"/>
      </w:pPr>
      <w:r>
        <w:rPr>
          <w:b/>
          <w:bCs/>
          <w:i w:val="false"/>
          <w:iCs w:val="false"/>
        </w:rPr>
        <w:t xml:space="preserve">Exclusion Criteria:</w:t>
      </w:r>
    </w:p>
    <w:p>
      <w:pPr>
        <w:pStyle w:val="Normal"/>
      </w:pPr>
      <w:r>
        <w:rPr>
          <w:b w:val="false"/>
          <w:bCs w:val="false"/>
          <w:i w:val="false"/>
          <w:iCs w:val="false"/>
        </w:rPr>
        <w:t xml:space="preserve">- Prior percutaneous or transperitoneal tumor biopsy (risk of peritoneal seeding)</w:t>
      </w:r>
      <w:r>
        <w:t xml:space="preserve">{Bowlus, 2023 #16}</w:t>
      </w:r>
    </w:p>
    <w:p>
      <w:pPr>
        <w:pStyle w:val="Normal"/>
      </w:pPr>
      <w:r>
        <w:rPr>
          <w:b w:val="false"/>
          <w:bCs w:val="false"/>
          <w:i w:val="false"/>
          <w:iCs w:val="false"/>
        </w:rPr>
        <w:t xml:space="preserve">- Prior EUS-guided FNA of the primary tumor mass</w:t>
      </w:r>
      <w:r>
        <w:t xml:space="preserve">{Bowlus, 2023 #16}</w:t>
      </w:r>
    </w:p>
    <w:p>
      <w:pPr>
        <w:pStyle w:val="Normal"/>
      </w:pPr>
      <w:r>
        <w:rPr>
          <w:b w:val="false"/>
          <w:bCs w:val="false"/>
          <w:i w:val="false"/>
          <w:iCs w:val="false"/>
        </w:rPr>
        <w:t xml:space="preserve">- Prior surgical violation of the tumor plane</w:t>
      </w:r>
      <w:r>
        <w:t xml:space="preserve">{Bowlus, 2023 #16}</w:t>
      </w:r>
    </w:p>
    <w:p>
      <w:pPr>
        <w:pStyle w:val="Normal"/>
      </w:pPr>
      <w:r>
        <w:rPr>
          <w:b w:val="false"/>
          <w:bCs w:val="false"/>
          <w:i w:val="false"/>
          <w:iCs w:val="false"/>
        </w:rPr>
        <w:t xml:space="preserve">- Prior biliary resection or attempted resection</w:t>
      </w:r>
      <w:r>
        <w:t xml:space="preserve">{Dove, 2026 #2}</w:t>
      </w:r>
    </w:p>
    <w:p>
      <w:pPr>
        <w:pStyle w:val="Normal"/>
      </w:pPr>
      <w:r>
        <w:rPr>
          <w:b w:val="false"/>
          <w:bCs w:val="false"/>
          <w:i w:val="false"/>
          <w:iCs w:val="false"/>
        </w:rPr>
        <w:t xml:space="preserve">- Prior radiation therapy or chemotherapy for this malignancy (outside of this protocol)</w:t>
      </w:r>
      <w:r>
        <w:t xml:space="preserve">{Dove, 2026 #2}</w:t>
      </w:r>
    </w:p>
    <w:p>
      <w:pPr>
        <w:pStyle w:val="Normal"/>
      </w:pPr>
      <w:r>
        <w:rPr>
          <w:b w:val="false"/>
          <w:bCs w:val="false"/>
          <w:i w:val="false"/>
          <w:iCs w:val="false"/>
        </w:rPr>
        <w:t xml:space="preserve">- Regional lymph node metastases on EUS-FNA</w:t>
      </w:r>
      <w:r>
        <w:t xml:space="preserve">{Bowlus, 2023 #16}</w:t>
      </w:r>
    </w:p>
    <w:p>
      <w:pPr>
        <w:pStyle w:val="Normal"/>
      </w:pPr>
      <w:r>
        <w:rPr>
          <w:b w:val="false"/>
          <w:bCs w:val="false"/>
          <w:i w:val="false"/>
          <w:iCs w:val="false"/>
        </w:rPr>
        <w:t xml:space="preserve">- Uncontrolled infection</w:t>
      </w:r>
      <w:r>
        <w:t xml:space="preserve">{Dove, 2026 #2}</w:t>
      </w:r>
    </w:p>
    <w:p>
      <w:pPr>
        <w:pStyle w:val="Normal"/>
      </w:pPr>
      <w:r>
        <w:rPr>
          <w:b w:val="false"/>
          <w:bCs w:val="false"/>
          <w:i w:val="false"/>
          <w:iCs w:val="false"/>
        </w:rPr>
        <w:t xml:space="preserve">- Evidence of extrahepatic disease on cross-sectional imaging</w:t>
      </w:r>
      <w:r>
        <w:t xml:space="preserve">{Bowlus, 2023 #16;Dove, 2026 #2}</w:t>
      </w:r>
    </w:p>
    <w:p>
      <w:pPr>
        <w:pStyle w:val="Normal"/>
      </w:pPr>
      <w:r>
        <w:t xml:space="preserve">- Hilar mass 3 cm or greater in radial diameter (see the size note in the inclusion criteria).{Dove, 2026 #2;National Comprehensive Cancer, 2026 #17}</w:t>
      </w:r>
    </w:p>
    <w:p>
      <w:pPr>
        <w:pStyle w:val="Heading3"/>
      </w:pPr>
      <w:r>
        <w:rPr>
          <w:b w:val="false"/>
          <w:bCs w:val="false"/>
          <w:i w:val="false"/>
          <w:iCs w:val="false"/>
        </w:rPr>
        <w:t xml:space="preserve">2. Pre-Treatment Workup</w:t>
      </w:r>
    </w:p>
    <w:p>
      <w:pPr>
        <w:pStyle w:val="Normal"/>
      </w:pPr>
      <w:r>
        <w:rPr>
          <w:b w:val="false"/>
          <w:bCs w:val="false"/>
          <w:i w:val="false"/>
          <w:iCs w:val="false"/>
        </w:rPr>
        <w:t xml:space="preserve">- Multidisciplinary tumor board evaluation (transplant surgery, hepatology, medical oncology, radiation oncology, interventional radiology, pathology)</w:t>
      </w:r>
      <w:r>
        <w:t xml:space="preserve">{National Comprehensive Cancer, 2026 #17}</w:t>
      </w:r>
    </w:p>
    <w:p>
      <w:pPr>
        <w:pStyle w:val="Normal"/>
      </w:pPr>
      <w:r>
        <w:rPr>
          <w:b w:val="false"/>
          <w:bCs w:val="false"/>
          <w:i w:val="false"/>
          <w:iCs w:val="false"/>
        </w:rPr>
        <w:t xml:space="preserve">- Multiphasic abdomen/pelvis CT or MRI with IV contrast (assess for vascular invasion)</w:t>
      </w:r>
      <w:r>
        <w:t xml:space="preserve">{National Comprehensive Cancer, 2026 #17}</w:t>
      </w:r>
    </w:p>
    <w:p>
      <w:pPr>
        <w:pStyle w:val="Normal"/>
      </w:pPr>
      <w:r>
        <w:rPr>
          <w:b w:val="false"/>
          <w:bCs w:val="false"/>
          <w:i w:val="false"/>
          <w:iCs w:val="false"/>
        </w:rPr>
        <w:t xml:space="preserve">- Chest CT ± contrast</w:t>
      </w:r>
      <w:r>
        <w:t xml:space="preserve">{National Comprehensive Cancer, 2026 #17}</w:t>
      </w:r>
    </w:p>
    <w:p>
      <w:pPr>
        <w:pStyle w:val="Normal"/>
      </w:pPr>
      <w:r>
        <w:rPr>
          <w:b w:val="false"/>
          <w:bCs w:val="false"/>
          <w:i w:val="false"/>
          <w:iCs w:val="false"/>
        </w:rPr>
        <w:t xml:space="preserve">- MRCP (preferred cholangiography)</w:t>
      </w:r>
      <w:r>
        <w:t xml:space="preserve">{National Comprehensive Cancer, 2026 #17}</w:t>
      </w:r>
    </w:p>
    <w:p>
      <w:pPr>
        <w:pStyle w:val="Normal"/>
      </w:pPr>
      <w:r>
        <w:rPr>
          <w:b w:val="false"/>
          <w:bCs w:val="false"/>
          <w:i w:val="false"/>
          <w:iCs w:val="false"/>
        </w:rPr>
        <w:t xml:space="preserve">- EUS with FNA of regional lymph nodes to exclude nodal metastases</w:t>
      </w:r>
      <w:r>
        <w:t xml:space="preserve">{Bowlus, 2023 #16}</w:t>
      </w:r>
    </w:p>
    <w:p>
      <w:pPr>
        <w:pStyle w:val="Normal"/>
      </w:pPr>
      <w:r>
        <w:rPr>
          <w:b w:val="false"/>
          <w:bCs w:val="false"/>
          <w:i w:val="false"/>
          <w:iCs w:val="false"/>
        </w:rPr>
        <w:t xml:space="preserve">- CA 19-9 (after biliary decompression if stented)</w:t>
      </w:r>
      <w:r>
        <w:t xml:space="preserve">{National Comprehensive Cancer, 2026 #17}</w:t>
      </w:r>
    </w:p>
    <w:p>
      <w:pPr>
        <w:pStyle w:val="Normal"/>
      </w:pPr>
      <w:r>
        <w:rPr>
          <w:b w:val="false"/>
          <w:bCs w:val="false"/>
          <w:i w:val="false"/>
          <w:iCs w:val="false"/>
        </w:rPr>
        <w:t xml:space="preserve">- CEA</w:t>
      </w:r>
      <w:r>
        <w:t xml:space="preserve">{National Comprehensive Cancer, 2026 #17}</w:t>
      </w:r>
    </w:p>
    <w:p>
      <w:pPr>
        <w:pStyle w:val="Normal"/>
      </w:pPr>
      <w:r>
        <w:rPr>
          <w:b w:val="false"/>
          <w:bCs w:val="false"/>
          <w:i w:val="false"/>
          <w:iCs w:val="false"/>
        </w:rPr>
        <w:t xml:space="preserve">- LFTs, CBC, CMP, coagulation studies</w:t>
      </w:r>
    </w:p>
    <w:p>
      <w:pPr>
        <w:pStyle w:val="Normal"/>
      </w:pPr>
      <w:r>
        <w:rPr>
          <w:b w:val="false"/>
          <w:bCs w:val="false"/>
          <w:i w:val="false"/>
          <w:iCs w:val="false"/>
        </w:rPr>
        <w:t xml:space="preserve">- Serum IgG4 to rule out IgG4-related sclerosing cholangitis</w:t>
      </w:r>
      <w:r>
        <w:t xml:space="preserve">{National Comprehensive Cancer, 2026 #17}</w:t>
      </w:r>
    </w:p>
    <w:p>
      <w:pPr>
        <w:pStyle w:val="Normal"/>
      </w:pPr>
      <w:r>
        <w:rPr>
          <w:b w:val="false"/>
          <w:bCs w:val="false"/>
          <w:i w:val="false"/>
          <w:iCs w:val="false"/>
        </w:rPr>
        <w:t xml:space="preserve">- Standard liver transplant evaluation (cardiac, pulmonary, psychosocial, infectious disease screening)</w:t>
      </w:r>
    </w:p>
    <w:p>
      <w:pPr>
        <w:pStyle w:val="Normal"/>
      </w:pPr>
      <w:r>
        <w:rPr>
          <w:b w:val="false"/>
          <w:bCs w:val="false"/>
          <w:i w:val="false"/>
          <w:iCs w:val="false"/>
        </w:rPr>
        <w:t xml:space="preserve">- Biliary drainage if indicated for jaundice</w:t>
      </w:r>
      <w:r>
        <w:t xml:space="preserve">{National Comprehensive Cancer, 2026 #17}</w:t>
      </w:r>
    </w:p>
    <w:p>
      <w:pPr>
        <w:pStyle w:val="Normal"/>
      </w:pPr>
      <w:r>
        <w:t xml:space="preserve">- Comprehensive genomic profiling is optional at baseline and should be obtained when it would change management — principally to inform therapy if the candidate drops out of the transplant pathway or recurs. FGFR2 fusions and IDH1 mutations are predominantly intrahepatic-CCA alterations and are uncommon in perihilar disease. A targetable alteration does not authorize systemic therapy outside this protocol: any such therapy for this malignancy is an exclusion criterion (Section 1) and requires a formal protocol deviation or removal from the pathway.{National Comprehensive Cancer, 2026 #17}</w:t>
      </w:r>
    </w:p>
    <w:p>
      <w:pPr>
        <w:pStyle w:val="Heading3"/>
      </w:pPr>
      <w:r>
        <w:rPr>
          <w:b w:val="false"/>
          <w:bCs w:val="false"/>
          <w:i w:val="false"/>
          <w:iCs w:val="false"/>
        </w:rPr>
        <w:t xml:space="preserve">3. Neoadjuvant Chemoradiation Protocol (Mayo Clinic Protocol)</w:t>
      </w:r>
    </w:p>
    <w:p>
      <w:pPr>
        <w:pStyle w:val="Normal"/>
      </w:pPr>
      <w:r>
        <w:rPr>
          <w:b/>
          <w:bCs/>
          <w:i w:val="false"/>
          <w:iCs w:val="false"/>
        </w:rPr>
        <w:t xml:space="preserve">Phase 1: External Beam Radiation Therapy (EBRT) with Concurrent Chemotherapy</w:t>
      </w:r>
    </w:p>
    <w:p>
      <w:pPr>
        <w:pStyle w:val="Normal"/>
      </w:pPr>
      <w:r>
        <w:rPr>
          <w:b w:val="false"/>
          <w:bCs w:val="false"/>
          <w:i w:val="false"/>
          <w:iCs w:val="false"/>
        </w:rPr>
        <w:t xml:space="preserve">- External beam radiation: 45 Gy in 30 fractions (1.5 Gy BID)</w:t>
      </w:r>
      <w:r>
        <w:t xml:space="preserve">{Dove, 2026 #2;Wu, 2024 #19}</w:t>
      </w:r>
    </w:p>
    <w:p>
      <w:pPr>
        <w:pStyle w:val="Normal"/>
      </w:pPr>
      <w:r>
        <w:rPr>
          <w:b w:val="false"/>
          <w:bCs w:val="false"/>
          <w:i w:val="false"/>
          <w:iCs w:val="false"/>
        </w:rPr>
        <w:t xml:space="preserve">- Concurrent IV 5-fluorouracil as a radiosensitizer during EBRT</w:t>
      </w:r>
      <w:r>
        <w:t xml:space="preserve">{Bowlus, 2023 #16;Dove, 2026 #2}</w:t>
      </w:r>
    </w:p>
    <w:p>
      <w:pPr>
        <w:pStyle w:val="Normal"/>
      </w:pPr>
      <w:r>
        <w:rPr>
          <w:b/>
          <w:bCs/>
          <w:i w:val="false"/>
          <w:iCs w:val="false"/>
        </w:rPr>
        <w:t xml:space="preserve">Phase 2: Brachytherapy</w:t>
      </w:r>
    </w:p>
    <w:p>
      <w:pPr>
        <w:pStyle w:val="Normal"/>
      </w:pPr>
      <w:r>
        <w:rPr>
          <w:b w:val="false"/>
          <w:bCs w:val="false"/>
          <w:i w:val="false"/>
          <w:iCs w:val="false"/>
        </w:rPr>
        <w:t xml:space="preserve">- Transcatheter brachytherapy with Iridium-192: 20–30 Gy delivered via biliary catheter</w:t>
      </w:r>
      <w:r>
        <w:t xml:space="preserve">{Wu, 2024 #19}</w:t>
      </w:r>
    </w:p>
    <w:p>
      <w:pPr>
        <w:pStyle w:val="Normal"/>
      </w:pPr>
      <w:r>
        <w:rPr>
          <w:b/>
          <w:bCs/>
          <w:i w:val="false"/>
          <w:iCs w:val="false"/>
        </w:rPr>
        <w:t xml:space="preserve">Phase 3: Maintenance Chemotherapy</w:t>
      </w:r>
    </w:p>
    <w:p>
      <w:pPr>
        <w:pStyle w:val="Normal"/>
      </w:pPr>
      <w:r>
        <w:rPr>
          <w:b w:val="false"/>
          <w:bCs w:val="false"/>
          <w:i w:val="false"/>
          <w:iCs w:val="false"/>
        </w:rPr>
        <w:t xml:space="preserve">- Oral capecitabine until the time of transplantation</w:t>
      </w:r>
      <w:r>
        <w:t xml:space="preserve">{Bowlus, 2023 #16;Dove, 2026 #2}</w:t>
      </w:r>
    </w:p>
    <w:p>
      <w:pPr>
        <w:pStyle w:val="Heading3"/>
      </w:pPr>
      <w:r>
        <w:rPr>
          <w:b w:val="false"/>
          <w:bCs w:val="false"/>
          <w:i w:val="false"/>
          <w:iCs w:val="false"/>
        </w:rPr>
        <w:t xml:space="preserve">4. Operative Staging (Pre-Transplant)</w:t>
      </w:r>
    </w:p>
    <w:p>
      <w:pPr>
        <w:pStyle w:val="Normal"/>
      </w:pPr>
      <w:r>
        <w:rPr>
          <w:b w:val="false"/>
          <w:bCs w:val="false"/>
          <w:i w:val="false"/>
          <w:iCs w:val="false"/>
        </w:rPr>
        <w:t xml:space="preserve">- Staging laparoscopy/laparotomy is mandatory following completion of neoadjuvant chemoradiation and prior to liver transplantation</w:t>
      </w:r>
      <w:r>
        <w:t xml:space="preserve">{Bowlus, 2023 #16}</w:t>
      </w:r>
    </w:p>
    <w:p>
      <w:pPr>
        <w:pStyle w:val="Normal"/>
      </w:pPr>
      <w:r>
        <w:rPr>
          <w:b w:val="false"/>
          <w:bCs w:val="false"/>
          <w:i w:val="false"/>
          <w:iCs w:val="false"/>
        </w:rPr>
        <w:t xml:space="preserve">- Perihepatic lymph node sampling with frozen section analysis</w:t>
      </w:r>
      <w:r>
        <w:t xml:space="preserve">{Gorji, 2024 #20}</w:t>
      </w:r>
    </w:p>
    <w:p>
      <w:pPr>
        <w:pStyle w:val="Normal"/>
      </w:pPr>
      <w:r>
        <w:rPr>
          <w:b w:val="false"/>
          <w:bCs w:val="false"/>
          <w:i w:val="false"/>
          <w:iCs w:val="false"/>
        </w:rPr>
        <w:t xml:space="preserve">- Peritoneal washings for cytology</w:t>
      </w:r>
    </w:p>
    <w:p>
      <w:pPr>
        <w:pStyle w:val="Normal"/>
      </w:pPr>
      <w:r>
        <w:rPr>
          <w:b w:val="false"/>
          <w:bCs w:val="false"/>
          <w:i w:val="false"/>
          <w:iCs w:val="false"/>
        </w:rPr>
        <w:t xml:space="preserve">- Timing: Immediately prior to LDLT, or as deceased donor LT approaches based on MELD score and regional access</w:t>
      </w:r>
      <w:r>
        <w:t xml:space="preserve">{Dove, 2026 #2}</w:t>
      </w:r>
    </w:p>
    <w:p>
      <w:pPr>
        <w:pStyle w:val="Normal"/>
      </w:pPr>
      <w:r>
        <w:rPr>
          <w:b/>
          <w:bCs/>
          <w:i w:val="false"/>
          <w:iCs w:val="false"/>
        </w:rPr>
        <w:t xml:space="preserve">Criteria for Exclusion at Staging:</w:t>
      </w:r>
    </w:p>
    <w:p>
      <w:pPr>
        <w:pStyle w:val="Normal"/>
      </w:pPr>
      <w:r>
        <w:rPr>
          <w:b w:val="false"/>
          <w:bCs w:val="false"/>
          <w:i w:val="false"/>
          <w:iCs w:val="false"/>
        </w:rPr>
        <w:t xml:space="preserve">- Positive lymph nodes on frozen section</w:t>
      </w:r>
    </w:p>
    <w:p>
      <w:pPr>
        <w:pStyle w:val="Normal"/>
      </w:pPr>
      <w:r>
        <w:rPr>
          <w:b w:val="false"/>
          <w:bCs w:val="false"/>
          <w:i w:val="false"/>
          <w:iCs w:val="false"/>
        </w:rPr>
        <w:t xml:space="preserve">- Peritoneal disease</w:t>
      </w:r>
    </w:p>
    <w:p>
      <w:pPr>
        <w:pStyle w:val="Normal"/>
      </w:pPr>
      <w:r>
        <w:rPr>
          <w:b w:val="false"/>
          <w:bCs w:val="false"/>
          <w:i w:val="false"/>
          <w:iCs w:val="false"/>
        </w:rPr>
        <w:t xml:space="preserve">- Extrahepatic spread</w:t>
      </w:r>
    </w:p>
    <w:p>
      <w:pPr>
        <w:pStyle w:val="Normal"/>
      </w:pPr>
      <w:r>
        <w:rPr>
          <w:b w:val="false"/>
          <w:bCs w:val="false"/>
          <w:i w:val="false"/>
          <w:iCs w:val="false"/>
        </w:rPr>
        <w:t xml:space="preserve">- Note: Approximately 20% of patients will have positive surgical staging and be excluded</w:t>
      </w:r>
      <w:r>
        <w:t xml:space="preserve">{Dove, 2026 #2}</w:t>
      </w:r>
    </w:p>
    <w:p>
      <w:pPr>
        <w:pStyle w:val="Heading3"/>
      </w:pPr>
      <w:r>
        <w:rPr>
          <w:b w:val="false"/>
          <w:bCs w:val="false"/>
          <w:i w:val="false"/>
          <w:iCs w:val="false"/>
        </w:rPr>
        <w:t xml:space="preserve">5. MELD Exception and Waitlist Management</w:t>
      </w:r>
    </w:p>
    <w:p>
      <w:pPr>
        <w:pStyle w:val="Normal"/>
      </w:pPr>
      <w:r>
        <w:rPr>
          <w:sz w:val="21"/>
        </w:rPr>
        <w:t>- Initial exception documentation must include chest and abdominal cross-sectional imaging within 90 days. Extension requests require chest and abdominal imaging within 30 days before submission.</w:t>
      </w:r>
    </w:p>
    <w:p>
      <w:pPr>
        <w:pStyle w:val="Normal"/>
      </w:pPr>
      <w:r>
        <w:t>- VERIFY: the 90-day initial and 30-day extension imaging windows above could not be confirmed against retrievable Policy 9.5.A text during independent review. Confirm both windows verbatim against the live posting before the next submission, and record the policy version checked.</w:t>
      </w:r>
    </w:p>
    <w:p>
      <w:pPr>
        <w:pStyle w:val="Normal"/>
      </w:pPr>
      <w:r>
        <w:t xml:space="preserve">- Adults meeting all OPTN Policy 9.5.A requirements receive a standardized exception score of MMaT-3.{Dove, 2026 #2;Martin, 2014 #21}</w:t>
      </w:r>
    </w:p>
    <w:p>
      <w:pPr>
        <w:pStyle w:val="Normal"/>
      </w:pPr>
      <w:r>
        <w:rPr>
          <w:b w:val="false"/>
          <w:bCs w:val="false"/>
          <w:i w:val="false"/>
          <w:iCs w:val="false"/>
        </w:rPr>
        <w:t xml:space="preserve">- Cross-sectional imaging every 3 months while on the waitlist to confirm disease stability</w:t>
      </w:r>
      <w:r>
        <w:t xml:space="preserve">{Dove, 2026 #2}</w:t>
      </w:r>
    </w:p>
    <w:p>
      <w:pPr>
        <w:pStyle w:val="Normal"/>
      </w:pPr>
      <w:r>
        <w:rPr>
          <w:b w:val="false"/>
          <w:bCs w:val="false"/>
          <w:i w:val="false"/>
          <w:iCs w:val="false"/>
        </w:rPr>
        <w:t xml:space="preserve">- CA 19-9 monitoring every 3 months</w:t>
      </w:r>
    </w:p>
    <w:p>
      <w:pPr>
        <w:pStyle w:val="Normal"/>
      </w:pPr>
      <w:r>
        <w:rPr>
          <w:b w:val="false"/>
          <w:bCs w:val="false"/>
          <w:i w:val="false"/>
          <w:iCs w:val="false"/>
        </w:rPr>
        <w:t xml:space="preserve">- Delisting criteria: tumor progression, new lesions, extrahepatic disease, lymph node metastases</w:t>
      </w:r>
    </w:p>
    <w:p>
      <w:pPr>
        <w:pStyle w:val="Heading3"/>
      </w:pPr>
      <w:r>
        <w:rPr>
          <w:b w:val="false"/>
          <w:bCs w:val="false"/>
          <w:i w:val="false"/>
          <w:iCs w:val="false"/>
        </w:rPr>
        <w:t xml:space="preserve">6. Liver Transplantation</w:t>
      </w:r>
    </w:p>
    <w:p>
      <w:pPr>
        <w:pStyle w:val="Normal"/>
      </w:pPr>
      <w:r>
        <w:rPr>
          <w:b w:val="false"/>
          <w:bCs w:val="false"/>
          <w:i w:val="false"/>
          <w:iCs w:val="false"/>
        </w:rPr>
        <w:t xml:space="preserve">- Deceased donor liver transplantation (DDLT) or living donor liver transplantation (LDLT)</w:t>
      </w:r>
      <w:r>
        <w:t xml:space="preserve">{Tan, 2020 #18}</w:t>
      </w:r>
    </w:p>
    <w:p>
      <w:pPr>
        <w:pStyle w:val="Normal"/>
      </w:pPr>
      <w:r>
        <w:t>- Caval reconstruction technique is an intraoperative decision. Piggyback reconstruction is the institutional default where anatomy permits. Neoadjuvant chemoradiation may produce retrohepatic caval and portal changes requiring caval resection with replacement or other vascular reconstruction, and living-donor recipients frequently require portal reconstruction. No single technique is protocol-mandated.</w:t>
      </w:r>
    </w:p>
    <w:p>
      <w:pPr>
        <w:pStyle w:val="Normal"/>
      </w:pPr>
      <w:r>
        <w:rPr>
          <w:b w:val="false"/>
          <w:bCs w:val="false"/>
          <w:i w:val="false"/>
          <w:iCs w:val="false"/>
        </w:rPr>
        <w:t xml:space="preserve">- Intraoperative staging laparotomy with lymph node sampling if not previously performed</w:t>
      </w:r>
    </w:p>
    <w:p>
      <w:pPr>
        <w:pStyle w:val="Normal"/>
      </w:pPr>
      <w:r>
        <w:rPr>
          <w:b w:val="false"/>
          <w:bCs w:val="false"/>
          <w:i w:val="false"/>
          <w:iCs w:val="false"/>
        </w:rPr>
        <w:t xml:space="preserve">- Note: Increased risk of late arterial and portal vein complications due to radiation field; close vascular surveillance is recommended</w:t>
      </w:r>
      <w:r>
        <w:t xml:space="preserve">{Tan, 2020 #18}</w:t>
      </w:r>
    </w:p>
    <w:p>
      <w:pPr>
        <w:pStyle w:val="Heading3"/>
      </w:pPr>
      <w:r>
        <w:rPr>
          <w:b w:val="false"/>
          <w:bCs w:val="false"/>
          <w:i w:val="false"/>
          <w:iCs w:val="false"/>
        </w:rPr>
        <w:t xml:space="preserve">7. Post-Transplant Immunosuppression</w:t>
      </w:r>
    </w:p>
    <w:p>
      <w:pPr>
        <w:pStyle w:val="Normal"/>
      </w:pPr>
      <w:r>
        <w:rPr>
          <w:b w:val="false"/>
          <w:bCs w:val="false"/>
          <w:i w:val="false"/>
          <w:iCs w:val="false"/>
        </w:rPr>
        <w:t xml:space="preserve">- Induction: Bolus steroid therapy during the anhepatic phase</w:t>
      </w:r>
      <w:r>
        <w:t xml:space="preserve">{Lunsford, 2018 #22}</w:t>
      </w:r>
    </w:p>
    <w:p>
      <w:pPr>
        <w:pStyle w:val="Normal"/>
      </w:pPr>
      <w:r>
        <w:rPr>
          <w:b w:val="false"/>
          <w:bCs w:val="false"/>
          <w:i w:val="false"/>
          <w:iCs w:val="false"/>
        </w:rPr>
        <w:t xml:space="preserve">- Maintenance:</w:t>
      </w:r>
    </w:p>
    <w:p>
      <w:pPr>
        <w:pStyle w:val="Normal"/>
      </w:pPr>
      <w:r>
        <w:rPr>
          <w:b w:val="false"/>
          <w:bCs w:val="false"/>
          <w:i w:val="false"/>
          <w:iCs w:val="false"/>
        </w:rPr>
        <w:t xml:space="preserve">  - Tacrolimus + mycophenolate mofetil for the first 30 days</w:t>
      </w:r>
      <w:r>
        <w:t xml:space="preserve">{Lunsford, 2018 #22;Ramanan, 2017 #23}</w:t>
      </w:r>
    </w:p>
    <w:p>
      <w:pPr>
        <w:pStyle w:val="Normal"/>
      </w:pPr>
      <w:r>
        <w:rPr>
          <w:b w:val="false"/>
          <w:bCs w:val="false"/>
          <w:i w:val="false"/>
          <w:iCs w:val="false"/>
        </w:rPr>
        <w:t xml:space="preserve">  - Prednisone taper and withdrawal by post-transplant day 30 (or day 121 per institutional preference)</w:t>
      </w:r>
      <w:r>
        <w:t xml:space="preserve">{Lunsford, 2018 #22;Ramanan, 2017 #23}</w:t>
      </w:r>
    </w:p>
    <w:p>
      <w:pPr>
        <w:pStyle w:val="Normal"/>
      </w:pPr>
      <w:r>
        <w:t>- Select ONE maintenance strategy per patient and document it: (a) tacrolimus-based maintenance with stepwise minimization, or (b) conversion to an mTOR inhibitor with reduced-dose tacrolimus.</w:t>
      </w:r>
    </w:p>
    <w:p>
      <w:pPr>
        <w:pStyle w:val="Normal"/>
      </w:pPr>
      <w:r>
        <w:t xml:space="preserve">- If mTOR conversion is selected, do not initiate before 30 days post-transplant and not before documented wound healing and confirmed hepatic-artery patency on Doppler. Contraindications include significant proteinuria, impaired wound healing and active infection. Given the radiation field, obtain vascular imaging before conversion and maintain the vascular surveillance schedule in Section 9.{Lunsford, 2018 #22;Semaan, 2025 #24}</w:t>
      </w:r>
    </w:p>
    <w:p>
      <w:pPr>
        <w:pStyle w:val="Normal"/>
      </w:pPr>
      <w:r>
        <w:t xml:space="preserve">- No pCCA-specific maintenance regimen has been shown to reduce recurrence; targets are set by the transplant team and transplant pharmacy under the institutional protocol. Regimens described in single-center cholangiocarcinoma series are not transferable evidence and should not be cited as such.{Ramanan, 2017 #23}</w:t>
      </w:r>
    </w:p>
    <w:p>
      <w:pPr>
        <w:pStyle w:val="Normal"/>
      </w:pPr>
      <w:r>
        <w:t xml:space="preserve">- For patients with renal insufficiency (CrCl &lt;40 mL/min): basiliximab induction with delayed tacrolimus introduction may be considered under the institutional immunosuppression protocol.{Ramanan, 2017 #23}</w:t>
      </w:r>
    </w:p>
    <w:p>
      <w:pPr>
        <w:pStyle w:val="Heading3"/>
      </w:pPr>
      <w:r>
        <w:rPr>
          <w:b w:val="false"/>
          <w:bCs w:val="false"/>
          <w:i w:val="false"/>
          <w:iCs w:val="false"/>
        </w:rPr>
        <w:t xml:space="preserve">8. Post-Transplant Adjuvant Therapy</w:t>
      </w:r>
    </w:p>
    <w:p>
      <w:pPr>
        <w:pStyle w:val="Normal"/>
      </w:pPr>
      <w:r>
        <w:t xml:space="preserve">{Lunsford, 2018 #22}</w:t>
      </w:r>
      <w:r>
        <w:rPr>
          <w:b w:val="false"/>
          <w:bCs w:val="false"/>
          <w:i w:val="false"/>
          <w:iCs w:val="false"/>
        </w:rPr>
        <w:t>- No guideline establishes routine adjuvant chemotherapy after liver transplantation for pCCA. Explant pathology should trigger multidisciplinary recurrence-risk review.</w:t>
      </w:r>
    </w:p>
    <w:p>
      <w:pPr>
        <w:pStyle w:val="Normal"/>
      </w:pPr>
      <w:r>
        <w:t xml:space="preserve">{Lunsford, 2018 #22}</w:t>
      </w:r>
      <w:r>
        <w:rPr>
          <w:b w:val="false"/>
          <w:bCs w:val="false"/>
          <w:i w:val="false"/>
          <w:iCs w:val="false"/>
        </w:rPr>
        <w:t>- Pathologic complete response (pCR): surveillance without routine adjuvant chemotherapy is appropriate unless a separate prospective protocol specifies otherwise.</w:t>
      </w:r>
    </w:p>
    <w:p>
      <w:pPr>
        <w:pStyle w:val="Normal"/>
      </w:pPr>
      <w:r>
        <w:t xml:space="preserve">{Lunsford, 2018 #22}</w:t>
      </w:r>
      <w:r>
        <w:rPr>
          <w:b w:val="false"/>
          <w:bCs w:val="false"/>
          <w:i w:val="false"/>
          <w:iCs w:val="false"/>
        </w:rPr>
        <w:t>- Residual active disease on explant: capecitabine or gemcitabine-based therapy may be considered only case-by-case or within a prospective protocol. Evidence is extrapolated from resection studies; post-transplant benefit and tolerability are unproven.</w:t>
      </w:r>
    </w:p>
    <w:p>
      <w:pPr>
        <w:pStyle w:val="Heading3"/>
      </w:pPr>
      <w:r>
        <w:rPr>
          <w:b w:val="false"/>
          <w:bCs w:val="false"/>
          <w:i w:val="false"/>
          <w:iCs w:val="false"/>
        </w:rPr>
        <w:t xml:space="preserve">9. Post-Transplant Surveillance</w:t>
      </w:r>
    </w:p>
    <w:p>
      <w:pPr>
        <w:pStyle w:val="Normal"/>
      </w:pPr>
      <w:r>
        <w:rPr>
          <w:b w:val="false"/>
          <w:bCs w:val="false"/>
          <w:i w:val="false"/>
          <w:iCs w:val="false"/>
        </w:rPr>
        <w:t xml:space="preserve">- Contrast-enhanced CT or MRI of abdomen/pelvis every 6 months for the first 3 years, then annually until year 5</w:t>
      </w:r>
      <w:r>
        <w:t xml:space="preserve">{Heinrich, 2026 #25}</w:t>
      </w:r>
    </w:p>
    <w:p>
      <w:pPr>
        <w:pStyle w:val="Normal"/>
      </w:pPr>
      <w:r>
        <w:rPr>
          <w:b w:val="false"/>
          <w:bCs w:val="false"/>
          <w:i w:val="false"/>
          <w:iCs w:val="false"/>
        </w:rPr>
        <w:t xml:space="preserve">- Chest CT every 6 months for 2 years, then annually for up to 5 years</w:t>
      </w:r>
      <w:r>
        <w:t xml:space="preserve">{National Comprehensive Cancer, 2026 #17}</w:t>
      </w:r>
    </w:p>
    <w:p>
      <w:pPr>
        <w:pStyle w:val="Normal"/>
      </w:pPr>
      <w:r>
        <w:rPr>
          <w:b w:val="false"/>
          <w:bCs w:val="false"/>
          <w:i w:val="false"/>
          <w:iCs w:val="false"/>
        </w:rPr>
        <w:t xml:space="preserve">- CA 19-9 every 3 months for 2 years, then every 6 months</w:t>
      </w:r>
    </w:p>
    <w:p>
      <w:pPr>
        <w:pStyle w:val="Normal"/>
      </w:pPr>
      <w:r>
        <w:rPr>
          <w:b w:val="false"/>
          <w:bCs w:val="false"/>
          <w:i w:val="false"/>
          <w:iCs w:val="false"/>
        </w:rPr>
        <w:t xml:space="preserve">- LFTs and tacrolimus levels per standard transplant protocol</w:t>
      </w:r>
    </w:p>
    <w:p>
      <w:pPr>
        <w:pStyle w:val="Normal"/>
      </w:pPr>
      <w:r>
        <w:rPr>
          <w:b w:val="false"/>
          <w:bCs w:val="false"/>
          <w:i w:val="false"/>
          <w:iCs w:val="false"/>
        </w:rPr>
        <w:t xml:space="preserve">- Vascular surveillance (Doppler ultrasound) given radiation-related vascular complication risk</w:t>
      </w:r>
      <w:r>
        <w:t xml:space="preserve">{Tan, 2020 #18}</w:t>
      </w:r>
    </w:p>
    <w:p>
      <w:pPr>
        <w:pStyle w:val="Heading3"/>
      </w:pPr>
      <w:r>
        <w:rPr>
          <w:b w:val="false"/>
          <w:bCs w:val="false"/>
          <w:i w:val="false"/>
          <w:iCs w:val="false"/>
        </w:rPr>
        <w:t xml:space="preserve">10. Expected Outcomes</w:t>
      </w:r>
    </w:p>
    <w:p>
      <w:pPr>
        <w:pStyle w:val="Normal"/>
      </w:pPr>
      <w:r>
        <w:t>- Intent-to-treat survival: 68% at 2 years and 53% at 5 years. Post-transplant RECURRENCE-FREE survival: 78% at 2 years and 65% at 5 years. The 65% figure is recurrence-free survival, not overall survival, and must not be quoted as 5-year survival in consent. Source: Darwish Murad S et al., Gastroenterology 2012;143(1):88-98.e3; doi:10.1053/j.gastro.2012.04.008; PMID 22504095 (12 US centers, n = 287).</w:t>
      </w:r>
    </w:p>
    <w:p>
      <w:pPr>
        <w:pStyle w:val="Normal"/>
      </w:pPr>
      <w:r>
        <w:t>- Candidates falling outside UNOS criteria in that cohort — tumour mass greater than 3 cm, transperitoneal tumour biopsy, or metastatic disease — and those with a prior malignancy had significantly shorter survival (p &lt; 0.001). These features are hard exclusions under Section 1.</w:t>
      </w:r>
    </w:p>
    <w:p>
      <w:pPr>
        <w:pStyle w:val="Normal"/>
      </w:pPr>
      <w:r>
        <w:t>- Pathologic complete response on explant: pooled rate 32% across 15 cholangiocarcinoma transplant-protocol studies (Wu TC et al., J Surg Oncol 2024;129(3):574-583; {Wu, 2024 #19}). Rates in individual single-center series range widely and must not be used for counselling. Radiation technique and chemotherapy duration were not significantly associated with pCR.</w:t>
      </w:r>
    </w:p>
    <w:p>
      <w:pPr>
        <w:pStyle w:val="Normal"/>
      </w:pPr>
      <w:r>
        <w:t>- pCR is NOT a validated surrogate for survival after transplantation for pCCA. On meta-regression in the same systematic review, pCR was not associated with overall survival. Residual viable tumour on explant should prompt intensified surveillance and multidisciplinary review (Sections 8 and 9), but must not be presented to patients as a prognosis, and pCR must not be presented as cure. Pooled post-transplant overall survival across protocols was 72% at 3 years and 61% at 5 years.</w:t>
      </w:r>
    </w:p>
    <w:p>
      <w:pPr>
        <w:pStyle w:val="Normal"/>
      </w:pPr>
      <w:r>
        <w:t xml:space="preserve">- Waitlist dropout during neoadjuvant therapy: 11.5% over approximately 3.5 months in the 12-center US cohort (doi:10.1053/j.gastro.2012.04.008). Higher cumulative figures of approximately 30-41% reported in smaller single-country series reflect longer follow-up, different waiting times and different dropout definitions, and are not directly comparable. Report institutional dropout as a rate per 3 months of protocol therapy.{Dong, 2026 #27;Loveday, 2018 #28}</w:t>
      </w:r>
    </w:p>
    <w:p>
      <w:pPr>
        <w:pStyle w:val="Normal"/>
      </w:pPr>
      <w:r>
        <w:rPr>
          <w:b w:val="false"/>
          <w:bCs w:val="false"/>
          <w:i w:val="false"/>
          <w:iCs w:val="false"/>
        </w:rPr>
        <w:t xml:space="preserve">---</w:t>
      </w:r>
    </w:p>
    <w:p>
      <w:pPr>
        <w:pStyle w:val="Heading1"/>
      </w:pPr>
      <w:r>
        <w:t>V2 Revision Note (historical — superseded by the V3 Revision Log at the end of this document; retained as the change record for the V2 revision)</w:t>
      </w:r>
    </w:p>
    <w:p>
      <w:r>
        <w:rPr>
          <w:b/>
        </w:rPr>
        <w:t xml:space="preserve">Revision timestamp: </w:t>
      </w:r>
      <w:r>
        <w:t>2026-07-23 17:53:12 CDT</w:t>
      </w:r>
    </w:p>
    <w:p>
      <w:pPr>
        <w:pStyle w:val="ListParagraph"/>
      </w:pPr>
      <w:r>
        <w:t>Replaced routine explant-driven adjuvant chemotherapy with case-by-case or prospective-protocol language.</w:t>
      </w:r>
    </w:p>
    <w:p>
      <w:pPr>
        <w:pStyle w:val="ListParagraph"/>
      </w:pPr>
      <w:r>
        <w:t>Clarified that BILCAP/resection evidence does not establish a post-transplant standard.</w:t>
      </w:r>
    </w:p>
    <w:p>
      <w:r>
        <w:rPr>
          <w:b/>
        </w:rPr>
        <w:t xml:space="preserve">Problem: </w:t>
      </w:r>
      <w:r>
        <w:t>The original explant-based algorithm prescribed routine post-transplant capecitabine or gemcitabine despite no established post-LT adjuvant standard; BILCAP studied resection, and the small Pro-Duct001 transplant trial did not establish benefit.</w:t>
      </w:r>
    </w:p>
    <w:p>
      <w:pPr/>
      <w:r>
        <w:rPr>
          <w:b/>
        </w:rPr>
        <w:t xml:space="preserve">Recommended correction: </w:t>
      </w:r>
      <w:r>
        <w:t>Use surveillance as the default. Consider systemic therapy only case-by-case after transplant-oncology review or within a prospective protocol, explicitly recognizing that supporting evidence is extrapolated from resection.</w:t>
      </w:r>
    </w:p>
    <w:p>
      <w:pPr>
        <w:pStyle w:val="Heading1"/>
      </w:pPr>
      <w:r>
        <w:t>V3 Revision Log</w:t>
      </w:r>
    </w:p>
    <w:p>
      <w:pPr/>
      <w:r>
        <w:t>V-1 Brought the document's internal version markers into line with the filename: the title now reads V3, and the historical V2 Revision Note heading is labelled as superseded.</w:t>
      </w:r>
    </w:p>
    <w:p>
      <w:pPr/>
      <w:r>
        <w:t>2.1 Corrected the outcome figures: 65% is 5-year recurrence-free survival, not overall survival; re-cited to the primary multicentre source.</w:t>
      </w:r>
    </w:p>
    <w:p>
      <w:pPr/>
      <w:r>
        <w:t>2.2 Replaced the single-series pCR rate with the pooled estimate (32%) and removed the pCR-survival claim, which the same systematic review's meta-regression refutes.</w:t>
      </w:r>
    </w:p>
    <w:p>
      <w:pPr/>
      <w:r>
        <w:t>2.3 Resolved the contradictory maintenance immunosuppression targets and added mTOR-conversion safety conditions appropriate to a radiated operative field.</w:t>
      </w:r>
    </w:p>
    <w:p>
      <w:pPr/>
      <w:r>
        <w:t>2.4 Downgraded piggyback caval reconstruction from a protocol requirement to an institutional default.</w:t>
      </w:r>
    </w:p>
    <w:p>
      <w:pPr/>
      <w:r>
        <w:t>2.5 Gave the dropout figure a denominator and time horizon.</w:t>
      </w:r>
    </w:p>
    <w:p>
      <w:pPr/>
      <w:r>
        <w:t>2.6 Reconciled mandatory molecular profiling with the protocol's own exclusion of off-protocol systemic therapy.</w:t>
      </w:r>
    </w:p>
    <w:p>
      <w:pPr/>
      <w:r>
        <w:t>2.7 VERIFY: the 90-day/30-day exception imaging windows could not be confirmed against retrievable Policy 9.5.A text.</w:t>
      </w:r>
    </w:p>
    <w:p>
      <w:pPr/>
      <w:r>
        <w:t>2.8 Policy 9.5.A states the hilar mass threshold as less than 3 cm (strict). VERIFY verbatim.</w:t>
      </w:r>
    </w:p>
    <w:p>
      <w:pPr/>
      <w:r>
        <w:t>Revision method: substantive clinical, policy, evidence-quality, safety and eligibility corrections only. Formatting was not altered. All changes are Word tracked changes and can be accepted or rejected individually. Items marked VERIFY remain unresolved against retrievable official text and require human confirmation against the live OPTN posting before adoption.</w:t>
      </w:r>
    </w:p>
    <w:p>
      <w:pPr>
        <w:pStyle w:val="Heading1"/>
      </w:pPr>
      <w:r>
        <w:t xml:space="preserve">References</w:t>
      </w:r>
    </w:p>
    <w:p>
      <w:pPr>
        <w:pStyle w:val="ListParagraph"/>
        <w:numPr>
          <w:ilvl w:val="0"/>
          <w:numId w:val="2"/>
        </w:numPr>
      </w:pPr>
      <w:bookmarkStart w:name="bowlus-cl,-arrivé-l,-bergquist-a,-et-al.-&lt;a-target=&quot;_blank&quot;-href=&quot;https://doi.org/10.1002/hep.32771&quot;&gt;aasld-practice-guidance-on-primary-sclerosing-cholangitis-and-cholangiocarcinoma&lt;/a&gt;.-hepatology-(baltimore,-md.).-2023;77(2):659-702.-doi:10.1002/hep.32771." w:id="1"/>
      <w:hyperlink w:history="1" r:id="rIds1eqwtejbt6fad7bttkla">
        <w:r>
          <w:rPr>
            <w:rStyle w:val="Hyperlink"/>
          </w:rPr>
          <w:t xml:space="preserve">AASLD Practice Guidance on Primary Sclerosing Cholangitis and Cholangiocarcinoma.</w:t>
        </w:r>
      </w:hyperlink>
      <w:r>
        <w:t xml:space="preserve"> Bowlus CL, Arrivé L, Bergquist A, et al.</w:t>
      </w:r>
      <w:r>
        <w:t xml:space="preserve"> Hepatology (Baltimore, Md.). 2023;77(2):659-702. doi:10.1002/hep.32771.</w:t>
      </w:r>
      <w:bookmarkEnd w:id="1"/>
    </w:p>
    <w:p>
      <w:pPr>
        <w:pStyle w:val="ListParagraph"/>
        <w:numPr>
          <w:ilvl w:val="0"/>
          <w:numId w:val="2"/>
        </w:numPr>
      </w:pPr>
      <w:bookmarkStart w:name="dove-l,-chadha-rm,-lai-jc,-et-al.-&lt;a-target=&quot;_blank&quot;-href=&quot;https://doi.org/10.1097/hep.0000000000001644&quot;&gt;aasld-ast-practice-guideline-on-adult-liver-transplantation:-candidate-evaluation&lt;/a&gt;.-hepatology-(baltimore,-md.).-2025;:01515467-990000000-01508.-doi:10.1097/hep.0000000000001644." w:id="1"/>
      <w:hyperlink w:history="1" r:id="rIdr8inpyax5gy96gts3eo5p">
        <w:r>
          <w:rPr>
            <w:rStyle w:val="Hyperlink"/>
          </w:rPr>
          <w:t xml:space="preserve">AASLD AST Practice Guideline on Adult Liver Transplantation: Candidate Evaluation.</w:t>
        </w:r>
      </w:hyperlink>
      <w:r>
        <w:t xml:space="preserve"> Dove L, Chadha RM, Lai JC, et al.</w:t>
      </w:r>
      <w:r>
        <w:t xml:space="preserve"> Hepatology (Baltimore, Md.). 2025;:01515467-990000000-01508. doi:10.1097/HEP.0000000000001644.</w:t>
      </w:r>
      <w:bookmarkEnd w:id="1"/>
    </w:p>
    <w:p>
      <w:pPr>
        <w:pStyle w:val="ListParagraph"/>
        <w:numPr>
          <w:ilvl w:val="0"/>
          <w:numId w:val="2"/>
        </w:numPr>
      </w:pPr>
      <w:bookmarkStart w:name="national-comprehensive-cancer-network.-biliary-tract-cancers." w:id="1"/>
      <w:hyperlink w:history="1" r:id="rIdqssj9czqemee1n3l7yvud">
        <w:r>
          <w:rPr>
            <w:rStyle w:val="Hyperlink"/>
          </w:rPr>
          <w:t xml:space="preserve">Biliary Tract Cancers.</w:t>
        </w:r>
      </w:hyperlink>
      <w:r>
        <w:t xml:space="preserve"> National Comprehensive Cancer Network.</w:t>
      </w:r>
      <w:r>
        <w:t xml:space="preserve"> Updated 2026-03-10.</w:t>
      </w:r>
      <w:bookmarkEnd w:id="1"/>
    </w:p>
    <w:p>
      <w:pPr>
        <w:pStyle w:val="ListParagraph"/>
        <w:numPr>
          <w:ilvl w:val="0"/>
          <w:numId w:val="2"/>
        </w:numPr>
      </w:pPr>
      <w:bookmarkStart w:name="tan-ek,-taner-t,-heimbach-jk,-gores-gj,-rosen-cb.-&lt;a-target=&quot;_blank&quot;-href=&quot;https://pubmed.ncbi.nlm.nih.gov/32671802&quot;&gt;liver-transplantation-for-peri-hilar-cholangiocarcinoma&lt;/a&gt;.-journal-of-gastrointestinal-surgery-:-official-journal-of-the-society-for-surgery-of-the-alimentary-tract.-2020;24(11):2679-2685.-doi:10.1007/s11605-020-04721-4." w:id="1"/>
      <w:hyperlink w:history="1" r:id="rIdjpvwiwjsfy9vrzfsy034h">
        <w:r>
          <w:rPr>
            <w:rStyle w:val="Hyperlink"/>
          </w:rPr>
          <w:t xml:space="preserve">Liver Transplantation for Peri-Hilar Cholangiocarcinoma.</w:t>
        </w:r>
      </w:hyperlink>
      <w:r>
        <w:t xml:space="preserve"> Tan EK, Taner T, Heimbach JK, Gores GJ, Rosen CB.</w:t>
      </w:r>
      <w:r>
        <w:t xml:space="preserve"> Journal of Gastrointestinal Surgery : Official Journal of the Society for Surgery of the Alimentary Tract. 2020;24(11):2679-2685. doi:10.1007/s11605-020-04721-4.</w:t>
      </w:r>
      <w:bookmarkEnd w:id="1"/>
    </w:p>
    <w:p>
      <w:pPr>
        <w:pStyle w:val="ListParagraph"/>
        <w:numPr>
          <w:ilvl w:val="0"/>
          <w:numId w:val="2"/>
        </w:numPr>
      </w:pPr>
      <w:bookmarkStart w:name="wu-tc,-smith-cp,-li-js,-et-al.-&lt;a-target=&quot;_blank&quot;-href=&quot;https://onlinelibrary.wiley.com/doi/10.1002/jso.27511&quot;&gt;a-systematic-review-and-meta-analysis-of-pathologic-complete-response-rates-for-patients-with-cholangiocarcinoma-treated-on-liver-transplant-protocols&lt;/a&gt;.-journal-of-surgical-oncology.-2024;129(3):574-583.-doi:10.1002/jso.27511." w:id="1"/>
      <w:hyperlink w:history="1" r:id="rIdgvhnqvuhaimk9pemvhnwk">
        <w:r>
          <w:rPr>
            <w:rStyle w:val="Hyperlink"/>
          </w:rPr>
          <w:t xml:space="preserve">A systematic review and meta‐analysis of pathologic complete response rates for patients with cholangiocarcinoma treated on liver transplant protocols.</w:t>
        </w:r>
      </w:hyperlink>
      <w:r>
        <w:t xml:space="preserve"> Wu TC, Smith CP, Li JS, et al.</w:t>
      </w:r>
      <w:r>
        <w:t xml:space="preserve"> Journal of Surgical Oncology. 2024;129(3):574-583. doi:10.1002/jso.27511.</w:t>
      </w:r>
      <w:bookmarkEnd w:id="1"/>
    </w:p>
    <w:p>
      <w:pPr>
        <w:pStyle w:val="ListParagraph"/>
        <w:numPr>
          <w:ilvl w:val="0"/>
          <w:numId w:val="2"/>
        </w:numPr>
      </w:pPr>
      <w:bookmarkStart w:name="gorji-l,-brown-zj,-limkemann-a,-schenk-ad,-pawlik-tm.-&lt;a-target=&quot;_blank&quot;-href=&quot;https://jamanetwork.com/journals/jamasurgery/fullarticle/10.1001/jamasurg.2023.6083?utm_source=openevidence&amp;utm_medium=referral&quot;&gt;liver-transplant-as-a-treatment-of-primary-and-secondary-liver-neoplasms&lt;/a&gt;.-jama-surgery.-2024;159(2):211-218.-doi:10.1001/jamasurg.2023.6083." w:id="1"/>
      <w:hyperlink w:history="1" r:id="rIdnb8jto2kvuvp8pbgxpfdi">
        <w:r>
          <w:rPr>
            <w:rStyle w:val="Hyperlink"/>
          </w:rPr>
          <w:t xml:space="preserve">Liver Transplant as a Treatment of Primary and Secondary Liver Neoplasms.</w:t>
        </w:r>
      </w:hyperlink>
      <w:r>
        <w:t xml:space="preserve"> Gorji L, Brown ZJ, Limkemann A, Schenk AD, Pawlik TM.</w:t>
      </w:r>
      <w:r>
        <w:t xml:space="preserve"> JAMA Surgery. 2024;159(2):211-218. doi:10.1001/jamasurg.2023.6083.</w:t>
      </w:r>
      <w:bookmarkEnd w:id="1"/>
    </w:p>
    <w:p>
      <w:pPr>
        <w:pStyle w:val="ListParagraph"/>
        <w:numPr>
          <w:ilvl w:val="0"/>
          <w:numId w:val="2"/>
        </w:numPr>
      </w:pPr>
      <w:bookmarkStart w:name="martin-p,-dimartini-a,-feng-s,-brown-r,-fallon-m.-&lt;a-target=&quot;_blank&quot;-href=&quot;https://doi.org/10.1002/hep.26972&quot;&gt;evaluation-for-liver-transplantation-in-adults:-2013-practice-guideline-by-the-american-association-for-the-study-of-liver-diseases-and-the-american-society-of-transplantation&lt;/a&gt;.-hepatology-(baltimore,-md.).-2014;59(3):1144-65.-doi:10.1002/hep.26972." w:id="1"/>
      <w:hyperlink w:history="1" r:id="rIdvt9i8kjhgrvclooarmsjc">
        <w:r>
          <w:rPr>
            <w:rStyle w:val="Hyperlink"/>
          </w:rPr>
          <w:t xml:space="preserve">Evaluation for Liver Transplantation in Adults: 2013 Practice Guideline by the American Association for the Study of Liver Diseases and the American Society of Transplantation.</w:t>
        </w:r>
      </w:hyperlink>
      <w:r>
        <w:t xml:space="preserve"> Martin P, DiMartini A, Feng S, Brown R, Fallon M.</w:t>
      </w:r>
      <w:r>
        <w:t xml:space="preserve"> Hepatology (Baltimore, Md.). 2014;59(3):1144-65. doi:10.1002/hep.26972.</w:t>
      </w:r>
      <w:bookmarkEnd w:id="1"/>
    </w:p>
    <w:p>
      <w:pPr>
        <w:pStyle w:val="ListParagraph"/>
        <w:numPr>
          <w:ilvl w:val="0"/>
          <w:numId w:val="2"/>
        </w:numPr>
      </w:pPr>
      <w:bookmarkStart w:name="lunsford-ke,-javle-m,-heyne-k,-et-al.-&lt;a-target=&quot;_blank&quot;-href=&quot;https://pubmed.ncbi.nlm.nih.gov/29548617&quot;&gt;liver-transplantation-for-locally-advanced-intrahepatic-cholangiocarcinoma-treated-with-neoadjuvant-therapy:-a-prospective-case-series&lt;/a&gt;.-the-lancet.-gastroenterology-&amp;-hepatology.-2018;3(5):337-348.-doi:10.1016/s2468-1253(18)30045-1." w:id="1"/>
      <w:hyperlink w:history="1" r:id="rIdgr56vommnphmzrszqbeig">
        <w:r>
          <w:rPr>
            <w:rStyle w:val="Hyperlink"/>
          </w:rPr>
          <w:t xml:space="preserve">Liver Transplantation for Locally Advanced Intrahepatic Cholangiocarcinoma Treated With Neoadjuvant Therapy: A Prospective Case-Series.</w:t>
        </w:r>
      </w:hyperlink>
      <w:r>
        <w:t xml:space="preserve"> Lunsford KE, Javle M, Heyne K, et al.</w:t>
      </w:r>
      <w:r>
        <w:t xml:space="preserve"> The Lancet. Gastroenterology &amp; Hepatology. 2018;3(5):337-348. doi:10.1016/S2468-1253(18)30045-1.</w:t>
      </w:r>
      <w:bookmarkEnd w:id="1"/>
    </w:p>
    <w:p>
      <w:pPr>
        <w:pStyle w:val="ListParagraph"/>
        <w:numPr>
          <w:ilvl w:val="0"/>
          <w:numId w:val="2"/>
        </w:numPr>
      </w:pPr>
      <w:bookmarkStart w:name="ramanan-p,-cummins-nw,-wilhelm-mp,-et-al.-&lt;a-target=&quot;_blank&quot;-href=&quot;https://onlinelibrary.wiley.com/doi/10.1111/ctr.13023&quot;&gt;epidemiology,-risk-factors,-and-outcomes-of-infections-in-patients-undergoing-liver-transplantation-for-hilar-cholangiocarcinoma&lt;/a&gt;.-clinical-transplantation.-2017;31(8).-doi:10.1111/ctr.13023." w:id="1"/>
      <w:hyperlink w:history="1" r:id="rIdsjixnukvi5iewpsl6tmf1">
        <w:r>
          <w:rPr>
            <w:rStyle w:val="Hyperlink"/>
          </w:rPr>
          <w:t xml:space="preserve">Epidemiology, risk factors, and outcomes of infections in patients undergoing liver transplantation for hilar cholangiocarcinoma.</w:t>
        </w:r>
      </w:hyperlink>
      <w:r>
        <w:t xml:space="preserve"> Ramanan P, Cummins NW, Wilhelm MP, et al.</w:t>
      </w:r>
      <w:r>
        <w:t xml:space="preserve"> Clinical Transplantation. 2017;31(8). doi:10.1111/ctr.13023.</w:t>
      </w:r>
      <w:bookmarkEnd w:id="1"/>
    </w:p>
    <w:p>
      <w:pPr>
        <w:pStyle w:val="ListParagraph"/>
        <w:numPr>
          <w:ilvl w:val="0"/>
          <w:numId w:val="2"/>
        </w:numPr>
      </w:pPr>
      <w:bookmarkStart w:name="semaan-s,-connor-aa,-saharia-a,-et-al.-&lt;a-target=&quot;_blank&quot;-href=&quot;https://pubmed.ncbi.nlm.nih.gov/39939239&quot;&gt;transplantation-for-peri-hilar-and-intrahepatic-cholangiocarcinoma-with-mtor-immunosuppression&lt;/a&gt;.-transplantation-proceedings.-2025;57(2):255-263.-doi:10.1016/j.transproceed.2025.02.001." w:id="1"/>
      <w:hyperlink w:history="1" r:id="rIdwnmj0zfnc4gcwxzi4m5kw">
        <w:r>
          <w:rPr>
            <w:rStyle w:val="Hyperlink"/>
          </w:rPr>
          <w:t xml:space="preserve">Transplantation for Peri-Hilar and Intrahepatic Cholangiocarcinoma With mTOR Immunosuppression.</w:t>
        </w:r>
      </w:hyperlink>
      <w:r>
        <w:t xml:space="preserve"> Semaan S, Connor AA, Saharia A, et al.</w:t>
      </w:r>
      <w:r>
        <w:t xml:space="preserve"> Transplantation Proceedings. 2025;57(2):255-263. doi:10.1016/j.transproceed.2025.02.001.</w:t>
      </w:r>
      <w:bookmarkEnd w:id="1"/>
    </w:p>
    <w:p>
      <w:pPr>
        <w:pStyle w:val="ListParagraph"/>
        <w:numPr>
          <w:ilvl w:val="0"/>
          <w:numId w:val="2"/>
        </w:numPr>
      </w:pPr>
      <w:bookmarkStart w:name="heinrich-s,-campos-murguia-a,-mensah-a,-et-al.-&lt;a-target=&quot;_blank&quot;-href=&quot;https://onlinelibrary.wiley.com/doi/10.1111/ctr.70547&quot;&gt;a-retrospective-multicenter-study-identifies-a-similar-overall-survival-of-patients-after-liver-transplantation-with-incidental-cholangiocarcinoma-compared-to-hepatocellular-carcinoma&lt;/a&gt;.-clinical-transplantation.-2026;40(5):e70547.-doi:10.1111/ctr.70547." w:id="1"/>
      <w:hyperlink w:history="1" r:id="rIdrv8ezywjyfchxdaztc3v7">
        <w:r>
          <w:rPr>
            <w:rStyle w:val="Hyperlink"/>
          </w:rPr>
          <w:t xml:space="preserve">A Retrospective Multicenter Study Identifies a Similar Overall Survival of Patients After Liver Transplantation With Incidental Cholangiocarcinoma Compared to Hepatocellular Carcinoma.</w:t>
        </w:r>
      </w:hyperlink>
      <w:r>
        <w:t xml:space="preserve"> Heinrich S, Campos-Murguia A, Mensah A, et al.</w:t>
      </w:r>
      <w:r>
        <w:t xml:space="preserve"> Clinical Transplantation. 2026;40(5):e70547. doi:10.1111/ctr.70547.</w:t>
      </w:r>
      <w:bookmarkEnd w:id="1"/>
    </w:p>
    <w:p>
      <w:pPr>
        <w:pStyle w:val="ListParagraph"/>
        <w:numPr>
          <w:ilvl w:val="0"/>
          <w:numId w:val="2"/>
        </w:numPr>
      </w:pPr>
      <w:bookmarkStart w:name="zaborowski-a,-heneghan-hm,-fiore-b,-et-al.-&lt;a-target=&quot;_blank&quot;-href=&quot;https://pubmed.ncbi.nlm.nih.gov/31972704&quot;&gt;neoadjuvant-chemoradiotherapy-and-liver-transplantation-for-unresectable-hilar-cholangiocarcinoma:-the-irish-experience-of-the-mayo-protocol&lt;/a&gt;.-transplantation.-2020;104(10):2097-2104.-doi:10.1097/tp.0000000000003114." w:id="1"/>
      <w:hyperlink w:history="1" r:id="rIdyrgsm_-3ite8glop60jgl">
        <w:r>
          <w:rPr>
            <w:rStyle w:val="Hyperlink"/>
          </w:rPr>
          <w:t xml:space="preserve">Neoadjuvant Chemoradiotherapy and Liver Transplantation for Unresectable Hilar Cholangiocarcinoma: The Irish Experience of the Mayo Protocol.</w:t>
        </w:r>
      </w:hyperlink>
      <w:r>
        <w:t xml:space="preserve"> Zaborowski A, Heneghan HM, Fiore B, et al.</w:t>
      </w:r>
      <w:r>
        <w:t xml:space="preserve"> Transplantation. 2020;104(10):2097-2104. doi:10.1097/TP.0000000000003114.</w:t>
      </w:r>
      <w:bookmarkEnd w:id="1"/>
    </w:p>
    <w:p>
      <w:pPr>
        <w:pStyle w:val="ListParagraph"/>
        <w:numPr>
          <w:ilvl w:val="0"/>
          <w:numId w:val="2"/>
        </w:numPr>
      </w:pPr>
      <w:bookmarkStart w:name="dong-y,-li-z,-podrascanin-v,-et-al.-&lt;a-target=&quot;_blank&quot;-href=&quot;https://pubmed.ncbi.nlm.nih.gov/40622853&quot;&gt;liver-resection-with-and-without-vascular-resection-versus-transplantation-for-de-novo-perihilar-cholangiocarcinoma&lt;/a&gt;.-hepatology-(baltimore,-md.).-2026;83(5):1128-1142.-doi:10.1097/hep.0000000000001449." w:id="1"/>
      <w:hyperlink w:history="1" r:id="rIddevqlwro1v_pbh8imtxbo">
        <w:r>
          <w:rPr>
            <w:rStyle w:val="Hyperlink"/>
          </w:rPr>
          <w:t xml:space="preserve">Liver Resection With and Without Vascular Resection Versus Transplantation for De Novo Perihilar Cholangiocarcinoma.</w:t>
        </w:r>
      </w:hyperlink>
      <w:r>
        <w:t xml:space="preserve"> Dong Y, Li Z, Podrascanin V, et al.</w:t>
      </w:r>
      <w:r>
        <w:t xml:space="preserve"> Hepatology (Baltimore, Md.). 2026;83(5):1128-1142. doi:10.1097/HEP.0000000000001449.</w:t>
      </w:r>
      <w:bookmarkEnd w:id="1"/>
    </w:p>
    <w:p>
      <w:pPr>
        <w:pStyle w:val="ListParagraph"/>
        <w:numPr>
          <w:ilvl w:val="0"/>
          <w:numId w:val="2"/>
        </w:numPr>
      </w:pPr>
      <w:bookmarkStart w:name="loveday-bpt,-knox-jj,-dawson-la,-et-al.-&lt;a-target=&quot;_blank&quot;-href=&quot;https://onlinelibrary.wiley.com/doi/10.1002/jso.24833&quot;&gt;neoadjuvant-hyperfractionated-chemoradiation-and-liver-transplantation-for-unresectable-perihilar-cholangiocarcinoma-in-canada&lt;/a&gt;.-journal-of-surgical-oncology.-2018;117(2):213-219.-doi:10.1002/jso.24833." w:id="1"/>
      <w:hyperlink w:history="1" r:id="rIdah40xaiwshz2cm5s3ouz0">
        <w:r>
          <w:rPr>
            <w:rStyle w:val="Hyperlink"/>
          </w:rPr>
          <w:t xml:space="preserve">Neoadjuvant hyperfractionated chemoradiation and liver transplantation for unresectable perihilar cholangiocarcinoma in Canada.</w:t>
        </w:r>
      </w:hyperlink>
      <w:r>
        <w:t xml:space="preserve"> Loveday BPT, Knox JJ, Dawson LA, et al.</w:t>
      </w:r>
      <w:r>
        <w:t xml:space="preserve"> Journal of Surgical Oncology. 2018;117(2):213-219. doi:10.1002/jso.24833.</w:t>
      </w:r>
      <w:bookmarkEnd w:id="1"/>
    </w:p>
    <w:p>
      <w:pPr>
        <w:pStyle w:val="ListParagraph"/>
        <w:numPr>
          <w:ilvl w:val="0"/>
          <w:numId w:val="2"/>
        </w:numPr>
      </w:pPr>
      <w:bookmarkStart w:name="abdelhakeem-aa,-o'donnell-cd,-elantably-d,-et-al.-&lt;a-target=&quot;_blank&quot;-href=&quot;https://pubmed.ncbi.nlm.nih.gov/41899493&quot;&gt;transplant-oncology-in-evolution:-emerging-roles-for-liver-transplant-beyond-hepatocellular-carcinoma&lt;/a&gt;.-cancers.-2026;18(6):887.-doi:10.3390/cancers18060887." w:id="1"/>
      <w:hyperlink w:history="1" r:id="rIdd0oxcj9dm-ekcgq4rcxz4">
        <w:r>
          <w:rPr>
            <w:rStyle w:val="Hyperlink"/>
          </w:rPr>
          <w:t xml:space="preserve">Transplant Oncology in Evolution: Emerging Roles for Liver Transplant Beyond Hepatocellular Carcinoma.</w:t>
        </w:r>
      </w:hyperlink>
      <w:r>
        <w:t xml:space="preserve"> Abdelhakeem AA, O'donnell CD, Elantably D, et al.</w:t>
      </w:r>
      <w:r>
        <w:t xml:space="preserve"> Cancers. 2026;18(6):887. doi:10.3390/cancers18060887.</w:t>
      </w:r>
      <w:bookmarkEnd w:id="1"/>
    </w:p>
    <w:p>
      <w:pPr>
        <w:pStyle w:val="ListParagraph"/>
        <w:numPr>
          <w:ilvl w:val="0"/>
          <w:numId w:val="2"/>
        </w:numPr>
      </w:pPr>
      <w:bookmarkStart w:name="demirors-b,-lin-my,-spitz-fj,-et-al.-&lt;a-target=&quot;_blank&quot;-href=&quot;https://pubmed.ncbi.nlm.nih.gov/42073607&quot;&gt;balancing-tumor-response-and-rejection-risk-after-pre-transplant-immunotherapy:-a-scoping-review&lt;/a&gt;.-cancers.-2026;18(8):1284.-doi:10.3390/cancers18081284." w:id="1"/>
      <w:hyperlink w:history="1" r:id="rId1naamldjfpmbuqysogu3d">
        <w:r>
          <w:rPr>
            <w:rStyle w:val="Hyperlink"/>
          </w:rPr>
          <w:t xml:space="preserve">Balancing Tumor Response and Rejection Risk After Pre-Transplant Immunotherapy: A Scoping Review.</w:t>
        </w:r>
      </w:hyperlink>
      <w:r>
        <w:t xml:space="preserve"> Demirors B, Lin MY, Spitz FJ, et al.</w:t>
      </w:r>
      <w:r>
        <w:t xml:space="preserve"> Cancers. 2026;18(8):1284. doi:10.3390/cancers18081284.</w:t>
      </w:r>
      <w:bookmarkEnd w:id="1"/>
    </w:p>
    <w:p>
      <w:pPr>
        <w:pStyle w:val="ListParagraph"/>
        <w:numPr>
          <w:ilvl w:val="0"/>
          <w:numId w:val="2"/>
        </w:numPr>
      </w:pPr>
      <w:bookmarkStart w:name="singal-ag,-llovet-jm,-yarchoan-m,-et-al.-&lt;a-target=&quot;_blank&quot;-href=&quot;https://www.ncbi.nlm.nih.gov/pmc/articles/pmc10663390/&quot;&gt;aasld-practice-guidance-on-prevention,-diagnosis,-and-treatment-of-hepatocellular-carcinoma&lt;/a&gt;.-hepatology-(baltimore,-md.).-2023;78(6):1922-1965.-doi:10.1097/hep.0000000000000466." w:id="1"/>
      <w:hyperlink w:history="1" r:id="rIdb2_lubzxx4n3lvvi8l1ai">
        <w:r>
          <w:rPr>
            <w:rStyle w:val="Hyperlink"/>
          </w:rPr>
          <w:t xml:space="preserve">AASLD Practice Guidance on Prevention, Diagnosis, and Treatment of Hepatocellular Carcinoma.</w:t>
        </w:r>
      </w:hyperlink>
      <w:r>
        <w:t xml:space="preserve"> Singal AG, Llovet JM, Yarchoan M, et al.</w:t>
      </w:r>
      <w:r>
        <w:t xml:space="preserve"> Hepatology (Baltimore, Md.). 2023;78(6):1922-1965. doi:10.1097/HEP.0000000000000466.</w:t>
      </w:r>
      <w:bookmarkEnd w:id="1"/>
    </w:p>
    <w:p>
      <w:pPr>
        <w:pStyle w:val="ListParagraph"/>
        <w:numPr>
          <w:ilvl w:val="0"/>
          <w:numId w:val="2"/>
        </w:numPr>
      </w:pPr>
      <w:bookmarkStart w:name="j-clin-oncol-43,-2025-(suppl-16;-abstr-e14624)" w:id="1"/>
      <w:hyperlink w:history="1" r:id="rIdgspakwp1qfentfjvyzty5">
        <w:r>
          <w:rPr>
            <w:rStyle w:val="Hyperlink"/>
          </w:rPr>
          <w:t xml:space="preserve">Immune checkpoint inhibitors as a neoadjuvant therapy pre-liver transplantation for hepatobiliary carcinoma.</w:t>
        </w:r>
      </w:hyperlink>
      <w:r>
        <w:t xml:space="preserve"> Abdullah Esmail and Maen Abdelrahim.</w:t>
      </w:r>
      <w:r>
        <w:t xml:space="preserve"> Journal of Clinical Oncology. 2025;43(Suppl 16):e14624. doi:10.1200/JCO.2025.43.16_suppl.e14624.</w:t>
      </w:r>
      <w:bookmarkEnd w:id="1"/>
    </w:p>
    <w:p>
      <w:pPr>
        <w:pStyle w:val="ListParagraph"/>
        <w:numPr>
          <w:ilvl w:val="0"/>
          <w:numId w:val="2"/>
        </w:numPr>
      </w:pPr>
      <w:bookmarkStart w:name="j-clin-oncol-44,-2026-(suppl-2;-abstr-570)" w:id="1"/>
      <w:hyperlink w:history="1" r:id="rIdul2eciutnbgv7ujwojggg">
        <w:r>
          <w:rPr>
            <w:rStyle w:val="Hyperlink"/>
          </w:rPr>
          <w:t xml:space="preserve">Utilization of immunotherapy as a neoadjuvant treatment in liver transplant recipients with hepatobiliary carcinoma.</w:t>
        </w:r>
      </w:hyperlink>
      <w:r>
        <w:t xml:space="preserve"> Abdelrahim M, Esmail A, Connor A, et al.</w:t>
      </w:r>
      <w:r>
        <w:t xml:space="preserve"> Journal of Clinical Oncology. 2026;44(Suppl 2):570. doi:10.1200/JCO.2026.44.2_suppl.570.</w:t>
      </w:r>
      <w:bookmarkEnd w:id="1"/>
    </w:p>
    <w:p>
      <w:pPr>
        <w:pStyle w:val="ListParagraph"/>
        <w:numPr>
          <w:ilvl w:val="0"/>
          <w:numId w:val="2"/>
        </w:numPr>
      </w:pPr>
      <w:bookmarkStart w:name="wassmer-ch,-el-hajji-s,-papazarkadas-x,-et-al.-&lt;a-target=&quot;_blank&quot;-href=&quot;https://pubmed.ncbi.nlm.nih.gov/37760542&quot;&gt;immunotherapy-and-liver-transplantation:-a-narrative-review-of-basic-and-clinical-data&lt;/a&gt;.-cancers.-2023;15(18):4574.-doi:10.3390/cancers15184574." w:id="1"/>
      <w:hyperlink w:history="1" r:id="rIdy9jr0bzcoynngb0otf66m">
        <w:r>
          <w:rPr>
            <w:rStyle w:val="Hyperlink"/>
          </w:rPr>
          <w:t xml:space="preserve">Immunotherapy and Liver Transplantation: A Narrative Review of Basic and Clinical Data.</w:t>
        </w:r>
      </w:hyperlink>
      <w:r>
        <w:t xml:space="preserve"> Wassmer CH, El Hajji S, Papazarkadas X, et al.</w:t>
      </w:r>
      <w:r>
        <w:t xml:space="preserve"> Cancers. 2023;15(18):4574. doi:10.3390/cancers15184574.</w:t>
      </w:r>
      <w:bookmarkEnd w:id="1"/>
    </w:p>
    <w:p>
      <w:pPr>
        <w:pStyle w:val="ListParagraph"/>
        <w:numPr>
          <w:ilvl w:val="0"/>
          <w:numId w:val="2"/>
        </w:numPr>
      </w:pPr>
      <w:bookmarkStart w:name="andraus-w,-massabki-e,-manzi-jll,-et-al.-&lt;a-target=&quot;_blank&quot;-href=&quot;https://pubmed.ncbi.nlm.nih.gov/41919430&quot;&gt;neoadjuvant-strategies-for-liver-resection-and-transplantation-in-hilar-and-intrahepatic-cholangiocarcinoma&lt;/a&gt;.-current-pharmaceutical-design.-2026;:cpd-epub-154171.-doi:10.2174/0113816128441565260128083741." w:id="1"/>
      <w:hyperlink w:history="1" r:id="rIdk14r2uu5xunnsalzz-so1">
        <w:r>
          <w:rPr>
            <w:rStyle w:val="Hyperlink"/>
          </w:rPr>
          <w:t xml:space="preserve">Neoadjuvant Strategies for Liver Resection and Transplantation in Hilar and Intrahepatic Cholangiocarcinoma.</w:t>
        </w:r>
      </w:hyperlink>
      <w:r>
        <w:t xml:space="preserve"> Andraus W, Massabki E, Manzi JLL, et al.</w:t>
      </w:r>
      <w:r>
        <w:t xml:space="preserve"> Current Pharmaceutical Design. 2026;:CPD-EPUB-154171. doi:10.2174/0113816128441565260128083741.</w:t>
      </w:r>
      <w:bookmarkEnd w:id="1"/>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1eqwtejbt6fad7bttkla" Type="http://schemas.openxmlformats.org/officeDocument/2006/relationships/hyperlink" Target="https://doi.org/10.1002/hep.32771" TargetMode="External"/><Relationship Id="rIdr8inpyax5gy96gts3eo5p" Type="http://schemas.openxmlformats.org/officeDocument/2006/relationships/hyperlink" Target="https://doi.org/10.1097/HEP.0000000000001644" TargetMode="External"/><Relationship Id="rIdqssj9czqemee1n3l7yvud" Type="http://schemas.openxmlformats.org/officeDocument/2006/relationships/hyperlink" Target="https://www.nccn.org/professionals/physician_gls/pdf/btc.pdf#page=23" TargetMode="External"/><Relationship Id="rIdjpvwiwjsfy9vrzfsy034h" Type="http://schemas.openxmlformats.org/officeDocument/2006/relationships/hyperlink" Target="https://pubmed.ncbi.nlm.nih.gov/32671802" TargetMode="External"/><Relationship Id="rIdgvhnqvuhaimk9pemvhnwk" Type="http://schemas.openxmlformats.org/officeDocument/2006/relationships/hyperlink" Target="https://onlinelibrary.wiley.com/doi/10.1002/jso.27511" TargetMode="External"/><Relationship Id="rIdnb8jto2kvuvp8pbgxpfdi" Type="http://schemas.openxmlformats.org/officeDocument/2006/relationships/hyperlink" Target="https://jamanetwork.com/journals/jamasurgery/fullarticle/10.1001/jamasurg.2023.6083?utm_source=openevidence&amp;utm_medium=referral" TargetMode="External"/><Relationship Id="rIdvt9i8kjhgrvclooarmsjc" Type="http://schemas.openxmlformats.org/officeDocument/2006/relationships/hyperlink" Target="https://doi.org/10.1002/hep.26972" TargetMode="External"/><Relationship Id="rIdgr56vommnphmzrszqbeig" Type="http://schemas.openxmlformats.org/officeDocument/2006/relationships/hyperlink" Target="https://pubmed.ncbi.nlm.nih.gov/29548617" TargetMode="External"/><Relationship Id="rIdsjixnukvi5iewpsl6tmf1" Type="http://schemas.openxmlformats.org/officeDocument/2006/relationships/hyperlink" Target="https://onlinelibrary.wiley.com/doi/10.1111/ctr.13023" TargetMode="External"/><Relationship Id="rIdwnmj0zfnc4gcwxzi4m5kw" Type="http://schemas.openxmlformats.org/officeDocument/2006/relationships/hyperlink" Target="https://pubmed.ncbi.nlm.nih.gov/39939239" TargetMode="External"/><Relationship Id="rIdrv8ezywjyfchxdaztc3v7" Type="http://schemas.openxmlformats.org/officeDocument/2006/relationships/hyperlink" Target="https://onlinelibrary.wiley.com/doi/10.1111/ctr.70547" TargetMode="External"/><Relationship Id="rIdyrgsm_-3ite8glop60jgl" Type="http://schemas.openxmlformats.org/officeDocument/2006/relationships/hyperlink" Target="https://pubmed.ncbi.nlm.nih.gov/31972704" TargetMode="External"/><Relationship Id="rIddevqlwro1v_pbh8imtxbo" Type="http://schemas.openxmlformats.org/officeDocument/2006/relationships/hyperlink" Target="https://pubmed.ncbi.nlm.nih.gov/40622853" TargetMode="External"/><Relationship Id="rIdah40xaiwshz2cm5s3ouz0" Type="http://schemas.openxmlformats.org/officeDocument/2006/relationships/hyperlink" Target="https://onlinelibrary.wiley.com/doi/10.1002/jso.24833" TargetMode="External"/><Relationship Id="rIdd0oxcj9dm-ekcgq4rcxz4" Type="http://schemas.openxmlformats.org/officeDocument/2006/relationships/hyperlink" Target="https://pubmed.ncbi.nlm.nih.gov/41899493" TargetMode="External"/><Relationship Id="rId1naamldjfpmbuqysogu3d" Type="http://schemas.openxmlformats.org/officeDocument/2006/relationships/hyperlink" Target="https://pubmed.ncbi.nlm.nih.gov/42073607" TargetMode="External"/><Relationship Id="rIdb2_lubzxx4n3lvvi8l1ai" Type="http://schemas.openxmlformats.org/officeDocument/2006/relationships/hyperlink" Target="https://www.ncbi.nlm.nih.gov/pmc/articles/PMC10663390/" TargetMode="External"/><Relationship Id="rIdgspakwp1qfentfjvyzty5" Type="http://schemas.openxmlformats.org/officeDocument/2006/relationships/hyperlink" Target="https://meetings.asco.org/abstracts-presentations/247656" TargetMode="External"/><Relationship Id="rIdul2eciutnbgv7ujwojggg" Type="http://schemas.openxmlformats.org/officeDocument/2006/relationships/hyperlink" Target="https://meetings.asco.org/abstracts-presentations/255564" TargetMode="External"/><Relationship Id="rIdy9jr0bzcoynngb0otf66m" Type="http://schemas.openxmlformats.org/officeDocument/2006/relationships/hyperlink" Target="https://pubmed.ncbi.nlm.nih.gov/37760542" TargetMode="External"/><Relationship Id="rIdk14r2uu5xunnsalzz-so1" Type="http://schemas.openxmlformats.org/officeDocument/2006/relationships/hyperlink" Target="https://pubmed.ncbi.nlm.nih.gov/41919430" TargetMode="External"/><Relationship Id="rId2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2026-07-15T23:24:36.929Z</dcterms:created>
  <dcterms:modified xsi:type="dcterms:W3CDTF">2026-07-15T23:24:36.929Z</dcterms:modified>
  <dc:title>UTHealth Perihilar CCA Standard Protocol — V2</dc:title>
  <dc:subject>OPTN Policy 9.5.A standardized exception pathway</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