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rPr>
          <w:color w:val="A8470A"/>
        </w:rPr>
        <w:pStyle w:val="Heading1"/>
        <w:keepNext/>
        <w:widowControl/>
      </w:pPr>
      <w:r>
        <w:rPr>
          <w:color w:val="A8470A"/>
        </w:rPr>
        <w:t xml:space="preserve">UTHealth Houston and Memorial Hermann High Risk Liver Transplant Protocol for Intrahepatic Cholangiocarcinoma V12</w:t>
      </w:r>
    </w:p>
    <w:p>
      <w:pPr>
        <w:pStyle w:val="Normal"/>
        <w:widowControl/>
      </w:pPr>
      <w:r>
        <w:t xml:space="preserve">This pathway addresses advanced liver-confined iCCA outside the small solitary cirrhotic category. It requires treatment-response selection, repeated resection assessment and a separate allocation/donor justification. Pure iCCA and mixed HCC–iCCA are not pooled as one efficacy population.</w:t>
      </w:r>
    </w:p>
    <w:p>
      <w:pPr>
        <w:pStyle w:val="Normal"/>
        <w:widowControl/>
      </w:pPr>
      <w:r>
        <w:t xml:space="preserve">Version 12  |  Revised 2026-10-25 04:54 CDT  |  Institutional approval pending</w:t>
      </w:r>
    </w:p>
    <w:p>
      <w:pPr>
        <w:rPr>
          <w:color w:val="A8470A"/>
        </w:rPr>
        <w:pStyle w:val="Heading2"/>
        <w:keepNext/>
        <w:widowControl/>
      </w:pPr>
      <w:r>
        <w:rPr>
          <w:color w:val="A8470A"/>
        </w:rP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rPr>
          <w:color w:val="A8470A"/>
        </w:rPr>
        <w:pStyle w:val="Heading2"/>
        <w:keepNext/>
        <w:widowControl/>
      </w:pPr>
      <w:r>
        <w:rPr>
          <w:color w:val="A8470A"/>
        </w:rPr>
        <w:t xml:space="preserve">1 Purpose and scope</w:t>
      </w:r>
    </w:p>
    <w:p>
      <w:pPr>
        <w:pStyle w:val="Normal"/>
        <w:widowControl/>
      </w:pPr>
      <w:r>
        <w:t xml:space="preserve">A biopsy-proven, unresectable solitary iCCA or mixed HCC–iCCA no larger than 3 cm in cirrhosis, with the specified treatment and stability requirements, belongs in the guidance-aligned nonstandard-exception assessment. Larger, multifocal or noncirrhotic disease must not inherit that guidance by analogy.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The advanced-disease pathway is a proposed prospective treatment-selection and transplant study, not a standing approval to transplant. It has no validated universal 8 cm, three-lesion, CA19-9 or ctDNA eligibility boundary.</w:t>
      </w:r>
    </w:p>
    <w:p>
      <w:pPr>
        <w:rPr>
          <w:color w:val="A8470A"/>
        </w:rPr>
        <w:pStyle w:val="Heading2"/>
        <w:keepNext/>
        <w:widowControl/>
      </w:pPr>
      <w:r>
        <w:rPr>
          <w:color w:val="A8470A"/>
        </w:rPr>
        <w:t xml:space="preserve">2 Scientific rationale and patient counseling</w:t>
      </w:r>
    </w:p>
    <w:p>
      <w:pPr>
        <w:pStyle w:val="Normal"/>
        <w:widowControl/>
      </w:pPr>
      <w:r>
        <w:t xml:space="preserve">Very-early incidental explant series support further assessment of small tumors, not an advanced-disease population. In the expanded Houston experience, 65 were referred, 37 listed, five converted to resection, 32 remained in the analyzed listing cohort and 18 received LT. Reported survival was anchored to listing, including the eventual-LT subgroup. Do not label those figures post-LT survival or pool the earlier overlapping Lunsford series as independent evidence.</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Mi0zXTwvRGlzcGxheVRleHQ+PHJlY29yZD48cmVjLW51bWJlcj4zPC9yZWMtbnVtYmVyPjxmb3JlaWduLWtleXM+PGtleSBhcHA9IkVOIiBkYi1pZD0iOTRlZmJiOTAtNjlkNy01YmI4LTg3NTctZGIwZWZkMGE2NGExIiB0aW1lc3RhbXA9IjE3OTI5MjEw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p>
    <w:p>
      <w:pPr>
        <w:pStyle w:val="Normal"/>
        <w:widowControl/>
      </w:pPr>
      <w:r>
        <w:t xml:space="preserve">SYSTARE included 13 entrants, nine dropouts and four recipients. A seven-recipient LDLT report estimated five-year OS of 85.7% with a wide 95% CI of 33.4–97.9%, two recurrences and one death. These data show selection and feasibility, not randomized benefit. The seven-recipient Sethi main-paper PDF is now in the depot and fully reviewed; donor morbidity, broad uncertainty intervals and the mixed referral denominator are incorporated below.</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ItN108L0Rpc3BsYXlUZXh0PjxyZWNvcmQ+PHJlYy1udW1iZXI+NzwvcmVjLW51bWJlcj48Zm9yZWlnbi1rZXlzPjxrZXkgYXBwPSJFTiIgZGItaWQ9Ijk0ZWZiYjkwLTY5ZDctNWJiOC04NzU3LWRiMGVmZDBhNjRhMSIgdGltZXN0YW1wPSIxNzkyOTIxMDg1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pStyle w:val="Normal"/>
        <w:widowControl/>
      </w:pPr>
      <w:r>
        <w:t xml:space="preserve">A non-LT eligibility cohort found 39 retrospectively eligible patients among 1407. Median OS was 39 months from diagnosis; three-/five-year survival from the six-month eligibility landmark was 46%/26%. Many received HAI. It is a relevant warning against all-comer controls, not a causal LT comparison or a current-treatment benchmark with identical eligibility.</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rPr>
          <w:color w:val="A8470A"/>
        </w:rPr>
        <w:pStyle w:val="Heading2"/>
        <w:keepNext/>
        <w:widowControl/>
      </w:pPr>
      <w:r>
        <w:rPr>
          <w:color w:val="A8470A"/>
        </w:rPr>
        <w:t xml:space="preserve">3 Patient selection criteria</w:t>
      </w:r>
    </w:p>
    <w:p>
      <w:pPr>
        <w:rPr>
          <w:color w:val="A8470A"/>
        </w:rPr>
        <w:pStyle w:val="Heading3"/>
        <w:keepNext/>
        <w:widowControl/>
      </w:pPr>
      <w:r>
        <w:rPr>
          <w:color w:val="A8470A"/>
        </w:rPr>
        <w:t xml:space="preserve">3.1 Establish diagnosis and the exact risk stratum</w:t>
      </w:r>
    </w:p>
    <w:p>
      <w:pPr>
        <w:pStyle w:val="Normal"/>
        <w:widowControl/>
        <w:numPr>
          <w:ilvl w:val="0"/>
          <w:numId w:val="3"/>
        </w:numPr>
      </w:pPr>
      <w:r>
        <w:t xml:space="preserve">Obtain expert pathology review of a planned core biopsy, including differentiation and any mixed HCC–iCCA component. Biopsy is part of the iCCA diagnostic/guidance pathway; do not import the pCCA primary-transperitoneal-biopsy exclusion as a blanket prohibition on iCCA biopsy. Plan the route with radiology and the surgical team.</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yLTldPC9EaXNwbGF5VGV4dD48cmVjb3JkPjxyZWMtbnVtYmVyPjk8L3JlYy1udW1iZXI+PGZvcmVpZ24ta2V5cz48a2V5IGFwcD0iRU4iIGRiLWlkPSI5NGVmYmI5MC02OWQ3LTViYjgtODc1Ny1kYjBlZmQwYTY0YTEiIHRpbWVzdGFtcD0iMTc5MjkyMTA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QdWJsaXNoZWQgdmVyc2lvbiBvZiByZWNvcmQsIExpdmVyIFRyYW5zcGxhbnRhdGlvbiAyMDI1OzMxOjgxNSYjODIxMTs4MzEuIENvbXBsZXRlIHJlY29tbWVuZGF0aW9uIHRhYmxlIGFuZCByZWxldmFudCBIQ0MvaUNDQSBkaXNjdXNzaW9uIHJldmlld2VkLCBjdXJyZW50IFBERiBwcDEmIzgyMTE7MTMuIFByaW9yIGNvcHkgYWRkcyBvbmUgcmVwb3NpdG9yeSBjb3Zlcjsgam91cm5hbCBwYWdlcyBhcmUgdGV4dC1pZGVudGljYWwuIEV4dGVybmFsIHN1cHBsZW1lbnQgbm90IHJlcmV2aWV3ZWQ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pPr>
      <w:r>
        <w:t xml:space="preserve">Map pretreatment lesion number, largest and aggregate burden, segment/lobe distribution, vascular anatomy, regional/distant nodes and all extrahepatic sites. Record cirrhosis and the reason complete clearance by resection/ablation is not feasible with an adequate functional remnant.</w:t>
      </w:r>
    </w:p>
    <w:p>
      <w:pPr>
        <w:pStyle w:val="Normal"/>
        <w:widowControl/>
        <w:numPr>
          <w:ilvl w:val="0"/>
          <w:numId w:val="3"/>
        </w:numPr>
      </w:pPr>
      <w:r>
        <w:t xml:space="preserve">Require documented medical fitness, functional status, liver/renal reserve and ability to tolerate the proposed therapy. Age is a risk factor for multidisciplinary assessment, not a new national cutoff invented by this document.</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rPr>
          <w:color w:val="A8470A"/>
        </w:rPr>
        <w:pStyle w:val="Heading3"/>
        <w:keepNext/>
        <w:widowControl/>
      </w:pPr>
      <w:bookmarkStart w:id="1" w:name="iCCA_B1"/>
      <w:r>
        <w:rPr>
          <w:color w:val="A8470A"/>
        </w:rPr>
        <w:t xml:space="preserve">iCCA-B1 — Do we preserve separate small-cirrhotic and advanced-disease pathways?</w:t>
      </w:r>
      <w:bookmarkEnd w:id="1"/>
    </w:p>
    <w:p>
      <w:pPr>
        <w:rPr>
          <w:color w:val="A8470A"/>
        </w:rPr>
        <w:pStyle w:val="Heading3"/>
        <w:keepNext/>
        <w:widowControl/>
      </w:pPr>
      <w:r>
        <w:rPr>
          <w:color w:val="A8470A"/>
        </w:rPr>
        <w:t xml:space="preserve">Question and comparison</w:t>
      </w:r>
    </w:p>
    <w:p>
      <w:pPr>
        <w:pStyle w:val="Normal"/>
        <w:widowControl/>
        <w:spacing w:before="60" w:after="20"/>
      </w:pPr>
      <w:r>
        <w:t xml:space="preserve">For advanced liver-confined iCCA, how far may tumor burden, differentiation and histology be expanded beyond the small-cirrhotic pathway without treating experimental selection as guideline eligibility?</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Sapisochin 2016 · very early iCCA</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Mi0zXTwvRGlzcGxheVRleHQ+PHJlY29yZD48cmVjLW51bWJlcj4zPC9yZWMtbnVtYmVyPjxmb3JlaWduLWtleXM+PGtleSBhcHA9IkVOIiBkYi1pZD0iOTRlZmJiOTAtNjlkNy01YmI4LTg3NTctZGIwZWZkMGE2NGExIiB0aW1lc3RhbXA9IjE3OTI5MjEw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International retrospective explant-defined pure iCCA; 48 recipients, 15 very-early solitary ≤ 2 cm, 33 larger/multifocal.</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Hepatology 2016; 64: 1178–1188; Methods and very-early/advanced survival analyses; full PDF.</w:t>
            </w:r>
          </w:p>
          <w:p>
            <w:pPr>
              <w:pStyle w:val="Normal"/>
              <w:widowControl/>
              <w:spacing w:before="60" w:after="20"/>
            </w:pPr>
            <w:r>
              <w:t xml:space="preserve">Review depth: Local full PDF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post-LT OS 65% very-early versus 45% advanced; 5-year recurrence 18% versus 61%.</w:t>
            </w:r>
          </w:p>
          <w:p>
            <w:pPr>
              <w:pStyle w:val="Normal"/>
              <w:widowControl/>
              <w:spacing w:before="60" w:after="20"/>
            </w:pPr>
            <w:r>
              <w:rPr>
                <w:b/>
              </w:rPr>
              <w:t xml:space="preserve">Do not infer: </w:t>
            </w:r>
            <w:r>
              <w:t xml:space="preserve">Small retrospective pathological strata, not validation of ≤ 3 cm guidance or response-selected large disease. Preoperative sampling/recognition differs from known iCCA.</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2020</w:t>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Mi0xMV08L0Rpc3BsYXlUZXh0PjxyZWNvcmQ+PHJlYy1udW1iZXI+MTE8L3JlYy1udW1iZXI+PGZvcmVpZ24ta2V5cz48a2V5IGFwcD0iRU4iIGRiLWlkPSI5NGVmYmI5MC02OWQ3LTViYjgtODc1Ny1kYjBlZmQwYTY0YTEiIHRpbWVzdGFtcD0iMTc5MjkyMTA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pStyle w:val="Normal"/>
              <w:widowControl/>
              <w:spacing w:before="60" w:after="20"/>
            </w:pPr>
            <w:r>
              <w:t xml:space="preserve">Cirrhosis cohort: 49 LT (24 pure/25 mixed) versus 26 resections (20 pure/six mixed); largest nodule ≤5 cm, not cumulative burden ≤5 cm. All LT diagnoses were incidental: 44 presumed HCC and five cirrhosis.</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Complete 14-page Liver Transpl 2020; 26:785–798 PDF, Methods, pathology, OS/RFS and multivariable/subgroup tables.</w:t>
            </w:r>
          </w:p>
          <w:p>
            <w:pPr>
              <w:pStyle w:val="Normal"/>
              <w:widowControl/>
              <w:spacing w:before="60" w:after="20"/>
            </w:pPr>
            <w:r>
              <w:t xml:space="preserve">Review depth: Complete original Liver Transpl 2020; 26:785–798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surgery, five-year OS was 67% versus 40%, p=.17; RFS 75% versus 36%, p=.004; recurrence 9/49 versus 12/26. Overall adjusted LT recurrence HR was .54 (CI .15–1.92), p=.34; &gt;2–5-cm subgroup HR .23 (.07–.82), p=.02. Grade HR was 3.74 (1.71–8.17).</w:t>
            </w:r>
          </w:p>
          <w:p>
            <w:pPr>
              <w:pStyle w:val="Normal"/>
              <w:widowControl/>
              <w:spacing w:before="60" w:after="20"/>
            </w:pPr>
            <w:r>
              <w:rPr>
                <w:b/>
              </w:rPr>
              <w:t xml:space="preserve">Do not infer: </w:t>
            </w:r>
            <w:r>
              <w:t xml:space="preserve">No ITT denominator or demonstrated OS advantage; long differential waiting, incidental/explant-defined mixed histology and nodal understaging. Does not validate prospectively known 5-cm or advanced mixed disease.</w:t>
            </w:r>
          </w:p>
        </w:tc>
      </w:tr>
      <w:tr>
        <w:trPr/>
        <w:tc>
          <w:tcPr>
            <w:tcW w:w="3400" w:type="dxa"/>
            <w:tcMar>
              <w:top w:w="90" w:type="dxa"/>
              <w:left w:w="90" w:type="dxa"/>
              <w:bottom w:w="90" w:type="dxa"/>
              <w:right w:w="90" w:type="dxa"/>
            </w:tcMar>
          </w:tcPr>
          <w:p>
            <w:pPr>
              <w:pStyle w:val="Normal"/>
              <w:widowControl/>
              <w:spacing w:before="60" w:after="20"/>
            </w:pPr>
            <w:r>
              <w:rPr>
                <w:b/>
              </w:rPr>
              <w:t xml:space="preserve">Dageforde 2021</w:t>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Mi0xMl08L0Rpc3BsYXlUZXh0PjxyZWNvcmQ+PHJlYy1udW1iZXI+MTI8L3JlYy1udW1iZXI+PGZvcmVpZ24ta2V5cz48a2V5IGFwcD0iRU4iIGRiLWlkPSI5NGVmYmI5MC02OWQ3LTViYjgtODc1Ny1kYjBlZmQwYTY0YTEiIHRpbWVzdGFtcD0iMTc5MjkyMTA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Q29tcGxldGUgb3JpZ2luYWwgSiBBbSBDb2xsIFN1cmcgMjAyMTsgMjMyOjM2MSYjODIxMTszNzEgc3R1ZHkuIEJ5dGUtaWRlbnRpY2FsIHRvIFY3IFBERi4gTGFzdCBwYWdlIGFkZGl0aW9uYWxseSBzdGFydHMgYSBzZXBhcmF0ZSBpbnZpdGVkIGNvbW1lbnRhcnk7IHRoYXQgc2VwYXJhdGUgY29tbWVudGFyeSBpcyBpbmNvbXBsZXRlIGFuZCBpcyBub3QgY2xhaW1lZCBhcyByZXZpZXdlZCBpbiBmdWxs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p>
          <w:p>
            <w:pPr>
              <w:pStyle w:val="Normal"/>
              <w:widowControl/>
              <w:spacing w:before="60" w:after="20"/>
            </w:pPr>
            <w:r>
              <w:t xml:space="preserve">12 centers, 2009–2017; 3206 patients (2998 HCC/208 mixed), including 99 mixed LT and 109 mixed resections. Of mixed LT: 67 within Milan, 14 beyond Milan/within UCSF, 18 beyond UCSF. Burden classified from initial-diagnosis imaging. Only two of 99 were known mixed tumors preoperatively; most presumed HCC.</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Complete original J Am Coll Surg 2021; 232:361–371 PDF, Methods and Tables 1–4/subgroup figures. A separate commentary begins but is incomplete.</w:t>
            </w:r>
          </w:p>
          <w:p>
            <w:pPr>
              <w:pStyle w:val="Normal"/>
              <w:widowControl/>
              <w:spacing w:before="60" w:after="20"/>
            </w:pPr>
            <w:r>
              <w:t xml:space="preserve">Review depth: Complete original J Am Coll Surg 2021; 232:361–371 study. Byte-identical to V7 PDF. Last page additionally starts a separate invited commentary; that separate commentary is incomplete and is not claimed as reviewed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Initial-imaging within-Milan mixed LT five-year OS was 70.1%, with recurrence 23.1%; corresponding HCC values were 73.4%/11.5%. Mixed LT versus resection within Milan: OS 70.1% versus 49.7%, p=.078; recurrence 23.1% versus 45.7%, p=.009. Beyond UCSF, mixed LT OS was 15.8%. DFS was approximately 70% versus 33.6%; text 70.3% and Table 4 70.1% conflict, so avoid unqualified precision.</w:t>
            </w:r>
          </w:p>
          <w:p>
            <w:pPr>
              <w:pStyle w:val="Normal"/>
              <w:widowControl/>
              <w:spacing w:before="60" w:after="20"/>
            </w:pPr>
            <w:r>
              <w:rPr>
                <w:b/>
              </w:rPr>
              <w:t xml:space="preserve">Do not infer: </w:t>
            </w:r>
            <w:r>
              <w:t xml:space="preserve">Only 2/99 mixed LT diagnoses were known preoperatively; burden was classified at initial imaging, not an approved prospective known-mixed expansion. Do not generalize the overall benefit association to beyond-UCSF disease.</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Prospective institutional SYS-TARE pathway; 13 entered, 4 LT, 9 dropout.</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Transpl Int 2024; 37: 13641; Eligibility, Figure 1 and Results;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recipients alive without recurrence at 73, 40, 12, 8 months; dropouts: three unrecovered intrahepatic progression, four with extrahepatic disease, two occult nodes.</w:t>
            </w:r>
          </w:p>
          <w:p>
            <w:pPr>
              <w:pStyle w:val="Normal"/>
              <w:widowControl/>
              <w:spacing w:before="60" w:after="20"/>
            </w:pPr>
            <w:r>
              <w:rPr>
                <w:b/>
              </w:rPr>
              <w:t xml:space="preserve">Do not infer: </w:t>
            </w:r>
            <w:r>
              <w:t xml:space="preserve">Only 4 recipients; no validated maximum diameter or comparative proof of satellites being equivalent to a solitary tumor.</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yLTEzXTwvRGlzcGxheVRleHQ+PHJlY29yZD48cmVjLW51bWJlcj4xMzwvcmVjLW51bWJlcj48Zm9yZWlnbi1rZXlzPjxrZXkgYXBwPSJFTiIgZGItaWQ9Ijk0ZWZiYjkwLTY5ZDctNWJiOC04NzU3LWRiMGVmZDBhNjRhMSIgdGltZXN0YW1wPSIxNzkyOTIxMD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yLTE1XTwvRGlzcGxheVRleHQ+PHJlY29yZD48cmVjLW51bWJlcj4xNTwvcmVjLW51bWJlcj48Zm9yZWlnbi1rZXlzPjxrZXkgYXBwPSJFTiIgZGItaWQ9Ijk0ZWZiYjkwLTY5ZDctNWJiOC04NzU3LWRiMGVmZDBhNjRhMSIgdGltZXN0YW1wPSIxNzkyOTIxMD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Incidental small-cirrhotic iCCA/mixed cohorts are not prospective validation of known advanced disease. Advanced pure-iCCA cohorts demonstrate possible durable survival but also recurrence, occult nodes, positive margins and graft harms. Houston/TESLA/Sethi included some multifocal or poor-grade disease, so it is false to claim none has ever been transplanted; these small selected data do not validate safe expansion. The local initial G1–2, mass-forming/adjacent-satellite restriction is a conservative study choice, not a universal proven boundary. Preserve the separate small-cirrhotic mixed NLRB route. Read the ILTS–ILCA source in both places: Table 1 permits investigational liver-confined noncirrhotic iCCA after at least six months of stability (printed p823), while the discussion records lack of agreement on routine large/advanced/noncirrhotic LT (p827). The current depot contains the published version, not an accepted manuscript. NCCN BTC v1.2026 INTRA-1 footnote l uses &lt;3 cm for selected small single tumors, while NLRB guidance uses ≤3 cm. Exactly 3.0 cm is therefore a clinical-guideline/allocation discrepancy, not unanimous guideline endorsement; require measurement confirmation and an explicit committee decision.</w:t>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Mi0zXTwvRGlzcGxheVRleHQ+PHJlY29yZD48cmVjLW51bWJlcj4zPC9yZWMtbnVtYmVyPjxmb3JlaWduLWtleXM+PGtleSBhcHA9IkVOIiBkYi1pZD0iOTRlZmJiOTAtNjlkNy01YmI4LTg3NTctZGIwZWZkMGE2NGExIiB0aW1lc3RhbXA9IjE3OTI5MjEw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Mi0xMV08L0Rpc3BsYXlUZXh0PjxyZWNvcmQ+PHJlYy1udW1iZXI+MTE8L3JlYy1udW1iZXI+PGZvcmVpZ24ta2V5cz48a2V5IGFwcD0iRU4iIGRiLWlkPSI5NGVmYmI5MC02OWQ3LTViYjgtODc1Ny1kYjBlZmQwYTY0YTEiIHRpbWVzdGFtcD0iMTc5MjkyMTA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Mi0xMl08L0Rpc3BsYXlUZXh0PjxyZWNvcmQ+PHJlYy1udW1iZXI+MTI8L3JlYy1udW1iZXI+PGZvcmVpZ24ta2V5cz48a2V5IGFwcD0iRU4iIGRiLWlkPSI5NGVmYmI5MC02OWQ3LTViYjgtODc1Ny1kYjBlZmQwYTY0YTEiIHRpbWVzdGFtcD0iMTc5MjkyMTA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Q29tcGxldGUgb3JpZ2luYWwgSiBBbSBDb2xsIFN1cmcgMjAyMTsgMjMyOjM2MSYjODIxMTszNzEgc3R1ZHkuIEJ5dGUtaWRlbnRpY2FsIHRvIFY3IFBERi4gTGFzdCBwYWdlIGFkZGl0aW9uYWxseSBzdGFydHMgYSBzZXBhcmF0ZSBpbnZpdGVkIGNvbW1lbnRhcnk7IHRoYXQgc2VwYXJhdGUgY29tbWVudGFyeSBpcyBpbmNvbXBsZXRlIGFuZCBpcyBub3QgY2xhaW1lZCBhcyByZXZpZXdlZCBpbiBmdWxs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yLTEzXTwvRGlzcGxheVRleHQ+PHJlY29yZD48cmVjLW51bWJlcj4xMzwvcmVjLW51bWJlcj48Zm9yZWlnbi1rZXlzPjxrZXkgYXBwPSJFTiIgZGItaWQ9Ijk0ZWZiYjkwLTY5ZDctNWJiOC04NzU3LWRiMGVmZDBhNjRhMSIgdGltZXN0YW1wPSIxNzkyOTIxMD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yLTE1XTwvRGlzcGxheVRleHQ+PHJlY29yZD48cmVjLW51bWJlcj4xNTwvcmVjLW51bWJlcj48Zm9yZWlnbi1rZXlzPjxrZXkgYXBwPSJFTiIgZGItaWQ9Ijk0ZWZiYjkwLTY5ZDctNWJiOC04NzU3LWRiMGVmZDBhNjRhMSIgdGltZXN0YW1wPSIxNzkyOTIxMD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spacing w:before="60" w:after="20"/>
      </w:pPr>
      <w:r>
        <w:t xml:space="preserve">Houston included multifocal/G3 explants and TESLA intentionally enrolled extensive burden; therefore G1–2/unifocal restrictions are local conservatism, not universal trial criteria. Conversely, small mixed-tumor success does not rescue beyond-UCSF outcomes or validate advanced mixed inclusion. Negative limited biopsy cannot eliminate heterogeneous high-grade/mixed components.</w:t>
      </w:r>
    </w:p>
    <w:p>
      <w:pPr>
        <w:pStyle w:val="Normal"/>
        <w:widowControl/>
        <w:spacing w:before="60" w:after="20"/>
      </w:pPr>
      <w:r>
        <w:rPr>
          <w:b/>
        </w:rPr>
        <w:t xml:space="preserve">Certainty / applicability: </w:t>
      </w:r>
      <w:r>
        <w:t xml:space="preserve">Low for small retrospective cohorts; very low for benefit and optimal thresholds in advanced disease. No randomized advanced-iCCA LT comparison or validated universal diameter/lesion-count limit.</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GUIDANCE: current NLRB small-cirrhotic unresectable solitary iCCA/mixed ≤ 3 cm after 6 months stability is a separate reviewed-exception lane; AASLD candidate wording uses &lt; 3 cm. STUDY: SYS-TARE/Rennes use restricted burden; Houston/TESLA use broader burden. LOCAL: G1–2 and unifocal±adjacent satellites is a conservative first-study definition, not an evidence-proven optimum.</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“a single measurable lesion with or without associated peritumoral satellites”</w:t>
            </w:r>
          </w:p>
          <w:p>
            <w:pPr>
              <w:pStyle w:val="Normal"/>
              <w:widowControl/>
              <w:spacing w:before="60" w:after="20"/>
            </w:pPr>
            <w:r>
              <w:t xml:space="preserve">Published PDF pp2–3, Patients and Methods</w:t>
            </w:r>
          </w:p>
          <w:p>
            <w:pPr>
              <w:pStyle w:val="Normal"/>
              <w:widowControl/>
              <w:spacing w:before="60" w:after="20"/>
            </w:pPr>
            <w:hyperlink r:id="rId43">
              <w:r>
                <w:rPr>
                  <w:color w:val="77230C"/>
                  <w:sz w:val="20"/>
                  <w:u w:val="single"/>
                </w:rPr>
                <w:t>Source</w:t>
              </w:r>
            </w:hyperlink>
            <w:r>
              <w:t xml:space="preserve"> | </w:t>
            </w:r>
            <w:hyperlink r:id="rId4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narrower studied morphology; it does not prove a safe upper diameter.</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ILTS–ILCA consensus</w:t>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yLTldPC9EaXNwbGF5VGV4dD48cmVjb3JkPjxyZWMtbnVtYmVyPjk8L3JlYy1udW1iZXI+PGZvcmVpZ24ta2V5cz48a2V5IGFwcD0iRU4iIGRiLWlkPSI5NGVmYmI5MC02OWQ3LTViYjgtODc1Ny1kYjBlZmQwYTY0YTEiIHRpbWVzdGFtcD0iMTc5MjkyMTA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QdWJsaXNoZWQgdmVyc2lvbiBvZiByZWNvcmQsIExpdmVyIFRyYW5zcGxhbnRhdGlvbiAyMDI1OzMxOjgxNSYjODIxMTs4MzEuIENvbXBsZXRlIHJlY29tbWVuZGF0aW9uIHRhYmxlIGFuZCByZWxldmFudCBIQ0MvaUNDQSBkaXNjdXNzaW9uIHJldmlld2VkLCBjdXJyZW50IFBERiBwcDEmIzgyMTE7MTMuIFByaW9yIGNvcHkgYWRkcyBvbmUgcmVwb3NpdG9yeSBjb3Zlcjsgam91cm5hbCBwYWdlcyBhcmUgdGV4dC1pZGVudGljYWwuIEV4dGVybmFsIHN1cHBsZW1lbnQgbm90IHJlcmV2aWV3ZWQ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“no agreement was reached regarding LT in this population.”</w:t>
            </w:r>
          </w:p>
          <w:p>
            <w:pPr>
              <w:pStyle w:val="Normal"/>
              <w:widowControl/>
              <w:spacing w:before="60" w:after="20"/>
            </w:pPr>
            <w:r>
              <w:t xml:space="preserve">Published consensus, printed p827/current PDF p13 (prior repository-wrapped PDF p14); compare Table 1, printed pp822–823/current PDF pp8–9.</w:t>
            </w:r>
          </w:p>
          <w:p>
            <w:pPr>
              <w:pStyle w:val="Normal"/>
              <w:widowControl/>
              <w:spacing w:before="60" w:after="20"/>
            </w:pPr>
            <w:hyperlink r:id="rId45">
              <w:r>
                <w:rPr>
                  <w:color w:val="77230C"/>
                  <w:sz w:val="20"/>
                  <w:u w:val="single"/>
                </w:rPr>
                <w:t>Source</w:t>
              </w:r>
            </w:hyperlink>
            <w:r>
              <w:t xml:space="preserve"> | </w:t>
            </w:r>
            <w:hyperlink r:id="rId4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same consensus cautiously permits investigational noncirrhotic, unresectable, liver-confined iCCA after at least six months of stability in Table 1, while its discussion records no agreement on routine expansion. Both positions support study development, not routine approval.</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“a maximum diameter &lt; 3 cm”</w:t>
            </w:r>
          </w:p>
          <w:p>
            <w:pPr>
              <w:pStyle w:val="Normal"/>
              <w:widowControl/>
              <w:spacing w:before="60" w:after="20"/>
            </w:pPr>
            <w:r>
              <w:t xml:space="preserve">AASLD/AST candidate-evaluation manuscript PDF p8, statement 11</w:t>
            </w:r>
          </w:p>
          <w:p>
            <w:pPr>
              <w:pStyle w:val="Normal"/>
              <w:widowControl/>
              <w:spacing w:before="60" w:after="20"/>
            </w:pPr>
            <w:hyperlink r:id="rId47">
              <w:r>
                <w:rPr>
                  <w:color w:val="77230C"/>
                  <w:sz w:val="20"/>
                  <w:u w:val="single"/>
                </w:rPr>
                <w:t>Source</w:t>
              </w:r>
            </w:hyperlink>
            <w:r>
              <w:t xml:space="preserve"> | </w:t>
            </w:r>
            <w:hyperlink r:id="rId4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clinical recommendation uses a strict inequality. Its rationale discusses solitary disease in cirrhosis; this is not the advanced-study population.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before="60" w:after="20"/>
            </w:pPr>
            <w:r>
              <w:t xml:space="preserve">“less than or equal to 3 cm”</w:t>
            </w:r>
          </w:p>
          <w:p>
            <w:pPr>
              <w:pStyle w:val="Normal"/>
              <w:widowControl/>
              <w:spacing w:before="60" w:after="20"/>
            </w:pPr>
            <w:r>
              <w:t xml:space="preserve">December 2025 oncology guidance p8, iCCA initial/extension criteria</w:t>
            </w:r>
          </w:p>
          <w:p>
            <w:pPr>
              <w:pStyle w:val="Normal"/>
              <w:widowControl/>
              <w:spacing w:before="60" w:after="20"/>
            </w:pPr>
            <w:hyperlink r:id="rId49">
              <w:r>
                <w:rPr>
                  <w:color w:val="77230C"/>
                  <w:sz w:val="20"/>
                  <w:u w:val="single"/>
                </w:rPr>
                <w:t>Source</w:t>
              </w:r>
            </w:hyperlink>
            <w:r>
              <w:t xml:space="preserve"> | </w:t>
            </w:r>
            <w:hyperlink r:id="rId50">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Allocation guidance includes equality. Exactly 3.0 cm requires clinical adjudication; preserve the exact allocation wording instead of silently harmonizing it.</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Keep the small-cirrhotic pathway separate; define the initial advanced study by pure, favorable-grade, localized morphology rather than an invented size cap.</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</w:fldData>
        </w:fldChar>
      </w:r>
      <w:r>
        <w:instrText xml:space="preserve"> ADDIN EN.CITE.DATA </w:instrText>
      </w:r>
      <w:r>
        <w:fldChar w:fldCharType="end"/>
      </w:r>
      <w:r>
        <w:fldChar w:fldCharType="separate"/>
      </w:r>
      <w:r>
        <w:t xml:space="preserve">[V12-9]</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TYXBpc29jaGluPC9BdXRob3I+PFllYXI+MjAxNjwvWWVhcj48UmVjTnVtPjM8L1JlY051bT48RGlzcGxheVRleHQ+W1YxMi0zXTwvRGlzcGxheVRleHQ+PHJlY29yZD48cmVjLW51bWJlcj4zPC9yZWMtbnVtYmVyPjxmb3JlaWduLWtleXM+PGtleSBhcHA9IkVOIiBkYi1pZD0iOTRlZmJiOTAtNjlkNy01YmI4LTg3NTctZGIwZWZkMGE2NGExIiB0aW1lc3RhbXA9IjE3OTI5MjEwODUiPjM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ZSBNYXJ0aW48L0F1dGhvcj48WWVhcj4yMDIwPC9ZZWFyPjxSZWNOdW0+MTE8L1JlY051bT48RGlzcGxheVRleHQ+W1YxMi0xMV08L0Rpc3BsYXlUZXh0PjxyZWNvcmQ+PHJlYy1udW1iZXI+MTE8L3JlYy1udW1iZXI+PGZvcmVpZ24ta2V5cz48a2V5IGFwcD0iRU4iIGRiLWlkPSI5NGVmYmI5MC02OWQ3LTViYjgtODc1Ny1kYjBlZmQwYTY0YTEiIHRpbWVzdGFtcD0iMTc5MjkyMTA4NSI+MT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t xml:space="preserve"> </w:t>
      </w:r>
      <w:r>
        <w:fldChar w:fldCharType="begin"/>
      </w:r>
      <w:r>
        <w:instrText xml:space="preserve"> ADDIN EN.CITE </w:instrText>
      </w:r>
      <w:r>
        <w:fldChar w:fldCharType="begin">
          <w:fldData>PEVuZE5vdGU+PENpdGU+PEF1dGhvcj5EYWdlZm9yZGU8L0F1dGhvcj48WWVhcj4yMDIxPC9ZZWFyPjxSZWNOdW0+MTI8L1JlY051bT48RGlzcGxheVRleHQ+W1YxMi0xMl08L0Rpc3BsYXlUZXh0PjxyZWNvcmQ+PHJlYy1udW1iZXI+MTI8L3JlYy1udW1iZXI+PGZvcmVpZ24ta2V5cz48a2V5IGFwcD0iRU4iIGRiLWlkPSI5NGVmYmI5MC02OWQ3LTViYjgtODc1Ny1kYjBlZmQwYTY0YTEiIHRpbWVzdGFtcD0iMTc5MjkyMTA4NSI+MTI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Q29tcGxldGUgb3JpZ2luYWwgSiBBbSBDb2xsIFN1cmcgMjAyMTsgMjMyOjM2MSYjODIxMTszNzEgc3R1ZHkuIEJ5dGUtaWRlbnRpY2FsIHRvIFY3IFBERi4gTGFzdCBwYWdlIGFkZGl0aW9uYWxseSBzdGFydHMgYSBzZXBhcmF0ZSBpbnZpdGVkIGNvbW1lbnRhcnk7IHRoYXQgc2VwYXJhdGUgY29tbWVudGFyeSBpcyBpbmNvbXBsZXRlIGFuZCBpcyBub3QgY2xhaW1lZCBhcyByZXZpZXdlZCBpbiBmdWxs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yLTEzXTwvRGlzcGxheVRleHQ+PHJlY29yZD48cmVjLW51bWJlcj4xMzwvcmVjLW51bWJlcj48Zm9yZWlnbi1rZXlzPjxrZXkgYXBwPSJFTiIgZGItaWQ9Ijk0ZWZiYjkwLTY5ZDctNWJiOC04NzU3LWRiMGVmZDBhNjRhMSIgdGltZXN0YW1wPSIxNzkyOTIxMD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IZWlucmljaDwvQXV0aG9yPjxZZWFyPjIwMjY8L1llYXI+PFJlY051bT4xNTwvUmVjTnVtPjxEaXNwbGF5VGV4dD5bVjEyLTE1XTwvRGlzcGxheVRleHQ+PHJlY29yZD48cmVjLW51bWJlcj4xNTwvcmVjLW51bWJlcj48Zm9yZWlnbi1rZXlzPjxrZXkgYXBwPSJFTiIgZGItaWQ9Ijk0ZWZiYjkwLTY5ZDctNWJiOC04NzU3LWRiMGVmZDBhNjRhMSIgdGltZXN0YW1wPSIxNzkyOTIxMDg1Ij4xN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p>
    <w:p>
      <w:pPr>
        <w:pStyle w:val="Normal"/>
        <w:widowControl/>
        <w:numPr>
          <w:ilvl w:val="0"/>
          <w:numId w:val="3"/>
        </w:numPr>
      </w:pPr>
      <w:r>
        <w:t xml:space="preserve">Proposed advanced entry phenotype: pure iCCA, G1–2, one mass-forming focus with or without adjacent peritumoral satellites; no separate multifocal deposits across distinct segments.</w:t>
      </w:r>
    </w:p>
    <w:p>
      <w:pPr>
        <w:pStyle w:val="Normal"/>
        <w:widowControl/>
        <w:numPr>
          <w:ilvl w:val="1"/>
          <w:numId w:val="3"/>
        </w:numPr>
        <w:spacing w:before="60" w:after="20"/>
      </w:pPr>
      <w:r>
        <w:t xml:space="preserve">No universal 8 cm/three-lesion rule is adopted.</w:t>
      </w:r>
    </w:p>
    <w:p>
      <w:pPr>
        <w:pStyle w:val="Normal"/>
        <w:widowControl/>
        <w:numPr>
          <w:ilvl w:val="0"/>
          <w:numId w:val="3"/>
        </w:numPr>
      </w:pPr>
      <w:r>
        <w:t xml:space="preserve">Exclude known G3/poor differentiation, mixed HCC-iCCA, macroscopic tumor thrombus, proven malignant nodes, peritoneal or other extrahepatic disease from the initial advanced pilot.</w:t>
      </w:r>
    </w:p>
    <w:p>
      <w:pPr>
        <w:pStyle w:val="Normal"/>
        <w:widowControl/>
        <w:numPr>
          <w:ilvl w:val="1"/>
          <w:numId w:val="3"/>
        </w:numPr>
        <w:spacing w:before="60" w:after="20"/>
      </w:pPr>
      <w:r>
        <w:t xml:space="preserve">Negative core sampling cannot guarantee the whole tumor grade; record this limitation.</w:t>
      </w:r>
    </w:p>
    <w:p>
      <w:pPr>
        <w:pStyle w:val="Normal"/>
        <w:widowControl/>
        <w:numPr>
          <w:ilvl w:val="0"/>
          <w:numId w:val="3"/>
        </w:numPr>
      </w:pPr>
      <w:r>
        <w:t xml:space="preserve">Intrahepatic vascular encasement without tumor thrombus may be considered if complete explant/reconstruction is technically feasible.</w:t>
      </w:r>
    </w:p>
    <w:p>
      <w:pPr>
        <w:pStyle w:val="Normal"/>
        <w:widowControl/>
        <w:numPr>
          <w:ilvl w:val="1"/>
          <w:numId w:val="3"/>
        </w:numPr>
        <w:spacing w:before="60" w:after="20"/>
      </w:pPr>
      <w:r>
        <w:t xml:space="preserve">Larger size needs individualized technical/biological review, not an automatic permission.</w:t>
      </w:r>
    </w:p>
    <w:p>
      <w:pPr>
        <w:pStyle w:val="Normal"/>
        <w:widowControl/>
        <w:numPr>
          <w:ilvl w:val="0"/>
          <w:numId w:val="3"/>
        </w:numPr>
      </w:pPr>
      <w:r>
        <w:t xml:space="preserve">Do not apply the advanced-study mixed-histology exclusion to the separate NLRB small-cirrhotic route.</w:t>
      </w:r>
    </w:p>
    <w:p>
      <w:pPr>
        <w:pStyle w:val="Normal"/>
        <w:widowControl/>
        <w:numPr>
          <w:ilvl w:val="1"/>
          <w:numId w:val="3"/>
        </w:numPr>
        <w:spacing w:before="60" w:after="20"/>
      </w:pPr>
      <w:r>
        <w:t xml:space="preserve">Preserve ≤3 cm guidance wording and flag the exactly-3.0 cm clinical discrepancy with &lt;3 cm candidate-evaluation prose.</w:t>
      </w:r>
    </w:p>
    <w:p>
      <w:pPr>
        <w:pStyle w:val="Normal"/>
        <w:widowControl/>
        <w:numPr>
          <w:ilvl w:val="0"/>
          <w:numId w:val="3"/>
        </w:numPr>
      </w:pPr>
      <w:r>
        <w:t xml:space="preserve">Do not invent an 8-cm/three-lesion cap or imply that absence of a published cap equals unrestricted eligibility.</w:t>
      </w:r>
    </w:p>
    <w:p>
      <w:pPr>
        <w:pStyle w:val="Normal"/>
        <w:widowControl/>
        <w:numPr>
          <w:ilvl w:val="0"/>
          <w:numId w:val="3"/>
        </w:numPr>
      </w:pPr>
      <w:r>
        <w:t xml:space="preserve">Keep known G3, advanced mixed, diffuse separate multifocal disease, tumor thrombus, malignant nodes/EHD outside the proposed initial arm; record biopsy sampling and encasement-versus-thrombus uncertainty.</w:t>
      </w:r>
    </w:p>
    <w:p>
      <w:pPr>
        <w:pStyle w:val="Normal"/>
        <w:widowControl/>
        <w:numPr>
          <w:ilvl w:val="0"/>
          <w:numId w:val="3"/>
        </w:numPr>
      </w:pPr>
      <w:r>
        <w:t xml:space="preserve">For a solitary iCCA exactly 3.0 cm, document NCCN &lt;3 versus NLRB ≤3 wording, measurement certainty, disease biology and the separate clinical benefit judgment; allocation eligibility alone is insufficient.</w:t>
      </w:r>
    </w:p>
    <w:p>
      <w:pPr>
        <w:pStyle w:val="Normal"/>
        <w:widowControl/>
        <w:numPr>
          <w:ilvl w:val="1"/>
          <w:numId w:val="3"/>
        </w:numPr>
        <w:spacing w:before="60" w:after="20"/>
      </w:pPr>
      <w:r>
        <w:t xml:space="preserve">Record the local decision explicitly.</w:t>
      </w:r>
    </w:p>
    <w:p>
      <w:pPr>
        <w:pStyle w:val="Normal"/>
        <w:widowControl/>
        <w:spacing w:before="60" w:after="20"/>
      </w:pPr>
      <w:r>
        <w:rPr>
          <w:b/>
        </w:rPr>
        <w:t xml:space="preserve">Why retain or change it: </w:t>
      </w:r>
      <w:r>
        <w:t xml:space="preserve">OPEN: initial advanced study accepts biopsy-confirmed pure iCCA, G1–2 on expert review, one dominant measurable mass with only adjacent peritumoral satellites, not separate multisegment/diffuse deposits. Do not invent 8 cm or 3 lesion limits. Exclude known G3, mixed histology, macroscopic tumor thrombus, proven nodal, peritoneal or extrahepatic disease from this first arm; allow intrahepatic vessel encasement without thrombus only if resection and transplant technical reviews agree. Record sampled grade uncertainty and all lesions centrally. Create separately approved expansion cohorts if G3, multifocal or mixed disease is to be studied.</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Expert core-pathology review including pure versus mixed and grade; MRI/CT segment map; chest/systemic staging; nodal resolution; vascular thrombus versus encasement; resection review.</w:t>
      </w:r>
    </w:p>
    <w:p>
      <w:pPr>
        <w:pStyle w:val="Normal"/>
        <w:widowControl/>
        <w:spacing w:before="60" w:after="20"/>
      </w:pPr>
      <w:r>
        <w:rPr>
          <w:b/>
        </w:rPr>
        <w:t xml:space="preserve">Clinical versus allocation: </w:t>
      </w:r>
      <w:r>
        <w:t xml:space="preserve">Advanced noncirrhotic or larger disease does not inherit the small-cirrhotic favorable NLRB pathway. Organ-route and research decisions remain explicit.</w:t>
      </w:r>
    </w:p>
    <w:p>
      <w:pPr>
        <w:pStyle w:val="Normal"/>
        <w:widowControl/>
        <w:spacing w:before="60" w:after="20"/>
      </w:pPr>
      <w:r>
        <w:rPr>
          <w:b/>
        </w:rPr>
        <w:t xml:space="preserve">Roadmap / protocol reconciliation: </w:t>
      </w:r>
      <w:r>
        <w:t xml:space="preserve">Keep molecular profiling and conversion treatment from the iCCA roadmap; an actionable alteration is a treatment option, not a transplant biomarker.</w:t>
      </w:r>
    </w:p>
    <w:p>
      <w:pPr>
        <w:pStyle w:val="Normal"/>
        <w:widowControl/>
        <w:spacing w:before="60" w:after="20"/>
      </w:pPr>
      <w:hyperlink r:id="rId51">
        <w:r>
          <w:rPr>
            <w:color w:val="77230C"/>
            <w:sz w:val="20"/>
            <w:u w:val="single"/>
          </w:rPr>
          <w:t>Meeting record: iCCA-B1</w:t>
        </w:r>
      </w:hyperlink>
      <w:r>
        <w:t xml:space="preserve">  |  </w:t>
      </w:r>
      <w:hyperlink r:id="rId5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r>
        <w:rPr>
          <w:color w:val="A8470A"/>
        </w:rPr>
        <w:t xml:space="preserve">3.2 Findings that hold or stop this pathway</w:t>
      </w:r>
    </w:p>
    <w:p>
      <w:pPr>
        <w:pStyle w:val="Normal"/>
        <w:widowControl/>
        <w:numPr>
          <w:ilvl w:val="0"/>
          <w:numId w:val="3"/>
        </w:numPr>
      </w:pPr>
      <w:r>
        <w:t xml:space="preserve">Hold for uncertain primary or mixed histology, indeterminate nodes, unresolved distant lesions, unexplained marker rise or incomplete resectability review. Repeat imaging or targeted tissue assessment when it can resolve the decision.</w:t>
      </w:r>
    </w:p>
    <w:p>
      <w:pPr>
        <w:pStyle w:val="Normal"/>
        <w:widowControl/>
        <w:numPr>
          <w:ilvl w:val="0"/>
          <w:numId w:val="3"/>
        </w:numPr>
      </w:pPr>
      <w:r>
        <w:t xml:space="preserve">Active extrahepatic disease, malignant nodal/peritoneal staging or medical risk incompatible with LT stops this proposed liver-confined study route. Liver-only progression is handled by the OPEN iCCA-B2 hold/salvage rule. The initial iCCA-B1 proposal excludes G3/poor differentiation, mixed histology and macroscopic tumor thrombus; a broader arm is not activated.</w:t>
      </w:r>
    </w:p>
    <w:p>
      <w:pPr>
        <w:rPr>
          <w:color w:val="A8470A"/>
        </w:rPr>
        <w:pStyle w:val="Heading2"/>
        <w:keepNext/>
        <w:widowControl/>
      </w:pPr>
      <w:r>
        <w:rPr>
          <w:color w:val="A8470A"/>
        </w:rPr>
        <w:t xml:space="preserve">4 Pretreatment workup</w:t>
      </w:r>
    </w:p>
    <w:p>
      <w:pPr>
        <w:pStyle w:val="Normal"/>
        <w:widowControl/>
        <w:numPr>
          <w:ilvl w:val="0"/>
          <w:numId w:val="3"/>
        </w:numPr>
      </w:pPr>
      <w:r>
        <w:t xml:space="preserve">Order liver-protocol CT/MRI and chest imaging; obtain CBC, liver chemistry, bilirubin, albumin, INR, creatinine, CA19-9 and CEA, with infection/obstruction and nonsecretor context. Complete standard transplant fitness assessment if a clinically justified transplant evaluation is proceeding.</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pPr>
      <w:r>
        <w:t xml:space="preserve">Use PET/CT and directed nodal assessment when appropriate for metastatic exclusion; a negative study cannot certify absence of microscopic disease. A mandatory repeated PET schedule is not a validated stand-alone transplant gate.</w:t>
      </w:r>
    </w:p>
    <w:p>
      <w:pPr>
        <w:pStyle w:val="Normal"/>
        <w:widowControl/>
        <w:numPr>
          <w:ilvl w:val="0"/>
          <w:numId w:val="3"/>
        </w:numPr>
      </w:pPr>
      <w:r>
        <w:t xml:space="preserve">Obtain molecular profiling appropriate for iCCA treatment choices and trial access. Record any assay/biopsy limitations. ctDNA may be collected under a defined correlative protocol but is not a required negative test for listing.</w:t>
      </w:r>
    </w:p>
    <w:p>
      <w:pPr>
        <w:pStyle w:val="Normal"/>
        <w:widowControl/>
        <w:numPr>
          <w:ilvl w:val="0"/>
          <w:numId w:val="3"/>
        </w:numPr>
      </w:pPr>
      <w:r>
        <w:t xml:space="preserve">Have HPB surgery, oncology and IR document resection, ablation, HAI and other liver-directed options. Before HAI or arterial therapy, review hepatic arterial anatomy and possible future reconstruction with the transplant surgeon. Do not imply that all HAI placement makes LT infeasible.</w:t>
      </w:r>
    </w:p>
    <w:p>
      <w:pPr>
        <w:rPr>
          <w:color w:val="A8470A"/>
        </w:rPr>
        <w:pStyle w:val="Heading2"/>
        <w:keepNext/>
        <w:widowControl/>
      </w:pPr>
      <w:r>
        <w:rPr>
          <w:color w:val="A8470A"/>
        </w:rPr>
        <w:t xml:space="preserve">5 Neoadjuvant therapy and reassessment</w:t>
      </w:r>
    </w:p>
    <w:p>
      <w:pPr>
        <w:rPr>
          <w:color w:val="A8470A"/>
        </w:rPr>
        <w:pStyle w:val="Heading1"/>
        <w:widowControl/>
        <w:keepNext/>
      </w:pPr>
      <w:r>
        <w:rPr>
          <w:color w:val="A8470A"/>
        </w:rPr>
        <w:t xml:space="preserve">V12 evidence-integrated treatment and reassessment</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rPr>
          <w:color w:val="A8470A"/>
        </w:rPr>
        <w:pStyle w:val="Heading2"/>
        <w:widowControl/>
        <w:keepNext/>
      </w:pPr>
      <w:r>
        <w:rPr>
          <w:color w:val="A8470A"/>
        </w:rP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fldChar w:fldCharType="begin"/>
      </w:r>
      <w:r>
        <w:instrText xml:space="preserve"> ADDIN EN.CITE </w:instrText>
      </w:r>
      <w:r>
        <w:fldChar w:fldCharType="begin">
          <w:fldData>PEVuZE5vdGU+PENpdGU+PEF1dGhvcj5TaHJvZmYgUlQ8L0F1dGhvcj48WWVhcj4yMDI2PC9ZZWFyPjxSZWNOdW0+MTc8L1JlY051bT48RGlzcGxheVRleHQ+W1YxMi0xN108L0Rpc3BsYXlUZXh0PjxyZWNvcmQ+PHJlYy1udW1iZXI+MTc8L3JlYy1udW1iZXI+PGZvcmVpZ24ta2V5cz48a2V5IGFwcD0iRU4iIGRiLWlkPSI5NGVmYmI5MC02OWQ3LTViYjgtODc1Ny1kYjBlZmQwYTY0YTEiIHRpbWVzdGFtcD0iMTc5MjkyMTA4NSI+MTc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[V12-17]</w:t>
      </w:r>
      <w:r>
        <w:fldChar w:fldCharType="end"/>
      </w:r>
      <w:r>
        <w:br/>
      </w:r>
      <w:hyperlink r:id="rId194">
        <w:r>
          <w:rPr>
            <w:color w:val="0563C1"/>
            <w:u w:val="single"/>
          </w:rPr>
          <w:t>Source</w:t>
        </w:r>
      </w:hyperlink>
      <w:r>
        <w:t xml:space="preserve"> · </w:t>
      </w:r>
      <w:hyperlink r:id="rId195">
        <w:r>
          <w:rPr>
            <w:color w:val="0563C1"/>
            <w:u w:val="single"/>
          </w:rPr>
          <w:t>PDF</w:t>
        </w:r>
      </w:hyperlink>
    </w:p>
    <w:p>
      <w:pPr>
        <w:rPr>
          <w:color w:val="A8470A"/>
        </w:rPr>
        <w:pStyle w:val="Heading2"/>
        <w:widowControl/>
        <w:keepNext/>
      </w:pPr>
      <w:r>
        <w:rPr>
          <w:color w:val="A8470A"/>
        </w:rP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fldChar w:fldCharType="begin"/>
      </w:r>
      <w:r>
        <w:instrText xml:space="preserve"> ADDIN EN.CITE </w:instrText>
      </w:r>
      <w:r>
        <w:fldChar w:fldCharType="begin">
          <w:fldData>PEVuZE5vdGU+PENpdGU+PEF1dGhvcj5Wb2dlbCBBPC9BdXRob3I+PFllYXI+MjAyNDwvWWVhcj48UmVjTnVtPjE4PC9SZWNOdW0+PERpc3BsYXlUZXh0PltWMTItMThdPC9EaXNwbGF5VGV4dD48cmVjb3JkPjxyZWMtbnVtYmVyPjE4PC9yZWMtbnVtYmVyPjxmb3JlaWduLWtleXM+PGtleSBhcHA9IkVOIiBkYi1pZD0iOTRlZmJiOTAtNjlkNy01YmI4LTg3NTctZGIwZWZkMGE2NGExIiB0aW1lc3RhbXA9IjE3OTI5MjEwODUiPjE4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[V12-18]</w:t>
      </w:r>
      <w:r>
        <w:fldChar w:fldCharType="end"/>
      </w:r>
      <w:r>
        <w:br/>
      </w:r>
      <w:hyperlink r:id="rId196">
        <w:r>
          <w:rPr>
            <w:color w:val="0563C1"/>
            <w:u w:val="single"/>
          </w:rPr>
          <w:t>Source</w:t>
        </w:r>
      </w:hyperlink>
      <w:r>
        <w:t xml:space="preserve"> · </w:t>
      </w:r>
      <w:hyperlink r:id="rId197">
        <w:r>
          <w:rPr>
            <w:color w:val="0563C1"/>
            <w:u w:val="single"/>
          </w:rPr>
          <w:t>PDF</w:t>
        </w:r>
      </w:hyperlink>
    </w:p>
    <w:p>
      <w:pPr>
        <w:rPr>
          <w:color w:val="A8470A"/>
        </w:rPr>
        <w:pStyle w:val="Heading2"/>
        <w:widowControl/>
        <w:keepNext/>
      </w:pPr>
      <w:r>
        <w:rPr>
          <w:color w:val="A8470A"/>
        </w:rP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fldChar w:fldCharType="begin"/>
      </w:r>
      <w:r>
        <w:instrText xml:space="preserve"> ADDIN EN.CITE </w:instrText>
      </w:r>
      <w:r>
        <w:fldChar w:fldCharType="begin">
          <w:fldData>PEVuZE5vdGU+PENpdGU+PEF1dGhvcj5Lb2JheWFzaGkgUzwvQXV0aG9yPjxZZWFyPjIwMTg8L1llYXI+PFJlY051bT4xOTwvUmVjTnVtPjxEaXNwbGF5VGV4dD5bVjEyLTE5XTwvRGlzcGxheVRleHQ+PHJlY29yZD48cmVjLW51bWJlcj4xOTwvcmVjLW51bWJlcj48Zm9yZWlnbi1rZXlzPjxrZXkgYXBwPSJFTiIgZGItaWQ9Ijk0ZWZiYjkwLTY5ZDctNWJiOC04NzU3LWRiMGVmZDBhNjRhMSIgdGltZXN0YW1wPSIxNzkyOTIxMDg1Ij4xOT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[V12-19]</w:t>
      </w:r>
      <w:r>
        <w:fldChar w:fldCharType="end"/>
      </w:r>
      <w:r>
        <w:br/>
      </w:r>
      <w:hyperlink r:id="rId198">
        <w:r>
          <w:rPr>
            <w:color w:val="0563C1"/>
            <w:u w:val="single"/>
          </w:rPr>
          <w:t>Source</w:t>
        </w:r>
      </w:hyperlink>
      <w:r>
        <w:t xml:space="preserve"> · </w:t>
      </w:r>
      <w:hyperlink r:id="rId199">
        <w:r>
          <w:rPr>
            <w:color w:val="0563C1"/>
            <w:u w:val="single"/>
          </w:rPr>
          <w:t>PDF</w:t>
        </w:r>
      </w:hyperlink>
    </w:p>
    <w:p>
      <w:pPr>
        <w:pStyle w:val="Normal"/>
        <w:widowControl/>
        <w:spacing w:after="120"/>
      </w:pPr>
      <w:r>
        <w:t xml:space="preserve">Treatment comparisons and detailed regimen evidence: </w:t>
      </w:r>
      <w:hyperlink r:id="rId193">
        <w:r>
          <w:rPr>
            <w:color w:val="0563C1"/>
            <w:u w:val="single"/>
          </w:rPr>
          <w:t>Cross-tumor systemic matrix</w:t>
        </w:r>
      </w:hyperlink>
    </w:p>
    <w:p>
      <w:pPr>
        <w:rPr>
          <w:color w:val="A8470A"/>
        </w:rPr>
        <w:pStyle w:val="Heading3"/>
        <w:keepNext/>
        <w:widowControl/>
      </w:pPr>
      <w:r>
        <w:rPr>
          <w:color w:val="A8470A"/>
        </w:rPr>
        <w:t xml:space="preserve">5.1 Select a disease treatment plan without assuming transplant efficacy</w:t>
      </w:r>
    </w:p>
    <w:p>
      <w:pPr>
        <w:pStyle w:val="Normal"/>
        <w:widowControl/>
        <w:numPr>
          <w:ilvl w:val="0"/>
          <w:numId w:val="3"/>
        </w:numPr>
      </w:pPr>
      <w:r>
        <w:t xml:space="preserve">Choose systemic treatment through the biliary oncology MDT and the corresponding cancer roadmap. Record regimen, dose intensity, toxicity, planned restaging and alternatives. Therapy is intended to control disease and test biology; transplant is not promised if imaging improves.</w:t>
      </w:r>
    </w:p>
    <w:p>
      <w:pPr>
        <w:pStyle w:val="Normal"/>
        <w:widowControl/>
        <w:numPr>
          <w:ilvl w:val="0"/>
          <w:numId w:val="3"/>
        </w:numPr>
      </w:pPr>
      <w:r>
        <w:t xml:space="preserve">Do not make gemcitabine/cisplatin/nab-paclitaxel the preferred intensification regimen. SWOG S1815 did not show a significant OS improvement over gemcitabine/cisplatin and added toxicity in advanced biliary cancer.</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Mi0yMF08L0Rpc3BsYXlUZXh0PjxyZWNvcmQ+PHJlYy1udW1iZXI+MjA8L3JlYy1udW1iZXI+PGZvcmVpZ24ta2V5cz48a2V5IGFwcD0iRU4iIGRiLWlkPSI5NGVmYmI5MC02OWQ3LTViYjgtODc1Ny1kYjBlZmQwYTY0YTEiIHRpbWVzdGFtcD0iMTc5MjkyMTA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pPr>
      <w:r>
        <w:t xml:space="preserve">The GOLP randomized trial enrolled resectable high-risk iCCA. Conversion studies such as TransGOLP address a different population; neither establishes LT efficacy or post-LT ICI safety. Do not copy an 80% response claim or a transplant eligibility rule from these studies.</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Mi0yMV08L0Rpc3BsYXlUZXh0PjxyZWNvcmQ+PHJlYy1udW1iZXI+MjE8L3JlYy1udW1iZXI+PGZvcmVpZ24ta2V5cz48a2V5IGFwcD0iRU4iIGRiLWlkPSI5NGVmYmI5MC02OWQ3LTViYjgtODc1Ny1kYjBlZmQwYTY0YTEiIHRpbWVzdGFtcD0iMTc5MjkyMTA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</w:fldData>
        </w:fldChar>
      </w:r>
      <w:r>
        <w:instrText xml:space="preserve"> ADDIN EN.CITE.DATA </w:instrText>
      </w:r>
      <w:r>
        <w:fldChar w:fldCharType="end"/>
      </w:r>
      <w:r>
        <w:fldChar w:fldCharType="separate"/>
      </w:r>
      <w:r>
        <w:t xml:space="preserve">[V12-22]</w:t>
      </w:r>
      <w:r>
        <w:fldChar w:fldCharType="end"/>
      </w:r>
    </w:p>
    <w:p>
      <w:pPr>
        <w:pStyle w:val="Normal"/>
        <w:widowControl/>
        <w:numPr>
          <w:ilvl w:val="0"/>
          <w:numId w:val="3"/>
        </w:numPr>
      </w:pPr>
      <w:r>
        <w:t xml:space="preserve">Consider HAI or other liver-directed therapy according to expertise, anatomy and treatment goals, with explicit conversion-to-resection review. No Y90 dose, radiation schedule or modality is mandatory as a universal LT bridge.</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yLTIzXTwvRGlzcGxheVRleHQ+PHJlY29yZD48cmVjLW51bWJlcj4yMzwvcmVjLW51bWJlcj48Zm9yZWlnbi1rZXlzPjxrZXkgYXBwPSJFTiIgZGItaWQ9Ijk0ZWZiYjkwLTY5ZDctNWJiOC04NzU3LWRiMGVmZDBhNjRhMSIgdGltZXN0YW1wPSIxNzkyOTIxMD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rPr>
          <w:color w:val="A8470A"/>
        </w:rPr>
        <w:pStyle w:val="Heading3"/>
        <w:keepNext/>
        <w:widowControl/>
      </w:pPr>
      <w:r>
        <w:rPr>
          <w:color w:val="A8470A"/>
        </w:rPr>
        <w:t xml:space="preserve">5.2 Define response and time under observation</w:t>
      </w:r>
    </w:p>
    <w:p>
      <w:pPr>
        <w:pStyle w:val="Normal"/>
        <w:widowControl/>
        <w:numPr>
          <w:ilvl w:val="0"/>
          <w:numId w:val="3"/>
        </w:numPr>
      </w:pPr>
      <w:r>
        <w:t xml:space="preserve">OPEN proposed advanced-disease rule: at least six consecutive months of response/stability on the effective treatment strategy after the most recent confirmed progression. Toxicity-driven changes with continuous control need not reset the clock; one liver-only salvage re-entry may be proposed under iCCA-B2. This is not proof that six months guarantees favorable biology.</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For the small-cirrhotic exception route, apply the current NLRB six-month stability wording and required lesion/no-new-disease conditions; document diagnosis, every treatment date and the allocation coordinator’s interval determination. Do not silently substitute the advanced-study clock.</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Proposed local schedule: contrast CT/MRI approximately every eight weeks during active therapy, with chest restaging and CA19-9 about every four weeks. Use RECIST 1.1 with original site mapping; mRECIST is not a validated iCCA LT eligibility system. Review earlier for symptoms, biochemical concern or toxicity.</w:t>
      </w:r>
    </w:p>
    <w:p>
      <w:pPr>
        <w:pStyle w:val="Normal"/>
        <w:widowControl/>
        <w:numPr>
          <w:ilvl w:val="0"/>
          <w:numId w:val="3"/>
        </w:numPr>
      </w:pPr>
      <w:r>
        <w:t xml:space="preserve">If ICI was given, record agent/last dose, immune toxicity and treatment, proposed interval, residual rejection risk and a graft-safety plan. An approximately 90-day planning safeguard is not a proven CCA-specific safe cutoff. Do not infer safety from a small selected series with internally inconsistent aggregate and case-level rejection reporting.</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yLTI0XTwvRGlzcGxheVRleHQ+PHJlY29yZD48cmVjLW51bWJlcj4yNDwvcmVjLW51bWJlcj48Zm9yZWlnbi1rZXlzPjxrZXkgYXBwPSJFTiIgZGItaWQ9Ijk0ZWZiYjkwLTY5ZDctNWJiOC04NzU3LWRiMGVmZDBhNjRhMSIgdGltZXN0YW1wPSIxNzkyOTIxMDg1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r>
        <w:t xml:space="preserve"> </w:t>
      </w:r>
      <w:r>
        <w:t xml:space="preserve"> </w:t>
      </w:r>
      <w:r>
        <w:fldChar w:fldCharType="begin"/>
      </w:r>
      <w:r>
        <w:instrText xml:space="preserve"> ADDIN EN.CITE </w:instrText>
      </w:r>
      <w:r>
        <w:fldChar w:fldCharType="begin">
          <w:fldData>PEVuZE5vdGU+PENpdGU+PEF1dGhvcj5Nb2Vja2xpPC9BdXRob3I+PFllYXI+MjAyNTwvWWVhcj48UmVjTnVtPjI1PC9SZWNOdW0+PERpc3BsYXlUZXh0PltWMTItMjVdPC9EaXNwbGF5VGV4dD48cmVjb3JkPjxyZWMtbnVtYmVyPjI1PC9yZWMtbnVtYmVyPjxmb3JlaWduLWtleXM+PGtleSBhcHA9IkVOIiBkYi1pZD0iOTRlZmJiOTAtNjlkNy01YmI4LTg3NTctZGIwZWZkMGE2NGExIiB0aW1lc3RhbXA9IjE3OTI5MjEwODUiPjI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[V12-25]</w:t>
      </w:r>
      <w:r>
        <w:fldChar w:fldCharType="end"/>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ItMjZdPC9EaXNwbGF5VGV4dD48cmVjb3JkPjxyZWMtbnVtYmVyPjI2PC9yZWMtbnVtYmVyPjxmb3JlaWduLWtleXM+PGtleSBhcHA9IkVOIiBkYi1pZD0iOTRlZmJiOTAtNjlkNy01YmI4LTg3NTctZGIwZWZkMGE2NGExIiB0aW1lc3RhbXA9IjE3OTI5MjEw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p>
    <w:p>
      <w:pPr>
        <w:rPr>
          <w:color w:val="A8470A"/>
        </w:rPr>
        <w:pStyle w:val="Heading3"/>
        <w:keepNext/>
        <w:widowControl/>
      </w:pPr>
      <w:bookmarkStart w:id="2" w:name="iCCA_B2"/>
      <w:r>
        <w:rPr>
          <w:color w:val="A8470A"/>
        </w:rPr>
        <w:t xml:space="preserve">iCCA-B2 — What does sustained control have to prove before transplant activation?</w:t>
      </w:r>
      <w:bookmarkEnd w:id="2"/>
    </w:p>
    <w:p>
      <w:pPr>
        <w:rPr>
          <w:color w:val="A8470A"/>
        </w:rPr>
        <w:pStyle w:val="Heading3"/>
        <w:keepNext/>
        <w:widowControl/>
      </w:pPr>
      <w:r>
        <w:rPr>
          <w:color w:val="A8470A"/>
        </w:rPr>
        <w:t xml:space="preserve">Question and comparison</w:t>
      </w:r>
    </w:p>
    <w:p>
      <w:pPr>
        <w:pStyle w:val="Normal"/>
        <w:widowControl/>
        <w:spacing w:before="60" w:after="20"/>
      </w:pPr>
      <w:r>
        <w:t xml:space="preserve">What disease-control duration, imaging definition and salvage re-entry rule should govern listing or activation for advanced iCCA while preserving conversion-to-resection opportunities?</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Prospective case series: 21 referrals, 12 accepted and six LT recipients.</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Lancet Gastroenterol Hepatol 2018; 3: 337–348; Eligibility/Protocol, Table 1 and Figure 2; full local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diagnosis-to-LT interval 26 months. Post-LT 1-/3-/5-year OS 100%/83.3%/83.3%; five-year CI 27.3–97.5. Three of six recurred, median 7.6 months; RFS 50%.</w:t>
            </w:r>
          </w:p>
          <w:p>
            <w:pPr>
              <w:pStyle w:val="Normal"/>
              <w:widowControl/>
              <w:spacing w:before="60" w:after="20"/>
            </w:pPr>
            <w:r>
              <w:rPr>
                <w:b/>
              </w:rPr>
              <w:t xml:space="preserve">Do not infer: </w:t>
            </w:r>
            <w:r>
              <w:t xml:space="preserve">Six highly selected recipients, wide intervals and substantial pre-LT survival. Does not establish six months as optimal or one salvage line as the maximum.</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SYS-TARE 2024</w:t>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Thirteen entrants; four LT recipients.</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Transpl Int 2024; Protocol, restaging and individual-recipient tables; full PDF.</w:t>
            </w:r>
          </w:p>
          <w:p>
            <w:pPr>
              <w:pStyle w:val="Normal"/>
              <w:widowControl/>
              <w:spacing w:before="60" w:after="20"/>
            </w:pPr>
            <w:r>
              <w:t xml:space="preserve">Review depth: Full text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four recipients had RECIST stable disease and Choi response, with median density reduction 52.5%. One FGFR 2-targeted pemigatinib rescue reached LT. Two of six staged patients had positive nodes.</w:t>
            </w:r>
          </w:p>
          <w:p>
            <w:pPr>
              <w:pStyle w:val="Normal"/>
              <w:widowControl/>
              <w:spacing w:before="60" w:after="20"/>
            </w:pPr>
            <w:r>
              <w:rPr>
                <w:b/>
              </w:rPr>
              <w:t xml:space="preserve">Do not infer: </w:t>
            </w:r>
            <w:r>
              <w:t xml:space="preserve">One rescue does not validate a general reset rule. PET-negative imaging cannot replace pathological staging.</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yLTEzXTwvRGlzcGxheVRleHQ+PHJlY29yZD48cmVjLW51bWJlcj4xMzwvcmVjLW51bWJlcj48Zm9yZWlnbi1rZXlzPjxrZXkgYXBwPSJFTiIgZGItaWQ9Ijk0ZWZiYjkwLTY5ZDctNWJiOC04NzU3LWRiMGVmZDBhNjRhMSIgdGltZXN0YW1wPSIxNzkyOTIxMD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Two-center retrospective: 1, 407 total iCCA, 327 advanced liver-confined; 180 progressed/died before six months, 47 converted to resection, 39 potentially LT-eligible.</w:t>
            </w:r>
          </w:p>
          <w:p>
            <w:pPr>
              <w:pStyle w:val="Normal"/>
              <w:widowControl/>
              <w:spacing w:before="60" w:after="20"/>
            </w:pPr>
            <w:hyperlink r:id="rId63">
              <w:r>
                <w:rPr>
                  <w:color w:val="77230C"/>
                  <w:sz w:val="20"/>
                  <w:u w:val="single"/>
                </w:rPr>
                <w:t>Primary source</w:t>
              </w:r>
            </w:hyperlink>
            <w:r>
              <w:t xml:space="preserve"> | </w:t>
            </w:r>
            <w:hyperlink r:id="rId64">
              <w:r>
                <w:rPr>
                  <w:color w:val="77230C"/>
                  <w:sz w:val="20"/>
                  <w:u w:val="single"/>
                </w:rPr>
                <w:t>Full-text PDF</w:t>
              </w:r>
            </w:hyperlink>
          </w:p>
          <w:p>
            <w:pPr>
              <w:pStyle w:val="Normal"/>
              <w:widowControl/>
              <w:spacing w:before="60" w:after="20"/>
            </w:pPr>
            <w:r>
              <w:t xml:space="preserve">Locator: Ann Surg Oncol 2026; survival methods, Results and Table 2; full PDF.</w:t>
            </w:r>
          </w:p>
          <w:p>
            <w:pPr>
              <w:pStyle w:val="Normal"/>
              <w:widowControl/>
              <w:spacing w:before="60" w:after="20"/>
            </w:pPr>
            <w:r>
              <w:t xml:space="preserve">Review depth: Original full PDF methods/results/Table 2 checked; diagnosis and six-month-landmark clocks distinguished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survival 39 months from diagnosis; 3-/5-year survival 46%/26% from the six-month estimated-eligibility landmark.</w:t>
            </w:r>
          </w:p>
          <w:p>
            <w:pPr>
              <w:pStyle w:val="Normal"/>
              <w:widowControl/>
              <w:spacing w:before="60" w:after="20"/>
            </w:pPr>
            <w:r>
              <w:rPr>
                <w:b/>
              </w:rPr>
              <w:t xml:space="preserve">Do not infer: </w:t>
            </w:r>
            <w:r>
              <w:t xml:space="preserve">Favorable biology selects survivors before any LT. Historical 2008–2018 cohort, not a randomized treatment comparison.</w:t>
            </w:r>
          </w:p>
        </w:tc>
      </w:tr>
      <w:tr>
        <w:trPr/>
        <w:tc>
          <w:tcPr>
            <w:tcW w:w="3400" w:type="dxa"/>
            <w:tcMar>
              <w:top w:w="90" w:type="dxa"/>
              <w:left w:w="90" w:type="dxa"/>
              <w:bottom w:w="90" w:type="dxa"/>
              <w:right w:w="90" w:type="dxa"/>
            </w:tcMar>
          </w:tcPr>
          <w:p>
            <w:pPr>
              <w:pStyle w:val="Normal"/>
              <w:widowControl/>
              <w:spacing w:before="60" w:after="20"/>
            </w:pPr>
            <w:r>
              <w:rPr>
                <w:b/>
              </w:rPr>
              <w:t xml:space="preserve">PUMP-2</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yLTIzXTwvRGlzcGxheVRleHQ+PHJlY29yZD48cmVjLW51bWJlcj4yMzwvcmVjLW51bWJlcj48Zm9yZWlnbi1rZXlzPjxrZXkgYXBwPSJFTiIgZGItaWQ9Ijk0ZWZiYjkwLTY5ZDctNWJiOC04NzU3LWRiMGVmZDBhNjRhMSIgdGltZXN0YW1wPSIxNzkyOTIxMD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p>
          <w:p>
            <w:pPr>
              <w:pStyle w:val="Normal"/>
              <w:widowControl/>
              <w:spacing w:before="60" w:after="20"/>
            </w:pPr>
            <w:r>
              <w:t xml:space="preserve">Prospective phase II: 50 pump placements, 48 received FUDR, 37 concurrent GemCis.</w:t>
            </w:r>
          </w:p>
          <w:p>
            <w:pPr>
              <w:pStyle w:val="Normal"/>
              <w:widowControl/>
              <w:spacing w:before="60" w:after="20"/>
            </w:pPr>
            <w:hyperlink r:id="rId65">
              <w:r>
                <w:rPr>
                  <w:color w:val="77230C"/>
                  <w:sz w:val="20"/>
                  <w:u w:val="single"/>
                </w:rPr>
                <w:t>Primary source</w:t>
              </w:r>
            </w:hyperlink>
            <w:r>
              <w:t xml:space="preserve"> | </w:t>
            </w:r>
            <w:hyperlink r:id="rId66">
              <w:r>
                <w:rPr>
                  <w:color w:val="77230C"/>
                  <w:sz w:val="20"/>
                  <w:u w:val="single"/>
                </w:rPr>
                <w:t>Full-text PDF</w:t>
              </w:r>
            </w:hyperlink>
          </w:p>
          <w:p>
            <w:pPr>
              <w:pStyle w:val="Normal"/>
              <w:widowControl/>
              <w:spacing w:before="60" w:after="20"/>
            </w:pPr>
            <w:r>
              <w:t xml:space="preserve">Locator: JCO 2026; PUMP-2 Methods/Results; full PDF.</w:t>
            </w:r>
          </w:p>
          <w:p>
            <w:pPr>
              <w:pStyle w:val="Normal"/>
              <w:widowControl/>
              <w:spacing w:before="60" w:after="20"/>
            </w:pPr>
            <w:r>
              <w:t xml:space="preserve">Review depth: Complete local publisher PDF inspected; methods, results and toxicity extracted; V6 abstract-only label corrected.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Partial response 44%, disease control at six months 84%; five resected, one pathological complete response. Median survival 22.3 months, three-year 31.5%.</w:t>
            </w:r>
          </w:p>
          <w:p>
            <w:pPr>
              <w:pStyle w:val="Normal"/>
              <w:widowControl/>
              <w:spacing w:before="60" w:after="20"/>
            </w:pPr>
            <w:r>
              <w:rPr>
                <w:b/>
              </w:rPr>
              <w:t xml:space="preserve">Do not infer: </w:t>
            </w:r>
            <w:r>
              <w:t xml:space="preserve">Does not validate a pre-LT clearance test or subsequent arterial safety. Reassess resection after response.</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ItMjZdPC9EaXNwbGF5VGV4dD48cmVjb3JkPjxyZWMtbnVtYmVyPjI2PC9yZWMtbnVtYmVyPjxmb3JlaWduLWtleXM+PGtleSBhcHA9IkVOIiBkYi1pZD0iOTRlZmJiOTAtNjlkNy01YmI4LTg3NTctZGIwZWZkMGE2NGExIiB0aW1lc3RhbXA9IjE3OTI5MjEw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hyperlink r:id="rId67">
              <w:r>
                <w:rPr>
                  <w:color w:val="77230C"/>
                  <w:sz w:val="20"/>
                  <w:u w:val="single"/>
                </w:rPr>
                <w:t>Primary source</w:t>
              </w:r>
            </w:hyperlink>
            <w:r>
              <w:t xml:space="preserve"> | </w:t>
            </w:r>
            <w:hyperlink r:id="rId68">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neoGOLP 2026</w:t>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Mi0yMV08L0Rpc3BsYXlUZXh0PjxyZWNvcmQ+PHJlYy1udW1iZXI+MjE8L3JlYy1udW1iZXI+PGZvcmVpZ24ta2V5cz48a2V5IGFwcD0iRU4iIGRiLWlkPSI5NGVmYmI5MC02OWQ3LTViYjgtODc1Ny1kYjBlZmQwYTY0YTEiIHRpbWVzdGFtcD0iMTc5MjkyMTA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p>
          <w:p>
            <w:pPr>
              <w:pStyle w:val="Normal"/>
              <w:widowControl/>
              <w:spacing w:before="60" w:after="20"/>
            </w:pPr>
            <w:r>
              <w:t xml:space="preserve">Open-label randomized phase 2–3 trial at 11 Chinese hospitals; 178 patients randomized to neoadjuvant GOLP (n=88) or immediate surgery (n=90), analyzed by intention to treat. Both groups were intended to receive postoperative capecitabine.</w:t>
            </w:r>
          </w:p>
          <w:p>
            <w:pPr>
              <w:pStyle w:val="Normal"/>
              <w:widowControl/>
              <w:spacing w:before="60" w:after="20"/>
            </w:pPr>
            <w:hyperlink r:id="rId69">
              <w:r>
                <w:rPr>
                  <w:color w:val="77230C"/>
                  <w:sz w:val="20"/>
                  <w:u w:val="single"/>
                </w:rPr>
                <w:t>Primary source</w:t>
              </w:r>
            </w:hyperlink>
            <w:r>
              <w:t xml:space="preserve"> | </w:t>
            </w:r>
            <w:hyperlink r:id="rId70">
              <w:r>
                <w:rPr>
                  <w:color w:val="77230C"/>
                  <w:sz w:val="20"/>
                  <w:u w:val="single"/>
                </w:rPr>
                <w:t>Full-text PDF</w:t>
              </w:r>
            </w:hyperlink>
          </w:p>
          <w:p>
            <w:pPr>
              <w:pStyle w:val="Normal"/>
              <w:widowControl/>
              <w:spacing w:before="60" w:after="20"/>
            </w:pPr>
            <w:r>
              <w:t xml:space="preserve">Locator: PDF pp2–4: methods and statistical boundaries; pp5–7: flow, baseline population and results; p8: EFS figure; pp9–10: interim OS and interpretation; p11: adverse-event table; p12: limitations.</w:t>
            </w:r>
          </w:p>
          <w:p>
            <w:pPr>
              <w:pStyle w:val="Normal"/>
              <w:widowControl/>
              <w:spacing w:before="60" w:after="20"/>
            </w:pPr>
            <w:r>
              <w:t xml:space="preserve">Review depth: Fresh complete reading of all 13 supplied PDF pages, including methods, results, tables, figures and discussion. Separately hosted protocol and supplementary appendix were not reviewed; no supplement-only claims are used.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EFS was 18.0 versus 8.7 months (P&lt;0.001); 24-month EFS was 37% versus 25%. No primary EFS hazard ratio was estimated because hazards were nonproportional. R0 resection occurred in 84/88 versus 84/90 randomized patients. At interim analysis, 24-month OS was 79% versus 61% (HR 0.43, 95% CI 0.23–0.79; P=0.005), which did NOT meet the prespecified interim OS significance boundary of P=0.0019.</w:t>
            </w:r>
          </w:p>
          <w:p>
            <w:pPr>
              <w:pStyle w:val="Normal"/>
              <w:widowControl/>
              <w:spacing w:before="60" w:after="20"/>
            </w:pPr>
            <w:r>
              <w:rPr>
                <w:b/>
              </w:rPr>
              <w:t xml:space="preserve">Do not infer: </w:t>
            </w:r>
            <w:r>
              <w:t xml:space="preserve">Highly fit resectable population; median follow-up 16.9 months and interim OS analysis. This was neither a conversion-to-transplant trial nor an allograft-safety study. It does not validate transplantation with nodal disease or macrovascular involvement. Do not conflate neoGOLP (toripalimab; major pathological response ≤10% viable tumor) with TransGOLP (a different regimen, population and pathological-response definition). Time origin: EFS and OS begin at randomization, not surgery or transplantation. EFS includes progression preventing radical resection, postoperative recurrence/metastasis, second primary cancer or death. Data cutoff: April 30, 2025.</w:t>
            </w:r>
          </w:p>
        </w:tc>
      </w:tr>
      <w:tr>
        <w:trPr/>
        <w:tc>
          <w:tcPr>
            <w:tcW w:w="3400" w:type="dxa"/>
            <w:tcMar>
              <w:top w:w="90" w:type="dxa"/>
              <w:left w:w="90" w:type="dxa"/>
              <w:bottom w:w="90" w:type="dxa"/>
              <w:right w:w="90" w:type="dxa"/>
            </w:tcMar>
          </w:tcPr>
          <w:p>
            <w:pPr>
              <w:pStyle w:val="Normal"/>
              <w:widowControl/>
              <w:spacing w:before="60" w:after="20"/>
            </w:pPr>
            <w:r>
              <w:rPr>
                <w:b/>
              </w:rPr>
              <w:t xml:space="preserve">SWOG S1815</w:t>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Mi0yMF08L0Rpc3BsYXlUZXh0PjxyZWNvcmQ+PHJlYy1udW1iZXI+MjA8L3JlYy1udW1iZXI+PGZvcmVpZ24ta2V5cz48a2V5IGFwcD0iRU4iIGRiLWlkPSI5NGVmYmI5MC02OWQ3LTViYjgtODc1Ny1kYjBlZmQwYTY0YTEiIHRpbWVzdGFtcD0iMTc5MjkyMTA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Multicenter open-label phase III trial, 2:1 gemcitabine/cisplatin/nab-paclitaxel (GAP) versus gemcitabine/cisplatin (GC). Of 452 randomized, 441 eligible participants were analyzed (294 versus 147); this is not an all-randomized 452-patient analysis.</w:t>
            </w:r>
          </w:p>
          <w:p>
            <w:pPr>
              <w:pStyle w:val="Normal"/>
              <w:widowControl/>
              <w:spacing w:before="60" w:after="20"/>
            </w:pPr>
            <w:hyperlink r:id="rId71">
              <w:r>
                <w:rPr>
                  <w:color w:val="77230C"/>
                  <w:sz w:val="20"/>
                  <w:u w:val="single"/>
                </w:rPr>
                <w:t>Primary source</w:t>
              </w:r>
            </w:hyperlink>
            <w:r>
              <w:t xml:space="preserve"> | </w:t>
            </w:r>
            <w:hyperlink r:id="rId72">
              <w:r>
                <w:rPr>
                  <w:color w:val="77230C"/>
                  <w:sz w:val="20"/>
                  <w:u w:val="single"/>
                </w:rPr>
                <w:t>Full-text PDF</w:t>
              </w:r>
            </w:hyperlink>
          </w:p>
          <w:p>
            <w:pPr>
              <w:pStyle w:val="Normal"/>
              <w:widowControl/>
              <w:spacing w:before="60" w:after="20"/>
            </w:pPr>
            <w:r>
              <w:t xml:space="preserve">Locator: PDF pp2–3: eligibility, analysis population and flow; p4: baseline data and survival; pp5–6: response and toxicity; p7: Table 3 adverse events; p8: interpretation; pp12–15: included Appendix Tables A1–A4.</w:t>
            </w:r>
          </w:p>
          <w:p>
            <w:pPr>
              <w:pStyle w:val="Normal"/>
              <w:widowControl/>
              <w:spacing w:before="60" w:after="20"/>
            </w:pPr>
            <w:r>
              <w:t xml:space="preserve">Review depth: Fresh complete reading of all 15 supplied PDF pages, including the main article, disclosures and included appendix tables. The separate trial protocol was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OS was 14.0 versus 13.6 months (HR 0.91, 95% CI 0.72–1.14; P=0.41); PFS was 7.5 versus 6.3 months (HR 0.89, 95% CI 0.71–1.12; P=0.32). Response was 91/290 (31%) versus 31/146 (21%) among response-evaluable patients. The iCCA subgroup had median OS 13.5 versus 13.6 months; exploratory locally advanced/subsite signals did not establish an OS-benefiting subgroup.</w:t>
            </w:r>
          </w:p>
          <w:p>
            <w:pPr>
              <w:pStyle w:val="Normal"/>
              <w:widowControl/>
              <w:spacing w:before="60" w:after="20"/>
            </w:pPr>
            <w:r>
              <w:rPr>
                <w:b/>
              </w:rPr>
              <w:t xml:space="preserve">Do not infer: </w:t>
            </w:r>
            <w:r>
              <w:t xml:space="preserve">Mostly metastatic and mixed-subsite population; no ICI comparator, LT arm or prospective conversion-to-LT endpoint. Exploratory subgroup analyses and higher response cannot establish a transplant survival benefit. Response assessment was local rather than central; dose-intensity information was not collected. Time origin: OS and PFS begin at random assignment. Outcomes are not post-LT survival and should not be plotted as though they share the starting point of recipient-only LT series.</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Six-month continuous control is a tested entry rule, not a proven optimum; TESLA's twelve-month rule did not remove recurrence in extensive multifocal disease. Houston allowed reconsideration after liver-only progression but delisted extrahepatic progression. A one-salvage ceiling and approximately eight-week imaging remain local proposals. Response can restore R0 resectability; TransGOLP supports considering conversion options but not LT clearance. Keep the advanced-study clock separate from NLRB small-cirrhotic allocation wording.</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yLTEzXTwvRGlzcGxheVRleHQ+PHJlY29yZD48cmVjLW51bWJlcj4xMzwvcmVjLW51bWJlcj48Zm9yZWlnbi1rZXlzPjxrZXkgYXBwPSJFTiIgZGItaWQ9Ijk0ZWZiYjkwLTY5ZDctNWJiOC04NzU3LWRiMGVmZDBhNjRhMSIgdGltZXN0YW1wPSIxNzkyOTIxMD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yLTIzXTwvRGlzcGxheVRleHQ+PHJlY29yZD48cmVjLW51bWJlcj4yMzwvcmVjLW51bWJlcj48Zm9yZWlnbi1rZXlzPjxrZXkgYXBwPSJFTiIgZGItaWQ9Ijk0ZWZiYjkwLTY5ZDctNWJiOC04NzU3LWRiMGVmZDBhNjRhMSIgdGltZXN0YW1wPSIxNzkyOTIxMD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ItMjZdPC9EaXNwbGF5VGV4dD48cmVjb3JkPjxyZWMtbnVtYmVyPjI2PC9yZWMtbnVtYmVyPjxmb3JlaWduLWtleXM+PGtleSBhcHA9IkVOIiBkYi1pZD0iOTRlZmJiOTAtNjlkNy01YmI4LTg3NTctZGIwZWZkMGE2NGExIiB0aW1lc3RhbXA9IjE3OTI5MjEw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Mi0yMV08L0Rpc3BsYXlUZXh0PjxyZWNvcmQ+PHJlYy1udW1iZXI+MjE8L3JlYy1udW1iZXI+PGZvcmVpZ24ta2V5cz48a2V5IGFwcD0iRU4iIGRiLWlkPSI5NGVmYmI5MC02OWQ3LTViYjgtODc1Ny1kYjBlZmQwYTY0YTEiIHRpbWVzdGFtcD0iMTc5MjkyMTA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Mi0yMF08L0Rpc3BsYXlUZXh0PjxyZWNvcmQ+PHJlYy1udW1iZXI+MjA8L3JlYy1udW1iZXI+PGZvcmVpZ24ta2V5cz48a2V5IGFwcD0iRU4iIGRiLWlkPSI5NGVmYmI5MC02OWQ3LTViYjgtODc1Ny1kYjBlZmQwYTY0YTEiIHRpbWVzdGFtcD0iMTc5MjkyMTA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spacing w:before="60" w:after="20"/>
      </w:pPr>
      <w:r>
        <w:t xml:space="preserve">Successful later-line cases refute a categorical ban on all salvage but do not validate unrestricted repeated resets. Patients controlled for six months already have better non-LT prognosis. Comparing their post-LT survival with unselected advanced-cancer median survival exaggerates benefit. Unresolved lung, bone or nodal findings require adjudication before activation.</w:t>
      </w:r>
    </w:p>
    <w:p>
      <w:pPr>
        <w:pStyle w:val="Normal"/>
        <w:widowControl/>
        <w:spacing w:before="60" w:after="20"/>
      </w:pPr>
      <w:r>
        <w:rPr>
          <w:b/>
        </w:rPr>
        <w:t xml:space="preserve">Certainty / applicability: </w:t>
      </w:r>
      <w:r>
        <w:t xml:space="preserve">Very low certainty for the optimal control clock, imaging metric or allowable salvage count; low certainty for sustained control as a useful selection approach.</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STUDY: six months in Houston/Rennes, four months in SYS-TARE and twelve months of treatment response in the TESLA flow diagram. LOCAL: approximately eight-week monitoring and one salvage re-entry. GUIDANCE: preserve the separate NLRB small-cirrhotic clock ('from diagnosis or last treatment'); do not silently replace it with the advanced research clock.</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“disease must have been controlled for 6 months on that regimen.”</w:t>
            </w:r>
          </w:p>
          <w:p>
            <w:pPr>
              <w:pStyle w:val="Normal"/>
              <w:widowControl/>
              <w:spacing w:before="60" w:after="20"/>
            </w:pPr>
            <w:r>
              <w:t xml:space="preserve">Published PDF p3, Methods—Study design and participants</w:t>
            </w:r>
          </w:p>
          <w:p>
            <w:pPr>
              <w:pStyle w:val="Normal"/>
              <w:widowControl/>
              <w:spacing w:before="60" w:after="20"/>
            </w:pPr>
            <w:hyperlink r:id="rId73">
              <w:r>
                <w:rPr>
                  <w:color w:val="77230C"/>
                  <w:sz w:val="20"/>
                  <w:u w:val="single"/>
                </w:rPr>
                <w:t>Source</w:t>
              </w:r>
            </w:hyperlink>
            <w:r>
              <w:t xml:space="preserve"> | </w:t>
            </w:r>
            <w:hyperlink r:id="rId74">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on an effective strategy has direct study precedent, including second-line treatment.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“Patients who developed extrahepatic disease were delisted.”</w:t>
            </w:r>
          </w:p>
          <w:p>
            <w:pPr>
              <w:pStyle w:val="Normal"/>
              <w:widowControl/>
              <w:spacing w:before="60" w:after="20"/>
            </w:pPr>
            <w:r>
              <w:t xml:space="preserve">Full text, section 2.2</w:t>
            </w:r>
          </w:p>
          <w:p>
            <w:pPr>
              <w:pStyle w:val="Normal"/>
              <w:widowControl/>
              <w:spacing w:before="60" w:after="20"/>
            </w:pPr>
            <w:hyperlink r:id="rId75">
              <w:r>
                <w:rPr>
                  <w:color w:val="77230C"/>
                  <w:sz w:val="20"/>
                  <w:u w:val="single"/>
                </w:rPr>
                <w:t>Source</w:t>
              </w:r>
            </w:hyperlink>
            <w:r>
              <w:t xml:space="preserve"> | </w:t>
            </w:r>
            <w:hyperlink r:id="rId7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Liver-only progression was deferred and could be reconsidered; it was not treated identically to extrahepatic spread.</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six months of continuous disease control, but distinguish liver-only progression with salvage from permanent exclusion.</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1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U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yLTEzXTwvRGlzcGxheVRleHQ+PHJlY29yZD48cmVjLW51bWJlcj4xMzwvcmVjLW51bWJlcj48Zm9yZWlnbi1rZXlzPjxrZXkgYXBwPSJFTiIgZGItaWQ9Ijk0ZWZiYjkwLTY5ZDctNWJiOC04NzU3LWRiMGVmZDBhNjRhMSIgdGltZXN0YW1wPSIxNzkyOTIxMDg1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S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yLTIzXTwvRGlzcGxheVRleHQ+PHJlY29yZD48cmVjLW51bWJlcj4yMzwvcmVjLW51bWJlcj48Zm9yZWlnbi1rZXlzPjxrZXkgYXBwPSJFTiIgZGItaWQ9Ijk0ZWZiYjkwLTY5ZDctNWJiOC04NzU3LWRiMGVmZDBhNjRhMSIgdGltZXN0YW1wPSIxNzkyOTIxMDg1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BYmRlbHJhaGltPC9BdXRob3I+PFllYXI+MjAyNjwvWWVhcj48UmVjTnVtPjI2PC9SZWNOdW0+PERpc3BsYXlUZXh0PltWMTItMjZdPC9EaXNwbGF5VGV4dD48cmVjb3JkPjxyZWMtbnVtYmVyPjI2PC9yZWMtbnVtYmVyPjxmb3JlaWduLWtleXM+PGtleSBhcHA9IkVOIiBkYi1pZD0iOTRlZmJiOTAtNjlkNy01YmI4LTg3NTctZGIwZWZkMGE2NGExIiB0aW1lc3RhbXA9IjE3OTI5MjEwODUiPjI2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r>
        <w:t xml:space="preserve"> </w:t>
      </w:r>
      <w:r>
        <w:t xml:space="preserve"> </w:t>
      </w:r>
      <w:r>
        <w:fldChar w:fldCharType="begin"/>
      </w:r>
      <w:r>
        <w:instrText xml:space="preserve"> ADDIN EN.CITE </w:instrText>
      </w:r>
      <w:r>
        <w:fldChar w:fldCharType="begin">
          <w:fldData>PEVuZE5vdGU+PENpdGU+PEF1dGhvcj5TaGk8L0F1dGhvcj48WWVhcj4yMDI2PC9ZZWFyPjxSZWNOdW0+MjE8L1JlY051bT48RGlzcGxheVRleHQ+W1YxMi0yMV08L0Rpc3BsYXlUZXh0PjxyZWNvcmQ+PHJlYy1udW1iZXI+MjE8L3JlYy1udW1iZXI+PGZvcmVpZ24ta2V5cz48a2V5IGFwcD0iRU4iIGRiLWlkPSI5NGVmYmI5MC02OWQ3LTViYjgtODc1Ny1kYjBlZmQwYTY0YTEiIHRpbWVzdGFtcD0iMTc5MjkyMTA4NSI+MjE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r>
        <w:t xml:space="preserve"> </w:t>
      </w:r>
      <w:r>
        <w:t xml:space="preserve"> </w:t>
      </w:r>
      <w:r>
        <w:fldChar w:fldCharType="begin"/>
      </w:r>
      <w:r>
        <w:instrText xml:space="preserve"> ADDIN EN.CITE </w:instrText>
      </w:r>
      <w:r>
        <w:fldChar w:fldCharType="begin">
          <w:fldData>PEVuZE5vdGU+PENpdGU+PEF1dGhvcj5TaHJvZmY8L0F1dGhvcj48WWVhcj4yMDI1PC9ZZWFyPjxSZWNOdW0+MjA8L1JlY051bT48RGlzcGxheVRleHQ+W1YxMi0yMF08L0Rpc3BsYXlUZXh0PjxyZWNvcmQ+PHJlYy1udW1iZXI+MjA8L3JlYy1udW1iZXI+PGZvcmVpZ24ta2V5cz48a2V5IGFwcD0iRU4iIGRiLWlkPSI5NGVmYmI5MC02OWQ3LTViYjgtODc1Ny1kYjBlZmQwYTY0YTEiIHRpbWVzdGFtcD0iMTc5MjkyMTA4NSI+MjA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pPr>
      <w:r>
        <w:t xml:space="preserve">Proposed clock: ≥6 consecutive months of radiological response/stability from initiation of the effective strategy after the most recent confirmed progression, with baseline imaging, no extrahepatic disease and persistent unresectability.</w:t>
      </w:r>
    </w:p>
    <w:p>
      <w:pPr>
        <w:pStyle w:val="Normal"/>
        <w:widowControl/>
        <w:numPr>
          <w:ilvl w:val="1"/>
          <w:numId w:val="3"/>
        </w:numPr>
        <w:spacing w:before="60" w:after="20"/>
      </w:pPr>
      <w:r>
        <w:t xml:space="preserve">Image approximately every eight weeks and restage at completion.</w:t>
      </w:r>
    </w:p>
    <w:p>
      <w:pPr>
        <w:pStyle w:val="Normal"/>
        <w:widowControl/>
        <w:numPr>
          <w:ilvl w:val="0"/>
          <w:numId w:val="3"/>
        </w:numPr>
      </w:pPr>
      <w:r>
        <w:t xml:space="preserve">Dose reduction, toxicity-driven substitution or planned consolidation does not automatically reset the clock when control is continuous.</w:t>
      </w:r>
    </w:p>
    <w:p>
      <w:pPr>
        <w:pStyle w:val="Normal"/>
        <w:widowControl/>
        <w:numPr>
          <w:ilvl w:val="1"/>
          <w:numId w:val="3"/>
        </w:numPr>
        <w:spacing w:before="60" w:after="20"/>
      </w:pPr>
      <w:r>
        <w:t xml:space="preserve">Confirmed liver-only progression pauses eligibility; allow one separately reported salvage re-entry after a fresh six months of control.</w:t>
      </w:r>
    </w:p>
    <w:p>
      <w:pPr>
        <w:pStyle w:val="Normal"/>
        <w:widowControl/>
        <w:numPr>
          <w:ilvl w:val="0"/>
          <w:numId w:val="3"/>
        </w:numPr>
      </w:pPr>
      <w:r>
        <w:t xml:space="preserve">Further progression after that salvage strategy, proven malignant nodes or extrahepatic spread excludes the patient from the initial study.</w:t>
      </w:r>
    </w:p>
    <w:p>
      <w:pPr>
        <w:pStyle w:val="Normal"/>
        <w:widowControl/>
        <w:numPr>
          <w:ilvl w:val="1"/>
          <w:numId w:val="3"/>
        </w:numPr>
        <w:spacing w:before="60" w:after="20"/>
      </w:pPr>
      <w:r>
        <w:t xml:space="preserve">Reassess resection after each major response and immediately before LT; conversion to feasible curative resection redirects to resection.</w:t>
      </w:r>
    </w:p>
    <w:p>
      <w:pPr>
        <w:pStyle w:val="Normal"/>
        <w:widowControl/>
        <w:numPr>
          <w:ilvl w:val="0"/>
          <w:numId w:val="3"/>
        </w:numPr>
      </w:pPr>
      <w:r>
        <w:t xml:space="preserve">Record latest progression, effective-strategy start, first documented control, each comparable scan and activation date; do not call CA19-9 change alone progression.</w:t>
      </w:r>
    </w:p>
    <w:p>
      <w:pPr>
        <w:pStyle w:val="Normal"/>
        <w:widowControl/>
        <w:numPr>
          <w:ilvl w:val="0"/>
          <w:numId w:val="3"/>
        </w:numPr>
      </w:pPr>
      <w:r>
        <w:t xml:space="preserve">Reassess R0/functional-FLR feasibility after significant response and before LT; redirect to resection if feasible unless a separate comparative study is approved.</w:t>
      </w:r>
    </w:p>
    <w:p>
      <w:pPr>
        <w:pStyle w:val="Normal"/>
        <w:widowControl/>
        <w:numPr>
          <w:ilvl w:val="0"/>
          <w:numId w:val="3"/>
        </w:numPr>
      </w:pPr>
      <w:r>
        <w:t xml:space="preserve">Remove the &gt;10% CRLM progression rule from the standard iCCA pathway rather than rebranding it as iCCA guidance.</w:t>
      </w:r>
    </w:p>
    <w:p>
      <w:pPr>
        <w:pStyle w:val="Normal"/>
        <w:widowControl/>
        <w:spacing w:before="60" w:after="20"/>
      </w:pPr>
      <w:r>
        <w:rPr>
          <w:b/>
        </w:rPr>
        <w:t xml:space="preserve">Why retain or change it: </w:t>
      </w:r>
      <w:r>
        <w:t xml:space="preserve">OPEN: require at least six consecutive months without progression on the effective current strategy before activation. Record treatment start and first documented control after the latest progression. Obtain liver CT/MRI and chest staging approximately every eight weeks, with repeat resectability review. Accept RECIST stable disease or partial response with no new lesions or extrahepatic spread and a supportive biomarker trajectory; do not use CA19-9 alone. Dose reduction, toxicity-driven switching or planned consolidation need not restart the clock when control remains continuous. Permit one separately recorded salvage re-entry after a fresh six months of control and complete restaging. Further progression after that rescue, or proven extrahepatic/nodal disease, closes the initial arm. The one-rescue ceiling is local governance, not a validated published maximum.</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Dated regimen/response timeline; comparable liver imaging and systemic staging; RECIST and multidisciplinary adjudication; CA19-9 in obstruction context; repeated HPB review. Record latest confirmed progression, current effective-strategy start, first control, each imaging assessment and the proposed activation date; repeat R0/functional-FLR review after meaningful response.</w:t>
      </w:r>
    </w:p>
    <w:p>
      <w:pPr>
        <w:pStyle w:val="Normal"/>
        <w:widowControl/>
        <w:spacing w:before="60" w:after="20"/>
      </w:pPr>
      <w:r>
        <w:rPr>
          <w:b/>
        </w:rPr>
        <w:t xml:space="preserve">Clinical versus allocation: </w:t>
      </w:r>
      <w:r>
        <w:t xml:space="preserve">This is the advanced-study clock; do not substitute it for the separate small-cirrhotic NLRB observation/exception requirements.</w:t>
      </w:r>
    </w:p>
    <w:p>
      <w:pPr>
        <w:pStyle w:val="Normal"/>
        <w:widowControl/>
        <w:spacing w:before="60" w:after="20"/>
      </w:pPr>
      <w:r>
        <w:rPr>
          <w:b/>
        </w:rPr>
        <w:t xml:space="preserve">Roadmap / protocol reconciliation: </w:t>
      </w:r>
      <w:r>
        <w:t xml:space="preserve">Preserve systemic/HAI/liver-directed conversion options. The V5 blanket progression-stop wording is replaced by hold, approved salvage re-entry and definitive study exclusion.</w:t>
      </w:r>
    </w:p>
    <w:p>
      <w:pPr>
        <w:pStyle w:val="Normal"/>
        <w:widowControl/>
        <w:spacing w:before="60" w:after="20"/>
      </w:pPr>
      <w:hyperlink r:id="rId77">
        <w:r>
          <w:rPr>
            <w:color w:val="77230C"/>
            <w:sz w:val="20"/>
            <w:u w:val="single"/>
          </w:rPr>
          <w:t>Meeting record: iCCA-B2</w:t>
        </w:r>
      </w:hyperlink>
      <w:r>
        <w:t xml:space="preserve">  |  </w:t>
      </w:r>
      <w:hyperlink r:id="rId78">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6 Response assessment and decision to advance</w:t>
      </w:r>
    </w:p>
    <w:p>
      <w:pPr>
        <w:pStyle w:val="Normal"/>
        <w:widowControl/>
        <w:numPr>
          <w:ilvl w:val="0"/>
          <w:numId w:val="3"/>
        </w:numPr>
      </w:pPr>
      <w:r>
        <w:t xml:space="preserve">Advance to final staging only when serial imaging shows response/stability without new disease, liver/medical reserve remains acceptable, toxicity has recovered, and independent review still finds no durable resection/ablation option. Document what changed since the previous surgical assessment.</w:t>
      </w:r>
    </w:p>
    <w:p>
      <w:pPr>
        <w:pStyle w:val="Normal"/>
        <w:widowControl/>
        <w:numPr>
          <w:ilvl w:val="0"/>
          <w:numId w:val="3"/>
        </w:numPr>
      </w:pPr>
      <w:r>
        <w:t xml:space="preserve">If conversion to complete resection becomes feasible, reassess that route before LT; record conversion as a treatment success, not transplant-program failure. A transplanting study must not keep a now-resectable patient merely to preserve its recipient denominator.</w:t>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1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S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numPr>
          <w:ilvl w:val="0"/>
          <w:numId w:val="3"/>
        </w:numPr>
      </w:pPr>
      <w:r>
        <w:t xml:space="preserve">Hold for uncertain nodal/extrahepatic findings or marker-imaging discordance. Confirmed liver-only progression pauses eligibility; the OPEN iCCA-B2 proposal permits one separately reported salvage re-entry after a fresh six months of control. Further progression after salvage, new extrahepatic disease or malignant operative staging excludes the initial study. Do not escalate toxic therapy solely to manufacture eligibility.</w:t>
      </w:r>
    </w:p>
    <w:p>
      <w:pPr>
        <w:rPr>
          <w:color w:val="A8470A"/>
        </w:rPr>
        <w:pStyle w:val="Heading2"/>
        <w:keepNext/>
        <w:widowControl/>
      </w:pPr>
      <w:r>
        <w:rPr>
          <w:color w:val="A8470A"/>
        </w:rPr>
        <w:t xml:space="preserve">7 Listing and organ allocation</w:t>
      </w:r>
    </w:p>
    <w:p>
      <w:pPr>
        <w:pStyle w:val="Normal"/>
        <w:widowControl/>
        <w:numPr>
          <w:ilvl w:val="0"/>
          <w:numId w:val="3"/>
        </w:numPr>
      </w:pPr>
      <w:r>
        <w:t xml:space="preserve">Advanced iCCA is not a standardized exception. A nonstandard narrative may be submitted, but approval and score are uncertain. Meeting a study rule or possessing a donor does not create exception eligibility. Record calculated MELD separately.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U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1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p>
    <w:p>
      <w:pPr>
        <w:rPr>
          <w:color w:val="A8470A"/>
        </w:rPr>
        <w:pStyle w:val="Heading3"/>
        <w:keepNext/>
        <w:widowControl/>
      </w:pPr>
      <w:bookmarkStart w:id="3" w:name="ALLOC_B1"/>
      <w:r>
        <w:rPr>
          <w:color w:val="A8470A"/>
        </w:rPr>
        <w:t xml:space="preserve">ALLOC-B1 — What are we approving?</w:t>
      </w:r>
      <w:bookmarkEnd w:id="3"/>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Mi0yOF08L0Rpc3BsYXlUZXh0PjxyZWNvcmQ+PHJlYy1udW1iZXI+Mjg8L3JlYy1udW1iZXI+PGZvcmVpZ24ta2V5cz48a2V5IGFwcD0iRU4iIGRiLWlkPSI5NGVmYmI5MC02OWQ3LTViYjgtODc1Ny1kYjBlZmQwYTY0YTEiIHRpbWVzdGFtcD0iMTc5MjkyMTA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Mi0yOV08L0Rpc3BsYXlUZXh0PjxyZWNvcmQ+PHJlYy1udW1iZXI+Mjk8L3JlYy1udW1iZXI+PGZvcmVpZ24ta2V5cz48a2V5IGFwcD0iRU4iIGRiLWlkPSI5NGVmYmI5MC02OWQ3LTViYjgtODc1Ny1kYjBlZmQwYTY0YTEiIHRpbWVzdGFtcD0iMTc5MjkyMTA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[V12-29]</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5NGVmYmI5MC02OWQ3LTViYjgtODc1Ny1kYjBlZmQwYTY0YTE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Mi0yOF08L0Rpc3BsYXlUZXh0PjxyZWNvcmQ+PHJlYy1udW1iZXI+Mjg8L3JlYy1udW1iZXI+PGZvcmVpZ24ta2V5cz48a2V5IGFwcD0iRU4iIGRiLWlkPSI5NGVmYmI5MC02OWQ3LTViYjgtODc1Ny1kYjBlZmQwYTY0YTEiIHRpbWVzdGFtcD0iMTc5MjkyMTA4NS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Mi0yOV08L0Rpc3BsYXlUZXh0PjxyZWNvcmQ+PHJlYy1udW1iZXI+Mjk8L3JlYy1udW1iZXI+PGZvcmVpZ24ta2V5cz48a2V5IGFwcD0iRU4iIGRiLWlkPSI5NGVmYmI5MC02OWQ3LTViYjgtODc1Ny1kYjBlZmQwYTY0YTEiIHRpbWVzdGFtcD0iMTc5MjkyMTA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[V12-29]</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79">
        <w:r>
          <w:rPr>
            <w:color w:val="77230C"/>
            <w:sz w:val="20"/>
            <w:u w:val="single"/>
          </w:rPr>
          <w:t>Meeting record: ALLOC-B1</w:t>
        </w:r>
      </w:hyperlink>
      <w:r>
        <w:t xml:space="preserve">  |  </w:t>
      </w:r>
      <w:hyperlink r:id="rId8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4" w:name="ALLOC_B2"/>
      <w:r>
        <w:rPr>
          <w:color w:val="A8470A"/>
        </w:rPr>
        <w:t xml:space="preserve">ALLOC-B2 — What is the relevant organ opportunity cost?</w:t>
      </w:r>
      <w:bookmarkEnd w:id="4"/>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Mi0yOV08L0Rpc3BsYXlUZXh0PjxyZWNvcmQ+PHJlYy1udW1iZXI+Mjk8L3JlYy1udW1iZXI+PGZvcmVpZ24ta2V5cz48a2V5IGFwcD0iRU4iIGRiLWlkPSI5NGVmYmI5MC02OWQ3LTViYjgtODc1Ny1kYjBlZmQwYTY0YTEiIHRpbWVzdGFtcD0iMTc5MjkyMTA4NS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[V12-29]</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Mi0zMF08L0Rpc3BsYXlUZXh0PjxyZWNvcmQ+PHJlYy1udW1iZXI+MzA8L3JlYy1udW1iZXI+PGZvcmVpZ24ta2V5cz48a2V5IGFwcD0iRU4iIGRiLWlkPSI5NGVmYmI5MC02OWQ3LTViYjgtODc1Ny1kYjBlZmQwYTY0YTEiIHRpbWVzdGFtcD0iMTc5MjkyMTA4Ni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[V12-30]</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ItMzFdPC9EaXNwbGF5VGV4dD48cmVjb3JkPjxyZWMtbnVtYmVyPjMxPC9yZWMtbnVtYmVyPjxmb3JlaWduLWtleXM+PGtleSBhcHA9IkVOIiBkYi1pZD0iOTRlZmJiOTAtNjlkNy01YmI4LTg3NTctZGIwZWZkMGE2NGExIiB0aW1lc3RhbXA9IjE3OTI5MjEwODY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[V12-31]</w:t>
      </w:r>
      <w:r>
        <w:fldChar w:fldCharType="end"/>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ItMzJdPC9EaXNwbGF5VGV4dD48cmVjb3JkPjxyZWMtbnVtYmVyPjMyPC9yZWMtbnVtYmVyPjxmb3JlaWduLWtleXM+PGtleSBhcHA9IkVOIiBkYi1pZD0iOTRlZmJiOTAtNjlkNy01YmI4LTg3NTctZGIwZWZkMGE2NGExIiB0aW1lc3RhbXA9IjE3OTI5MjEwODY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Db21wbGV0ZSBsb2NhbCBwcmltYXJ5IFBERiBhdmFpbGFibGU7IHJlbGV2YW50IG1ldGhvZHMsIHNlbGVjdGlvbiwgcmVzdWx0cyBhbmQgbGltaXRhdGlvbnMgcmV2aWV3ZWQ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yLTMzXTwvRGlzcGxheVRleHQ+PHJlY29yZD48cmVjLW51bWJlcj4zMzwvcmVjLW51bWJlcj48Zm9yZWlnbi1rZXlzPjxrZXkgYXBwPSJFTiIgZGItaWQ9Ijk0ZWZiYjkwLTY5ZDctNWJiOC04NzU3LWRiMGVmZDBhNjRhMSIgdGltZXN0YW1wPSIxNzkyOTIxMDg2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fldChar w:fldCharType="begin"/>
      </w:r>
      <w:r>
        <w:instrText xml:space="preserve"> ADDIN EN.CITE </w:instrText>
      </w:r>
      <w:r>
        <w:fldChar w:fldCharType="begin">
          <w:fldData>PEVuZE5vdGU+PENpdGU+PEF1dGhvcj5BZGFtPC9BdXRob3I+PFllYXI+MjAyNDwvWWVhcj48UmVjTnVtPjMyPC9SZWNOdW0+PERpc3BsYXlUZXh0PltWMTItMzJdPC9EaXNwbGF5VGV4dD48cmVjb3JkPjxyZWMtbnVtYmVyPjMyPC9yZWMtbnVtYmVyPjxmb3JlaWduLWtleXM+PGtleSBhcHA9IkVOIiBkYi1pZD0iOTRlZmJiOTAtNjlkNy01YmI4LTg3NTctZGIwZWZkMGE2NGExIiB0aW1lc3RhbXA9IjE3OTI5MjEwODYiPjMy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Db21wbGV0ZSBsb2NhbCBwcmltYXJ5IFBERiBhdmFpbGFibGU7IHJlbGV2YW50IG1ldGhvZHMsIHNlbGVjdGlvbiwgcmVzdWx0cyBhbmQgbGltaXRhdGlvbnMgcmV2aWV3ZWQ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Mjk8L1JlY051bT48RGlzcGxheVRleHQ+W1YxMi0yOV08L0Rpc3BsYXlUZXh0PjxyZWNvcmQ+PHJlYy1udW1iZXI+Mjk8L3JlYy1udW1iZXI+PGZvcmVpZ24ta2V5cz48a2V5IGFwcD0iRU4iIGRiLWlkPSI5NGVmYmI5MC02OWQ3LTViYjgtODc1Ny1kYjBlZmQwYTY0YTEiIHRpbWVzdGFtcD0iMTc5MjkyMTA4NiI+Mjk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[V12-29]</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Mi0zMF08L0Rpc3BsYXlUZXh0PjxyZWNvcmQ+PHJlYy1udW1iZXI+MzA8L3JlYy1udW1iZXI+PGZvcmVpZ24ta2V5cz48a2V5IGFwcD0iRU4iIGRiLWlkPSI5NGVmYmI5MC02OWQ3LTViYjgtODc1Ny1kYjBlZmQwYTY0YTEiIHRpbWVzdGFtcD0iMTc5MjkyMTA4Ni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[V12-30]</w:t>
      </w:r>
      <w:r>
        <w:fldChar w:fldCharType="end"/>
      </w:r>
      <w:r>
        <w:t xml:space="preserve"> </w:t>
      </w:r>
      <w:r>
        <w:t xml:space="preserve"> </w:t>
      </w:r>
      <w:r>
        <w:fldChar w:fldCharType="begin"/>
      </w:r>
      <w:r>
        <w:instrText xml:space="preserve"> ADDIN EN.CITE </w:instrText>
      </w:r>
      <w:r>
        <w:fldChar w:fldCharType="begin">
          <w:fldData>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</w:fldData>
        </w:fldChar>
      </w:r>
      <w:r>
        <w:instrText xml:space="preserve"> ADDIN EN.CITE.DATA </w:instrText>
      </w:r>
      <w:r>
        <w:fldChar w:fldCharType="end"/>
      </w:r>
      <w:r>
        <w:fldChar w:fldCharType="separate"/>
      </w:r>
      <w:r>
        <w:t xml:space="preserve">[V12-31]</w:t>
      </w:r>
      <w:r>
        <w:fldChar w:fldCharType="end"/>
      </w:r>
      <w:r>
        <w:t xml:space="preserve"> </w:t>
      </w:r>
      <w:r>
        <w:t xml:space="preserve"> </w:t>
      </w:r>
      <w:r>
        <w:fldChar w:fldCharType="begin"/>
      </w:r>
      <w:r>
        <w:instrText xml:space="preserve"> ADDIN EN.CITE </w:instrText>
      </w:r>
      <w:r>
        <w:fldChar w:fldCharType="begin">
          <w:fldData>PEVuZE5vdGU+PENpdGU+PEF1dGhvcj5BbGxlbjwvQXV0aG9yPjxZZWFyPjIwMjQ8L1llYXI+PFJlY051bT4zMzwvUmVjTnVtPjxEaXNwbGF5VGV4dD5bVjEyLTMzXTwvRGlzcGxheVRleHQ+PHJlY29yZD48cmVjLW51bWJlcj4zMzwvcmVjLW51bWJlcj48Zm9yZWlnbi1rZXlzPjxrZXkgYXBwPSJFTiIgZGItaWQ9Ijk0ZWZiYjkwLTY5ZDctNWJiOC04NzU3LWRiMGVmZDBhNjRhMSIgdGltZXN0YW1wPSIxNzkyOTIxMDg2Ij4zM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81">
        <w:r>
          <w:rPr>
            <w:color w:val="77230C"/>
            <w:sz w:val="20"/>
            <w:u w:val="single"/>
          </w:rPr>
          <w:t>Meeting record: ALLOC-B2</w:t>
        </w:r>
      </w:hyperlink>
      <w:r>
        <w:t xml:space="preserve">  |  </w:t>
      </w:r>
      <w:hyperlink r:id="rId8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5" w:name="ALLOC_B3"/>
      <w:r>
        <w:rPr>
          <w:color w:val="A8470A"/>
        </w:rPr>
        <w:t xml:space="preserve">ALLOC-B3 — What must donor consent and follow-up include?</w:t>
      </w:r>
      <w:bookmarkEnd w:id="5"/>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Mi0zNF08L0Rpc3BsYXlUZXh0PjxyZWNvcmQ+PHJlYy1udW1iZXI+MzQ8L3JlYy1udW1iZXI+PGZvcmVpZ24ta2V5cz48a2V5IGFwcD0iRU4iIGRiLWlkPSI5NGVmYmI5MC02OWQ3LTViYjgtODc1Ny1kYjBlZmQwYTY0YTEiIHRpbWVzdGFtcD0iMTc5MjkyMTA4Ni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[V12-34]</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Mi0zNV08L0Rpc3BsYXlUZXh0PjxyZWNvcmQ+PHJlYy1udW1iZXI+MzU8L3JlYy1udW1iZXI+PGZvcmVpZ24ta2V5cz48a2V5IGFwcD0iRU4iIGRiLWlkPSI5NGVmYmI5MC02OWQ3LTViYjgtODc1Ny1kYjBlZmQwYTY0YTEiIHRpbWVzdGFtcD0iMTc5MjkyMTA4Ni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[V12-35]</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ItMzZdPC9EaXNwbGF5VGV4dD48cmVjb3JkPjxyZWMtbnVtYmVyPjM2PC9yZWMtbnVtYmVyPjxmb3JlaWduLWtleXM+PGtleSBhcHA9IkVOIiBkYi1pZD0iOTRlZmJiOTAtNjlkNy01YmI4LTg3NTctZGIwZWZkMGE2NGExIiB0aW1lc3RhbXA9IjE3OTI5MjEwODY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[V12-36]</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5NGVmYmI5MC02OWQ3LTViYjgtODc1Ny1kYjBlZmQwYTY0YTEiIHRpbWVzdGFtcD0iMTc5MjkyMTA4Ni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BYmVjYXNzaXM8L0F1dGhvcj48WWVhcj4yMDEyPC9ZZWFyPjxSZWNOdW0+MzQ8L1JlY051bT48RGlzcGxheVRleHQ+W1YxMi0zNF08L0Rpc3BsYXlUZXh0PjxyZWNvcmQ+PHJlYy1udW1iZXI+MzQ8L3JlYy1udW1iZXI+PGZvcmVpZ24ta2V5cz48a2V5IGFwcD0iRU4iIGRiLWlkPSI5NGVmYmI5MC02OWQ3LTViYjgtODc1Ny1kYjBlZmQwYTY0YTEiIHRpbWVzdGFtcD0iMTc5MjkyMTA4NiI+MzQ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[V12-34]</w:t>
      </w:r>
      <w:r>
        <w:fldChar w:fldCharType="end"/>
      </w:r>
      <w:r>
        <w:t xml:space="preserve"> </w:t>
      </w:r>
      <w:r>
        <w:t xml:space="preserve"> </w:t>
      </w:r>
      <w:r>
        <w:fldChar w:fldCharType="begin"/>
      </w:r>
      <w:r>
        <w:instrText xml:space="preserve"> ADDIN EN.CITE </w:instrText>
      </w:r>
      <w:r>
        <w:fldChar w:fldCharType="begin">
          <w:fldData>PEVuZE5vdGU+PENpdGU+PEF1dGhvcj5EaU1hcnRpbmk8L0F1dGhvcj48WWVhcj4yMDE3PC9ZZWFyPjxSZWNOdW0+MzU8L1JlY051bT48RGlzcGxheVRleHQ+W1YxMi0zNV08L0Rpc3BsYXlUZXh0PjxyZWNvcmQ+PHJlYy1udW1iZXI+MzU8L3JlYy1udW1iZXI+PGZvcmVpZ24ta2V5cz48a2V5IGFwcD0iRU4iIGRiLWlkPSI5NGVmYmI5MC02OWQ3LTViYjgtODc1Ny1kYjBlZmQwYTY0YTEiIHRpbWVzdGFtcD0iMTc5MjkyMTA4NiI+MzU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[V12-35]</w:t>
      </w:r>
      <w:r>
        <w:fldChar w:fldCharType="end"/>
      </w:r>
      <w:r>
        <w:t xml:space="preserve"> </w:t>
      </w:r>
      <w:r>
        <w:t xml:space="preserve"> </w:t>
      </w:r>
      <w:r>
        <w:fldChar w:fldCharType="begin"/>
      </w:r>
      <w:r>
        <w:instrText xml:space="preserve"> ADDIN EN.CITE </w:instrText>
      </w:r>
      <w:r>
        <w:fldChar w:fldCharType="begin">
          <w:fldData>PEVuZE5vdGU+PENpdGU+PEF1dGhvcj5YaWFvPC9BdXRob3I+PFllYXI+MjAyNDwvWWVhcj48UmVjTnVtPjM2PC9SZWNOdW0+PERpc3BsYXlUZXh0PltWMTItMzZdPC9EaXNwbGF5VGV4dD48cmVjb3JkPjxyZWMtbnVtYmVyPjM2PC9yZWMtbnVtYmVyPjxmb3JlaWduLWtleXM+PGtleSBhcHA9IkVOIiBkYi1pZD0iOTRlZmJiOTAtNjlkNy01YmI4LTg3NTctZGIwZWZkMGE2NGExIiB0aW1lc3RhbXA9IjE3OTI5MjEwODYiPjM2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[V12-36]</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83">
        <w:r>
          <w:rPr>
            <w:color w:val="77230C"/>
            <w:sz w:val="20"/>
            <w:u w:val="single"/>
          </w:rPr>
          <w:t>Meeting record: ALLOC-B3</w:t>
        </w:r>
      </w:hyperlink>
      <w:r>
        <w:t xml:space="preserve">  |  </w:t>
      </w:r>
      <w:hyperlink r:id="rId84">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6" w:name="iCCA_B3"/>
      <w:r>
        <w:rPr>
          <w:color w:val="A8470A"/>
        </w:rPr>
        <w:t xml:space="preserve">iCCA-B3 — Does access to LDLT change the evidentiary threshold?</w:t>
      </w:r>
      <w:bookmarkEnd w:id="6"/>
    </w:p>
    <w:p>
      <w:pPr>
        <w:rPr>
          <w:color w:val="A8470A"/>
        </w:rPr>
        <w:pStyle w:val="Heading3"/>
        <w:keepNext/>
        <w:widowControl/>
      </w:pPr>
      <w:r>
        <w:rPr>
          <w:color w:val="A8470A"/>
        </w:rPr>
        <w:t xml:space="preserve">Question and comparison</w:t>
      </w:r>
    </w:p>
    <w:p>
      <w:pPr>
        <w:pStyle w:val="Normal"/>
        <w:widowControl/>
        <w:spacing w:before="60" w:after="20"/>
      </w:pPr>
      <w:r>
        <w:t xml:space="preserve">Does current recipient-benefit and donor-risk evidence justify an advanced-iCCA LDLT study, and what must be in place before an individual donor/recipient pair can proceed?</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ItN108L0Rpc3BsYXlUZXh0PjxyZWNvcmQ+PHJlYy1udW1iZXI+NzwvcmVjLW51bWJlcj48Zm9yZWlnbi1rZXlzPjxrZXkgYXBwPSJFTiIgZGItaWQ9Ijk0ZWZiYjkwLTY5ZDctNWJiOC04NzU3LWRiMGVmZDBhNjRhMSIgdGltZXN0YW1wPSIxNzkyOTIxMDg2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Retrospective UPMC seven-iCCA-recipient LDLT series; 116 referrals were mixed CCA-associated diagnoses, not 116 pure iCCA. Thirty-one explorations, seven aborted; 24 total LDLT recipients included seven with iCCA.</w:t>
            </w:r>
          </w:p>
          <w:p>
            <w:pPr>
              <w:pStyle w:val="Normal"/>
              <w:widowControl/>
              <w:spacing w:before="60" w:after="20"/>
            </w:pPr>
            <w:hyperlink r:id="rId85">
              <w:r>
                <w:rPr>
                  <w:color w:val="77230C"/>
                  <w:sz w:val="20"/>
                  <w:u w:val="single"/>
                </w:rPr>
                <w:t>Primary source</w:t>
              </w:r>
            </w:hyperlink>
            <w:r>
              <w:t xml:space="preserve"> | </w:t>
            </w:r>
            <w:hyperlink r:id="rId86">
              <w:r>
                <w:rPr>
                  <w:color w:val="77230C"/>
                  <w:sz w:val="20"/>
                  <w:u w:val="single"/>
                </w:rPr>
                <w:t>Full-text PDF</w:t>
              </w:r>
            </w:hyperlink>
          </w:p>
          <w:p>
            <w:pPr>
              <w:pStyle w:val="Normal"/>
              <w:widowControl/>
              <w:spacing w:before="60" w:after="20"/>
            </w:pPr>
            <w:r>
              <w:t xml:space="preserve">Locator: Complete 11-page AJT 2026 proof, Methods, flow, Tables 1–2, recipient/donor outcomes and survival; DOI 10.1016/j.ajt.2026.09.039.</w:t>
            </w:r>
          </w:p>
          <w:p>
            <w:pPr>
              <w:pStyle w:val="Normal"/>
              <w:widowControl/>
              <w:spacing w:before="60" w:after="20"/>
            </w:pPr>
            <w:r>
              <w:t xml:space="preserve">Review depth: Complete original accepted/proof AJT article, accepted 23 September 2026. All main-paper pages reviewed; separate supplementary patient-level materials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5.1 years; two recurrences and one death. Five-year post-LDLT OS 85.7% (CI 33.4–97.9), RFS 71.4% (25.8–92.0), with OS/RFS risk sets of four/one at five years. Two recipient grade III complications. One of seven donors had postoperative-day-1 reoperation and month-2 percutaneous drainage; all donors were alive.</w:t>
            </w:r>
          </w:p>
          <w:p>
            <w:pPr>
              <w:pStyle w:val="Normal"/>
              <w:widowControl/>
              <w:spacing w:before="60" w:after="20"/>
            </w:pPr>
            <w:r>
              <w:rPr>
                <w:b/>
              </w:rPr>
              <w:t xml:space="preserve">Do not infer: </w:t>
            </w:r>
            <w:r>
              <w:t xml:space="preserve">Complete main PDF verified; remaining gaps are separate supplements, precise individual ICI intervals and causal comparative benefit, not absence of main methods or donor-morbidity information. Seven recipients and wide confidence intervals cannot establish net benefit.</w:t>
            </w:r>
          </w:p>
        </w:tc>
      </w:tr>
      <w:tr>
        <w:trPr/>
        <w:tc>
          <w:tcPr>
            <w:tcW w:w="3400" w:type="dxa"/>
            <w:tcMar>
              <w:top w:w="90" w:type="dxa"/>
              <w:left w:w="90" w:type="dxa"/>
              <w:bottom w:w="90" w:type="dxa"/>
              <w:right w:w="90" w:type="dxa"/>
            </w:tcMar>
          </w:tcPr>
          <w:p>
            <w:pPr>
              <w:pStyle w:val="Normal"/>
              <w:widowControl/>
              <w:spacing w:before="60" w:after="20"/>
            </w:pPr>
            <w:r>
              <w:rPr>
                <w:b/>
              </w:rPr>
              <w:t xml:space="preserve">Lunsford 2018 · Houston</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2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Twenty-one referrals, twelve accepted, six recipients.</w:t>
            </w:r>
          </w:p>
          <w:p>
            <w:pPr>
              <w:pStyle w:val="Normal"/>
              <w:widowControl/>
              <w:spacing w:before="60" w:after="20"/>
            </w:pPr>
            <w:hyperlink r:id="rId87">
              <w:r>
                <w:rPr>
                  <w:color w:val="77230C"/>
                  <w:sz w:val="20"/>
                  <w:u w:val="single"/>
                </w:rPr>
                <w:t>Primary source</w:t>
              </w:r>
            </w:hyperlink>
            <w:r>
              <w:t xml:space="preserve"> | </w:t>
            </w:r>
            <w:hyperlink r:id="rId88">
              <w:r>
                <w:rPr>
                  <w:color w:val="77230C"/>
                  <w:sz w:val="20"/>
                  <w:u w:val="single"/>
                </w:rPr>
                <w:t>Full-text PDF</w:t>
              </w:r>
            </w:hyperlink>
          </w:p>
          <w:p>
            <w:pPr>
              <w:pStyle w:val="Normal"/>
              <w:widowControl/>
              <w:spacing w:before="60" w:after="20"/>
            </w:pPr>
            <w:r>
              <w:t xml:space="preserve">Locator: Lancet Gastroenterol Hepatol 2018; Methods/Results; local PDF.</w:t>
            </w:r>
          </w:p>
          <w:p>
            <w:pPr>
              <w:pStyle w:val="Normal"/>
              <w:widowControl/>
              <w:spacing w:before="60" w:after="20"/>
            </w:pPr>
            <w:r>
              <w:t xml:space="preserve">Review depth: Local full PDF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post-LT survival 83.3% with very wide CI; three of six recurred.</w:t>
            </w:r>
          </w:p>
          <w:p>
            <w:pPr>
              <w:pStyle w:val="Normal"/>
              <w:widowControl/>
              <w:spacing w:before="60" w:after="20"/>
            </w:pPr>
            <w:r>
              <w:rPr>
                <w:b/>
              </w:rPr>
              <w:t xml:space="preserve">Do not infer: </w:t>
            </w:r>
            <w:r>
              <w:t xml:space="preserve">Feasibility, not LDLT-specific causal benefit; overlaps McMillan.</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i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hyperlink r:id="rId89">
              <w:r>
                <w:rPr>
                  <w:color w:val="77230C"/>
                  <w:sz w:val="20"/>
                  <w:u w:val="single"/>
                </w:rPr>
                <w:t>Primary source</w:t>
              </w:r>
            </w:hyperlink>
            <w:r>
              <w:t xml:space="preserve"> | </w:t>
            </w:r>
            <w:hyperlink r:id="rId90">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i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Thirty-nine selected non-LT patients from 327 advanced liver-confined cases; 22 received HAIP.</w:t>
            </w:r>
          </w:p>
          <w:p>
            <w:pPr>
              <w:pStyle w:val="Normal"/>
              <w:widowControl/>
              <w:spacing w:before="60" w:after="20"/>
            </w:pPr>
            <w:hyperlink r:id="rId91">
              <w:r>
                <w:rPr>
                  <w:color w:val="77230C"/>
                  <w:sz w:val="20"/>
                  <w:u w:val="single"/>
                </w:rPr>
                <w:t>Primary source</w:t>
              </w:r>
            </w:hyperlink>
            <w:r>
              <w:t xml:space="preserve"> | </w:t>
            </w:r>
            <w:hyperlink r:id="rId92">
              <w:r>
                <w:rPr>
                  <w:color w:val="77230C"/>
                  <w:sz w:val="20"/>
                  <w:u w:val="single"/>
                </w:rPr>
                <w:t>Full-text PDF</w:t>
              </w:r>
            </w:hyperlink>
          </w:p>
          <w:p>
            <w:pPr>
              <w:pStyle w:val="Normal"/>
              <w:widowControl/>
              <w:spacing w:before="60" w:after="20"/>
            </w:pPr>
            <w:r>
              <w:t xml:space="preserve">Locator: Ann Surg Oncol 2026; Methods/Results/Table 2; local PDF.</w:t>
            </w:r>
          </w:p>
          <w:p>
            <w:pPr>
              <w:pStyle w:val="Normal"/>
              <w:widowControl/>
              <w:spacing w:before="60" w:after="20"/>
            </w:pPr>
            <w:r>
              <w:t xml:space="preserve">Review depth: Original full PDF methods/results/Table 2 checked; diagnosis and six-month-landmark clocks distinguished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39 months from diagnosis; five-year survival 26% from the six-month landmark.</w:t>
            </w:r>
          </w:p>
          <w:p>
            <w:pPr>
              <w:pStyle w:val="Normal"/>
              <w:widowControl/>
              <w:spacing w:before="60" w:after="20"/>
            </w:pPr>
            <w:r>
              <w:rPr>
                <w:b/>
              </w:rPr>
              <w:t xml:space="preserve">Do not infer: </w:t>
            </w:r>
            <w:r>
              <w:t xml:space="preserve">More relevant than unselected metastatic BTC but historical and nonrandomized; cannot yield precise individual LT benefit.</w:t>
            </w:r>
          </w:p>
        </w:tc>
      </w:tr>
      <w:tr>
        <w:trPr/>
        <w:tc>
          <w:tcPr>
            <w:tcW w:w="3400" w:type="dxa"/>
            <w:tcMar>
              <w:top w:w="90" w:type="dxa"/>
              <w:left w:w="90" w:type="dxa"/>
              <w:bottom w:w="90" w:type="dxa"/>
              <w:right w:w="90" w:type="dxa"/>
            </w:tcMar>
          </w:tcPr>
          <w:p>
            <w:pPr>
              <w:pStyle w:val="Normal"/>
              <w:widowControl/>
              <w:spacing w:before="60" w:after="20"/>
            </w:pPr>
            <w:r>
              <w:rPr>
                <w:b/>
              </w:rPr>
              <w:t xml:space="preserve">PUMP-2</w:t>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yLTIzXTwvRGlzcGxheVRleHQ+PHJlY29yZD48cmVjLW51bWJlcj4yMzwvcmVjLW51bWJlcj48Zm9yZWlnbi1rZXlzPjxrZXkgYXBwPSJFTiIgZGItaWQ9Ijk0ZWZiYjkwLTY5ZDctNWJiOC04NzU3LWRiMGVmZDBhNjRhMSIgdGltZXN0YW1wPSIxNzkyOTIxMDg2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p>
          <w:p>
            <w:pPr>
              <w:pStyle w:val="Normal"/>
              <w:widowControl/>
              <w:spacing w:before="60" w:after="20"/>
            </w:pPr>
            <w:r>
              <w:t xml:space="preserve">Fifty pump placements; 48 received FUDR; single-arm phase II.</w:t>
            </w:r>
          </w:p>
          <w:p>
            <w:pPr>
              <w:pStyle w:val="Normal"/>
              <w:widowControl/>
              <w:spacing w:before="60" w:after="20"/>
            </w:pPr>
            <w:hyperlink r:id="rId93">
              <w:r>
                <w:rPr>
                  <w:color w:val="77230C"/>
                  <w:sz w:val="20"/>
                  <w:u w:val="single"/>
                </w:rPr>
                <w:t>Primary source</w:t>
              </w:r>
            </w:hyperlink>
            <w:r>
              <w:t xml:space="preserve"> | </w:t>
            </w:r>
            <w:hyperlink r:id="rId94">
              <w:r>
                <w:rPr>
                  <w:color w:val="77230C"/>
                  <w:sz w:val="20"/>
                  <w:u w:val="single"/>
                </w:rPr>
                <w:t>Full-text PDF</w:t>
              </w:r>
            </w:hyperlink>
          </w:p>
          <w:p>
            <w:pPr>
              <w:pStyle w:val="Normal"/>
              <w:widowControl/>
              <w:spacing w:before="60" w:after="20"/>
            </w:pPr>
            <w:r>
              <w:t xml:space="preserve">Locator: JCO 2026 PUMP-2; full-PDF Methods/Results and adverse events.</w:t>
            </w:r>
          </w:p>
          <w:p>
            <w:pPr>
              <w:pStyle w:val="Normal"/>
              <w:widowControl/>
              <w:spacing w:before="60" w:after="20"/>
            </w:pPr>
            <w:r>
              <w:t xml:space="preserve">Review depth: Complete local publisher PDF inspected; methods, results and toxicity extracted; V6 abstract-only label corrected.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survival 22.3 months; three-year 31.5%; five conversion resections. Arterial dissection prevented treatment in one patient.</w:t>
            </w:r>
          </w:p>
          <w:p>
            <w:pPr>
              <w:pStyle w:val="Normal"/>
              <w:widowControl/>
              <w:spacing w:before="60" w:after="20"/>
            </w:pPr>
            <w:r>
              <w:rPr>
                <w:b/>
              </w:rPr>
              <w:t xml:space="preserve">Do not infer: </w:t>
            </w:r>
            <w:r>
              <w:t xml:space="preserve">A current regional option, not a randomized LDLT comparator or proof of later graft-arterial safety.</w:t>
            </w:r>
          </w:p>
        </w:tc>
      </w:tr>
      <w:tr>
        <w:trPr/>
        <w:tc>
          <w:tcPr>
            <w:tcW w:w="3400" w:type="dxa"/>
            <w:tcMar>
              <w:top w:w="90" w:type="dxa"/>
              <w:left w:w="90" w:type="dxa"/>
              <w:bottom w:w="90" w:type="dxa"/>
              <w:right w:w="90" w:type="dxa"/>
            </w:tcMar>
          </w:tcPr>
          <w:p>
            <w:pPr>
              <w:pStyle w:val="Normal"/>
              <w:widowControl/>
              <w:spacing w:before="60" w:after="20"/>
            </w:pPr>
            <w:r>
              <w:rPr>
                <w:b/>
              </w:rPr>
              <w:t xml:space="preserve">Oh 2025</w:t>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yLTM3XTwvRGlzcGxheVRleHQ+PHJlY29yZD48cmVjLW51bWJlcj4zNzwvcmVjLW51bWJlcj48Zm9yZWlnbi1rZXlzPjxrZXkgYXBwPSJFTiIgZGItaWQ9Ijk0ZWZiYjkwLTY5ZDctNWJiOC04NzU3LWRiMGVmZDBhNjRhMSIgdGltZXN0YW1wPSIxNzkyOTIxMDg2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p>
          <w:p>
            <w:pPr>
              <w:pStyle w:val="Normal"/>
              <w:widowControl/>
              <w:spacing w:before="60" w:after="20"/>
            </w:pPr>
            <w:r>
              <w:t xml:space="preserve">Exploratory three-year update of randomized TOPAZ-1: 685 participants, 341 durvalumab/GemCis and 344 placebo/GemCis; not an independent new trial.</w:t>
            </w:r>
          </w:p>
          <w:p>
            <w:pPr>
              <w:pStyle w:val="Normal"/>
              <w:widowControl/>
              <w:spacing w:before="60" w:after="20"/>
            </w:pPr>
            <w:hyperlink r:id="rId95">
              <w:r>
                <w:rPr>
                  <w:color w:val="77230C"/>
                  <w:sz w:val="20"/>
                  <w:u w:val="single"/>
                </w:rPr>
                <w:t>Primary source</w:t>
              </w:r>
            </w:hyperlink>
            <w:r>
              <w:t xml:space="preserve"> | </w:t>
            </w:r>
            <w:hyperlink r:id="rId96">
              <w:r>
                <w:rPr>
                  <w:color w:val="77230C"/>
                  <w:sz w:val="20"/>
                  <w:u w:val="single"/>
                </w:rPr>
                <w:t>Full-text PDF</w:t>
              </w:r>
            </w:hyperlink>
          </w:p>
          <w:p>
            <w:pPr>
              <w:pStyle w:val="Normal"/>
              <w:widowControl/>
              <w:spacing w:before="60" w:after="20"/>
            </w:pPr>
            <w:r>
              <w:t xml:space="preserve">Locator: Complete 11-page J Hepatol 2025; 83:1092–1101 PDF, Methods, baseline, survival and safety.</w:t>
            </w:r>
          </w:p>
          <w:p>
            <w:pPr>
              <w:pStyle w:val="Normal"/>
              <w:widowControl/>
              <w:spacing w:before="60" w:after="20"/>
            </w:pPr>
            <w:r>
              <w:t xml:space="preserve">Review depth: Complete J Hepatol 2025; 83:1092–1101 article plus graphical-abstract cover; all main-paper pages reviewed. Exploratory three-year update of the existing randomized trial, not a new trial.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median OS 12.9 versus 11.3 months; HR .74 (CI .63–.87), 36-month OS 14.6% versus 6.9%, median follow-up 41.3 months. Serious adverse events: 165/338 versus 152/342; treatment-related serious events: 52/338 versus 59/342.</w:t>
            </w:r>
          </w:p>
          <w:p>
            <w:pPr>
              <w:pStyle w:val="Normal"/>
              <w:widowControl/>
              <w:spacing w:before="60" w:after="20"/>
            </w:pPr>
            <w:r>
              <w:rPr>
                <w:b/>
              </w:rPr>
              <w:t xml:space="preserve">Do not infer: </w:t>
            </w:r>
            <w:r>
              <w:t xml:space="preserve">Strong non-LT systemic evidence, not validation of LT benefit, pre-LT ICI safety or washout. No formal confirmatory test in this update; only serious-adverse-event collection continued after February 2022.</w:t>
            </w:r>
          </w:p>
        </w:tc>
      </w:tr>
      <w:tr>
        <w:trPr/>
        <w:tc>
          <w:tcPr>
            <w:tcW w:w="3400" w:type="dxa"/>
            <w:tcMar>
              <w:top w:w="90" w:type="dxa"/>
              <w:left w:w="90" w:type="dxa"/>
              <w:bottom w:w="90" w:type="dxa"/>
              <w:right w:w="90" w:type="dxa"/>
            </w:tcMar>
          </w:tcPr>
          <w:p>
            <w:pPr>
              <w:pStyle w:val="Normal"/>
              <w:widowControl/>
              <w:spacing w:before="60" w:after="20"/>
            </w:pPr>
            <w:r>
              <w:rPr>
                <w:b/>
              </w:rPr>
              <w:t xml:space="preserve">Kelly 2026</w:t>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p>
          <w:p>
            <w:pPr>
              <w:pStyle w:val="Normal"/>
              <w:widowControl/>
              <w:spacing w:before="60" w:after="20"/>
            </w:pPr>
            <w:r>
              <w:t xml:space="preserve">SRTR 1989–2023: 8, 981 eligible donors, 8, 619 mortality analysis and 8, 314 secondary follow-up.</w:t>
            </w:r>
          </w:p>
          <w:p>
            <w:pPr>
              <w:pStyle w:val="Normal"/>
              <w:widowControl/>
              <w:spacing w:before="60" w:after="20"/>
            </w:pPr>
            <w:hyperlink r:id="rId97">
              <w:r>
                <w:rPr>
                  <w:color w:val="77230C"/>
                  <w:sz w:val="20"/>
                  <w:u w:val="single"/>
                </w:rPr>
                <w:t>Primary source</w:t>
              </w:r>
            </w:hyperlink>
            <w:r>
              <w:t xml:space="preserve"> | </w:t>
            </w:r>
            <w:hyperlink r:id="rId98">
              <w:r>
                <w:rPr>
                  <w:color w:val="77230C"/>
                  <w:sz w:val="20"/>
                  <w:u w:val="single"/>
                </w:rPr>
                <w:t>Full-text PDF</w:t>
              </w:r>
            </w:hyperlink>
          </w:p>
          <w:p>
            <w:pPr>
              <w:pStyle w:val="Normal"/>
              <w:widowControl/>
              <w:spacing w:before="60" w:after="20"/>
            </w:pPr>
            <w:r>
              <w:t xml:space="preserve">Locator: J Transplant 2026: 2545887; Missing Data and Results§§3.1–3.3; complete 8-page PDF.</w:t>
            </w:r>
          </w:p>
          <w:p>
            <w:pPr>
              <w:pStyle w:val="Normal"/>
              <w:widowControl/>
              <w:spacing w:before="60" w:after="20"/>
            </w:pPr>
            <w:r>
              <w:t xml:space="preserve">Review depth: Original full PDF checked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90-day deaths (0.1%), 18 within two years (0.2%). Contemporary 90-day mortality approximately 0.04%. Secondary-outcome completeness 60–67% at six months and 37–39% at two years.</w:t>
            </w:r>
          </w:p>
          <w:p>
            <w:pPr>
              <w:pStyle w:val="Normal"/>
              <w:widowControl/>
              <w:spacing w:before="60" w:after="20"/>
            </w:pPr>
            <w:r>
              <w:rPr>
                <w:b/>
              </w:rPr>
              <w:t xml:space="preserve">Do not infer: </w:t>
            </w:r>
            <w:r>
              <w:t xml:space="preserve">All-cause deaths are not all donation-attributable. Missingness, historical eras and mixed graft types limit individual risk estimates; employment burden also matters.</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Mi0zOF08L0Rpc3BsYXlUZXh0PjxyZWNvcmQ+PHJlYy1udW1iZXI+Mzg8L3JlYy1udW1iZXI+PGZvcmVpZ24ta2V5cz48a2V5IGFwcD0iRU4iIGRiLWlkPSI5NGVmYmI5MC02OWQ3LTViYjgtODc1Ny1kYjBlZmQwYTY0YTEiIHRpbWVzdGFtcD0iMTc5MjkyMTA4Ni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[V12-38]</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99">
              <w:r>
                <w:rPr>
                  <w:color w:val="77230C"/>
                  <w:sz w:val="20"/>
                  <w:u w:val="single"/>
                </w:rPr>
                <w:t>Primary source</w:t>
              </w:r>
            </w:hyperlink>
            <w:r>
              <w:t xml:space="preserve"> | </w:t>
            </w:r>
            <w:hyperlink r:id="rId100">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Gül-Klein 2022</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yLTM5XTwvRGlzcGxheVRleHQ+PHJlY29yZD48cmVjLW51bWJlcj4zOTwvcmVjLW51bWJlcj48Zm9yZWlnbi1rZXlzPjxrZXkgYXBwPSJFTiIgZGItaWQ9Ijk0ZWZiYjkwLTY5ZDctNWJiOC04NzU3LWRiMGVmZDBhNjRhMSIgdGltZXN0YW1wPSIxNzkyOTIxMDg2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[V12-39]</w:t>
            </w:r>
            <w:r>
              <w:fldChar w:fldCharType="end"/>
            </w:r>
          </w:p>
          <w:p>
            <w:pPr>
              <w:pStyle w:val="Normal"/>
              <w:widowControl/>
              <w:spacing w:before="60" w:after="20"/>
            </w:pPr>
            <w:r>
              <w:t xml:space="preserve">Historical single-center retrospective cohort, 1988–2022: 67 LT recipients (37 pCCA, 17 iCCA, 13 mixed HCC-CCA); 44 recurred. Twenty-three of 44 underwent restrictive immunosuppression management (RIM).</w:t>
            </w:r>
          </w:p>
          <w:p>
            <w:pPr>
              <w:pStyle w:val="Normal"/>
              <w:widowControl/>
              <w:spacing w:before="60" w:after="20"/>
            </w:pPr>
            <w:hyperlink r:id="rId101">
              <w:r>
                <w:rPr>
                  <w:color w:val="77230C"/>
                  <w:sz w:val="20"/>
                  <w:u w:val="single"/>
                </w:rPr>
                <w:t>Primary source</w:t>
              </w:r>
            </w:hyperlink>
            <w:r>
              <w:t xml:space="preserve"> | </w:t>
            </w:r>
            <w:hyperlink r:id="rId102">
              <w:r>
                <w:rPr>
                  <w:color w:val="77230C"/>
                  <w:sz w:val="20"/>
                  <w:u w:val="single"/>
                </w:rPr>
                <w:t>Full-text PDF</w:t>
              </w:r>
            </w:hyperlink>
          </w:p>
          <w:p>
            <w:pPr>
              <w:pStyle w:val="Normal"/>
              <w:widowControl/>
              <w:spacing w:before="60" w:after="20"/>
            </w:pPr>
            <w:r>
              <w:t xml:space="preserve">Locator: PDF pp 2–3 methods and RIM definition; p 7 RIM results; pp 8–9/Table 3 models; pp 10–11 limitations.</w:t>
            </w:r>
          </w:p>
          <w:p>
            <w:pPr>
              <w:pStyle w:val="Normal"/>
              <w:widowControl/>
              <w:spacing w:before="60" w:after="20"/>
            </w:pPr>
            <w:r>
              <w:t xml:space="preserve">Review depth: Complete 14-page main paper read. Some PDF text is duplicated by overlaid proof/extraction layers; the scientific main article is complete.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RIM meant reducing/discontinuing calcineurin inhibitors, MMF and/or steroids. Merely adding mTOR therapy without reducing another agent was not classified as RIM.; Median post-recurrence OS was 16.7 months with RIM versus 5.3 months without it. Absence of RIM was associated with worse survival in the adjusted model (HR 4.19, 95% CI 1.29–13.58).; No clinically significant rejection was reported after RIM, but the sample and design cannot guarantee safety for an individual recipient.; mTOR treatment before or after recurrence did not show an independent survival association. Table 3 post-recurrence mTOR HR was 0.91 (0.28–2.91; p=.87).; Surgical treatment of recurrence was also associated with longer survival, but selection by fitness, tumor distribution and treatability strongly limits causal interpretation.</w:t>
            </w:r>
          </w:p>
          <w:p>
            <w:pPr>
              <w:pStyle w:val="Normal"/>
              <w:widowControl/>
              <w:spacing w:before="60" w:after="20"/>
            </w:pPr>
            <w:r>
              <w:rPr>
                <w:b/>
              </w:rPr>
              <w:t xml:space="preserve">Do not infer: </w:t>
            </w:r>
            <w:r>
              <w:t xml:space="preserve">Small, nonrandomized, &gt;30-year mixed-disease cohort; treatment selection and performance-status confounding; RIM not standardized; era differences; no proof that reducing immunosuppression causes survival improvement or that mTOR alone prevents recurrence. Time origin: Recurrence-management OS starts at recurrence, not LT. Median LT-to-recurrence was 15.8 months and median post-recurrence OS 7.4 months.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ItNDBdPC9EaXNwbGF5VGV4dD48cmVjb3JkPjxyZWMtbnVtYmVyPjQwPC9yZWMtbnVtYmVyPjxmb3JlaWduLWtleXM+PGtleSBhcHA9IkVOIiBkYi1pZD0iOTRlZmJiOTAtNjlkNy01YmI4LTg3NTctZGIwZWZkMGE2NGExIiB0aW1lc3RhbXA9IjE3OTI5MjEwODY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[V12-40]</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103">
              <w:r>
                <w:rPr>
                  <w:color w:val="77230C"/>
                  <w:sz w:val="20"/>
                  <w:u w:val="single"/>
                </w:rPr>
                <w:t>Primary source</w:t>
              </w:r>
            </w:hyperlink>
            <w:r>
              <w:t xml:space="preserve"> | </w:t>
            </w:r>
            <w:hyperlink r:id="rId104">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The complete seven-recipient LDLT report supports prospective study development, not a standard indication. Its wide survival uncertainty, mixed referral denominator, occult N1/R1 disease and donor reoperation must be visible. All donors being alive does not mean no morbidity. Do not compare selected post-LT survival directly with mostly metastatic TOPAZ patients or nonrandomized conversion cohorts. Donor willingness does not remove recipient uncertainty, competing resection options or potential retransplant demand. Semaan’s 53-recipient series does not establish mTOR survival benefit in time-dependent analysis (OS HR 0.52, 95% CI 0.19–1.43; RFS HR 0.82, 0.32–2.08). The median 38-day initiation is not a conversion deadline. Current US everolimus labeling prohibits initiation before day 30 after adult LT; retain this drug-specific safety floor while individualizing the decision.</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ItN108L0Rpc3BsYXlUZXh0PjxyZWNvcmQ+PHJlYy1udW1iZXI+NzwvcmVjLW51bWJlcj48Zm9yZWlnbi1rZXlzPjxrZXkgYXBwPSJFTiIgZGItaWQ9Ijk0ZWZiYjkwLTY5ZDctNWJiOC04NzU3LWRiMGVmZDBhNjRhMSIgdGltZXN0YW1wPSIxNzkyOTIxMDg2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2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i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i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yLTIzXTwvRGlzcGxheVRleHQ+PHJlY29yZD48cmVjLW51bWJlcj4yMzwvcmVjLW51bWJlcj48Zm9yZWlnbi1rZXlzPjxrZXkgYXBwPSJFTiIgZGItaWQ9Ijk0ZWZiYjkwLTY5ZDctNWJiOC04NzU3LWRiMGVmZDBhNjRhMSIgdGltZXN0YW1wPSIxNzkyOTIxMDg2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yLTM3XTwvRGlzcGxheVRleHQ+PHJlY29yZD48cmVjLW51bWJlcj4zNzwvcmVjLW51bWJlcj48Zm9yZWlnbi1rZXlzPjxrZXkgYXBwPSJFTiIgZGItaWQ9Ijk0ZWZiYjkwLTY5ZDctNWJiOC04NzU3LWRiMGVmZDBhNjRhMSIgdGltZXN0YW1wPSIxNzkyOTIxMDg2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Mi0zOF08L0Rpc3BsYXlUZXh0PjxyZWNvcmQ+PHJlYy1udW1iZXI+Mzg8L3JlYy1udW1iZXI+PGZvcmVpZ24ta2V5cz48a2V5IGFwcD0iRU4iIGRiLWlkPSI5NGVmYmI5MC02OWQ3LTViYjgtODc1Ny1kYjBlZmQwYTY0YTEiIHRpbWVzdGFtcD0iMTc5MjkyMTA4Ni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[V12-38]</w:t>
      </w:r>
      <w:r>
        <w:fldChar w:fldCharType="end"/>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yLTM5XTwvRGlzcGxheVRleHQ+PHJlY29yZD48cmVjLW51bWJlcj4zOTwvcmVjLW51bWJlcj48Zm9yZWlnbi1rZXlzPjxrZXkgYXBwPSJFTiIgZGItaWQ9Ijk0ZWZiYjkwLTY5ZDctNWJiOC04NzU3LWRiMGVmZDBhNjRhMSIgdGltZXN0YW1wPSIxNzkyOTIxMDg2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[V12-39]</w:t>
      </w:r>
      <w:r>
        <w:fldChar w:fldCharType="end"/>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ItNDBdPC9EaXNwbGF5VGV4dD48cmVjb3JkPjxyZWMtbnVtYmVyPjQwPC9yZWMtbnVtYmVyPjxmb3JlaWduLWtleXM+PGtleSBhcHA9IkVOIiBkYi1pZD0iOTRlZmJiOTAtNjlkNy01YmI4LTg3NTctZGIwZWZkMGE2NGExIiB0aW1lc3RhbXA9IjE3OTI5MjEwODY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[V12-40]</w:t>
      </w:r>
      <w:r>
        <w:fldChar w:fldCharType="end"/>
      </w:r>
    </w:p>
    <w:p>
      <w:pPr>
        <w:pStyle w:val="Normal"/>
        <w:widowControl/>
        <w:numPr>
          <w:ilvl w:val="0"/>
          <w:numId w:val="3"/>
        </w:numPr>
        <w:spacing w:before="60" w:after="20"/>
      </w:pPr>
      <w:r>
        <w:t xml:space="preserve">No randomized advanced-iCCA LDLT-benefit trial or validated minimum five-year survival forecast establishes study readiness. Response-selected non-LT patients may live for years. National mortality is small but nonzero and does not capture all financial, psychological or functional burden. Seven living donors reported alive is not a safety guarantee.</w:t>
      </w:r>
    </w:p>
    <w:p>
      <w:pPr>
        <w:pStyle w:val="Normal"/>
        <w:widowControl/>
        <w:spacing w:before="60" w:after="20"/>
      </w:pPr>
      <w:r>
        <w:rPr>
          <w:b/>
        </w:rPr>
        <w:t xml:space="preserve">Certainty / applicability: </w:t>
      </w:r>
      <w:r>
        <w:t xml:space="preserve">Very low certainty for causal LDLT benefit and the disease-specific donor-risk tradeoff; moderate confidence in broad national donor-mortality estimates, with limited individual transferability.</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POLICY: donor independence, informed consent and withdrawal protections remain mandatory. STUDY: seven-recipient LDLT feasibility with wide confidence intervals; no validated minimum survival forecast. LOCAL: six-domain readiness gate. Recipient boundaries and safety stopping rules require prospective institutional approval before the first pair.</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ItN108L0Rpc3BsYXlUZXh0PjxyZWNvcmQ+PHJlYy1udW1iZXI+NzwvcmVjLW51bWJlcj48Zm9yZWlnbi1rZXlzPjxrZXkgYXBwPSJFTiIgZGItaWQ9Ijk0ZWZiYjkwLTY5ZDctNWJiOC04NzU3LWRiMGVmZDBhNjRhMSIgdGltZXN0YW1wPSIxNzkyOTIxMDg2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“This retrospective, single-center study investigated outcomes for seven patients”</w:t>
            </w:r>
          </w:p>
          <w:p>
            <w:pPr>
              <w:pStyle w:val="Normal"/>
              <w:widowControl/>
              <w:spacing w:before="60" w:after="20"/>
            </w:pPr>
            <w:r>
              <w:t xml:space="preserve">Complete 11-page AJT 2026 main-paper proof; Methods, referral flow, Tables 1–2 and recipient/donor outcomes</w:t>
            </w:r>
          </w:p>
          <w:p>
            <w:pPr>
              <w:pStyle w:val="Normal"/>
              <w:widowControl/>
              <w:spacing w:before="60" w:after="20"/>
            </w:pPr>
            <w:hyperlink r:id="rId105">
              <w:r>
                <w:rPr>
                  <w:color w:val="77230C"/>
                  <w:sz w:val="20"/>
                  <w:u w:val="single"/>
                </w:rPr>
                <w:t>Source</w:t>
              </w:r>
            </w:hyperlink>
            <w:r>
              <w:t xml:space="preserve"> | </w:t>
            </w:r>
            <w:hyperlink r:id="rId106">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complete main paper was reviewed. Seven selected recipients, wide confidence intervals and donor reoperation/drainage support prospective study development, not routine LDLT access. Separate supplementary details and individual ICI intervals remain unverified.</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Schleimer 2026 · non-LT comparator</w:t>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i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“Their median survival from diagnosis was 39 months”</w:t>
            </w:r>
          </w:p>
          <w:p>
            <w:pPr>
              <w:pStyle w:val="Normal"/>
              <w:widowControl/>
              <w:spacing w:before="60" w:after="20"/>
            </w:pPr>
            <w:r>
              <w:t xml:space="preserve">Published PDF p1 / journal p6099, abstract Results</w:t>
            </w:r>
          </w:p>
          <w:p>
            <w:pPr>
              <w:pStyle w:val="Normal"/>
              <w:widowControl/>
              <w:spacing w:before="60" w:after="20"/>
            </w:pPr>
            <w:hyperlink r:id="rId107">
              <w:r>
                <w:rPr>
                  <w:color w:val="77230C"/>
                  <w:sz w:val="20"/>
                  <w:u w:val="single"/>
                </w:rPr>
                <w:t>Source</w:t>
              </w:r>
            </w:hyperlink>
            <w:r>
              <w:t xml:space="preserve"> | </w:t>
            </w:r>
            <w:hyperlink r:id="rId108">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Selected contemporary non-LT survival is a relevant comparator; this is not a randomized LT-benefit estimate.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Develop a prospective LDLT feasibility study, but do not permit transplantation under this proposal yet.</w:t>
      </w:r>
      <w:r>
        <w:t xml:space="preserve"> </w:t>
      </w:r>
      <w:r>
        <w:t xml:space="preserve"> </w:t>
      </w:r>
      <w:r>
        <w:fldChar w:fldCharType="begin"/>
      </w:r>
      <w:r>
        <w:instrText xml:space="preserve"> ADDIN EN.CITE </w:instrText>
      </w:r>
      <w:r>
        <w:fldChar w:fldCharType="begin">
          <w:fldData>PEVuZE5vdGU+PENpdGU+PEF1dGhvcj5TZXRoaTwvQXV0aG9yPjxZZWFyPjIwMjY8L1llYXI+PFJlY051bT43PC9SZWNOdW0+PERpc3BsYXlUZXh0PltWMTItN108L0Rpc3BsYXlUZXh0PjxyZWNvcmQ+PHJlYy1udW1iZXI+NzwvcmVjLW51bWJlcj48Zm9yZWlnbi1rZXlzPjxrZXkgYXBwPSJFTiIgZGItaWQ9Ijk0ZWZiYjkwLTY5ZDctNWJiOC04NzU3LWRiMGVmZDBhNjRhMSIgdGltZXN0YW1wPSIxNzkyOTIxMDg2Ij43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t xml:space="preserve"> </w:t>
      </w:r>
      <w:r>
        <w:fldChar w:fldCharType="begin"/>
      </w:r>
      <w:r>
        <w:instrText xml:space="preserve"> ADDIN EN.CITE </w:instrText>
      </w:r>
      <w:r>
        <w:fldChar w:fldCharType="begin">
          <w:fldData>PEVuZE5vdGU+PENpdGU+PEF1dGhvcj5TY2hsZWltZXI8L0F1dGhvcj48WWVhcj4yMDI2PC9ZZWFyPjxSZWNOdW0+ODwvUmVjTnVtPjxEaXNwbGF5VGV4dD5bVjEyLThdPC9EaXNwbGF5VGV4dD48cmVjb3JkPjxyZWMtbnVtYmVyPjg8L3JlYy1udW1iZXI+PGZvcmVpZ24ta2V5cz48a2V5IGFwcD0iRU4iIGRiLWlkPSI5NGVmYmI5MC02OWQ3LTViYjgtODc1Ny1kYjBlZmQwYTY0YTEiIHRpbWVzdGFtcD0iMTc5MjkyMTA4NiI+OD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2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HaWd1ZXQ8L0F1dGhvcj48WWVhcj4yMDI2PC9ZZWFyPjxSZWNOdW0+MTQ8L1JlY051bT48RGlzcGxheVRleHQ+W1YxMi0xNF08L0Rpc3BsYXlUZXh0PjxyZWNvcmQ+PHJlYy1udW1iZXI+MTQ8L3JlYy1udW1iZXI+PGZvcmVpZ24ta2V5cz48a2V5IGFwcD0iRU4iIGRiLWlkPSI5NGVmYmI5MC02OWQ3LTViYjgtODc1Ny1kYjBlZmQwYTY0YTEiIHRpbWVzdGFtcD0iMTc5MjkyMTA4NiI+MTQ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</w:fldData>
        </w:fldChar>
      </w:r>
      <w:r>
        <w:instrText xml:space="preserve"> ADDIN EN.CITE.DATA </w:instrText>
      </w:r>
      <w:r>
        <w:fldChar w:fldCharType="end"/>
      </w:r>
      <w:r>
        <w:fldChar w:fldCharType="separate"/>
      </w:r>
      <w:r>
        <w:t xml:space="preserve">[V12-23]</w:t>
      </w:r>
      <w:r>
        <w:fldChar w:fldCharType="end"/>
      </w:r>
      <w:r>
        <w:t xml:space="preserve"> </w:t>
      </w:r>
      <w:r>
        <w:t xml:space="preserve"> </w:t>
      </w:r>
      <w:r>
        <w:fldChar w:fldCharType="begin"/>
      </w:r>
      <w:r>
        <w:instrText xml:space="preserve"> ADDIN EN.CITE </w:instrText>
      </w:r>
      <w:r>
        <w:fldChar w:fldCharType="begin">
          <w:fldData>PEVuZE5vdGU+PENpdGU+PEF1dGhvcj5PaDwvQXV0aG9yPjxZZWFyPjIwMjU8L1llYXI+PFJlY051bT4zNzwvUmVjTnVtPjxEaXNwbGF5VGV4dD5bVjEyLTM3XTwvRGlzcGxheVRleHQ+PHJlY29yZD48cmVjLW51bWJlcj4zNzwvcmVjLW51bWJlcj48Zm9yZWlnbi1rZXlzPjxrZXkgYXBwPSJFTiIgZGItaWQ9Ijk0ZWZiYjkwLTY5ZDctNWJiOC04NzU3LWRiMGVmZDBhNjRhMSIgdGltZXN0YW1wPSIxNzkyOTIxMDg2Ij4zNz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[V12-37]</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NDE8L1JlY051bT48RGlzcGxheVRleHQ+W1YxMi00MV08L0Rpc3BsYXlUZXh0PjxyZWNvcmQ+PHJlYy1udW1iZXI+NDE8L3JlYy1udW1iZXI+PGZvcmVpZ24ta2V5cz48a2V5IGFwcD0iRU4iIGRiLWlkPSI5NGVmYmI5MC02OWQ3LTViYjgtODc1Ny1kYjBlZmQwYTY0YTEiIHRpbWVzdGFtcD0iMTc5MjkyMTA4NiI+NDE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[V12-41]</w:t>
      </w:r>
      <w:r>
        <w:fldChar w:fldCharType="end"/>
      </w:r>
      <w:r>
        <w:t xml:space="preserve"> </w:t>
      </w:r>
      <w:r>
        <w:t xml:space="preserve"> </w:t>
      </w:r>
      <w:r>
        <w:fldChar w:fldCharType="begin"/>
      </w:r>
      <w:r>
        <w:instrText xml:space="preserve"> ADDIN EN.CITE </w:instrText>
      </w:r>
      <w:r>
        <w:fldChar w:fldCharType="begin">
          <w:fldData>PEVuZE5vdGU+PENpdGU+PEF1dGhvcj5TZW1hYW48L0F1dGhvcj48WWVhcj4yMDI1PC9ZZWFyPjxSZWNOdW0+Mzg8L1JlY051bT48RGlzcGxheVRleHQ+W1YxMi0zOF08L0Rpc3BsYXlUZXh0PjxyZWNvcmQ+PHJlYy1udW1iZXI+Mzg8L3JlYy1udW1iZXI+PGZvcmVpZ24ta2V5cz48a2V5IGFwcD0iRU4iIGRiLWlkPSI5NGVmYmI5MC02OWQ3LTViYjgtODc1Ny1kYjBlZmQwYTY0YTEiIHRpbWVzdGFtcD0iMTc5MjkyMTA4NiI+Mzg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[V12-38]</w:t>
      </w:r>
      <w:r>
        <w:fldChar w:fldCharType="end"/>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zOTwvUmVjTnVtPjxEaXNwbGF5VGV4dD5bVjEyLTM5XTwvRGlzcGxheVRleHQ+PHJlY29yZD48cmVjLW51bWJlcj4zOTwvcmVjLW51bWJlcj48Zm9yZWlnbi1rZXlzPjxrZXkgYXBwPSJFTiIgZGItaWQ9Ijk0ZWZiYjkwLTY5ZDctNWJiOC04NzU3LWRiMGVmZDBhNjRhMSIgdGltZXN0YW1wPSIxNzkyOTIxMDg2Ij4zOT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[V12-39]</w:t>
      </w:r>
      <w:r>
        <w:fldChar w:fldCharType="end"/>
      </w:r>
      <w:r>
        <w:t xml:space="preserve"> </w:t>
      </w:r>
      <w:r>
        <w:t xml:space="preserve"> </w:t>
      </w:r>
      <w:r>
        <w:fldChar w:fldCharType="begin"/>
      </w:r>
      <w:r>
        <w:instrText xml:space="preserve"> ADDIN EN.CITE </w:instrText>
      </w:r>
      <w:r>
        <w:fldChar w:fldCharType="begin">
          <w:fldData>PEVuZE5vdGU+PENpdGU+PEF1dGhvcj5SYW1hbmFuPC9BdXRob3I+PFllYXI+MjAxNzwvWWVhcj48UmVjTnVtPjQwPC9SZWNOdW0+PERpc3BsYXlUZXh0PltWMTItNDBdPC9EaXNwbGF5VGV4dD48cmVjb3JkPjxyZWMtbnVtYmVyPjQwPC9yZWMtbnVtYmVyPjxmb3JlaWduLWtleXM+PGtleSBhcHA9IkVOIiBkYi1pZD0iOTRlZmJiOTAtNjlkNy01YmI4LTg3NTctZGIwZWZkMGE2NGExIiB0aW1lc3RhbXA9IjE3OTI5MjEwODYiPjQw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[V12-40]</w:t>
      </w:r>
      <w:r>
        <w:fldChar w:fldCharType="end"/>
      </w:r>
    </w:p>
    <w:p>
      <w:pPr>
        <w:pStyle w:val="Normal"/>
        <w:widowControl/>
        <w:numPr>
          <w:ilvl w:val="0"/>
          <w:numId w:val="3"/>
        </w:numPr>
      </w:pPr>
      <w:r>
        <w:t xml:space="preserve">Activation cutoff: all six readiness domains complete—approved recipient rules; independent benefit/comparator review; separate donor/advocate clearance; explicit uncertainty/graft-use consent; funded donor follow-up; and an all-screened registry with independently approved safety monitoring.</w:t>
      </w:r>
    </w:p>
    <w:p>
      <w:pPr>
        <w:pStyle w:val="Normal"/>
        <w:widowControl/>
        <w:numPr>
          <w:ilvl w:val="0"/>
          <w:numId w:val="3"/>
        </w:numPr>
      </w:pPr>
      <w:r>
        <w:t xml:space="preserve">Donor availability never lowers iCCA-B1/B2 selection or control requirements.</w:t>
      </w:r>
    </w:p>
    <w:p>
      <w:pPr>
        <w:pStyle w:val="Normal"/>
        <w:widowControl/>
        <w:numPr>
          <w:ilvl w:val="1"/>
          <w:numId w:val="3"/>
        </w:numPr>
        <w:spacing w:before="60" w:after="20"/>
      </w:pPr>
      <w:r>
        <w:t xml:space="preserve">Retain ordinary donor safety criteria and independent withdrawal rights.</w:t>
      </w:r>
    </w:p>
    <w:p>
      <w:pPr>
        <w:pStyle w:val="Normal"/>
        <w:widowControl/>
        <w:numPr>
          <w:ilvl w:val="0"/>
          <w:numId w:val="3"/>
        </w:numPr>
      </w:pPr>
      <w:r>
        <w:t xml:space="preserve">Do not use predicted five-year survival ≥50%, or another unvalidated number, as proof of readiness.</w:t>
      </w:r>
    </w:p>
    <w:p>
      <w:pPr>
        <w:pStyle w:val="Normal"/>
        <w:widowControl/>
        <w:numPr>
          <w:ilvl w:val="1"/>
          <w:numId w:val="3"/>
        </w:numPr>
        <w:spacing w:before="60" w:after="20"/>
      </w:pPr>
      <w:r>
        <w:t xml:space="preserve">Until approvals are complete: screening/registry and study development only, no protocol-directed LT.</w:t>
      </w:r>
    </w:p>
    <w:p>
      <w:pPr>
        <w:pStyle w:val="Normal"/>
        <w:widowControl/>
        <w:numPr>
          <w:ilvl w:val="0"/>
          <w:numId w:val="3"/>
        </w:numPr>
      </w:pPr>
      <w:r>
        <w:t xml:space="preserve">Recipient and donor counseling must incorporate the verified donor reoperation and drainage, mixed-referral denominator and wide survival confidence intervals in the complete Sethi main paper.</w:t>
      </w:r>
    </w:p>
    <w:p>
      <w:pPr>
        <w:pStyle w:val="Normal"/>
        <w:widowControl/>
        <w:numPr>
          <w:ilvl w:val="1"/>
          <w:numId w:val="3"/>
        </w:numPr>
        <w:spacing w:before="60" w:after="20"/>
      </w:pPr>
      <w:r>
        <w:t xml:space="preserve">Separate supplementary details and individual ICI intervals remain unverified.</w:t>
      </w:r>
    </w:p>
    <w:p>
      <w:pPr>
        <w:pStyle w:val="Normal"/>
        <w:widowControl/>
        <w:numPr>
          <w:ilvl w:val="0"/>
          <w:numId w:val="3"/>
        </w:numPr>
      </w:pPr>
      <w:r>
        <w:t xml:space="preserve">Add recipient staging clearance before irreversible donor surgery to the proposed LDLT safety workflow, independently approved by the donor/recipient teams.</w:t>
      </w:r>
    </w:p>
    <w:p>
      <w:pPr>
        <w:pStyle w:val="Normal"/>
        <w:widowControl/>
        <w:numPr>
          <w:ilvl w:val="0"/>
          <w:numId w:val="3"/>
        </w:numPr>
      </w:pPr>
      <w:r>
        <w:t xml:space="preserve">Retain independent donor advocacy/withdrawal, center-specific complication counseling and funded long-term medical, psychosocial and financial follow-up; do not activate clinical LT until all six readiness domains are approved.</w:t>
      </w:r>
    </w:p>
    <w:p>
      <w:pPr>
        <w:pStyle w:val="Normal"/>
        <w:widowControl/>
        <w:numPr>
          <w:ilvl w:val="0"/>
          <w:numId w:val="3"/>
        </w:numPr>
      </w:pPr>
      <w:r>
        <w:t xml:space="preserve">Do not reduce ICI washout to three weeks on the basis of this small center series; individual exposure requires separate transplant-oncology/pharmacy review.</w:t>
      </w:r>
    </w:p>
    <w:p>
      <w:pPr>
        <w:pStyle w:val="Normal"/>
        <w:widowControl/>
        <w:numPr>
          <w:ilvl w:val="0"/>
          <w:numId w:val="3"/>
        </w:numPr>
      </w:pPr>
      <w:r>
        <w:t xml:space="preserve">Do not assume an mTOR regimen offsets adverse tumor or donor risk.</w:t>
      </w:r>
    </w:p>
    <w:p>
      <w:pPr>
        <w:pStyle w:val="Normal"/>
        <w:widowControl/>
        <w:numPr>
          <w:ilvl w:val="1"/>
          <w:numId w:val="3"/>
        </w:numPr>
        <w:spacing w:before="60" w:after="20"/>
      </w:pPr>
      <w:r>
        <w:t xml:space="preserve">If everolimus is selected, observe its US adult-LT no-earlier-than-day-30 restriction and individualized transplant-pharmacy safeguards; no mandatory conversion date or CCA-specific anticancer benefit is established.</w:t>
      </w:r>
    </w:p>
    <w:p>
      <w:pPr>
        <w:pStyle w:val="Normal"/>
        <w:widowControl/>
        <w:spacing w:before="60" w:after="20"/>
      </w:pPr>
      <w:r>
        <w:rPr>
          <w:b/>
        </w:rPr>
        <w:t xml:space="preserve">Why retain or change it: </w:t>
      </w:r>
      <w:r>
        <w:t xml:space="preserve">OPEN: develop the protocol, but do not activate clinical transplantation yet. Require six readiness domains: fixed B 1/B 2 recipient rules and independent HPB review; documented best non-LT comparator and individualized expected benefit; independent donor advocacy, medical and psychosocial clearance with center-specific risks and withdrawal protection; explicit recipient/donor uncertainty consent; funded long-term follow-up; and an all-screened registry with prespecified safety review and independent IRB/DSMB governance. A willing donor must not relax tumor-burden or control requirements, or enable an unapproved ICI/regimen arm.</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Written study, statistical/safety plan, non-LT alternatives including HAI/conversion, donor resources, consent forms and documented independent approvals.</w:t>
      </w:r>
    </w:p>
    <w:p>
      <w:pPr>
        <w:pStyle w:val="Normal"/>
        <w:widowControl/>
        <w:spacing w:before="60" w:after="20"/>
      </w:pPr>
      <w:r>
        <w:rPr>
          <w:b/>
        </w:rPr>
        <w:t xml:space="preserve">Clinical versus allocation: </w:t>
      </w:r>
      <w:r>
        <w:t xml:space="preserve">LDLT avoids allocation of that deceased-donor graft but adds healthy-donor risk and potential retransplant demand; it does not itself prove net benefit.</w:t>
      </w:r>
    </w:p>
    <w:p>
      <w:pPr>
        <w:pStyle w:val="Normal"/>
        <w:widowControl/>
        <w:spacing w:before="60" w:after="20"/>
      </w:pPr>
      <w:r>
        <w:rPr>
          <w:b/>
        </w:rPr>
        <w:t xml:space="preserve">Roadmap / protocol reconciliation: </w:t>
      </w:r>
      <w:r>
        <w:t xml:space="preserve">Continue the iCCA treatment roadmap while developing the study; document which contemporary alternative the candidate would otherwise receive.</w:t>
      </w:r>
    </w:p>
    <w:p>
      <w:pPr>
        <w:pStyle w:val="Normal"/>
        <w:widowControl/>
        <w:spacing w:before="60" w:after="20"/>
      </w:pPr>
      <w:hyperlink r:id="rId109">
        <w:r>
          <w:rPr>
            <w:color w:val="77230C"/>
            <w:sz w:val="20"/>
            <w:u w:val="single"/>
          </w:rPr>
          <w:t>Meeting record: iCCA-B3</w:t>
        </w:r>
      </w:hyperlink>
      <w:r>
        <w:t xml:space="preserve">  |  </w:t>
      </w:r>
      <w:hyperlink r:id="rId110">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8 Operative staging and surgery</w:t>
      </w:r>
    </w:p>
    <w:p>
      <w:pPr>
        <w:pStyle w:val="Normal"/>
        <w:widowControl/>
        <w:numPr>
          <w:ilvl w:val="0"/>
          <w:numId w:val="3"/>
        </w:numPr>
      </w:pPr>
      <w:r>
        <w:t xml:space="preserve">Define staging laparoscopy/laparotomy and appropriate nodal/peritoneal assessment in the approved study before transplant. Sample suspicious findings; use frozen section where it affects the operation. Do not proceed with unresolved malignant findings or treat a negative PET as a substitute.</w:t>
      </w:r>
      <w:r>
        <w:t xml:space="preserve"> </w:t>
      </w:r>
      <w:r>
        <w:t xml:space="preserve"> </w:t>
      </w:r>
      <w:r>
        <w:fldChar w:fldCharType="begin"/>
      </w:r>
      <w:r>
        <w:instrText xml:space="preserve"> ADDIN EN.CITE </w:instrText>
      </w:r>
      <w:r>
        <w:fldChar w:fldCharType="begin">
          <w:fldData>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40PC9SZWNOdW0+PERpc3BsYXlUZXh0PltWMTItNF08L0Rpc3BsYXlUZXh0PjxyZWNvcmQ+PHJlYy1udW1iZXI+NDwvcmVjLW51bWJlcj48Zm9yZWlnbi1rZXlzPjxrZXkgYXBwPSJFTiIgZGItaWQ9Ijk0ZWZiYjkwLTY5ZDctNWJiOC04NzU3LWRiMGVmZDBhNjRhMSIgdGltZXN0YW1wPSIxNzkyOTIxMDg2Ij40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Complete native hepatectomy with oncologic handling and planned vascular/biliary reconstruction if LT is authorized. An additional “extended hepatectomy” is not a separate maneuver during total native hepatectomy. Unexpected metastatic disease stops this study operation.</w:t>
      </w:r>
    </w:p>
    <w:p>
      <w:pPr>
        <w:pStyle w:val="Normal"/>
        <w:widowControl/>
        <w:numPr>
          <w:ilvl w:val="0"/>
          <w:numId w:val="3"/>
        </w:numPr>
      </w:pPr>
      <w:r>
        <w:t xml:space="preserve">Explant pathology must map viable disease, differentiation, mixed components, margins, vascular/nodal findings and treatment response for the prespecified analytic stratum.</w:t>
      </w:r>
    </w:p>
    <w:p>
      <w:pPr>
        <w:rPr>
          <w:color w:val="A8470A"/>
        </w:rPr>
        <w:pStyle w:val="Heading2"/>
        <w:keepNext/>
        <w:widowControl/>
      </w:pPr>
      <w:r>
        <w:rPr>
          <w:color w:val="A8470A"/>
        </w:rPr>
        <w:t xml:space="preserve">9 Post transplant immunosuppression</w:t>
      </w:r>
    </w:p>
    <w:p>
      <w:pPr>
        <w:pStyle w:val="Normal"/>
        <w:widowControl/>
        <w:numPr>
          <w:ilvl w:val="0"/>
          <w:numId w:val="3"/>
        </w:numPr>
      </w:pPr>
      <w:r>
        <w:t xml:space="preserve">Use institutional induction and maintenance with pharmacy review of graft, renal, infection and oncologic risks. No iCCA-specific regimen has proven recurrence benefit. Do not mandate early steroid withdrawal or empiric high tacrolimus because of prior ICI.</w:t>
      </w:r>
      <w:r>
        <w:t xml:space="preserve"> </w:t>
      </w:r>
      <w:r>
        <w:t xml:space="preserve"> </w:t>
      </w:r>
      <w:r>
        <w:fldChar w:fldCharType="begin"/>
      </w:r>
      <w:r>
        <w:instrText xml:space="preserve"> ADDIN EN.CITE </w:instrText>
      </w:r>
      <w:r>
        <w:fldChar w:fldCharType="begin">
          <w:fldData>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VjEyLTI0XTwvRGlzcGxheVRleHQ+PHJlY29yZD48cmVjLW51bWJlcj4yNDwvcmVjLW51bWJlcj48Zm9yZWlnbi1rZXlzPjxrZXkgYXBwPSJFTiIgZGItaWQ9Ijk0ZWZiYjkwLTY5ZDctNWJiOC04NzU3LWRiMGVmZDBhNjRhMSIgdGltZXN0YW1wPSIxNzkyOTIxMDg2Ij4yND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p>
    <w:p>
      <w:pPr>
        <w:pStyle w:val="Normal"/>
        <w:widowControl/>
        <w:numPr>
          <w:ilvl w:val="0"/>
          <w:numId w:val="3"/>
        </w:numPr>
      </w:pPr>
      <w:r>
        <w:t xml:space="preserve">If considering an mTOR inhibitor, follow its current label and defer initiation until appropriate healing and vascular stability. Antitumor properties are not proof of clinical prevention of iCCA recurrence.</w:t>
      </w:r>
    </w:p>
    <w:p>
      <w:pPr>
        <w:pStyle w:val="Normal"/>
        <w:widowControl/>
        <w:numPr>
          <w:ilvl w:val="0"/>
          <w:numId w:val="3"/>
        </w:numPr>
      </w:pPr>
      <w:r>
        <w:t xml:space="preserve">Monitor graft function closely and investigate unexplained abnormalities, including infection, vascular/biliary causes and rejection. For-cause biopsy is appropriate when needed; fixed protocol biopsies require their own justified research plan.</w:t>
      </w:r>
    </w:p>
    <w:p>
      <w:pPr>
        <w:rPr>
          <w:color w:val="A8470A"/>
        </w:rPr>
        <w:pStyle w:val="Heading2"/>
        <w:keepNext/>
        <w:widowControl/>
      </w:pPr>
      <w:r>
        <w:rPr>
          <w:color w:val="A8470A"/>
        </w:rPr>
        <w:t xml:space="preserve">10 Adjuvant therapy</w:t>
      </w:r>
    </w:p>
    <w:p>
      <w:pPr>
        <w:pStyle w:val="Normal"/>
        <w:widowControl/>
        <w:numPr>
          <w:ilvl w:val="0"/>
          <w:numId w:val="3"/>
        </w:numPr>
      </w:pPr>
      <w:r>
        <w:t xml:space="preserve">There is no established routine post-LT adjuvant regimen for advanced iCCA. Residual viable tumor does not automatically mandate capecitabine, gemcitabine or targeted therapy. An actionable FGFR/IDH alteration without recurrence is not an adjuvant indication.</w:t>
      </w:r>
    </w:p>
    <w:p>
      <w:pPr>
        <w:pStyle w:val="Normal"/>
        <w:widowControl/>
        <w:numPr>
          <w:ilvl w:val="0"/>
          <w:numId w:val="3"/>
        </w:numPr>
      </w:pPr>
      <w:r>
        <w:t xml:space="preserve">Any postoperative systemic study must separately define recovery requirements, dose/interaction evaluation, infection and marrow monitoring, and graft-related stopping rules. Pre-LT drug activity is not a post-LT safety result.</w:t>
      </w:r>
    </w:p>
    <w:p>
      <w:pPr>
        <w:rPr>
          <w:color w:val="A8470A"/>
        </w:rPr>
        <w:pStyle w:val="Heading2"/>
        <w:keepNext/>
        <w:widowControl/>
      </w:pPr>
      <w:r>
        <w:rPr>
          <w:color w:val="A8470A"/>
        </w:rPr>
        <w:t xml:space="preserve">11 Surveillance</w:t>
      </w:r>
    </w:p>
    <w:p>
      <w:pPr>
        <w:pStyle w:val="Normal"/>
        <w:widowControl/>
        <w:numPr>
          <w:ilvl w:val="0"/>
          <w:numId w:val="3"/>
        </w:numPr>
      </w:pPr>
      <w:r>
        <w:t xml:space="preserve">Proposed local schedule for approval: chest and contrast abdominal/pelvic imaging with CA19-9 and CEA every three months for two years, every six months through year five, then individualized follow-up. Choose CT/MRI according to clinical circumstances. This is not a trial-proven optimal schedule.</w:t>
      </w:r>
    </w:p>
    <w:p>
      <w:pPr>
        <w:pStyle w:val="Normal"/>
        <w:widowControl/>
        <w:numPr>
          <w:ilvl w:val="0"/>
          <w:numId w:val="3"/>
        </w:numPr>
      </w:pPr>
      <w:r>
        <w:t xml:space="preserve">Use PET or biopsy to resolve a specific concern. ctDNA is exploratory and should trigger confirmatory assessment when discordant, not automatic treatment or delisting.</w:t>
      </w:r>
    </w:p>
    <w:p>
      <w:pPr>
        <w:rPr>
          <w:color w:val="A8470A"/>
        </w:rPr>
        <w:pStyle w:val="Heading2"/>
        <w:keepNext/>
        <w:widowControl/>
      </w:pPr>
      <w:r>
        <w:rPr>
          <w:color w:val="A8470A"/>
        </w:rPr>
        <w:t xml:space="preserve">12 Recurrence management</w:t>
      </w:r>
    </w:p>
    <w:p>
      <w:pPr>
        <w:pStyle w:val="Normal"/>
        <w:widowControl/>
        <w:numPr>
          <w:ilvl w:val="0"/>
          <w:numId w:val="3"/>
        </w:numPr>
      </w:pPr>
      <w:r>
        <w:t xml:space="preserve">Restage and review suspected recurrence with the biliary and transplant MDT. Local treatment may suit selected limited disease; systemic options depend on molecular findings, graft function, interactions and patient goals. Do not prescribe uniformly aggressive multimodality treatment.</w:t>
      </w:r>
    </w:p>
    <w:p>
      <w:pPr>
        <w:pStyle w:val="Normal"/>
        <w:widowControl/>
        <w:numPr>
          <w:ilvl w:val="0"/>
          <w:numId w:val="3"/>
        </w:numPr>
      </w:pPr>
      <w:r>
        <w:t xml:space="preserve">Individualize immunosuppression adjustment. Post-LT checkpoint therapy is not routine and carries rejection/graft-loss risk distinct from pre-LT exposure.</w:t>
      </w:r>
      <w:r>
        <w:t xml:space="preserve"> </w:t>
      </w:r>
      <w:r>
        <w:t xml:space="preserve"> </w:t>
      </w:r>
      <w:r>
        <w:fldChar w:fldCharType="begin"/>
      </w:r>
      <w:r>
        <w:instrText xml:space="preserve"> ADDIN EN.CITE </w:instrText>
      </w:r>
      <w:r>
        <w:fldChar w:fldCharType="begin">
          <w:fldData>PEVuZE5vdGU+PENpdGU+PEF1dGhvcj5EZSBNYXJ0aW48L0F1dGhvcj48WWVhcj4yMDI2PC9ZZWFyPjxSZWNOdW0+NDI8L1JlY051bT48RGlzcGxheVRleHQ+W1YxMi00Ml08L0Rpc3BsYXlUZXh0PjxyZWNvcmQ+PHJlYy1udW1iZXI+NDI8L3JlYy1udW1iZXI+PGZvcmVpZ24ta2V5cz48a2V5IGFwcD0iRU4iIGRiLWlkPSI5NGVmYmI5MC02OWQ3LTViYjgtODc1Ny1kYjBlZmQwYTY0YTEiIHRpbWVzdGFtcD0iMTc5MjkyMTA4NiI+NDI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[V12-42]</w:t>
      </w:r>
      <w:r>
        <w:fldChar w:fldCharType="end"/>
      </w:r>
    </w:p>
    <w:p>
      <w:pPr>
        <w:rPr>
          <w:color w:val="A8470A"/>
        </w:rPr>
        <w:pStyle w:val="Heading2"/>
        <w:keepNext/>
        <w:widowControl/>
      </w:pPr>
      <w:r>
        <w:rPr>
          <w:color w:val="A8470A"/>
        </w:rPr>
        <w:t xml:space="preserve">13 Outcomes and safety monitoring</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rPr>
          <w:color w:val="A8470A"/>
        </w:rPr>
        <w:pStyle w:val="Heading3"/>
        <w:keepNext/>
        <w:widowControl/>
      </w:pPr>
      <w:bookmarkStart w:id="7" w:name="ALLOC_B4"/>
      <w:r>
        <w:rPr>
          <w:color w:val="A8470A"/>
        </w:rP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Mi0zMF08L0Rpc3BsYXlUZXh0PjxyZWNvcmQ+PHJlYy1udW1iZXI+MzA8L3JlYy1udW1iZXI+PGZvcmVpZ24ta2V5cz48a2V5IGFwcD0iRU4iIGRiLWlkPSI5NGVmYmI5MC02OWQ3LTViYjgtODc1Ny1kYjBlZmQwYTY0YTEiIHRpbWVzdGFtcD0iMTc5MjkyMTA4Ni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[V12-30]</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40MzwvUmVjTnVtPjxEaXNwbGF5VGV4dD5bVjEyLTQzXTwvRGlzcGxheVRleHQ+PHJlY29yZD48cmVjLW51bWJlcj40MzwvcmVjLW51bWJlcj48Zm9yZWlnbi1rZXlzPjxrZXkgYXBwPSJFTiIgZGItaWQ9Ijk0ZWZiYjkwLTY5ZDctNWJiOC04NzU3LWRiMGVmZDBhNjRhMSIgdGltZXN0YW1wPSIxNzkyOTIxMDg2Ij40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[V12-43]</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Mi0yOF08L0Rpc3BsYXlUZXh0PjxyZWNvcmQ+PHJlYy1udW1iZXI+Mjg8L3JlYy1udW1iZXI+PGZvcmVpZ24ta2V5cz48a2V5IGFwcD0iRU4iIGRiLWlkPSI5NGVmYmI5MC02OWQ3LTViYjgtODc1Ny1kYjBlZmQwYTY0YTEiIHRpbWVzdGFtcD0iMTc5MjkyMTA4Ni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Y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yLTEzXTwvRGlzcGxheVRleHQ+PHJlY29yZD48cmVjLW51bWJlcj4xMzwvcmVjLW51bWJlcj48Zm9yZWlnbi1rZXlzPjxrZXkgYXBwPSJFTiIgZGItaWQ9Ijk0ZWZiYjkwLTY5ZDctNWJiOC04NzU3LWRiMGVmZDBhNjRhMSIgdGltZXN0YW1wPSIxNzkyOTIxMDg2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fldChar w:fldCharType="begin"/>
      </w:r>
      <w:r>
        <w:instrText xml:space="preserve"> ADDIN EN.CITE </w:instrText>
      </w:r>
      <w:r>
        <w:fldChar w:fldCharType="begin">
          <w:fldData>PEVuZE5vdGU+PENpdGU+PEF1dGhvcj5MbG92ZXQ8L0F1dGhvcj48WWVhcj4yMDI2PC9ZZWFyPjxSZWNOdW0+MzA8L1JlY051bT48RGlzcGxheVRleHQ+W1YxMi0zMF08L0Rpc3BsYXlUZXh0PjxyZWNvcmQ+PHJlYy1udW1iZXI+MzA8L3JlYy1udW1iZXI+PGZvcmVpZ24ta2V5cz48a2V5IGFwcD0iRU4iIGRiLWlkPSI5NGVmYmI5MC02OWQ3LTViYjgtODc1Ny1kYjBlZmQwYTY0YTEiIHRpbWVzdGFtcD0iMTc5MjkyMTA4NiI+MzA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[V12-30]</w:t>
      </w:r>
      <w:r>
        <w:fldChar w:fldCharType="end"/>
      </w:r>
      <w:r>
        <w:t xml:space="preserve"> </w:t>
      </w:r>
      <w:r>
        <w:t xml:space="preserve"> </w:t>
      </w:r>
      <w:r>
        <w:fldChar w:fldCharType="begin"/>
      </w:r>
      <w:r>
        <w:instrText xml:space="preserve"> ADDIN EN.CITE </w:instrText>
      </w:r>
      <w:r>
        <w:fldChar w:fldCharType="begin">
          <w:fldData>PEVuZE5vdGU+PENpdGU+PEF1dGhvcj5FbGRyaWRnZTwvQXV0aG9yPjxZZWFyPjIwMTY8L1llYXI+PFJlY051bT40MzwvUmVjTnVtPjxEaXNwbGF5VGV4dD5bVjEyLTQzXTwvRGlzcGxheVRleHQ+PHJlY29yZD48cmVjLW51bWJlcj40MzwvcmVjLW51bWJlcj48Zm9yZWlnbi1rZXlzPjxrZXkgYXBwPSJFTiIgZGItaWQ9Ijk0ZWZiYjkwLTY5ZDctNWJiOC04NzU3LWRiMGVmZDBhNjRhMSIgdGltZXN0YW1wPSIxNzkyOTIxMDg2Ij40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[V12-43]</w:t>
      </w:r>
      <w:r>
        <w:fldChar w:fldCharType="end"/>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jg8L1JlY051bT48RGlzcGxheVRleHQ+W1YxMi0yOF08L0Rpc3BsYXlUZXh0PjxyZWNvcmQ+PHJlYy1udW1iZXI+Mjg8L3JlYy1udW1iZXI+PGZvcmVpZ24ta2V5cz48a2V5IGFwcD0iRU4iIGRiLWlkPSI5NGVmYmI5MC02OWQ3LTViYjgtODc1Ny1kYjBlZmQwYTY0YTEiIHRpbWVzdGFtcD0iMTc5MjkyMTA4NiI+Mjg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[V12-28]</w:t>
      </w:r>
      <w:r>
        <w:fldChar w:fldCharType="end"/>
      </w:r>
      <w:r>
        <w:t xml:space="preserve"> </w:t>
      </w:r>
      <w:r>
        <w:t xml:space="preserve"> </w:t>
      </w:r>
      <w:r>
        <w:fldChar w:fldCharType="begin"/>
      </w:r>
      <w:r>
        <w:instrText xml:space="preserve"> ADDIN EN.CITE </w:instrText>
      </w:r>
      <w:r>
        <w:fldChar w:fldCharType="begin">
          <w:fldData>PEVuZE5vdGU+PENpdGU+PEF1dGhvcj5LZWxseTwvQXV0aG9yPjxZZWFyPjIwMjY8L1llYXI+PFJlY051bT4yNzwvUmVjTnVtPjxEaXNwbGF5VGV4dD5bVjEyLTI3XTwvRGlzcGxheVRleHQ+PHJlY29yZD48cmVjLW51bWJlcj4yNzwvcmVjLW51bWJlcj48Zm9yZWlnbi1rZXlzPjxrZXkgYXBwPSJFTiIgZGItaWQ9Ijk0ZWZiYjkwLTY5ZDctNWJiOC04NzU3LWRiMGVmZDBhNjRhMSIgdGltZXN0YW1wPSIxNzkyOTIxMDg2Ij4yN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NYXNwZXJvPC9BdXRob3I+PFllYXI+MjAyNDwvWWVhcj48UmVjTnVtPjY8L1JlY051bT48RGlzcGxheVRleHQ+W1YxMi02XTwvRGlzcGxheVRleHQ+PHJlY29yZD48cmVjLW51bWJlcj42PC9yZWMtbnVtYmVyPjxmb3JlaWduLWtleXM+PGtleSBhcHA9IkVOIiBkYi1pZD0iOTRlZmJiOTAtNjlkNy01YmI4LTg3NTctZGIwZWZkMGE2NGExIiB0aW1lc3RhbXA9IjE3OTI5MjEwODYiPjY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gRnVsbCB0ZXh0IHJldmlld2VkIDEzIHNlbGVjdGVkIHBhdGllbnRzOyBuaW5lIGRyb3BvdXRzLCBmb3VyIExUIHdpdGggdW5lcXVhbCBmb2xsb3ctdXAuIFByZWRvbWluYW50bHkgc2luZ2xlIGJ1bGt5IHBoZW5vdHlwZTsgZm91ciBzdXJ2aXZvcnMgZG8gbm90IGRlZmluZSBhIGZpdmUteWVhciBzdXJ2aXZhbCByYXRlLjwvbm90ZXM+PHVybHM+PHJlbGF0ZWQtdXJscz48dXJsPmh0dHBzOi8vZG9pLm9yZy8xMC4zMzg5L3RpLjIwMjQuMTM2NDE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xMzwvUmVjTnVtPjxEaXNwbGF5VGV4dD5bVjEyLTEzXTwvRGlzcGxheVRleHQ+PHJlY29yZD48cmVjLW51bWJlcj4xMzwvcmVjLW51bWJlcj48Zm9yZWlnbi1rZXlzPjxrZXkgYXBwPSJFTiIgZGItaWQ9Ijk0ZWZiYjkwLTY5ZDctNWJiOC04NzU3LWRiMGVmZDBhNjRhMSIgdGltZXN0YW1wPSIxNzkyOTIxMDg2Ij4xMz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111">
        <w:r>
          <w:rPr>
            <w:color w:val="77230C"/>
            <w:sz w:val="20"/>
            <w:u w:val="single"/>
          </w:rPr>
          <w:t>Meeting record: ALLOC-B4</w:t>
        </w:r>
      </w:hyperlink>
      <w:r>
        <w:t xml:space="preserve">  |  </w:t>
      </w:r>
      <w:hyperlink r:id="rId112">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14 Multidisciplinary responsibility</w:t>
      </w:r>
    </w:p>
    <w:p>
      <w:pPr>
        <w:pStyle w:val="Normal"/>
        <w:widowControl/>
        <w:numPr>
          <w:ilvl w:val="0"/>
          <w:numId w:val="3"/>
        </w:numPr>
      </w:pPr>
      <w:r>
        <w:t xml:space="preserve">Transplant/HPB surgery, hepatology, oncology, IR, radiology and pathology own selection and treatment interpretation. Pharmacy owns drug interaction and perioperative review; the donor team is independent. Research methods and safety oversight require designated accountable reviewers.</w:t>
      </w:r>
    </w:p>
    <w:p>
      <w:pPr>
        <w:rPr>
          <w:color w:val="A8470A"/>
        </w:rPr>
        <w:pStyle w:val="Heading2"/>
        <w:keepNext/>
        <w:widowControl/>
      </w:pPr>
      <w:r>
        <w:rPr>
          <w:color w:val="A8470A"/>
        </w:rPr>
        <w:t xml:space="preserve">15 Decisions required before expansion</w:t>
      </w:r>
    </w:p>
    <w:p>
      <w:pPr>
        <w:pStyle w:val="Normal"/>
        <w:widowControl/>
      </w:pPr>
      <w:r>
        <w:t xml:space="preserve">Resolve iCCA-B1–B3 and ALLOC-B1–B4 before study activation. Record final wording, population, histology strata, comparator, response clock, organ route and safety authority. Pure iCCA and mixed HCC–iCCA outcomes must remain separately reportable.</w:t>
      </w:r>
    </w:p>
    <w:p>
      <w:pPr>
        <w:pStyle w:val="Normal"/>
        <w:widowControl/>
      </w:pPr>
      <w:r>
        <w:t xml:space="preserve">Evidence review record: </w:t>
      </w:r>
      <w:hyperlink r:id="rId113">
        <w:r>
          <w:rPr>
            <w:color w:val="77230C"/>
            <w:sz w:val="20"/>
            <w:u w:val="single"/>
          </w:rPr>
          <w:t>Five analyst comments and reconciliation</w:t>
        </w:r>
      </w:hyperlink>
      <w:r>
        <w:t xml:space="preserve">  |  </w:t>
      </w:r>
      <w:hyperlink r:id="rId114">
        <w:r>
          <w:rPr>
            <w:color w:val="77230C"/>
            <w:sz w:val="20"/>
            <w:u w:val="single"/>
          </w:rPr>
          <w:t>Prospective outcomes dataset</w:t>
        </w:r>
      </w:hyperlink>
    </w:p>
    <w:p>
      <w:pPr>
        <w:rPr>
          <w:color w:val="A8470A"/>
        </w:rPr>
        <w:pStyle w:val="Heading1"/>
        <w:keepNext/>
        <w:widowControl/>
        <w:keepLines/>
      </w:pPr>
      <w:r>
        <w:rPr>
          <w:color w:val="A8470A"/>
        </w:rP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Selected-recipient survival and early LDLT reports omitted key timing and donor-morbidity qualifications. </w:t>
      </w:r>
      <w:r>
        <w:rPr>
          <w:b/>
        </w:rPr>
        <w:t xml:space="preserve">Correction and reason: </w:t>
      </w:r>
      <w:r>
        <w:t xml:space="preserve">Added listing-based time origins, occult adverse pathology, donor reoperation/drainage and the distinction between conversion-to-resection evidence and transplant evidence.</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p>
      <w:pPr>
        <w:rPr>
          <w:color w:val="A8470A"/>
        </w:rPr>
        <w:pStyle w:val="Heading1"/>
        <w:widowControl/>
        <w:keepNext/>
      </w:pPr>
      <w:r>
        <w:rPr>
          <w:color w:val="A8470A"/>
        </w:rP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200">
        <w:r>
          <w:rPr>
            <w:color w:val="0563C1"/>
            <w:u w:val="single"/>
          </w:rPr>
          <w:t>Source</w:t>
        </w:r>
      </w:hyperlink>
      <w:r>
        <w:t xml:space="preserve"> | </w:t>
      </w:r>
      <w:hyperlink r:id="rId201">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202">
        <w:r>
          <w:rPr>
            <w:color w:val="0563C1"/>
            <w:u w:val="single"/>
          </w:rPr>
          <w:t>Source</w:t>
        </w:r>
      </w:hyperlink>
      <w:r>
        <w:t xml:space="preserve"> | </w:t>
      </w:r>
      <w:hyperlink r:id="rId203">
        <w:r>
          <w:rPr>
            <w:color w:val="0563C1"/>
            <w:u w:val="single"/>
          </w:rPr>
          <w:t>Full-text access</w:t>
        </w:r>
      </w:hyperlink>
    </w:p>
    <w:p>
      <w:pPr>
        <w:pStyle w:val="Normal"/>
        <w:widowControl/>
        <w:spacing w:after="120"/>
      </w:pPr>
      <w:r>
        <w:t xml:space="preserve"/>
      </w:r>
      <w:r>
        <w:t xml:space="preserve">[V12-3] Sapisochin, G; Facciuto, M; Rubbia-Brandt, L; et al. Liver transplantation for "very early" intrahepatic cholangiocarcinoma: International retrospective study supporting a prospective assessment. Hepatology (Baltimore, Md.). 2016; 64(4):1178-88. </w:t>
      </w:r>
      <w:hyperlink r:id="rId204">
        <w:r>
          <w:rPr>
            <w:color w:val="0563C1"/>
            <w:u w:val="single"/>
          </w:rPr>
          <w:t>Source</w:t>
        </w:r>
      </w:hyperlink>
      <w:r>
        <w:t xml:space="preserve"> | </w:t>
      </w:r>
      <w:hyperlink r:id="rId205">
        <w:r>
          <w:rPr>
            <w:color w:val="0563C1"/>
            <w:u w:val="single"/>
          </w:rPr>
          <w:t>Full-text access</w:t>
        </w:r>
      </w:hyperlink>
    </w:p>
    <w:p>
      <w:pPr>
        <w:pStyle w:val="Normal"/>
        <w:widowControl/>
        <w:spacing w:after="120"/>
      </w:pPr>
      <w:r>
        <w:t xml:space="preserve"/>
      </w:r>
      <w:r>
        <w:t xml:space="preserve">[V12-4] McMillan, Robert R; Javle, Milind; Kodali, Sudha; et al. Survival following liver transplantation for locally advanced, unresectable intrahepatic cholangiocarcinoma. American journal of transplantation : official journal of the American Society of Transplantation and the American Society of Transplant Surgeons. 2022; 22(3):823-832. </w:t>
      </w:r>
      <w:hyperlink r:id="rId206">
        <w:r>
          <w:rPr>
            <w:color w:val="0563C1"/>
            <w:u w:val="single"/>
          </w:rPr>
          <w:t>Source</w:t>
        </w:r>
      </w:hyperlink>
      <w:r>
        <w:t xml:space="preserve"> | </w:t>
      </w:r>
      <w:hyperlink r:id="rId207">
        <w:r>
          <w:rPr>
            <w:color w:val="0563C1"/>
            <w:u w:val="single"/>
          </w:rPr>
          <w:t>Full-text access</w:t>
        </w:r>
      </w:hyperlink>
    </w:p>
    <w:p>
      <w:pPr>
        <w:pStyle w:val="Normal"/>
        <w:widowControl/>
        <w:spacing w:after="120"/>
      </w:pPr>
      <w:r>
        <w:t xml:space="preserve"/>
      </w:r>
      <w:r>
        <w:t xml:space="preserve">[V12-5] Lunsford, Keri E; Javle, Milind; Heyne, Kirk; et al. Liver transplantation for locally advanced intrahepatic cholangiocarcinoma treated with neoadjuvant therapy: a prospective case-series. The lancet. Gastroenterology &amp; hepatology. 2018; 3(5):337-348. </w:t>
      </w:r>
      <w:hyperlink r:id="rId208">
        <w:r>
          <w:rPr>
            <w:color w:val="0563C1"/>
            <w:u w:val="single"/>
          </w:rPr>
          <w:t>Source</w:t>
        </w:r>
      </w:hyperlink>
      <w:r>
        <w:t xml:space="preserve"> | </w:t>
      </w:r>
      <w:hyperlink r:id="rId209">
        <w:r>
          <w:rPr>
            <w:color w:val="0563C1"/>
            <w:u w:val="single"/>
          </w:rPr>
          <w:t>Full-text access</w:t>
        </w:r>
      </w:hyperlink>
    </w:p>
    <w:p>
      <w:pPr>
        <w:pStyle w:val="Normal"/>
        <w:widowControl/>
        <w:spacing w:after="120"/>
      </w:pPr>
      <w:r>
        <w:t xml:space="preserve"/>
      </w:r>
      <w:r>
        <w:t xml:space="preserve">[V12-6]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210">
        <w:r>
          <w:rPr>
            <w:color w:val="0563C1"/>
            <w:u w:val="single"/>
          </w:rPr>
          <w:t>Source</w:t>
        </w:r>
      </w:hyperlink>
      <w:r>
        <w:t xml:space="preserve"> | </w:t>
      </w:r>
      <w:hyperlink r:id="rId211">
        <w:r>
          <w:rPr>
            <w:color w:val="0563C1"/>
            <w:u w:val="single"/>
          </w:rPr>
          <w:t>Full-text access</w:t>
        </w:r>
      </w:hyperlink>
    </w:p>
    <w:p>
      <w:pPr>
        <w:pStyle w:val="Normal"/>
        <w:widowControl/>
        <w:spacing w:after="120"/>
      </w:pPr>
      <w:r>
        <w:t xml:space="preserve"/>
      </w:r>
      <w:r>
        <w:t xml:space="preserve">[V12-7] Sethi, Vrishketan; Gunabushanam, Vikraman; Liu, Hao; et al. Outcomes after living donor liver transplant for intrahepatic cholangiocarcinoma. American Journal of Transplantation. 2026. </w:t>
      </w:r>
      <w:hyperlink r:id="rId212">
        <w:r>
          <w:rPr>
            <w:color w:val="0563C1"/>
            <w:u w:val="single"/>
          </w:rPr>
          <w:t>Source</w:t>
        </w:r>
      </w:hyperlink>
      <w:r>
        <w:t xml:space="preserve"> | </w:t>
      </w:r>
      <w:hyperlink r:id="rId213">
        <w:r>
          <w:rPr>
            <w:color w:val="0563C1"/>
            <w:u w:val="single"/>
          </w:rPr>
          <w:t>Full-text access</w:t>
        </w:r>
      </w:hyperlink>
    </w:p>
    <w:p>
      <w:pPr>
        <w:pStyle w:val="Normal"/>
        <w:widowControl/>
        <w:spacing w:after="120"/>
      </w:pPr>
      <w:r>
        <w:t xml:space="preserve"/>
      </w:r>
      <w:r>
        <w:t xml:space="preserve">[V12-8] Schleimer, Lauren E; Rousian, Merve; Alessandris, Remo; et al. Eligibility for Liver Transplantation in Patients with Intrahepatic Cholangiocarcinoma. Annals of surgical oncology. 2026; 33(7):6099-6109. </w:t>
      </w:r>
      <w:hyperlink r:id="rId214">
        <w:r>
          <w:rPr>
            <w:color w:val="0563C1"/>
            <w:u w:val="single"/>
          </w:rPr>
          <w:t>Source</w:t>
        </w:r>
      </w:hyperlink>
      <w:r>
        <w:t xml:space="preserve"> | </w:t>
      </w:r>
      <w:hyperlink r:id="rId215">
        <w:r>
          <w:rPr>
            <w:color w:val="0563C1"/>
            <w:u w:val="single"/>
          </w:rPr>
          <w:t>Full-text access</w:t>
        </w:r>
      </w:hyperlink>
    </w:p>
    <w:p>
      <w:pPr>
        <w:pStyle w:val="Normal"/>
        <w:widowControl/>
        <w:spacing w:after="120"/>
      </w:pPr>
      <w:r>
        <w:t xml:space="preserve"/>
      </w:r>
      <w:r>
        <w:t xml:space="preserve">[V12-9]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216">
        <w:r>
          <w:rPr>
            <w:color w:val="0563C1"/>
            <w:u w:val="single"/>
          </w:rPr>
          <w:t>Source</w:t>
        </w:r>
      </w:hyperlink>
      <w:r>
        <w:t xml:space="preserve"> | </w:t>
      </w:r>
      <w:hyperlink r:id="rId217">
        <w:r>
          <w:rPr>
            <w:color w:val="0563C1"/>
            <w:u w:val="single"/>
          </w:rPr>
          <w:t>Full-text access</w:t>
        </w:r>
      </w:hyperlink>
    </w:p>
    <w:p>
      <w:pPr>
        <w:pStyle w:val="Normal"/>
        <w:widowControl/>
        <w:spacing w:after="120"/>
      </w:pPr>
      <w:r>
        <w:t xml:space="preserve"/>
      </w:r>
      <w:r>
        <w:t xml:space="preserve">[V12-10] Dove, Lorna; Chadha, Ryan M.; Lai, Jennifer C.; et al. AASLD AST Practice Guideline on adult liver transplantation: Candidate evaluation. Hepatology. 2026; 83(6):1609-1645. </w:t>
      </w:r>
      <w:hyperlink r:id="rId218">
        <w:r>
          <w:rPr>
            <w:color w:val="0563C1"/>
            <w:u w:val="single"/>
          </w:rPr>
          <w:t>Source</w:t>
        </w:r>
      </w:hyperlink>
      <w:r>
        <w:t xml:space="preserve"> | </w:t>
      </w:r>
      <w:hyperlink r:id="rId219">
        <w:r>
          <w:rPr>
            <w:color w:val="0563C1"/>
            <w:u w:val="single"/>
          </w:rPr>
          <w:t>Full-text access</w:t>
        </w:r>
      </w:hyperlink>
    </w:p>
    <w:p>
      <w:pPr>
        <w:pStyle w:val="Normal"/>
        <w:widowControl/>
        <w:spacing w:after="120"/>
      </w:pPr>
      <w:r>
        <w:t xml:space="preserve"/>
      </w:r>
      <w:r>
        <w:t xml:space="preserve">[V12-11] De Martin, E; Rayar, M; Golse, N; et al. Analysis of Liver Resection Versus Liver Transplantation on Outcome of Small Intrahepatic Cholangiocarcinoma and Combined Hepatocellular-Cholangiocarcinoma in the Setting of Cirrhosis. Liver Transplantation. 2020. </w:t>
      </w:r>
      <w:hyperlink r:id="rId220">
        <w:r>
          <w:rPr>
            <w:color w:val="0563C1"/>
            <w:u w:val="single"/>
          </w:rPr>
          <w:t>Source</w:t>
        </w:r>
      </w:hyperlink>
      <w:r>
        <w:t xml:space="preserve"> | </w:t>
      </w:r>
      <w:hyperlink r:id="rId221">
        <w:r>
          <w:rPr>
            <w:color w:val="0563C1"/>
            <w:u w:val="single"/>
          </w:rPr>
          <w:t>Full-text access</w:t>
        </w:r>
      </w:hyperlink>
    </w:p>
    <w:p>
      <w:pPr>
        <w:pStyle w:val="Normal"/>
        <w:widowControl/>
        <w:spacing w:after="120"/>
      </w:pPr>
      <w:r>
        <w:t xml:space="preserve"/>
      </w:r>
      <w:r>
        <w:t xml:space="preserve">[V12-12] Dageforde, Leigh Anne; Vachharajani, Neeta; Tabrizian, Parissa; et al. Multi-Center Analysis of Liver Transplantation for Combined Hepatocellular Carcinoma-Cholangiocarcinoma Liver Tumors. Journal of the American College of Surgeons. 2021. </w:t>
      </w:r>
      <w:hyperlink r:id="rId222">
        <w:r>
          <w:rPr>
            <w:color w:val="0563C1"/>
            <w:u w:val="single"/>
          </w:rPr>
          <w:t>Source</w:t>
        </w:r>
      </w:hyperlink>
      <w:r>
        <w:t xml:space="preserve"> | </w:t>
      </w:r>
      <w:hyperlink r:id="rId223">
        <w:r>
          <w:rPr>
            <w:color w:val="0563C1"/>
            <w:u w:val="single"/>
          </w:rPr>
          <w:t>Full-text access</w:t>
        </w:r>
      </w:hyperlink>
    </w:p>
    <w:p>
      <w:pPr>
        <w:pStyle w:val="Normal"/>
        <w:widowControl/>
        <w:spacing w:after="120"/>
      </w:pPr>
      <w:r>
        <w:t xml:space="preserve"/>
      </w:r>
      <w:r>
        <w:t xml:space="preserve">[V12-13] Yaqub, Sheraz; Busund, Sondre; Smedman, Tor Magnus; et al. Liver transplantation for locally advanced non-resectable intrahepatic cholangiocarcinoma treated with neoadjuvant therapy: early results from the TESLA trial. British Journal of Surgery. 2025. </w:t>
      </w:r>
      <w:hyperlink r:id="rId224">
        <w:r>
          <w:rPr>
            <w:color w:val="0563C1"/>
            <w:u w:val="single"/>
          </w:rPr>
          <w:t>Source</w:t>
        </w:r>
      </w:hyperlink>
      <w:r>
        <w:t xml:space="preserve"> | </w:t>
      </w:r>
      <w:hyperlink r:id="rId225">
        <w:r>
          <w:rPr>
            <w:color w:val="0563C1"/>
            <w:u w:val="single"/>
          </w:rPr>
          <w:t>Full-text access</w:t>
        </w:r>
      </w:hyperlink>
    </w:p>
    <w:p>
      <w:pPr>
        <w:pStyle w:val="Normal"/>
        <w:widowControl/>
        <w:spacing w:after="120"/>
      </w:pPr>
      <w:r>
        <w:t xml:space="preserve"/>
      </w:r>
      <w:r>
        <w:t xml:space="preserve">[V12-14] Giguet, Baptiste; Artru, Florent; Jeddou, Heithem; et al. Liver transplantation in unresectable intrahepatic cholangiocarcinoma following neoadjuvant chemotherapy and SIRT. JHEP Reports. 2026. </w:t>
      </w:r>
      <w:hyperlink r:id="rId226">
        <w:r>
          <w:rPr>
            <w:color w:val="0563C1"/>
            <w:u w:val="single"/>
          </w:rPr>
          <w:t>Source</w:t>
        </w:r>
      </w:hyperlink>
      <w:r>
        <w:t xml:space="preserve"> | </w:t>
      </w:r>
      <w:hyperlink r:id="rId227">
        <w:r>
          <w:rPr>
            <w:color w:val="0563C1"/>
            <w:u w:val="single"/>
          </w:rPr>
          <w:t>Full-text access</w:t>
        </w:r>
      </w:hyperlink>
    </w:p>
    <w:p>
      <w:pPr>
        <w:pStyle w:val="Normal"/>
        <w:widowControl/>
        <w:spacing w:after="120"/>
      </w:pPr>
      <w:r>
        <w:t xml:space="preserve"/>
      </w:r>
      <w:r>
        <w:t xml:space="preserve">[V12-15]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228">
        <w:r>
          <w:rPr>
            <w:color w:val="0563C1"/>
            <w:u w:val="single"/>
          </w:rPr>
          <w:t>Source</w:t>
        </w:r>
      </w:hyperlink>
      <w:r>
        <w:t xml:space="preserve"> | </w:t>
      </w:r>
      <w:hyperlink r:id="rId229">
        <w:r>
          <w:rPr>
            <w:color w:val="0563C1"/>
            <w:u w:val="single"/>
          </w:rPr>
          <w:t>Full-text access</w:t>
        </w:r>
      </w:hyperlink>
    </w:p>
    <w:p>
      <w:pPr>
        <w:pStyle w:val="Normal"/>
        <w:widowControl/>
        <w:spacing w:after="120"/>
      </w:pPr>
      <w:r>
        <w:t xml:space="preserve"/>
      </w:r>
      <w:r>
        <w:t xml:space="preserve">[V12-16] National Comprehensive Cancer Network. NCCN Clinical Practice Guidelines in Oncology: Biliary Tract Cancers, Version 1.2026 (10 March 2026). . 2026. </w:t>
      </w:r>
      <w:hyperlink r:id="rId230">
        <w:r>
          <w:rPr>
            <w:color w:val="0563C1"/>
            <w:u w:val="single"/>
          </w:rPr>
          <w:t>Source</w:t>
        </w:r>
      </w:hyperlink>
      <w:r>
        <w:t xml:space="preserve"> | </w:t>
      </w:r>
      <w:hyperlink r:id="rId231">
        <w:r>
          <w:rPr>
            <w:color w:val="0563C1"/>
            <w:u w:val="single"/>
          </w:rPr>
          <w:t>Full-text access</w:t>
        </w:r>
      </w:hyperlink>
    </w:p>
    <w:p>
      <w:pPr>
        <w:pStyle w:val="Normal"/>
        <w:widowControl/>
        <w:spacing w:after="120"/>
      </w:pPr>
      <w:r>
        <w:t xml:space="preserve"/>
      </w:r>
      <w:r>
        <w:t xml:space="preserve">[V12-17] Shroff RT; Kennedy EB; Alarcon Rozas AE; et al. Treatment of Advanced Biliary Tract Cancer: ASCO Living Guideline, Version 2026.1.0.. Journal of clinical oncology : official journal of the American Society of Clinical Oncology. 2026; :101200JCO2602462. </w:t>
      </w:r>
      <w:hyperlink r:id="rId232">
        <w:r>
          <w:rPr>
            <w:color w:val="0563C1"/>
            <w:u w:val="single"/>
          </w:rPr>
          <w:t>Source</w:t>
        </w:r>
      </w:hyperlink>
      <w:r>
        <w:t xml:space="preserve"> | </w:t>
      </w:r>
      <w:hyperlink r:id="rId233">
        <w:r>
          <w:rPr>
            <w:color w:val="0563C1"/>
            <w:u w:val="single"/>
          </w:rPr>
          <w:t>Full-text access</w:t>
        </w:r>
      </w:hyperlink>
    </w:p>
    <w:p>
      <w:pPr>
        <w:pStyle w:val="Normal"/>
        <w:widowControl/>
        <w:spacing w:after="120"/>
      </w:pPr>
      <w:r>
        <w:t xml:space="preserve"/>
      </w:r>
      <w:r>
        <w:t xml:space="preserve">[V12-18]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234">
        <w:r>
          <w:rPr>
            <w:color w:val="0563C1"/>
            <w:u w:val="single"/>
          </w:rPr>
          <w:t>Source</w:t>
        </w:r>
      </w:hyperlink>
      <w:r>
        <w:t xml:space="preserve"> | </w:t>
      </w:r>
      <w:hyperlink r:id="rId235">
        <w:r>
          <w:rPr>
            <w:color w:val="0563C1"/>
            <w:u w:val="single"/>
          </w:rPr>
          <w:t>Full-text access</w:t>
        </w:r>
      </w:hyperlink>
    </w:p>
    <w:p>
      <w:pPr>
        <w:pStyle w:val="Normal"/>
        <w:widowControl/>
        <w:spacing w:after="120"/>
      </w:pPr>
      <w:r>
        <w:t xml:space="preserve"/>
      </w:r>
      <w:r>
        <w:t xml:space="preserve">[V12-19] Kobayashi S; Terashima T; Shiba S; et al. Multicenter retrospective analysis of systemic chemotherapy for unresectable combined hepatocellular and cholangiocarcinoma.. Cancer science. 2018; 109(8):2549-2557. </w:t>
      </w:r>
      <w:hyperlink r:id="rId236">
        <w:r>
          <w:rPr>
            <w:color w:val="0563C1"/>
            <w:u w:val="single"/>
          </w:rPr>
          <w:t>Source</w:t>
        </w:r>
      </w:hyperlink>
      <w:r>
        <w:t xml:space="preserve"> | </w:t>
      </w:r>
      <w:hyperlink r:id="rId237">
        <w:r>
          <w:rPr>
            <w:color w:val="0563C1"/>
            <w:u w:val="single"/>
          </w:rPr>
          <w:t>Full-text access</w:t>
        </w:r>
      </w:hyperlink>
    </w:p>
    <w:p>
      <w:pPr>
        <w:pStyle w:val="Normal"/>
        <w:widowControl/>
        <w:spacing w:after="120"/>
      </w:pPr>
      <w:r>
        <w:t xml:space="preserve"/>
      </w:r>
      <w:r>
        <w:t xml:space="preserve">[V12-20] Shroff, Rachna T; King, Gentry; Colby, Sarah; et al. SWOG S1815: A Phase III Randomized Trial of Gemcitabine, Cisplatin, and Nab-Paclitaxel Versus Gemcitabine and Cisplatin in Newly Diagnosed, Advanced Biliary Tract Cancers. Journal of clinical oncology : official journal of the American Society of Clinical Oncology. 2025; 43(5):536-544. </w:t>
      </w:r>
      <w:hyperlink r:id="rId238">
        <w:r>
          <w:rPr>
            <w:color w:val="0563C1"/>
            <w:u w:val="single"/>
          </w:rPr>
          <w:t>Source</w:t>
        </w:r>
      </w:hyperlink>
      <w:r>
        <w:t xml:space="preserve"> | </w:t>
      </w:r>
      <w:hyperlink r:id="rId239">
        <w:r>
          <w:rPr>
            <w:color w:val="0563C1"/>
            <w:u w:val="single"/>
          </w:rPr>
          <w:t>Full-text access</w:t>
        </w:r>
      </w:hyperlink>
    </w:p>
    <w:p>
      <w:pPr>
        <w:pStyle w:val="Normal"/>
        <w:widowControl/>
        <w:spacing w:after="120"/>
      </w:pPr>
      <w:r>
        <w:t xml:space="preserve"/>
      </w:r>
      <w:r>
        <w:t xml:space="preserve">[V12-21] Shi, Guo-Ming; Huang, Xiao-Yong; Liang, Fei; et al. Neoadjuvant GOLP in Resectable High-Risk Intrahepatic Cholangiocarcinoma. The New England journal of medicine. 2026; 394(10):983-995. </w:t>
      </w:r>
      <w:hyperlink r:id="rId240">
        <w:r>
          <w:rPr>
            <w:color w:val="0563C1"/>
            <w:u w:val="single"/>
          </w:rPr>
          <w:t>Source</w:t>
        </w:r>
      </w:hyperlink>
      <w:r>
        <w:t xml:space="preserve"> | </w:t>
      </w:r>
      <w:hyperlink r:id="rId241">
        <w:r>
          <w:rPr>
            <w:color w:val="0563C1"/>
            <w:u w:val="single"/>
          </w:rPr>
          <w:t>Full-text access</w:t>
        </w:r>
      </w:hyperlink>
    </w:p>
    <w:p>
      <w:pPr>
        <w:pStyle w:val="Normal"/>
        <w:widowControl/>
        <w:spacing w:after="120"/>
      </w:pPr>
      <w:r>
        <w:t xml:space="preserve"/>
      </w:r>
      <w:r>
        <w:t xml:space="preserve">[V12-22] Shi, Guoming; Huang, Xiaoyong; Li, Xiaowu; et al. Conversion therapy of tislelizumab plus lenvatinib and GEMOX in unresectable locally advanced biliary tract cancer (ZSAB-TransGOLP): a multicentre, prospective, phase 2 study. The Lancet. Oncology. 2025; 26(10):1334-1345. </w:t>
      </w:r>
      <w:hyperlink r:id="rId242">
        <w:r>
          <w:rPr>
            <w:color w:val="0563C1"/>
            <w:u w:val="single"/>
          </w:rPr>
          <w:t>Source</w:t>
        </w:r>
      </w:hyperlink>
      <w:r>
        <w:t xml:space="preserve"> | </w:t>
      </w:r>
      <w:hyperlink r:id="rId243">
        <w:r>
          <w:rPr>
            <w:color w:val="0563C1"/>
            <w:u w:val="single"/>
          </w:rPr>
          <w:t>Full-text access</w:t>
        </w:r>
      </w:hyperlink>
    </w:p>
    <w:p>
      <w:pPr>
        <w:pStyle w:val="Normal"/>
        <w:widowControl/>
        <w:spacing w:after="120"/>
      </w:pPr>
      <w:r>
        <w:t xml:space="preserve"/>
      </w:r>
      <w:r>
        <w:t xml:space="preserve">[V12-23] Franssen, Stijn; Rousian, Merve; Filipe, Wills F; et al. Hepatic Arterial Infusion Pump Chemotherapy in Patients With Unresectable Intrahepatic Cholangiocarcinoma-PUMP-2 Trial. Journal of clinical oncology : official journal of the American Society of Clinical Oncology. 2026; 44(6):455-465. </w:t>
      </w:r>
      <w:hyperlink r:id="rId244">
        <w:r>
          <w:rPr>
            <w:color w:val="0563C1"/>
            <w:u w:val="single"/>
          </w:rPr>
          <w:t>Source</w:t>
        </w:r>
      </w:hyperlink>
      <w:r>
        <w:t xml:space="preserve"> | </w:t>
      </w:r>
      <w:hyperlink r:id="rId245">
        <w:r>
          <w:rPr>
            <w:color w:val="0563C1"/>
            <w:u w:val="single"/>
          </w:rPr>
          <w:t>Full-text access</w:t>
        </w:r>
      </w:hyperlink>
    </w:p>
    <w:p>
      <w:pPr>
        <w:pStyle w:val="Normal"/>
        <w:widowControl/>
        <w:spacing w:after="120"/>
      </w:pPr>
      <w:r>
        <w:t xml:space="preserve"/>
      </w:r>
      <w:r>
        <w:t xml:space="preserve">[V12-24] Rezaee-Zavareh, Mohammad Saeid; Yeo, Yee Hui; Wang, Tielong; et al. Impact of pre-transplant immune checkpoint inhibitor use on post-transplant outcomes in HCC: A systematic review and individual patient data meta-analysis. Journal of Hepatology. 2025; 82(1):107-119. </w:t>
      </w:r>
      <w:hyperlink r:id="rId246">
        <w:r>
          <w:rPr>
            <w:color w:val="0563C1"/>
            <w:u w:val="single"/>
          </w:rPr>
          <w:t>Source</w:t>
        </w:r>
      </w:hyperlink>
      <w:r>
        <w:t xml:space="preserve"> | </w:t>
      </w:r>
      <w:hyperlink r:id="rId247">
        <w:r>
          <w:rPr>
            <w:color w:val="0563C1"/>
            <w:u w:val="single"/>
          </w:rPr>
          <w:t>Full-text access</w:t>
        </w:r>
      </w:hyperlink>
    </w:p>
    <w:p>
      <w:pPr>
        <w:pStyle w:val="Normal"/>
        <w:widowControl/>
        <w:spacing w:after="120"/>
      </w:pPr>
      <w:r>
        <w:t xml:space="preserve"/>
      </w:r>
      <w:r>
        <w:t xml:space="preserve">[V12-25] Moeckli, Beat; Wassmer, Charles-Henri; El Hajji, Sofia; et al. Determining safe washout period for immune checkpoint inhibitors prior to liver transplantation: An international retrospective cohort study. Hepatology. 2025; 82(5):1122-1137. </w:t>
      </w:r>
      <w:hyperlink r:id="rId248">
        <w:r>
          <w:rPr>
            <w:color w:val="0563C1"/>
            <w:u w:val="single"/>
          </w:rPr>
          <w:t>Source</w:t>
        </w:r>
      </w:hyperlink>
      <w:r>
        <w:t xml:space="preserve"> | </w:t>
      </w:r>
      <w:hyperlink r:id="rId249">
        <w:r>
          <w:rPr>
            <w:color w:val="0563C1"/>
            <w:u w:val="single"/>
          </w:rPr>
          <w:t>Full-text access</w:t>
        </w:r>
      </w:hyperlink>
    </w:p>
    <w:p>
      <w:pPr>
        <w:pStyle w:val="Normal"/>
        <w:widowControl/>
        <w:spacing w:after="120"/>
      </w:pPr>
      <w:r>
        <w:t xml:space="preserve"/>
      </w:r>
      <w:r>
        <w:t xml:space="preserve">[V12-26] Abdelrahim, Maen; Esmail, Abdullah; Connor, Ashton A; et al. Utilization of immunotherapy as a neoadjuvant treatment in liver transplant recipients with hepatobiliary carcinoma. Frontiers in oncology. 2026; 16:1866870. </w:t>
      </w:r>
      <w:hyperlink r:id="rId250">
        <w:r>
          <w:rPr>
            <w:color w:val="0563C1"/>
            <w:u w:val="single"/>
          </w:rPr>
          <w:t>Source</w:t>
        </w:r>
      </w:hyperlink>
      <w:r>
        <w:t xml:space="preserve"> | </w:t>
      </w:r>
      <w:hyperlink r:id="rId251">
        <w:r>
          <w:rPr>
            <w:color w:val="0563C1"/>
            <w:u w:val="single"/>
          </w:rPr>
          <w:t>Full-text access</w:t>
        </w:r>
      </w:hyperlink>
    </w:p>
    <w:p>
      <w:pPr>
        <w:pStyle w:val="Normal"/>
        <w:widowControl/>
        <w:spacing w:after="120"/>
      </w:pPr>
      <w:r>
        <w:t xml:space="preserve"/>
      </w:r>
      <w:r>
        <w:t xml:space="preserve">[V12-27] Kelly, Morgan E.; Truby, Tianna M.; Lai, Jennifer C.; et al. Three Decades of Living Liver Donor Outcomes: A National Cohort Analysis of Patterns in Mortality and Recovery. Journal of Transplantation. 2026; 2026(1):2545887. </w:t>
      </w:r>
      <w:hyperlink r:id="rId252">
        <w:r>
          <w:rPr>
            <w:color w:val="0563C1"/>
            <w:u w:val="single"/>
          </w:rPr>
          <w:t>Source</w:t>
        </w:r>
      </w:hyperlink>
      <w:r>
        <w:t xml:space="preserve"> | </w:t>
      </w:r>
      <w:hyperlink r:id="rId253">
        <w:r>
          <w:rPr>
            <w:color w:val="0563C1"/>
            <w:u w:val="single"/>
          </w:rPr>
          <w:t>Full-text access</w:t>
        </w:r>
      </w:hyperlink>
    </w:p>
    <w:p>
      <w:pPr>
        <w:pStyle w:val="Normal"/>
        <w:widowControl/>
        <w:spacing w:after="120"/>
      </w:pPr>
      <w:r>
        <w:t xml:space="preserve"/>
      </w:r>
      <w:r>
        <w:t xml:space="preserve">[V12-28] US Department of Health and Human Services. 45 CFR 46.111: Criteria for IRB approval of research. . 2018. </w:t>
      </w:r>
      <w:hyperlink r:id="rId254">
        <w:r>
          <w:rPr>
            <w:color w:val="0563C1"/>
            <w:u w:val="single"/>
          </w:rPr>
          <w:t>Source</w:t>
        </w:r>
      </w:hyperlink>
      <w:r>
        <w:t xml:space="preserve"> | Local PDF not available in this update</w:t>
      </w:r>
    </w:p>
    <w:p>
      <w:pPr>
        <w:pStyle w:val="Normal"/>
        <w:widowControl/>
        <w:spacing w:after="120"/>
      </w:pPr>
      <w:r>
        <w:t xml:space="preserve"/>
      </w:r>
      <w:r>
        <w:t xml:space="preserve">[V12-29] OPTN Ethics Committee. Ethical Principles in the Allocation of Human Organs. . 2015. </w:t>
      </w:r>
      <w:hyperlink r:id="rId255">
        <w:r>
          <w:rPr>
            <w:color w:val="0563C1"/>
            <w:u w:val="single"/>
          </w:rPr>
          <w:t>Source</w:t>
        </w:r>
      </w:hyperlink>
      <w:r>
        <w:t xml:space="preserve"> | Local PDF not available in this update</w:t>
      </w:r>
    </w:p>
    <w:p>
      <w:pPr>
        <w:pStyle w:val="Normal"/>
        <w:widowControl/>
        <w:spacing w:after="120"/>
      </w:pPr>
      <w:r>
        <w:t xml:space="preserve"/>
      </w:r>
      <w:r>
        <w:t xml:space="preserve">[V12-30] Llovet, Josep M; Mauro, Ezequiel; Rimassa, Lorenza; et al. Trial design and end points in hepatocellular carcinoma: an EASL-AASLD-ILCA consensus statement. Nature reviews. Clinical oncology. 2026; 23(8):619-647. </w:t>
      </w:r>
      <w:hyperlink r:id="rId256">
        <w:r>
          <w:rPr>
            <w:color w:val="0563C1"/>
            <w:u w:val="single"/>
          </w:rPr>
          <w:t>Source</w:t>
        </w:r>
      </w:hyperlink>
      <w:r>
        <w:t xml:space="preserve"> | </w:t>
      </w:r>
      <w:hyperlink r:id="rId257">
        <w:r>
          <w:rPr>
            <w:color w:val="0563C1"/>
            <w:u w:val="single"/>
          </w:rPr>
          <w:t>Full-text access</w:t>
        </w:r>
      </w:hyperlink>
    </w:p>
    <w:p>
      <w:pPr>
        <w:pStyle w:val="Normal"/>
        <w:widowControl/>
        <w:spacing w:after="120"/>
      </w:pPr>
      <w:r>
        <w:t xml:space="preserve"/>
      </w:r>
      <w:r>
        <w:t xml:space="preserve">[V12-31] Mazzaferro, Vincenzo; Citterio, Davide; Bhoori, Sherrie; et al. Liver transplantation in hepatocellular carcinoma after tumour downstaging (XXL): a randomised, controlled, phase 2b/3 trial. The Lancet Oncology. 2020; 21(7):947-956. </w:t>
      </w:r>
      <w:hyperlink r:id="rId258">
        <w:r>
          <w:rPr>
            <w:color w:val="0563C1"/>
            <w:u w:val="single"/>
          </w:rPr>
          <w:t>Source</w:t>
        </w:r>
      </w:hyperlink>
      <w:r>
        <w:t xml:space="preserve"> | </w:t>
      </w:r>
      <w:hyperlink r:id="rId259">
        <w:r>
          <w:rPr>
            <w:color w:val="0563C1"/>
            <w:u w:val="single"/>
          </w:rPr>
          <w:t>Full-text access</w:t>
        </w:r>
      </w:hyperlink>
    </w:p>
    <w:p>
      <w:pPr>
        <w:pStyle w:val="Normal"/>
        <w:widowControl/>
        <w:spacing w:after="120"/>
      </w:pPr>
      <w:r>
        <w:t xml:space="preserve"/>
      </w:r>
      <w:r>
        <w:t xml:space="preserve">[V12-32]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260">
        <w:r>
          <w:rPr>
            <w:color w:val="0563C1"/>
            <w:u w:val="single"/>
          </w:rPr>
          <w:t>Source</w:t>
        </w:r>
      </w:hyperlink>
      <w:r>
        <w:t xml:space="preserve"> | </w:t>
      </w:r>
      <w:hyperlink r:id="rId261">
        <w:r>
          <w:rPr>
            <w:color w:val="0563C1"/>
            <w:u w:val="single"/>
          </w:rPr>
          <w:t>Full-text access</w:t>
        </w:r>
      </w:hyperlink>
    </w:p>
    <w:p>
      <w:pPr>
        <w:pStyle w:val="Normal"/>
        <w:widowControl/>
        <w:spacing w:after="120"/>
      </w:pPr>
      <w:r>
        <w:t xml:space="preserve"/>
      </w:r>
      <w:r>
        <w:t xml:space="preserve">[V12-33] Allen, Elisa; Taylor, Rhiannon; Gimson, Alexander; et al. Transplant benefit-based offering of deceased donor livers in the United Kingdom. Journal of Hepatology. 2024; 81(3):471-478. </w:t>
      </w:r>
      <w:hyperlink r:id="rId262">
        <w:r>
          <w:rPr>
            <w:color w:val="0563C1"/>
            <w:u w:val="single"/>
          </w:rPr>
          <w:t>Source</w:t>
        </w:r>
      </w:hyperlink>
      <w:r>
        <w:t xml:space="preserve"> | </w:t>
      </w:r>
      <w:hyperlink r:id="rId263">
        <w:r>
          <w:rPr>
            <w:color w:val="0563C1"/>
            <w:u w:val="single"/>
          </w:rPr>
          <w:t>Full-text access</w:t>
        </w:r>
      </w:hyperlink>
    </w:p>
    <w:p>
      <w:pPr>
        <w:pStyle w:val="Normal"/>
        <w:widowControl/>
        <w:spacing w:after="120"/>
      </w:pPr>
      <w:r>
        <w:t xml:space="preserve"/>
      </w:r>
      <w:r>
        <w:t xml:space="preserve">[V12-34] Abecassis, M.M.; Fisher, R.A.; Olthoff, K.M.; et al. Complications of Living Donor Hepatic Lobectomy—A Comprehensive Report. American Journal of Transplantation. 2012; 12(5):1208-1217. </w:t>
      </w:r>
      <w:hyperlink r:id="rId264">
        <w:r>
          <w:rPr>
            <w:color w:val="0563C1"/>
            <w:u w:val="single"/>
          </w:rPr>
          <w:t>Source</w:t>
        </w:r>
      </w:hyperlink>
      <w:r>
        <w:t xml:space="preserve"> | </w:t>
      </w:r>
      <w:hyperlink r:id="rId265">
        <w:r>
          <w:rPr>
            <w:color w:val="0563C1"/>
            <w:u w:val="single"/>
          </w:rPr>
          <w:t>Full-text access</w:t>
        </w:r>
      </w:hyperlink>
    </w:p>
    <w:p>
      <w:pPr>
        <w:pStyle w:val="Normal"/>
        <w:widowControl/>
        <w:spacing w:after="120"/>
      </w:pPr>
      <w:r>
        <w:t xml:space="preserve"/>
      </w:r>
      <w:r>
        <w:t xml:space="preserve">[V12-35] DiMartini, A.; Dew, M.A.; Liu, Q.; et al. Social and Financial Outcomes of Living Liver Donation: A Prospective Investigation Within the Adult-to-Adult Living Donor Liver Transplantation Cohort Study 2 (A2ALL-2). American Journal of Transplantation. 2017; 17(4):1081-1096. </w:t>
      </w:r>
      <w:hyperlink r:id="rId266">
        <w:r>
          <w:rPr>
            <w:color w:val="0563C1"/>
            <w:u w:val="single"/>
          </w:rPr>
          <w:t>Source</w:t>
        </w:r>
      </w:hyperlink>
      <w:r>
        <w:t xml:space="preserve"> | </w:t>
      </w:r>
      <w:hyperlink r:id="rId267">
        <w:r>
          <w:rPr>
            <w:color w:val="0563C1"/>
            <w:u w:val="single"/>
          </w:rPr>
          <w:t>Full-text access</w:t>
        </w:r>
      </w:hyperlink>
    </w:p>
    <w:p>
      <w:pPr>
        <w:pStyle w:val="Normal"/>
        <w:widowControl/>
        <w:spacing w:after="120"/>
      </w:pPr>
      <w:r>
        <w:t xml:space="preserve"/>
      </w:r>
      <w:r>
        <w:t xml:space="preserve">[V12-36] Xiao, Jieling; Zeng, Rebecca Wenling; Lim, Wen Hui; et al. The incidence of adverse outcome in donors after living donor liver transplantation: A meta-analysis of 60,829 donors. Liver Transplantation. 2024; 30(5):493-504. </w:t>
      </w:r>
      <w:hyperlink r:id="rId268">
        <w:r>
          <w:rPr>
            <w:color w:val="0563C1"/>
            <w:u w:val="single"/>
          </w:rPr>
          <w:t>Source</w:t>
        </w:r>
      </w:hyperlink>
      <w:r>
        <w:t xml:space="preserve"> | </w:t>
      </w:r>
      <w:hyperlink r:id="rId269">
        <w:r>
          <w:rPr>
            <w:color w:val="0563C1"/>
            <w:u w:val="single"/>
          </w:rPr>
          <w:t>Full-text access</w:t>
        </w:r>
      </w:hyperlink>
    </w:p>
    <w:p>
      <w:pPr>
        <w:pStyle w:val="Normal"/>
        <w:widowControl/>
        <w:spacing w:after="120"/>
      </w:pPr>
      <w:r>
        <w:t xml:space="preserve"/>
      </w:r>
      <w:r>
        <w:t xml:space="preserve">[V12-37] Oh, Do-Youn; He, Aiwu Ruth; Qin, Shukui; et al. Durvalumab plus chemotherapy in advanced biliary tract cancer: 3-year overall survival update from the phase III TOPAZ-1 study. Journal of Hepatology. 2025. </w:t>
      </w:r>
      <w:hyperlink r:id="rId270">
        <w:r>
          <w:rPr>
            <w:color w:val="0563C1"/>
            <w:u w:val="single"/>
          </w:rPr>
          <w:t>Source</w:t>
        </w:r>
      </w:hyperlink>
      <w:r>
        <w:t xml:space="preserve"> | </w:t>
      </w:r>
      <w:hyperlink r:id="rId271">
        <w:r>
          <w:rPr>
            <w:color w:val="0563C1"/>
            <w:u w:val="single"/>
          </w:rPr>
          <w:t>Full-text access</w:t>
        </w:r>
      </w:hyperlink>
    </w:p>
    <w:p>
      <w:pPr>
        <w:pStyle w:val="Normal"/>
        <w:widowControl/>
        <w:spacing w:after="120"/>
      </w:pPr>
      <w:r>
        <w:t xml:space="preserve"/>
      </w:r>
      <w:r>
        <w:t xml:space="preserve">[V12-38] Semaan, Samar; Connor, Ashton A.; Saharia, Ashish; et al. Transplantation for Peri-Hilar and Intrahepatic Cholangiocarcinoma With mTOR Immunosuppression. Transplantation Proceedings. 2025; 57(2):255-263. </w:t>
      </w:r>
      <w:hyperlink r:id="rId272">
        <w:r>
          <w:rPr>
            <w:color w:val="0563C1"/>
            <w:u w:val="single"/>
          </w:rPr>
          <w:t>Source</w:t>
        </w:r>
      </w:hyperlink>
      <w:r>
        <w:t xml:space="preserve"> | </w:t>
      </w:r>
      <w:hyperlink r:id="rId273">
        <w:r>
          <w:rPr>
            <w:color w:val="0563C1"/>
            <w:u w:val="single"/>
          </w:rPr>
          <w:t>Full-text access</w:t>
        </w:r>
      </w:hyperlink>
    </w:p>
    <w:p>
      <w:pPr>
        <w:pStyle w:val="Normal"/>
        <w:widowControl/>
        <w:spacing w:after="120"/>
      </w:pPr>
      <w:r>
        <w:t xml:space="preserve"/>
      </w:r>
      <w:r>
        <w:t xml:space="preserve">[V12-39] Gül-Klein, Safak; Schmitz, Paulina; Schöning, Wenzel; et al. The Role of Immunosuppression for Recurrent Cholangiocellular Carcinoma after Liver Transplantation. Cancers. 2022; 14(12):2890. </w:t>
      </w:r>
      <w:hyperlink r:id="rId274">
        <w:r>
          <w:rPr>
            <w:color w:val="0563C1"/>
            <w:u w:val="single"/>
          </w:rPr>
          <w:t>Source</w:t>
        </w:r>
      </w:hyperlink>
      <w:r>
        <w:t xml:space="preserve"> | </w:t>
      </w:r>
      <w:hyperlink r:id="rId275">
        <w:r>
          <w:rPr>
            <w:color w:val="0563C1"/>
            <w:u w:val="single"/>
          </w:rPr>
          <w:t>Full-text access</w:t>
        </w:r>
      </w:hyperlink>
    </w:p>
    <w:p>
      <w:pPr>
        <w:pStyle w:val="Normal"/>
        <w:widowControl/>
        <w:spacing w:after="120"/>
      </w:pPr>
      <w:r>
        <w:t xml:space="preserve"/>
      </w:r>
      <w:r>
        <w:t xml:space="preserve">[V12-40] Ramanan, Poornima; Cummins, Nathan W.; Wilhelm, Mark P.; et al. Epidemiology, risk factors, and outcomes of infections in patients undergoing liver transplantation for hilar cholangiocarcinoma. Clinical Transplantation. 2017; 31(8). </w:t>
      </w:r>
      <w:hyperlink r:id="rId276">
        <w:r>
          <w:rPr>
            <w:color w:val="0563C1"/>
            <w:u w:val="single"/>
          </w:rPr>
          <w:t>Source</w:t>
        </w:r>
      </w:hyperlink>
      <w:r>
        <w:t xml:space="preserve"> | </w:t>
      </w:r>
      <w:hyperlink r:id="rId277">
        <w:r>
          <w:rPr>
            <w:color w:val="0563C1"/>
            <w:u w:val="single"/>
          </w:rPr>
          <w:t>Full-text access</w:t>
        </w:r>
      </w:hyperlink>
    </w:p>
    <w:p>
      <w:pPr>
        <w:pStyle w:val="Normal"/>
        <w:widowControl/>
        <w:spacing w:after="120"/>
      </w:pPr>
      <w:r>
        <w:t xml:space="preserve"/>
      </w:r>
      <w:r>
        <w:t xml:space="preserve">[V12-41] Novartis Pharmaceuticals Corporation. Zortress (everolimus) US prescribing information, updated 16 September 2026. DailyMed. 2026. </w:t>
      </w:r>
      <w:hyperlink r:id="rId278">
        <w:r>
          <w:rPr>
            <w:color w:val="0563C1"/>
            <w:u w:val="single"/>
          </w:rPr>
          <w:t>Source</w:t>
        </w:r>
      </w:hyperlink>
      <w:r>
        <w:t xml:space="preserve"> | </w:t>
      </w:r>
      <w:hyperlink r:id="rId279">
        <w:r>
          <w:rPr>
            <w:color w:val="0563C1"/>
            <w:u w:val="single"/>
          </w:rPr>
          <w:t>Full-text access</w:t>
        </w:r>
      </w:hyperlink>
    </w:p>
    <w:p>
      <w:pPr>
        <w:pStyle w:val="Normal"/>
        <w:widowControl/>
        <w:spacing w:after="120"/>
      </w:pPr>
      <w:r>
        <w:t xml:space="preserve"/>
      </w:r>
      <w:r>
        <w:t xml:space="preserve">[V12-42] De Martin, Eleonora; Antonini, Teresa Maria; Uguen, Thomas; et al. Immune checkpoint inhibitors after liver transplantation: The role of immunosuppressive management. American Journal of Transplantation. 2026; 26(8):1958-1971. </w:t>
      </w:r>
      <w:hyperlink r:id="rId280">
        <w:r>
          <w:rPr>
            <w:color w:val="0563C1"/>
            <w:u w:val="single"/>
          </w:rPr>
          <w:t>Source</w:t>
        </w:r>
      </w:hyperlink>
      <w:r>
        <w:t xml:space="preserve"> | </w:t>
      </w:r>
      <w:hyperlink r:id="rId281">
        <w:r>
          <w:rPr>
            <w:color w:val="0563C1"/>
            <w:u w:val="single"/>
          </w:rPr>
          <w:t>Full-text access</w:t>
        </w:r>
      </w:hyperlink>
    </w:p>
    <w:p>
      <w:pPr>
        <w:pStyle w:val="Normal"/>
        <w:widowControl/>
        <w:spacing w:after="120"/>
      </w:pPr>
      <w:r>
        <w:t xml:space="preserve"/>
      </w:r>
      <w:r>
        <w:t xml:space="preserve">[V12-43] Eldridge, Sandra M; Chan, Claire L; Campbell, Michael J; et al. CONSORT 2010 statement: extension to randomised pilot and feasibility trials. BMJ. 2016; :i5239. </w:t>
      </w:r>
      <w:hyperlink r:id="rId282">
        <w:r>
          <w:rPr>
            <w:color w:val="0563C1"/>
            <w:u w:val="single"/>
          </w:rPr>
          <w:t>Source</w:t>
        </w:r>
      </w:hyperlink>
      <w:r>
        <w:t xml:space="preserve"> | </w:t>
      </w:r>
      <w:hyperlink r:id="rId283">
        <w:r>
          <w:rPr>
            <w:color w:val="0563C1"/>
            <w:u w:val="single"/>
          </w:rPr>
          <w:t>Full-text access</w:t>
        </w:r>
      </w:hyperlink>
      <w:r>
        <w:fldChar w:fldCharType="end"/>
      </w:r>
    </w:p>
    <w:p>
      <w:pPr>
        <w:rPr>
          <w:color w:val="A8470A"/>
        </w:rPr>
        <w:pStyle w:val="Heading1"/>
        <w:widowControl/>
        <w:keepNext/>
      </w:pPr>
      <w:r>
        <w:rPr>
          <w:color w:val="A8470A"/>
        </w:rPr>
        <w:t xml:space="preserve">V12 revision note</w:t>
      </w:r>
    </w:p>
    <w:p>
      <w:pPr>
        <w:pStyle w:val="Normal"/>
        <w:widowControl/>
        <w:spacing w:after="120"/>
      </w:pPr>
      <w:r>
        <w:t xml:space="preserve">2026-10-25 04:38 CDT. Problem and correction: Integrate iCCA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ysuwr9ltbnwjw9tobeym" Type="http://schemas.openxmlformats.org/officeDocument/2006/relationships/hyperlink" Target="https://doi.org/10.1002/hep.32771" TargetMode="External"/><Relationship Id="rIdxzs_fecac5bdqrquu3ofr" Type="http://schemas.openxmlformats.org/officeDocument/2006/relationships/hyperlink" Target="https://pubmed.ncbi.nlm.nih.gov/34859465" TargetMode="External"/><Relationship Id="rId_-3ftanlp-5bg7hmgown-" Type="http://schemas.openxmlformats.org/officeDocument/2006/relationships/hyperlink" Target="https://doi.org/10.1097/HEP.0000000000001644" TargetMode="External"/><Relationship Id="rIdsl8n_9vvjkktg-mnuretb" Type="http://schemas.openxmlformats.org/officeDocument/2006/relationships/hyperlink" Target="https://pubmed.ncbi.nlm.nih.gov/41991890" TargetMode="External"/><Relationship Id="rIdrvl2_80sykts3ijmfzi_p" Type="http://schemas.openxmlformats.org/officeDocument/2006/relationships/hyperlink" Target="https://pubmed.ncbi.nlm.nih.gov/42082871" TargetMode="External"/><Relationship Id="rIdkmhhcgev2x5xg9bvdkh-2" Type="http://schemas.openxmlformats.org/officeDocument/2006/relationships/hyperlink" Target="https://www.nejm.org/doi/full/10.1056/NEJMoa2513918" TargetMode="External"/><Relationship Id="rIdx36zbfx9xifciax9vvcs1" Type="http://schemas.openxmlformats.org/officeDocument/2006/relationships/hyperlink" Target="https://www.nccn.org/professionals/physician_gls/pdf/btc.pdf#page=16" TargetMode="External"/><Relationship Id="rIdrjgf3lwd5uphn41sgedfg" Type="http://schemas.openxmlformats.org/officeDocument/2006/relationships/hyperlink" Target="https://pubmed.ncbi.nlm.nih.gov/35127541" TargetMode="External"/><Relationship Id="rIdrxcueiggykru3hjpiyha8" Type="http://schemas.openxmlformats.org/officeDocument/2006/relationships/hyperlink" Target="https://pubmed.ncbi.nlm.nih.gov/40940601" TargetMode="External"/><Relationship Id="rIdeyivhnv-sv5owc_z4a9ml" Type="http://schemas.openxmlformats.org/officeDocument/2006/relationships/hyperlink" Target="https://pubmed.ncbi.nlm.nih.gov/35719974" TargetMode="External"/><Relationship Id="rIdf8lxtgcgntnwutm1ibsrt" Type="http://schemas.openxmlformats.org/officeDocument/2006/relationships/hyperlink" Target="https://pubmed.ncbi.nlm.nih.gov/42073607" TargetMode="External"/><Relationship Id="rIdmgf6qzjxxtaojzwlvx3dj" Type="http://schemas.openxmlformats.org/officeDocument/2006/relationships/hyperlink" Target="https://www.ncbi.nlm.nih.gov/pmc/articles/PMC10663390/" TargetMode="External"/><Relationship Id="rIdbph7hfofys6ludlcxweic" Type="http://schemas.openxmlformats.org/officeDocument/2006/relationships/hyperlink" Target="https://pubmed.ncbi.nlm.nih.gov/29548617" TargetMode="External"/><Relationship Id="rIdtyetxhbo-cfimpluabyw7" Type="http://schemas.openxmlformats.org/officeDocument/2006/relationships/hyperlink" Target="https://onlinelibrary.wiley.com/doi/10.1111/ctr.13023" TargetMode="External"/><Relationship Id="rIdunrehse07mi-knufokmxq" Type="http://schemas.openxmlformats.org/officeDocument/2006/relationships/hyperlink" Target="https://pubmed.ncbi.nlm.nih.gov/39939239" TargetMode="External"/><Relationship Id="rIdrvaia7siv0w7rwezkja_j" Type="http://schemas.openxmlformats.org/officeDocument/2006/relationships/hyperlink" Target="https://pubmed.ncbi.nlm.nih.gov/35740555" TargetMode="External"/><Relationship Id="rIdmtv1q0nkpiupzrvd9myrn" Type="http://schemas.openxmlformats.org/officeDocument/2006/relationships/hyperlink" Target="https://meetings.asco.org/abstracts-presentations/255564" TargetMode="External"/><Relationship Id="rIdk7-d60hsiu54m5y38xtas" Type="http://schemas.openxmlformats.org/officeDocument/2006/relationships/hyperlink" Target="https://onlinelibrary.wiley.com/doi/10.1111/ctr.70547" TargetMode="External"/><Relationship Id="rId24" Type="http://schemas.openxmlformats.org/officeDocument/2006/relationships/fontTable" Target="fontTable.xml"/><Relationship Id="rId25" Type="http://schemas.openxmlformats.org/officeDocument/2006/relationships/hyperlink" Target="https://doi.org/10.1002/hep.28744" TargetMode="External"/><Relationship Id="rId26" Type="http://schemas.openxmlformats.org/officeDocument/2006/relationships/hyperlink" Target="https://libkey.io/libraries/480/10.1002/hep.28744" TargetMode="External"/><Relationship Id="rId27" Type="http://schemas.openxmlformats.org/officeDocument/2006/relationships/hyperlink" Target="https://onlinelibrary.wiley.com/doi/full/10.1002/lt.25737" TargetMode="External"/><Relationship Id="rId28" Type="http://schemas.openxmlformats.org/officeDocument/2006/relationships/hyperlink" Target="https://libkey.io/libraries/480/10.1002/lt.25737" TargetMode="External"/><Relationship Id="rId29" Type="http://schemas.openxmlformats.org/officeDocument/2006/relationships/hyperlink" Target="https://pubmed.ncbi.nlm.nih.gov/33316425/" TargetMode="External"/><Relationship Id="rId30" Type="http://schemas.openxmlformats.org/officeDocument/2006/relationships/hyperlink" Target="https://libkey.io/libraries/480/10.1016/j.jamcollsurg.2020.11.017" TargetMode="External"/><Relationship Id="rId31" Type="http://schemas.openxmlformats.org/officeDocument/2006/relationships/hyperlink" Target="https://doi.org/10.1111/ajt.16906" TargetMode="External"/><Relationship Id="rId32" Type="http://schemas.openxmlformats.org/officeDocument/2006/relationships/hyperlink" Target="https://libkey.io/libraries/480/10.1111/ajt.16906" TargetMode="External"/><Relationship Id="rId33" Type="http://schemas.openxmlformats.org/officeDocument/2006/relationships/hyperlink" Target="https://doi.org/10.3389/ti.2024.13641" TargetMode="External"/><Relationship Id="rId34" Type="http://schemas.openxmlformats.org/officeDocument/2006/relationships/hyperlink" Target="https://libkey.io/libraries/480/10.3389/ti.2024.13641" TargetMode="External"/><Relationship Id="rId35" Type="http://schemas.openxmlformats.org/officeDocument/2006/relationships/hyperlink" Target="https://academic.oup.com/bjs/article/112/3/znaf054/8083032" TargetMode="External"/><Relationship Id="rId36" Type="http://schemas.openxmlformats.org/officeDocument/2006/relationships/hyperlink" Target="https://libkey.io/libraries/480/10.1093/bjs/znaf054" TargetMode="External"/><Relationship Id="rId37" Type="http://schemas.openxmlformats.org/officeDocument/2006/relationships/hyperlink" Target="https://pmc.ncbi.nlm.nih.gov/articles/PMC13254992/" TargetMode="External"/><Relationship Id="rId38" Type="http://schemas.openxmlformats.org/officeDocument/2006/relationships/hyperlink" Target="https://libkey.io/libraries/480/10.1016/j.jhepr.2026.101830" TargetMode="External"/><Relationship Id="rId39" Type="http://schemas.openxmlformats.org/officeDocument/2006/relationships/hyperlink" Target="https://onlinelibrary.wiley.com/doi/10.1111/ctr.70547" TargetMode="External"/><Relationship Id="rId40" Type="http://schemas.openxmlformats.org/officeDocument/2006/relationships/hyperlink" Target="https://libkey.io/libraries/480/10.1111/ctr.70547" TargetMode="External"/><Relationship Id="rId41" Type="http://schemas.openxmlformats.org/officeDocument/2006/relationships/hyperlink" Target="https://doi.org/10.1097/HEP.0000000000001644" TargetMode="External"/><Relationship Id="rId42" Type="http://schemas.openxmlformats.org/officeDocument/2006/relationships/hyperlink" Target="https://libkey.io/libraries/480/10.1097/HEP.0000000000001644" TargetMode="External"/><Relationship Id="rId43" Type="http://schemas.openxmlformats.org/officeDocument/2006/relationships/hyperlink" Target="https://doi.org/10.3389/ti.2024.13641" TargetMode="External"/><Relationship Id="rId44" Type="http://schemas.openxmlformats.org/officeDocument/2006/relationships/hyperlink" Target="https://libkey.io/libraries/480/10.3389/ti.2024.13641" TargetMode="External"/><Relationship Id="rId45" Type="http://schemas.openxmlformats.org/officeDocument/2006/relationships/hyperlink" Target="https://doi.org/10.1097/LVT.0000000000000589" TargetMode="External"/><Relationship Id="rId46" Type="http://schemas.openxmlformats.org/officeDocument/2006/relationships/hyperlink" Target="https://libkey.io/libraries/480/10.1097/LVT.0000000000000589" TargetMode="External"/><Relationship Id="rId47" Type="http://schemas.openxmlformats.org/officeDocument/2006/relationships/hyperlink" Target="https://doi.org/10.1097/HEP.0000000000001644" TargetMode="External"/><Relationship Id="rId48" Type="http://schemas.openxmlformats.org/officeDocument/2006/relationships/hyperlink" Target="https://libkey.io/libraries/480/10.1097/HEP.0000000000001644" TargetMode="External"/><Relationship Id="rId49" Type="http://schemas.openxmlformats.org/officeDocument/2006/relationships/hyperlink" Target="https://www.hrsa.gov/sites/default/files/hrsa/optn/adult-meld-exception-transplant-oncology-review-guidance.pdf" TargetMode="External"/><Relationship Id="rId50" Type="http://schemas.openxmlformats.org/officeDocument/2006/relationships/hyperlink" Target="https://drliuhao.github.io/mh-liver-pathways/evidence/2026-10-25/" TargetMode="External"/><Relationship Id="rId51" Type="http://schemas.openxmlformats.org/officeDocument/2006/relationships/hyperlink" Target="https://drliuhao.github.io/mh-liver-pathways/evidence/2026-10-25/" TargetMode="External"/><Relationship Id="rId52" Type="http://schemas.openxmlformats.org/officeDocument/2006/relationships/hyperlink" Target="https://drliuhao.github.io/mh-liver-pathways/evidence/2026-10-25/" TargetMode="External"/><Relationship Id="rId53" Type="http://schemas.openxmlformats.org/officeDocument/2006/relationships/hyperlink" Target="https://doi.org/10.1016/S2468-1253(18)30045-1" TargetMode="External"/><Relationship Id="rId54" Type="http://schemas.openxmlformats.org/officeDocument/2006/relationships/hyperlink" Target="https://libkey.io/libraries/480/10.1016/S2468-1253(18)30045-1" TargetMode="External"/><Relationship Id="rId55" Type="http://schemas.openxmlformats.org/officeDocument/2006/relationships/hyperlink" Target="https://doi.org/10.1111/ajt.16906" TargetMode="External"/><Relationship Id="rId56" Type="http://schemas.openxmlformats.org/officeDocument/2006/relationships/hyperlink" Target="https://libkey.io/libraries/480/10.1111/ajt.16906" TargetMode="External"/><Relationship Id="rId57" Type="http://schemas.openxmlformats.org/officeDocument/2006/relationships/hyperlink" Target="https://doi.org/10.3389/ti.2024.13641" TargetMode="External"/><Relationship Id="rId58" Type="http://schemas.openxmlformats.org/officeDocument/2006/relationships/hyperlink" Target="https://libkey.io/libraries/480/10.3389/ti.2024.13641" TargetMode="External"/><Relationship Id="rId59" Type="http://schemas.openxmlformats.org/officeDocument/2006/relationships/hyperlink" Target="https://academic.oup.com/bjs/article/112/3/znaf054/8083032" TargetMode="External"/><Relationship Id="rId60" Type="http://schemas.openxmlformats.org/officeDocument/2006/relationships/hyperlink" Target="https://libkey.io/libraries/480/10.1093/bjs/znaf054" TargetMode="External"/><Relationship Id="rId61" Type="http://schemas.openxmlformats.org/officeDocument/2006/relationships/hyperlink" Target="https://pmc.ncbi.nlm.nih.gov/articles/PMC13254992/" TargetMode="External"/><Relationship Id="rId62" Type="http://schemas.openxmlformats.org/officeDocument/2006/relationships/hyperlink" Target="https://libkey.io/libraries/480/10.1016/j.jhepr.2026.101830" TargetMode="External"/><Relationship Id="rId63" Type="http://schemas.openxmlformats.org/officeDocument/2006/relationships/hyperlink" Target="https://doi.org/10.1245/s10434-026-19652-8" TargetMode="External"/><Relationship Id="rId64" Type="http://schemas.openxmlformats.org/officeDocument/2006/relationships/hyperlink" Target="https://libkey.io/libraries/480/10.1245/s10434-026-19652-8" TargetMode="External"/><Relationship Id="rId65" Type="http://schemas.openxmlformats.org/officeDocument/2006/relationships/hyperlink" Target="https://doi.org/10.1200/JCO-25-00923" TargetMode="External"/><Relationship Id="rId66" Type="http://schemas.openxmlformats.org/officeDocument/2006/relationships/hyperlink" Target="https://libkey.io/libraries/480/10.1200/JCO-25-00923" TargetMode="External"/><Relationship Id="rId67" Type="http://schemas.openxmlformats.org/officeDocument/2006/relationships/hyperlink" Target="https://doi.org/10.3389/fonc.2026.1866870" TargetMode="External"/><Relationship Id="rId68" Type="http://schemas.openxmlformats.org/officeDocument/2006/relationships/hyperlink" Target="https://libkey.io/libraries/480/10.3389/fonc.2026.1866870" TargetMode="External"/><Relationship Id="rId69" Type="http://schemas.openxmlformats.org/officeDocument/2006/relationships/hyperlink" Target="https://doi.org/10.1056/NEJMoa2513918" TargetMode="External"/><Relationship Id="rId70" Type="http://schemas.openxmlformats.org/officeDocument/2006/relationships/hyperlink" Target="https://libkey.io/libraries/480/10.1056/NEJMoa2513918" TargetMode="External"/><Relationship Id="rId71" Type="http://schemas.openxmlformats.org/officeDocument/2006/relationships/hyperlink" Target="https://doi.org/10.1200/JCO-24-01383" TargetMode="External"/><Relationship Id="rId72" Type="http://schemas.openxmlformats.org/officeDocument/2006/relationships/hyperlink" Target="https://libkey.io/libraries/480/10.1200/JCO-24-01383" TargetMode="External"/><Relationship Id="rId73" Type="http://schemas.openxmlformats.org/officeDocument/2006/relationships/hyperlink" Target="https://doi.org/10.1016/S2468-1253(18)30045-1" TargetMode="External"/><Relationship Id="rId74" Type="http://schemas.openxmlformats.org/officeDocument/2006/relationships/hyperlink" Target="https://libkey.io/libraries/480/10.1016/S2468-1253(18)30045-1" TargetMode="External"/><Relationship Id="rId75" Type="http://schemas.openxmlformats.org/officeDocument/2006/relationships/hyperlink" Target="https://doi.org/10.1111/ajt.16906" TargetMode="External"/><Relationship Id="rId76" Type="http://schemas.openxmlformats.org/officeDocument/2006/relationships/hyperlink" Target="https://libkey.io/libraries/480/10.1111/ajt.16906" TargetMode="External"/><Relationship Id="rId77" Type="http://schemas.openxmlformats.org/officeDocument/2006/relationships/hyperlink" Target="https://drliuhao.github.io/mh-liver-pathways/evidence/2026-10-25/" TargetMode="External"/><Relationship Id="rId78" Type="http://schemas.openxmlformats.org/officeDocument/2006/relationships/hyperlink" Target="https://drliuhao.github.io/mh-liver-pathways/evidence/2026-10-25/" TargetMode="External"/><Relationship Id="rId79" Type="http://schemas.openxmlformats.org/officeDocument/2006/relationships/hyperlink" Target="https://drliuhao.github.io/mh-liver-pathways/evidence/2026-10-25/" TargetMode="External"/><Relationship Id="rId80" Type="http://schemas.openxmlformats.org/officeDocument/2006/relationships/hyperlink" Target="https://drliuhao.github.io/mh-liver-pathways/evidence/2026-10-25/" TargetMode="External"/><Relationship Id="rId81" Type="http://schemas.openxmlformats.org/officeDocument/2006/relationships/hyperlink" Target="https://drliuhao.github.io/mh-liver-pathways/evidence/2026-10-25/" TargetMode="External"/><Relationship Id="rId82" Type="http://schemas.openxmlformats.org/officeDocument/2006/relationships/hyperlink" Target="https://drliuhao.github.io/mh-liver-pathways/evidence/2026-10-25/" TargetMode="External"/><Relationship Id="rId83" Type="http://schemas.openxmlformats.org/officeDocument/2006/relationships/hyperlink" Target="https://drliuhao.github.io/mh-liver-pathways/evidence/2026-10-25/" TargetMode="External"/><Relationship Id="rId84" Type="http://schemas.openxmlformats.org/officeDocument/2006/relationships/hyperlink" Target="https://drliuhao.github.io/mh-liver-pathways/evidence/2026-10-25/" TargetMode="External"/><Relationship Id="rId85" Type="http://schemas.openxmlformats.org/officeDocument/2006/relationships/hyperlink" Target="https://doi.org/10.1016/j.ajt.2026.09.039" TargetMode="External"/><Relationship Id="rId86" Type="http://schemas.openxmlformats.org/officeDocument/2006/relationships/hyperlink" Target="https://libkey.io/libraries/480/10.1016/j.ajt.2026.09.039" TargetMode="External"/><Relationship Id="rId87" Type="http://schemas.openxmlformats.org/officeDocument/2006/relationships/hyperlink" Target="https://doi.org/10.1016/S2468-1253(18)30045-1" TargetMode="External"/><Relationship Id="rId88" Type="http://schemas.openxmlformats.org/officeDocument/2006/relationships/hyperlink" Target="https://libkey.io/libraries/480/10.1016/S2468-1253(18)30045-1" TargetMode="External"/><Relationship Id="rId89" Type="http://schemas.openxmlformats.org/officeDocument/2006/relationships/hyperlink" Target="https://pmc.ncbi.nlm.nih.gov/articles/PMC13254992/" TargetMode="External"/><Relationship Id="rId90" Type="http://schemas.openxmlformats.org/officeDocument/2006/relationships/hyperlink" Target="https://libkey.io/libraries/480/10.1016/j.jhepr.2026.101830" TargetMode="External"/><Relationship Id="rId91" Type="http://schemas.openxmlformats.org/officeDocument/2006/relationships/hyperlink" Target="https://doi.org/10.1245/s10434-026-19652-8" TargetMode="External"/><Relationship Id="rId92" Type="http://schemas.openxmlformats.org/officeDocument/2006/relationships/hyperlink" Target="https://libkey.io/libraries/480/10.1245/s10434-026-19652-8" TargetMode="External"/><Relationship Id="rId93" Type="http://schemas.openxmlformats.org/officeDocument/2006/relationships/hyperlink" Target="https://doi.org/10.1200/JCO-25-00923" TargetMode="External"/><Relationship Id="rId94" Type="http://schemas.openxmlformats.org/officeDocument/2006/relationships/hyperlink" Target="https://libkey.io/libraries/480/10.1200/JCO-25-00923" TargetMode="External"/><Relationship Id="rId95" Type="http://schemas.openxmlformats.org/officeDocument/2006/relationships/hyperlink" Target="https://www.journal-of-hepatology.eu/article/S0168-8278(25)02201-9/fulltext" TargetMode="External"/><Relationship Id="rId96" Type="http://schemas.openxmlformats.org/officeDocument/2006/relationships/hyperlink" Target="https://libkey.io/libraries/480/10.1016/j.jhep.2025.05.003" TargetMode="External"/><Relationship Id="rId97" Type="http://schemas.openxmlformats.org/officeDocument/2006/relationships/hyperlink" Target="https://doi.org/10.1155/joot/2545887" TargetMode="External"/><Relationship Id="rId98" Type="http://schemas.openxmlformats.org/officeDocument/2006/relationships/hyperlink" Target="https://libkey.io/libraries/480/10.1155/joot/2545887" TargetMode="External"/><Relationship Id="rId99" Type="http://schemas.openxmlformats.org/officeDocument/2006/relationships/hyperlink" Target="https://pubmed.ncbi.nlm.nih.gov/39939239" TargetMode="External"/><Relationship Id="rId100" Type="http://schemas.openxmlformats.org/officeDocument/2006/relationships/hyperlink" Target="https://libkey.io/libraries/480/10.1016/j.transproceed.2025.02.001" TargetMode="External"/><Relationship Id="rId101" Type="http://schemas.openxmlformats.org/officeDocument/2006/relationships/hyperlink" Target="https://pubmed.ncbi.nlm.nih.gov/35740555" TargetMode="External"/><Relationship Id="rId102" Type="http://schemas.openxmlformats.org/officeDocument/2006/relationships/hyperlink" Target="https://libkey.io/libraries/480/10.3390/cancers14122890" TargetMode="External"/><Relationship Id="rId103" Type="http://schemas.openxmlformats.org/officeDocument/2006/relationships/hyperlink" Target="https://onlinelibrary.wiley.com/doi/10.1111/ctr.13023" TargetMode="External"/><Relationship Id="rId104" Type="http://schemas.openxmlformats.org/officeDocument/2006/relationships/hyperlink" Target="https://libkey.io/libraries/480/10.1111/ctr.13023" TargetMode="External"/><Relationship Id="rId105" Type="http://schemas.openxmlformats.org/officeDocument/2006/relationships/hyperlink" Target="https://doi.org/10.1016/j.ajt.2026.09.039" TargetMode="External"/><Relationship Id="rId106" Type="http://schemas.openxmlformats.org/officeDocument/2006/relationships/hyperlink" Target="https://libkey.io/libraries/480/10.1016/j.ajt.2026.09.039" TargetMode="External"/><Relationship Id="rId107" Type="http://schemas.openxmlformats.org/officeDocument/2006/relationships/hyperlink" Target="https://doi.org/10.1245/s10434-026-19652-8" TargetMode="External"/><Relationship Id="rId108" Type="http://schemas.openxmlformats.org/officeDocument/2006/relationships/hyperlink" Target="https://libkey.io/libraries/480/10.1245/s10434-026-19652-8" TargetMode="External"/><Relationship Id="rId109" Type="http://schemas.openxmlformats.org/officeDocument/2006/relationships/hyperlink" Target="https://drliuhao.github.io/mh-liver-pathways/evidence/2026-10-25/" TargetMode="External"/><Relationship Id="rId110" Type="http://schemas.openxmlformats.org/officeDocument/2006/relationships/hyperlink" Target="https://drliuhao.github.io/mh-liver-pathways/evidence/2026-10-25/" TargetMode="External"/><Relationship Id="rId111" Type="http://schemas.openxmlformats.org/officeDocument/2006/relationships/hyperlink" Target="https://drliuhao.github.io/mh-liver-pathways/evidence/2026-10-25/" TargetMode="External"/><Relationship Id="rId112" Type="http://schemas.openxmlformats.org/officeDocument/2006/relationships/hyperlink" Target="https://drliuhao.github.io/mh-liver-pathways/evidence/2026-10-25/" TargetMode="External"/><Relationship Id="rId113" Type="http://schemas.openxmlformats.org/officeDocument/2006/relationships/hyperlink" Target="https://drliuhao.github.io/mh-liver-pathways/evidence/2026-10-25/" TargetMode="External"/><Relationship Id="rId114" Type="http://schemas.openxmlformats.org/officeDocument/2006/relationships/hyperlink" Target="https://drliuhao.github.io/mh-liver-pathways/evidence/2026-10-25/" TargetMode="External"/><Relationship Id="rId115" Type="http://schemas.openxmlformats.org/officeDocument/2006/relationships/hyperlink" Target="https://www.hrsa.gov/sites/default/files/hrsa/optn/optn_policies.pdf" TargetMode="External"/><Relationship Id="rId116" Type="http://schemas.openxmlformats.org/officeDocument/2006/relationships/hyperlink" Target="https://drliuhao.github.io/mh-liver-pathways/evidence/2026-10-25/" TargetMode="External"/><Relationship Id="rId117" Type="http://schemas.openxmlformats.org/officeDocument/2006/relationships/hyperlink" Target="https://www.hrsa.gov/sites/default/files/hrsa/optn/adult-meld-exception-transplant-oncology-review-guidance.pdf" TargetMode="External"/><Relationship Id="rId118" Type="http://schemas.openxmlformats.org/officeDocument/2006/relationships/hyperlink" Target="https://drliuhao.github.io/mh-liver-pathways/evidence/2026-10-25/" TargetMode="External"/><Relationship Id="rId119" Type="http://schemas.openxmlformats.org/officeDocument/2006/relationships/hyperlink" Target="https://doi.org/10.1002/hep.28744" TargetMode="External"/><Relationship Id="rId120" Type="http://schemas.openxmlformats.org/officeDocument/2006/relationships/hyperlink" Target="https://libkey.io/libraries/480/10.1002/hep.28744" TargetMode="External"/><Relationship Id="rId121" Type="http://schemas.openxmlformats.org/officeDocument/2006/relationships/hyperlink" Target="https://doi.org/10.1111/ajt.16906" TargetMode="External"/><Relationship Id="rId122" Type="http://schemas.openxmlformats.org/officeDocument/2006/relationships/hyperlink" Target="https://libkey.io/libraries/480/10.1111/ajt.16906" TargetMode="External"/><Relationship Id="rId123" Type="http://schemas.openxmlformats.org/officeDocument/2006/relationships/hyperlink" Target="https://doi.org/10.1016/S2468-1253(18)30045-1" TargetMode="External"/><Relationship Id="rId124" Type="http://schemas.openxmlformats.org/officeDocument/2006/relationships/hyperlink" Target="https://libkey.io/libraries/480/10.1016/S2468-1253(18)30045-1" TargetMode="External"/><Relationship Id="rId125" Type="http://schemas.openxmlformats.org/officeDocument/2006/relationships/hyperlink" Target="https://doi.org/10.3389/ti.2024.13641" TargetMode="External"/><Relationship Id="rId126" Type="http://schemas.openxmlformats.org/officeDocument/2006/relationships/hyperlink" Target="https://libkey.io/libraries/480/10.3389/ti.2024.13641" TargetMode="External"/><Relationship Id="rId127" Type="http://schemas.openxmlformats.org/officeDocument/2006/relationships/hyperlink" Target="https://doi.org/10.1016/j.ajt.2026.09.039" TargetMode="External"/><Relationship Id="rId128" Type="http://schemas.openxmlformats.org/officeDocument/2006/relationships/hyperlink" Target="https://libkey.io/libraries/480/10.1016/j.ajt.2026.09.039" TargetMode="External"/><Relationship Id="rId129" Type="http://schemas.openxmlformats.org/officeDocument/2006/relationships/hyperlink" Target="https://doi.org/10.1245/s10434-026-19652-8" TargetMode="External"/><Relationship Id="rId130" Type="http://schemas.openxmlformats.org/officeDocument/2006/relationships/hyperlink" Target="https://libkey.io/libraries/480/10.1245/s10434-026-19652-8" TargetMode="External"/><Relationship Id="rId131" Type="http://schemas.openxmlformats.org/officeDocument/2006/relationships/hyperlink" Target="https://doi.org/10.1097/LVT.0000000000000589" TargetMode="External"/><Relationship Id="rId132" Type="http://schemas.openxmlformats.org/officeDocument/2006/relationships/hyperlink" Target="https://libkey.io/libraries/480/10.1097/LVT.0000000000000589" TargetMode="External"/><Relationship Id="rId133" Type="http://schemas.openxmlformats.org/officeDocument/2006/relationships/hyperlink" Target="https://doi.org/10.1097/HEP.0000000000001644" TargetMode="External"/><Relationship Id="rId134" Type="http://schemas.openxmlformats.org/officeDocument/2006/relationships/hyperlink" Target="https://libkey.io/libraries/480/10.1097/HEP.0000000000001644" TargetMode="External"/><Relationship Id="rId135" Type="http://schemas.openxmlformats.org/officeDocument/2006/relationships/hyperlink" Target="https://onlinelibrary.wiley.com/doi/full/10.1002/lt.25737" TargetMode="External"/><Relationship Id="rId136" Type="http://schemas.openxmlformats.org/officeDocument/2006/relationships/hyperlink" Target="https://libkey.io/libraries/480/10.1002/lt.25737" TargetMode="External"/><Relationship Id="rId137" Type="http://schemas.openxmlformats.org/officeDocument/2006/relationships/hyperlink" Target="https://pubmed.ncbi.nlm.nih.gov/33316425/" TargetMode="External"/><Relationship Id="rId138" Type="http://schemas.openxmlformats.org/officeDocument/2006/relationships/hyperlink" Target="https://libkey.io/libraries/480/10.1016/j.jamcollsurg.2020.11.017" TargetMode="External"/><Relationship Id="rId139" Type="http://schemas.openxmlformats.org/officeDocument/2006/relationships/hyperlink" Target="https://academic.oup.com/bjs/article/112/3/znaf054/8083032" TargetMode="External"/><Relationship Id="rId140" Type="http://schemas.openxmlformats.org/officeDocument/2006/relationships/hyperlink" Target="https://libkey.io/libraries/480/10.1093/bjs/znaf054" TargetMode="External"/><Relationship Id="rId141" Type="http://schemas.openxmlformats.org/officeDocument/2006/relationships/hyperlink" Target="https://pmc.ncbi.nlm.nih.gov/articles/PMC13254992/" TargetMode="External"/><Relationship Id="rId142" Type="http://schemas.openxmlformats.org/officeDocument/2006/relationships/hyperlink" Target="https://libkey.io/libraries/480/10.1016/j.jhepr.2026.101830" TargetMode="External"/><Relationship Id="rId143" Type="http://schemas.openxmlformats.org/officeDocument/2006/relationships/hyperlink" Target="https://onlinelibrary.wiley.com/doi/10.1111/ctr.70547" TargetMode="External"/><Relationship Id="rId144" Type="http://schemas.openxmlformats.org/officeDocument/2006/relationships/hyperlink" Target="https://libkey.io/libraries/480/10.1111/ctr.70547" TargetMode="External"/><Relationship Id="rId145" Type="http://schemas.openxmlformats.org/officeDocument/2006/relationships/hyperlink" Target="https://www.nccn.org/professionals/physician_gls/pdf/btc.pdf#page=16" TargetMode="External"/><Relationship Id="rId146" Type="http://schemas.openxmlformats.org/officeDocument/2006/relationships/hyperlink" Target="https://drliuhao.github.io/mh-liver-pathways/evidence/2026-10-25/" TargetMode="External"/><Relationship Id="rId147" Type="http://schemas.openxmlformats.org/officeDocument/2006/relationships/hyperlink" Target="https://doi.org/10.1200/JCO-24-01383" TargetMode="External"/><Relationship Id="rId148" Type="http://schemas.openxmlformats.org/officeDocument/2006/relationships/hyperlink" Target="https://libkey.io/libraries/480/10.1200/JCO-24-01383" TargetMode="External"/><Relationship Id="rId149" Type="http://schemas.openxmlformats.org/officeDocument/2006/relationships/hyperlink" Target="https://doi.org/10.1056/NEJMoa2513918" TargetMode="External"/><Relationship Id="rId150" Type="http://schemas.openxmlformats.org/officeDocument/2006/relationships/hyperlink" Target="https://libkey.io/libraries/480/10.1056/NEJMoa2513918" TargetMode="External"/><Relationship Id="rId151" Type="http://schemas.openxmlformats.org/officeDocument/2006/relationships/hyperlink" Target="https://doi.org/10.1016/S1470-2045(25)00376-6" TargetMode="External"/><Relationship Id="rId152" Type="http://schemas.openxmlformats.org/officeDocument/2006/relationships/hyperlink" Target="https://libkey.io/libraries/480/10.1016/S1470-2045(25)00376-6" TargetMode="External"/><Relationship Id="rId153" Type="http://schemas.openxmlformats.org/officeDocument/2006/relationships/hyperlink" Target="https://doi.org/10.1200/JCO-25-00923" TargetMode="External"/><Relationship Id="rId154" Type="http://schemas.openxmlformats.org/officeDocument/2006/relationships/hyperlink" Target="https://libkey.io/libraries/480/10.1200/JCO-25-00923" TargetMode="External"/><Relationship Id="rId155" Type="http://schemas.openxmlformats.org/officeDocument/2006/relationships/hyperlink" Target="https://doi.org/10.1016/j.jhep.2024.06.042" TargetMode="External"/><Relationship Id="rId156" Type="http://schemas.openxmlformats.org/officeDocument/2006/relationships/hyperlink" Target="https://libkey.io/libraries/480/10.1016/j.jhep.2024.06.042" TargetMode="External"/><Relationship Id="rId157" Type="http://schemas.openxmlformats.org/officeDocument/2006/relationships/hyperlink" Target="https://doi.org/10.1097/HEP.0000000000001289" TargetMode="External"/><Relationship Id="rId158" Type="http://schemas.openxmlformats.org/officeDocument/2006/relationships/hyperlink" Target="https://libkey.io/libraries/480/10.1097/HEP.0000000000001289" TargetMode="External"/><Relationship Id="rId159" Type="http://schemas.openxmlformats.org/officeDocument/2006/relationships/hyperlink" Target="https://doi.org/10.3389/fonc.2026.1866870" TargetMode="External"/><Relationship Id="rId160" Type="http://schemas.openxmlformats.org/officeDocument/2006/relationships/hyperlink" Target="https://libkey.io/libraries/480/10.3389/fonc.2026.1866870" TargetMode="External"/><Relationship Id="rId161" Type="http://schemas.openxmlformats.org/officeDocument/2006/relationships/hyperlink" Target="https://doi.org/10.1155/joot/2545887" TargetMode="External"/><Relationship Id="rId162" Type="http://schemas.openxmlformats.org/officeDocument/2006/relationships/hyperlink" Target="https://libkey.io/libraries/480/10.1155/joot/2545887" TargetMode="External"/><Relationship Id="rId163" Type="http://schemas.openxmlformats.org/officeDocument/2006/relationships/hyperlink" Target="https://www.ecfr.gov/current/title-45/subtitle-A/subchapter-A/part-46/subpart-A/section-46.111" TargetMode="External"/><Relationship Id="rId164" Type="http://schemas.openxmlformats.org/officeDocument/2006/relationships/hyperlink" Target="https://www.hrsa.gov/optn/professionals/resources/ethical-considerations/ethical-principles-in-the-allocation-of-human-organs" TargetMode="External"/><Relationship Id="rId165" Type="http://schemas.openxmlformats.org/officeDocument/2006/relationships/hyperlink" Target="https://doi.org/10.1038/s41571-026-01160-z" TargetMode="External"/><Relationship Id="rId166" Type="http://schemas.openxmlformats.org/officeDocument/2006/relationships/hyperlink" Target="https://libkey.io/libraries/480/10.1038/s41571-026-01160-z" TargetMode="External"/><Relationship Id="rId167" Type="http://schemas.openxmlformats.org/officeDocument/2006/relationships/hyperlink" Target="https://doi.org/10.1016/S1470-2045(20)30224-2" TargetMode="External"/><Relationship Id="rId168" Type="http://schemas.openxmlformats.org/officeDocument/2006/relationships/hyperlink" Target="https://libkey.io/libraries/480/10.1016/S1470-2045(20)30224-2" TargetMode="External"/><Relationship Id="rId169" Type="http://schemas.openxmlformats.org/officeDocument/2006/relationships/hyperlink" Target="https://doi.org/10.1016/S0140-6736(24)01595-2" TargetMode="External"/><Relationship Id="rId170" Type="http://schemas.openxmlformats.org/officeDocument/2006/relationships/hyperlink" Target="https://libkey.io/libraries/480/10.1016/S0140-6736(24)01595-2" TargetMode="External"/><Relationship Id="rId171" Type="http://schemas.openxmlformats.org/officeDocument/2006/relationships/hyperlink" Target="https://doi.org/10.1016/j.jhep.2024.03.020" TargetMode="External"/><Relationship Id="rId172" Type="http://schemas.openxmlformats.org/officeDocument/2006/relationships/hyperlink" Target="https://libkey.io/libraries/480/10.1016/j.jhep.2024.03.020" TargetMode="External"/><Relationship Id="rId173" Type="http://schemas.openxmlformats.org/officeDocument/2006/relationships/hyperlink" Target="https://doi.org/10.1111/j.1600-6143.2011.03972.x" TargetMode="External"/><Relationship Id="rId174" Type="http://schemas.openxmlformats.org/officeDocument/2006/relationships/hyperlink" Target="https://libkey.io/libraries/480/10.1111/j.1600-6143.2011.03972.x" TargetMode="External"/><Relationship Id="rId175" Type="http://schemas.openxmlformats.org/officeDocument/2006/relationships/hyperlink" Target="https://doi.org/10.1111/ajt.14055" TargetMode="External"/><Relationship Id="rId176" Type="http://schemas.openxmlformats.org/officeDocument/2006/relationships/hyperlink" Target="https://libkey.io/libraries/480/10.1111/ajt.14055" TargetMode="External"/><Relationship Id="rId177" Type="http://schemas.openxmlformats.org/officeDocument/2006/relationships/hyperlink" Target="https://doi.org/10.1097/LVT.0000000000000303" TargetMode="External"/><Relationship Id="rId178" Type="http://schemas.openxmlformats.org/officeDocument/2006/relationships/hyperlink" Target="https://libkey.io/libraries/480/10.1097/LVT.0000000000000303" TargetMode="External"/><Relationship Id="rId179" Type="http://schemas.openxmlformats.org/officeDocument/2006/relationships/hyperlink" Target="https://www.journal-of-hepatology.eu/article/S0168-8278(25)02201-9/fulltext" TargetMode="External"/><Relationship Id="rId180" Type="http://schemas.openxmlformats.org/officeDocument/2006/relationships/hyperlink" Target="https://libkey.io/libraries/480/10.1016/j.jhep.2025.05.003" TargetMode="External"/><Relationship Id="rId181" Type="http://schemas.openxmlformats.org/officeDocument/2006/relationships/hyperlink" Target="https://pubmed.ncbi.nlm.nih.gov/39939239" TargetMode="External"/><Relationship Id="rId182" Type="http://schemas.openxmlformats.org/officeDocument/2006/relationships/hyperlink" Target="https://libkey.io/libraries/480/10.1016/j.transproceed.2025.02.001" TargetMode="External"/><Relationship Id="rId183" Type="http://schemas.openxmlformats.org/officeDocument/2006/relationships/hyperlink" Target="https://pubmed.ncbi.nlm.nih.gov/35740555" TargetMode="External"/><Relationship Id="rId184" Type="http://schemas.openxmlformats.org/officeDocument/2006/relationships/hyperlink" Target="https://libkey.io/libraries/480/10.3390/cancers14122890" TargetMode="External"/><Relationship Id="rId185" Type="http://schemas.openxmlformats.org/officeDocument/2006/relationships/hyperlink" Target="https://onlinelibrary.wiley.com/doi/10.1111/ctr.13023" TargetMode="External"/><Relationship Id="rId186" Type="http://schemas.openxmlformats.org/officeDocument/2006/relationships/hyperlink" Target="https://libkey.io/libraries/480/10.1111/ctr.13023" TargetMode="External"/><Relationship Id="rId187" Type="http://schemas.openxmlformats.org/officeDocument/2006/relationships/hyperlink" Target="https://dailymed.nlm.nih.gov/dailymed/drugInfo.cfm?setid=e082a024-7850-400b-a5c2-2a140612562a" TargetMode="External"/><Relationship Id="rId188" Type="http://schemas.openxmlformats.org/officeDocument/2006/relationships/hyperlink" Target="https://drliuhao.github.io/mh-liver-pathways/evidence/2026-10-25/" TargetMode="External"/><Relationship Id="rId189" Type="http://schemas.openxmlformats.org/officeDocument/2006/relationships/hyperlink" Target="https://doi.org/10.1016/j.ajt.2026.02.010" TargetMode="External"/><Relationship Id="rId190" Type="http://schemas.openxmlformats.org/officeDocument/2006/relationships/hyperlink" Target="https://libkey.io/libraries/480/10.1016/j.ajt.2026.02.010" TargetMode="External"/><Relationship Id="rId191" Type="http://schemas.openxmlformats.org/officeDocument/2006/relationships/hyperlink" Target="https://doi.org/10.1136/bmj.i5239" TargetMode="External"/><Relationship Id="rId192" Type="http://schemas.openxmlformats.org/officeDocument/2006/relationships/hyperlink" Target="https://libkey.io/libraries/480/10.1136/bmj.i5239" TargetMode="External"/><Relationship Id="rId193" Type="http://schemas.openxmlformats.org/officeDocument/2006/relationships/hyperlink" Target="https://drliuhao.github.io/mh-liver-pathways/evidence/2026-10-25/docs/HPB_Cross_Tumor_Systemic_Treatment_Matrix_2026-10-25.docx" TargetMode="External"/><Relationship Id="rId194" Type="http://schemas.openxmlformats.org/officeDocument/2006/relationships/hyperlink" Target="https://doi.org/10.1200/JCO-26-02462" TargetMode="External"/><Relationship Id="rId195" Type="http://schemas.openxmlformats.org/officeDocument/2006/relationships/hyperlink" Target="https://libkey.io/libraries/480/10.1200/JCO-26-02462" TargetMode="External"/><Relationship Id="rId196" Type="http://schemas.openxmlformats.org/officeDocument/2006/relationships/hyperlink" Target="https://doi.org/10.1016/S2468-1253(24)00119-5" TargetMode="External"/><Relationship Id="rId197" Type="http://schemas.openxmlformats.org/officeDocument/2006/relationships/hyperlink" Target="https://libkey.io/libraries/480/10.1016/S2468-1253(24)00119-5" TargetMode="External"/><Relationship Id="rId198" Type="http://schemas.openxmlformats.org/officeDocument/2006/relationships/hyperlink" Target="https://doi.org/10.1111/cas.13656" TargetMode="External"/><Relationship Id="rId199" Type="http://schemas.openxmlformats.org/officeDocument/2006/relationships/hyperlink" Target="https://libkey.io/libraries/480/10.1111/cas.13656" TargetMode="External"/><Relationship Id="rId200" Type="http://schemas.openxmlformats.org/officeDocument/2006/relationships/hyperlink" Target="https://www.hrsa.gov/sites/default/files/hrsa/optn/optn_policies.pdf" TargetMode="External"/><Relationship Id="rId201" Type="http://schemas.openxmlformats.org/officeDocument/2006/relationships/hyperlink" Target="https://drliuhao.github.io/mh-liver-pathways/evidence/2026-10-25/" TargetMode="External"/><Relationship Id="rId202" Type="http://schemas.openxmlformats.org/officeDocument/2006/relationships/hyperlink" Target="https://www.hrsa.gov/sites/default/files/hrsa/optn/adult-meld-exception-transplant-oncology-review-guidance.pdf" TargetMode="External"/><Relationship Id="rId203" Type="http://schemas.openxmlformats.org/officeDocument/2006/relationships/hyperlink" Target="https://drliuhao.github.io/mh-liver-pathways/evidence/2026-10-25/" TargetMode="External"/><Relationship Id="rId204" Type="http://schemas.openxmlformats.org/officeDocument/2006/relationships/hyperlink" Target="https://doi.org/10.1002/hep.28744" TargetMode="External"/><Relationship Id="rId205" Type="http://schemas.openxmlformats.org/officeDocument/2006/relationships/hyperlink" Target="https://libkey.io/libraries/480/10.1002/hep.28744" TargetMode="External"/><Relationship Id="rId206" Type="http://schemas.openxmlformats.org/officeDocument/2006/relationships/hyperlink" Target="https://doi.org/10.1111/ajt.16906" TargetMode="External"/><Relationship Id="rId207" Type="http://schemas.openxmlformats.org/officeDocument/2006/relationships/hyperlink" Target="https://libkey.io/libraries/480/10.1111/ajt.16906" TargetMode="External"/><Relationship Id="rId208" Type="http://schemas.openxmlformats.org/officeDocument/2006/relationships/hyperlink" Target="https://doi.org/10.1016/S2468-1253(18)30045-1" TargetMode="External"/><Relationship Id="rId209" Type="http://schemas.openxmlformats.org/officeDocument/2006/relationships/hyperlink" Target="https://libkey.io/libraries/480/10.1016/S2468-1253(18)30045-1" TargetMode="External"/><Relationship Id="rId210" Type="http://schemas.openxmlformats.org/officeDocument/2006/relationships/hyperlink" Target="https://doi.org/10.3389/ti.2024.13641" TargetMode="External"/><Relationship Id="rId211" Type="http://schemas.openxmlformats.org/officeDocument/2006/relationships/hyperlink" Target="https://libkey.io/libraries/480/10.3389/ti.2024.13641" TargetMode="External"/><Relationship Id="rId212" Type="http://schemas.openxmlformats.org/officeDocument/2006/relationships/hyperlink" Target="https://doi.org/10.1016/j.ajt.2026.09.039" TargetMode="External"/><Relationship Id="rId213" Type="http://schemas.openxmlformats.org/officeDocument/2006/relationships/hyperlink" Target="https://libkey.io/libraries/480/10.1016/j.ajt.2026.09.039" TargetMode="External"/><Relationship Id="rId214" Type="http://schemas.openxmlformats.org/officeDocument/2006/relationships/hyperlink" Target="https://doi.org/10.1245/s10434-026-19652-8" TargetMode="External"/><Relationship Id="rId215" Type="http://schemas.openxmlformats.org/officeDocument/2006/relationships/hyperlink" Target="https://libkey.io/libraries/480/10.1245/s10434-026-19652-8" TargetMode="External"/><Relationship Id="rId216" Type="http://schemas.openxmlformats.org/officeDocument/2006/relationships/hyperlink" Target="https://doi.org/10.1097/LVT.0000000000000589" TargetMode="External"/><Relationship Id="rId217" Type="http://schemas.openxmlformats.org/officeDocument/2006/relationships/hyperlink" Target="https://libkey.io/libraries/480/10.1097/LVT.0000000000000589" TargetMode="External"/><Relationship Id="rId218" Type="http://schemas.openxmlformats.org/officeDocument/2006/relationships/hyperlink" Target="https://doi.org/10.1097/HEP.0000000000001644" TargetMode="External"/><Relationship Id="rId219" Type="http://schemas.openxmlformats.org/officeDocument/2006/relationships/hyperlink" Target="https://libkey.io/libraries/480/10.1097/HEP.0000000000001644" TargetMode="External"/><Relationship Id="rId220" Type="http://schemas.openxmlformats.org/officeDocument/2006/relationships/hyperlink" Target="https://onlinelibrary.wiley.com/doi/full/10.1002/lt.25737" TargetMode="External"/><Relationship Id="rId221" Type="http://schemas.openxmlformats.org/officeDocument/2006/relationships/hyperlink" Target="https://libkey.io/libraries/480/10.1002/lt.25737" TargetMode="External"/><Relationship Id="rId222" Type="http://schemas.openxmlformats.org/officeDocument/2006/relationships/hyperlink" Target="https://pubmed.ncbi.nlm.nih.gov/33316425/" TargetMode="External"/><Relationship Id="rId223" Type="http://schemas.openxmlformats.org/officeDocument/2006/relationships/hyperlink" Target="https://libkey.io/libraries/480/10.1016/j.jamcollsurg.2020.11.017" TargetMode="External"/><Relationship Id="rId224" Type="http://schemas.openxmlformats.org/officeDocument/2006/relationships/hyperlink" Target="https://academic.oup.com/bjs/article/112/3/znaf054/8083032" TargetMode="External"/><Relationship Id="rId225" Type="http://schemas.openxmlformats.org/officeDocument/2006/relationships/hyperlink" Target="https://libkey.io/libraries/480/10.1093/bjs/znaf054" TargetMode="External"/><Relationship Id="rId226" Type="http://schemas.openxmlformats.org/officeDocument/2006/relationships/hyperlink" Target="https://pmc.ncbi.nlm.nih.gov/articles/PMC13254992/" TargetMode="External"/><Relationship Id="rId227" Type="http://schemas.openxmlformats.org/officeDocument/2006/relationships/hyperlink" Target="https://libkey.io/libraries/480/10.1016/j.jhepr.2026.101830" TargetMode="External"/><Relationship Id="rId228" Type="http://schemas.openxmlformats.org/officeDocument/2006/relationships/hyperlink" Target="https://onlinelibrary.wiley.com/doi/10.1111/ctr.70547" TargetMode="External"/><Relationship Id="rId229" Type="http://schemas.openxmlformats.org/officeDocument/2006/relationships/hyperlink" Target="https://libkey.io/libraries/480/10.1111/ctr.70547" TargetMode="External"/><Relationship Id="rId230" Type="http://schemas.openxmlformats.org/officeDocument/2006/relationships/hyperlink" Target="https://www.nccn.org/professionals/physician_gls/pdf/btc.pdf#page=16" TargetMode="External"/><Relationship Id="rId231" Type="http://schemas.openxmlformats.org/officeDocument/2006/relationships/hyperlink" Target="https://drliuhao.github.io/mh-liver-pathways/evidence/2026-10-25/" TargetMode="External"/><Relationship Id="rId232" Type="http://schemas.openxmlformats.org/officeDocument/2006/relationships/hyperlink" Target="https://doi.org/10.1200/JCO-26-02462" TargetMode="External"/><Relationship Id="rId233" Type="http://schemas.openxmlformats.org/officeDocument/2006/relationships/hyperlink" Target="https://libkey.io/libraries/480/10.1200/JCO-26-02462" TargetMode="External"/><Relationship Id="rId234" Type="http://schemas.openxmlformats.org/officeDocument/2006/relationships/hyperlink" Target="https://doi.org/10.1016/S2468-1253(24)00119-5" TargetMode="External"/><Relationship Id="rId235" Type="http://schemas.openxmlformats.org/officeDocument/2006/relationships/hyperlink" Target="https://libkey.io/libraries/480/10.1016/S2468-1253(24)00119-5" TargetMode="External"/><Relationship Id="rId236" Type="http://schemas.openxmlformats.org/officeDocument/2006/relationships/hyperlink" Target="https://doi.org/10.1111/cas.13656" TargetMode="External"/><Relationship Id="rId237" Type="http://schemas.openxmlformats.org/officeDocument/2006/relationships/hyperlink" Target="https://libkey.io/libraries/480/10.1111/cas.13656" TargetMode="External"/><Relationship Id="rId238" Type="http://schemas.openxmlformats.org/officeDocument/2006/relationships/hyperlink" Target="https://doi.org/10.1200/JCO-24-01383" TargetMode="External"/><Relationship Id="rId239" Type="http://schemas.openxmlformats.org/officeDocument/2006/relationships/hyperlink" Target="https://libkey.io/libraries/480/10.1200/JCO-24-01383" TargetMode="External"/><Relationship Id="rId240" Type="http://schemas.openxmlformats.org/officeDocument/2006/relationships/hyperlink" Target="https://doi.org/10.1056/NEJMoa2513918" TargetMode="External"/><Relationship Id="rId241" Type="http://schemas.openxmlformats.org/officeDocument/2006/relationships/hyperlink" Target="https://libkey.io/libraries/480/10.1056/NEJMoa2513918" TargetMode="External"/><Relationship Id="rId242" Type="http://schemas.openxmlformats.org/officeDocument/2006/relationships/hyperlink" Target="https://doi.org/10.1016/S1470-2045(25)00376-6" TargetMode="External"/><Relationship Id="rId243" Type="http://schemas.openxmlformats.org/officeDocument/2006/relationships/hyperlink" Target="https://libkey.io/libraries/480/10.1016/S1470-2045(25)00376-6" TargetMode="External"/><Relationship Id="rId244" Type="http://schemas.openxmlformats.org/officeDocument/2006/relationships/hyperlink" Target="https://doi.org/10.1200/JCO-25-00923" TargetMode="External"/><Relationship Id="rId245" Type="http://schemas.openxmlformats.org/officeDocument/2006/relationships/hyperlink" Target="https://libkey.io/libraries/480/10.1200/JCO-25-00923" TargetMode="External"/><Relationship Id="rId246" Type="http://schemas.openxmlformats.org/officeDocument/2006/relationships/hyperlink" Target="https://doi.org/10.1016/j.jhep.2024.06.042" TargetMode="External"/><Relationship Id="rId247" Type="http://schemas.openxmlformats.org/officeDocument/2006/relationships/hyperlink" Target="https://libkey.io/libraries/480/10.1016/j.jhep.2024.06.042" TargetMode="External"/><Relationship Id="rId248" Type="http://schemas.openxmlformats.org/officeDocument/2006/relationships/hyperlink" Target="https://doi.org/10.1097/HEP.0000000000001289" TargetMode="External"/><Relationship Id="rId249" Type="http://schemas.openxmlformats.org/officeDocument/2006/relationships/hyperlink" Target="https://libkey.io/libraries/480/10.1097/HEP.0000000000001289" TargetMode="External"/><Relationship Id="rId250" Type="http://schemas.openxmlformats.org/officeDocument/2006/relationships/hyperlink" Target="https://doi.org/10.3389/fonc.2026.1866870" TargetMode="External"/><Relationship Id="rId251" Type="http://schemas.openxmlformats.org/officeDocument/2006/relationships/hyperlink" Target="https://libkey.io/libraries/480/10.3389/fonc.2026.1866870" TargetMode="External"/><Relationship Id="rId252" Type="http://schemas.openxmlformats.org/officeDocument/2006/relationships/hyperlink" Target="https://doi.org/10.1155/joot/2545887" TargetMode="External"/><Relationship Id="rId253" Type="http://schemas.openxmlformats.org/officeDocument/2006/relationships/hyperlink" Target="https://libkey.io/libraries/480/10.1155/joot/2545887" TargetMode="External"/><Relationship Id="rId254" Type="http://schemas.openxmlformats.org/officeDocument/2006/relationships/hyperlink" Target="https://www.ecfr.gov/current/title-45/subtitle-A/subchapter-A/part-46/subpart-A/section-46.111" TargetMode="External"/><Relationship Id="rId255" Type="http://schemas.openxmlformats.org/officeDocument/2006/relationships/hyperlink" Target="https://www.hrsa.gov/optn/professionals/resources/ethical-considerations/ethical-principles-in-the-allocation-of-human-organs" TargetMode="External"/><Relationship Id="rId256" Type="http://schemas.openxmlformats.org/officeDocument/2006/relationships/hyperlink" Target="https://doi.org/10.1038/s41571-026-01160-z" TargetMode="External"/><Relationship Id="rId257" Type="http://schemas.openxmlformats.org/officeDocument/2006/relationships/hyperlink" Target="https://libkey.io/libraries/480/10.1038/s41571-026-01160-z" TargetMode="External"/><Relationship Id="rId258" Type="http://schemas.openxmlformats.org/officeDocument/2006/relationships/hyperlink" Target="https://doi.org/10.1016/S1470-2045(20)30224-2" TargetMode="External"/><Relationship Id="rId259" Type="http://schemas.openxmlformats.org/officeDocument/2006/relationships/hyperlink" Target="https://libkey.io/libraries/480/10.1016/S1470-2045(20)30224-2" TargetMode="External"/><Relationship Id="rId260" Type="http://schemas.openxmlformats.org/officeDocument/2006/relationships/hyperlink" Target="https://doi.org/10.1016/S0140-6736(24)01595-2" TargetMode="External"/><Relationship Id="rId261" Type="http://schemas.openxmlformats.org/officeDocument/2006/relationships/hyperlink" Target="https://libkey.io/libraries/480/10.1016/S0140-6736(24)01595-2" TargetMode="External"/><Relationship Id="rId262" Type="http://schemas.openxmlformats.org/officeDocument/2006/relationships/hyperlink" Target="https://doi.org/10.1016/j.jhep.2024.03.020" TargetMode="External"/><Relationship Id="rId263" Type="http://schemas.openxmlformats.org/officeDocument/2006/relationships/hyperlink" Target="https://libkey.io/libraries/480/10.1016/j.jhep.2024.03.020" TargetMode="External"/><Relationship Id="rId264" Type="http://schemas.openxmlformats.org/officeDocument/2006/relationships/hyperlink" Target="https://doi.org/10.1111/j.1600-6143.2011.03972.x" TargetMode="External"/><Relationship Id="rId265" Type="http://schemas.openxmlformats.org/officeDocument/2006/relationships/hyperlink" Target="https://libkey.io/libraries/480/10.1111/j.1600-6143.2011.03972.x" TargetMode="External"/><Relationship Id="rId266" Type="http://schemas.openxmlformats.org/officeDocument/2006/relationships/hyperlink" Target="https://doi.org/10.1111/ajt.14055" TargetMode="External"/><Relationship Id="rId267" Type="http://schemas.openxmlformats.org/officeDocument/2006/relationships/hyperlink" Target="https://libkey.io/libraries/480/10.1111/ajt.14055" TargetMode="External"/><Relationship Id="rId268" Type="http://schemas.openxmlformats.org/officeDocument/2006/relationships/hyperlink" Target="https://doi.org/10.1097/LVT.0000000000000303" TargetMode="External"/><Relationship Id="rId269" Type="http://schemas.openxmlformats.org/officeDocument/2006/relationships/hyperlink" Target="https://libkey.io/libraries/480/10.1097/LVT.0000000000000303" TargetMode="External"/><Relationship Id="rId270" Type="http://schemas.openxmlformats.org/officeDocument/2006/relationships/hyperlink" Target="https://www.journal-of-hepatology.eu/article/S0168-8278(25)02201-9/fulltext" TargetMode="External"/><Relationship Id="rId271" Type="http://schemas.openxmlformats.org/officeDocument/2006/relationships/hyperlink" Target="https://libkey.io/libraries/480/10.1016/j.jhep.2025.05.003" TargetMode="External"/><Relationship Id="rId272" Type="http://schemas.openxmlformats.org/officeDocument/2006/relationships/hyperlink" Target="https://pubmed.ncbi.nlm.nih.gov/39939239" TargetMode="External"/><Relationship Id="rId273" Type="http://schemas.openxmlformats.org/officeDocument/2006/relationships/hyperlink" Target="https://libkey.io/libraries/480/10.1016/j.transproceed.2025.02.001" TargetMode="External"/><Relationship Id="rId274" Type="http://schemas.openxmlformats.org/officeDocument/2006/relationships/hyperlink" Target="https://pubmed.ncbi.nlm.nih.gov/35740555" TargetMode="External"/><Relationship Id="rId275" Type="http://schemas.openxmlformats.org/officeDocument/2006/relationships/hyperlink" Target="https://libkey.io/libraries/480/10.3390/cancers14122890" TargetMode="External"/><Relationship Id="rId276" Type="http://schemas.openxmlformats.org/officeDocument/2006/relationships/hyperlink" Target="https://onlinelibrary.wiley.com/doi/10.1111/ctr.13023" TargetMode="External"/><Relationship Id="rId277" Type="http://schemas.openxmlformats.org/officeDocument/2006/relationships/hyperlink" Target="https://libkey.io/libraries/480/10.1111/ctr.13023" TargetMode="External"/><Relationship Id="rId278" Type="http://schemas.openxmlformats.org/officeDocument/2006/relationships/hyperlink" Target="https://dailymed.nlm.nih.gov/dailymed/drugInfo.cfm?setid=e082a024-7850-400b-a5c2-2a140612562a" TargetMode="External"/><Relationship Id="rId279" Type="http://schemas.openxmlformats.org/officeDocument/2006/relationships/hyperlink" Target="https://drliuhao.github.io/mh-liver-pathways/evidence/2026-10-25/" TargetMode="External"/><Relationship Id="rId280" Type="http://schemas.openxmlformats.org/officeDocument/2006/relationships/hyperlink" Target="https://doi.org/10.1016/j.ajt.2026.02.010" TargetMode="External"/><Relationship Id="rId281" Type="http://schemas.openxmlformats.org/officeDocument/2006/relationships/hyperlink" Target="https://libkey.io/libraries/480/10.1016/j.ajt.2026.02.010" TargetMode="External"/><Relationship Id="rId282" Type="http://schemas.openxmlformats.org/officeDocument/2006/relationships/hyperlink" Target="https://doi.org/10.1136/bmj.i5239" TargetMode="External"/><Relationship Id="rId283" Type="http://schemas.openxmlformats.org/officeDocument/2006/relationships/hyperlink" Target="https://libkey.io/libraries/480/10.1136/bmj.i5239"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2026-07-15T23:24:06.787Z</dcterms:created>
  <dcterms:modified xsi:type="dcterms:W3CDTF">2026-10-25T09:38:06Z</dcterms:modified>
  <dc:title>UTHealth Houston and Memorial Hermann High Risk Liver Transplant Protocol for Intrahepatic Cholangiocarcinoma V8</dc:title>
  <dc:subject>Investigational iCCA pathway outside NLRB guidance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