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widowControl/>
      </w:pPr>
      <w:r>
        <w:t xml:space="preserve">HCC — Evidence, Alignment and Meeting Decisions V12</w:t>
      </w:r>
    </w:p>
    <w:p>
      <w:pPr>
        <w:pStyle w:val="Normal"/>
        <w:widowControl/>
      </w:pPr>
      <w:r>
        <w:t xml:space="preserve">Evidence-before-recommendation record for the HCC B questions. This is a high-risk/boundary meeting record, not the complete standard-protocol decision log. All institutional decision fields remain blank.</w:t>
      </w:r>
    </w:p>
    <w:p>
      <w:pPr>
        <w:pStyle w:val="Normal"/>
        <w:widowControl/>
      </w:pPr>
      <w:r>
        <w:t xml:space="preserve">Version 12  |  Revised 2026-10-25 04:54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hM2FhZmRmYy02YzE4LTUyMmMtOGE2OC1mYTBhZDI4ZjUxZDIiIHRpbWVzdGFtcD0iMTc5MjkyMTA4N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hM2FhZmRmYy02YzE4LTUyMmMtOGE2OC1mYTBhZDI4ZjUxZDIiIHRpbWVzdGFtcD0iMTc5MjkyMTA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bookmarkStart w:id="1" w:name="HCC_B1"/>
      <w:r>
        <w:t xml:space="preserve">HCC-B1 — How far beyond UNOS-DS should the program attempt downstaging?</w:t>
      </w:r>
      <w:bookmarkEnd w:id="1"/>
    </w:p>
    <w:p>
      <w:pPr>
        <w:pStyle w:val="Normal"/>
        <w:widowControl/>
        <w:spacing w:before="60" w:after="20"/>
      </w:pPr>
      <w:r>
        <w:t xml:space="preserve">OPEN — evidence review first; institutional decision remains blank.</w:t>
      </w:r>
    </w:p>
    <w:p>
      <w:pPr>
        <w:pStyle w:val="Normal"/>
        <w:widowControl/>
        <w:spacing w:before="60" w:after="20"/>
      </w:pPr>
      <w:hyperlink r:id="rId30">
        <w:r>
          <w:rPr>
            <w:color w:val="77230C"/>
            <w:sz w:val="20"/>
            <w:u w:val="single"/>
          </w:rPr>
          <w:t>Corresponding V12 protocol / boundary addendum</w:t>
        </w:r>
      </w:hyperlink>
    </w:p>
    <w:p>
      <w:pPr>
        <w:pStyle w:val="Heading3"/>
        <w:keepNext/>
        <w:widowControl/>
      </w:pPr>
      <w:r>
        <w:t xml:space="preserve">Question and comparison</w:t>
      </w:r>
    </w:p>
    <w:p>
      <w:pPr>
        <w:pStyle w:val="Normal"/>
        <w:widowControl/>
        <w:spacing w:before="60" w:after="20"/>
      </w:pPr>
      <w:r>
        <w:t xml:space="preserve">Adults with initially unresectable HCC outside UNOS downstaging entry limits, without extrahepatic disease or viable macrovascular invasion; compare a bounded downstaging-to-transplant strategy with standard UNOS-DS and nontransplant management. Evaluate treatment-entry survival, dropout, probability of transplant, recipient survival and recurrence separately.</w:t>
      </w:r>
    </w:p>
    <w:p>
      <w:pPr>
        <w:pStyle w:val="Heading3"/>
        <w:keepNext/>
        <w:widowControl/>
      </w:pPr>
      <w:r>
        <w:t xml:space="preserve">Search scope and evidence access</w:t>
      </w:r>
    </w:p>
    <w:p>
      <w:pPr>
        <w:pStyle w:val="Normal"/>
        <w:widowControl/>
        <w:spacing w:before="60" w:after="20"/>
      </w:pPr>
      <w:r>
        <w:t xml:space="preserve">Targeted primary searches and backward reference checks covered UCSF downstaging, MERITS-LT/all-comers, national waitlist/recipient cohorts, randomized XXL and long-term outcomes through 24 October 2026. Eight pivotal studies are extracted below; overlapping MERITS cohorts are not independent replications. Newer prospective reports do not constitute prospective validation of the exact composite pilot rule.</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Yao 2015</w:t>
            </w:r>
            <w:r>
              <w:t xml:space="preserve"> </w:t>
            </w:r>
            <w:r>
              <w:t xml:space="preserve"> </w:t>
            </w:r>
            <w:r>
              <w:fldChar w:fldCharType="begin"/>
            </w:r>
            <w:r>
              <w:instrText xml:space="preserve"> ADDIN EN.CITE </w:instrText>
            </w:r>
            <w:r>
              <w:fldChar w:fldCharType="begin">
                <w:fldData>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UCSF downstaging cohort: 122 entered; three LDLT cases and one with &lt;3-month follow-up excluded, leaving 118, compared with 488 patients listed within T2. Entry burden was bounded; major vascular invasion and extrahepatic spread excluded.</w:t>
            </w:r>
          </w:p>
          <w:p>
            <w:pPr>
              <w:pStyle w:val="Normal"/>
              <w:widowControl/>
              <w:spacing w:before="60" w:after="20"/>
            </w:pPr>
            <w:hyperlink r:id="rId31">
              <w:r>
                <w:rPr>
                  <w:color w:val="77230C"/>
                  <w:sz w:val="20"/>
                  <w:u w:val="single"/>
                </w:rPr>
                <w:t>Primary source</w:t>
              </w:r>
            </w:hyperlink>
            <w:r>
              <w:t xml:space="preserve"> | </w:t>
            </w:r>
            <w:hyperlink r:id="rId32">
              <w:r>
                <w:rPr>
                  <w:color w:val="77230C"/>
                  <w:sz w:val="20"/>
                  <w:u w:val="single"/>
                </w:rPr>
                <w:t>Full-text PDF</w:t>
              </w:r>
            </w:hyperlink>
          </w:p>
          <w:p>
            <w:pPr>
              <w:pStyle w:val="Normal"/>
              <w:widowControl/>
              <w:spacing w:before="60" w:after="20"/>
            </w:pPr>
            <w:r>
              <w:t xml:space="preserve">Locator: PDF pp 2–3/j 1969–1970: imaging, DS criteria, observation. | PDF p 4/j 1971: 122 → 118 flow, time origins, 77 success/64 LT. | PDF pp 5–6/j 1972–1973: survival/recurrence. | PDF pp 7–9/j 1974–1976: dropout models, harms, limitations.</w:t>
            </w:r>
          </w:p>
          <w:p>
            <w:pPr>
              <w:pStyle w:val="Normal"/>
              <w:widowControl/>
              <w:spacing w:before="60" w:after="20"/>
            </w:pPr>
            <w:r>
              <w:t xml:space="preserve">Review depth: Complete 10-page publisher paper identity verified; all main methods/results/tables/discussion read; supporting figures not included.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ITT survival 56.1% for downstaging versus 63.3% for T2; two-year dropout 34.2% versus 25.6%. Five-year recipient OS 77.8% versus 81.0%; recurrence-free probability 90.8% versus 88.0%. Five recurrences among 64 downstaged recipients (7.8% calculated; article prints 7.5%). Safety: Three deaths from liver decompensation were reported during downstaging. Good recipient outcomes coexist with appreciable entry-cohort attrition.</w:t>
            </w:r>
          </w:p>
          <w:p>
            <w:pPr>
              <w:pStyle w:val="Normal"/>
              <w:widowControl/>
              <w:spacing w:before="60" w:after="20"/>
            </w:pPr>
            <w:r>
              <w:rPr>
                <w:b/>
              </w:rPr>
              <w:t xml:space="preserve">Do not infer: </w:t>
            </w:r>
            <w:r>
              <w:t xml:space="preserve">Nonrandom single-center comparison with different ITT origins and early exclusions; overlap with later UCSF series. Recurrence-free probability should not be treated as death-inclusive RFS. Three months was a protocol selection rule, not a randomized optimal duration.</w:t>
            </w:r>
          </w:p>
        </w:tc>
      </w:tr>
      <w:tr>
        <w:trPr/>
        <w:tc>
          <w:tcPr>
            <w:tcW w:w="3400" w:type="dxa"/>
            <w:tcMar>
              <w:top w:w="90" w:type="dxa"/>
              <w:left w:w="90" w:type="dxa"/>
              <w:bottom w:w="90" w:type="dxa"/>
              <w:right w:w="90" w:type="dxa"/>
            </w:tcMar>
          </w:tcPr>
          <w:p>
            <w:pPr>
              <w:pStyle w:val="Normal"/>
              <w:widowControl/>
              <w:spacing w:before="60" w:after="20"/>
            </w:pPr>
            <w:r>
              <w:rPr>
                <w:b/>
              </w:rPr>
              <w:t xml:space="preserve">Mehta 2021</w:t>
            </w:r>
            <w:r>
              <w:t xml:space="preserve"> </w:t>
            </w:r>
            <w:r>
              <w:t xml:space="preserve"> </w:t>
            </w:r>
            <w:r>
              <w:fldChar w:fldCharType="begin"/>
            </w:r>
            <w:r>
              <w:instrText xml:space="preserve"> ADDIN EN.CITE </w:instrText>
            </w:r>
            <w:r>
              <w:fldChar w:fldCharType="begin">
                <w:fldData>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Prospective seven-center MERITS-LT UNOS-DS cohort: 324 screened, 115 excluded and 209 enrolled. Initial treatment was TACE in 132 and Y90 in 62; modalities were not randomized.</w:t>
            </w:r>
          </w:p>
          <w:p>
            <w:pPr>
              <w:pStyle w:val="Normal"/>
              <w:widowControl/>
              <w:spacing w:before="60" w:after="20"/>
            </w:pPr>
            <w:hyperlink r:id="rId33">
              <w:r>
                <w:rPr>
                  <w:color w:val="77230C"/>
                  <w:sz w:val="20"/>
                  <w:u w:val="single"/>
                </w:rPr>
                <w:t>Primary source</w:t>
              </w:r>
            </w:hyperlink>
            <w:r>
              <w:t xml:space="preserve"> | </w:t>
            </w:r>
            <w:hyperlink r:id="rId34">
              <w:r>
                <w:rPr>
                  <w:color w:val="77230C"/>
                  <w:sz w:val="20"/>
                  <w:u w:val="single"/>
                </w:rPr>
                <w:t>Full-text PDF</w:t>
              </w:r>
            </w:hyperlink>
          </w:p>
          <w:p>
            <w:pPr>
              <w:pStyle w:val="Normal"/>
              <w:widowControl/>
              <w:spacing w:before="60" w:after="20"/>
            </w:pPr>
            <w:r>
              <w:t xml:space="preserve">Locator: PDF p 3/j 1504: protocol, viable measurement, observation. | PDF p 4/j 1505: 324 screened, 115 excluded, time zero. | PDF pp 5–7/j 1506–1508: Tables 3, flow, DS/dropout/transplant/explant/outcomes. | PDF pp 8–9/j 1509–1510: selection, biomarker limits, modality/extra LRT interpretation.</w:t>
            </w:r>
          </w:p>
          <w:p>
            <w:pPr>
              <w:pStyle w:val="Normal"/>
              <w:widowControl/>
              <w:spacing w:before="60" w:after="20"/>
            </w:pPr>
            <w:r>
              <w:t xml:space="preserve">Review depth: Complete 11-page publisher paper identity verified; all main methods/results/tables/discussion 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Successful downstaging 174/209 (83.3%); estimated two-year success 87.7%. Dropouts: 51 progression, nine liver-related deaths and 15 other reasons; primary two-year dropout estimate 37.3%. Estimated three-year LT probability 46.6% and ITT survival 73%. Recipient two-year OS 95%, three-year OS 83.1%, with five recurrences. Explants were beyond Milan in 42.8%, with microvascular invasion in 17.5%. Safety: Nine liver-related deaths among dropouts; substantial explant understaging despite imaging downstaging.</w:t>
            </w:r>
          </w:p>
          <w:p>
            <w:pPr>
              <w:pStyle w:val="Normal"/>
              <w:widowControl/>
              <w:spacing w:before="60" w:after="20"/>
            </w:pPr>
            <w:r>
              <w:rPr>
                <w:b/>
              </w:rPr>
              <w:t xml:space="preserve">Do not infer: </w:t>
            </w:r>
            <w:r>
              <w:t xml:space="preserve">Nonrandom modality choice; nonsignificant TACE/Y90 differences do not establish equivalence. Recipient follow-up is immature. AFP-L3 was available in only 83 patients; it is not a validated mandatory gate. This cohort overlaps later MERITS publications.</w:t>
            </w:r>
          </w:p>
        </w:tc>
      </w:tr>
      <w:tr>
        <w:trPr/>
        <w:tc>
          <w:tcPr>
            <w:tcW w:w="3400" w:type="dxa"/>
            <w:tcMar>
              <w:top w:w="90" w:type="dxa"/>
              <w:left w:w="90" w:type="dxa"/>
              <w:bottom w:w="90" w:type="dxa"/>
              <w:right w:w="90" w:type="dxa"/>
            </w:tcMar>
          </w:tcPr>
          <w:p>
            <w:pPr>
              <w:pStyle w:val="Normal"/>
              <w:widowControl/>
              <w:spacing w:before="60" w:after="20"/>
            </w:pPr>
            <w:r>
              <w:rPr>
                <w:b/>
              </w:rPr>
              <w:t xml:space="preserve">Sinha 2019</w:t>
            </w:r>
            <w:r>
              <w:t xml:space="preserve"> </w:t>
            </w:r>
            <w:r>
              <w:t xml:space="preserve"> </w:t>
            </w:r>
            <w:r>
              <w:fldChar w:fldCharType="begin"/>
            </w:r>
            <w:r>
              <w:instrText xml:space="preserve"> ADDIN EN.CITE </w:instrText>
            </w:r>
            <w:r>
              <w:fldChar w:fldCharType="begin">
                <w:fldData>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p>
          <w:p>
            <w:pPr>
              <w:pStyle w:val="Normal"/>
              <w:widowControl/>
              <w:spacing w:before="60" w:after="20"/>
            </w:pPr>
            <w:r>
              <w:t xml:space="preserve">UCSF all-comers cohort of 74 patients beyond bounded UCSF downstaging entry criteria, compared with 133 bounded-entry patients. All-comers required six months and three scans without a new lesion after response; the bounded protocol used three months and allowed certain new lesions.</w:t>
            </w:r>
          </w:p>
          <w:p>
            <w:pPr>
              <w:pStyle w:val="Normal"/>
              <w:widowControl/>
              <w:spacing w:before="60" w:after="20"/>
            </w:pPr>
            <w:hyperlink r:id="rId35">
              <w:r>
                <w:rPr>
                  <w:color w:val="77230C"/>
                  <w:sz w:val="20"/>
                  <w:u w:val="single"/>
                </w:rPr>
                <w:t>Primary source</w:t>
              </w:r>
            </w:hyperlink>
            <w:r>
              <w:t xml:space="preserve"> | </w:t>
            </w:r>
            <w:hyperlink r:id="rId36">
              <w:r>
                <w:rPr>
                  <w:color w:val="77230C"/>
                  <w:sz w:val="20"/>
                  <w:u w:val="single"/>
                </w:rPr>
                <w:t>Full-text PDF</w:t>
              </w:r>
            </w:hyperlink>
          </w:p>
          <w:p>
            <w:pPr>
              <w:pStyle w:val="Normal"/>
              <w:widowControl/>
              <w:spacing w:before="60" w:after="20"/>
            </w:pPr>
            <w:r>
              <w:t xml:space="preserve">Locator: PDF pp 2–4/j 1186–1188: entry and different protocols, time origins. | PDF pp 5–7/j 1189–1191: flow, ITT, burden model, complications. | PDF p 8/j 1192: all 10 recipient outcomes. | PDF pp 9–11/j 1193–1195: limits and &lt;12 conclusion.</w:t>
            </w:r>
          </w:p>
          <w:p>
            <w:pPr>
              <w:pStyle w:val="Normal"/>
              <w:widowControl/>
              <w:spacing w:before="60" w:after="20"/>
            </w:pPr>
            <w:r>
              <w:t xml:space="preserve">Review depth: Complete 12-page paper identity verified; all main methods/results/tables/discussion read; Supplement S1/S2 not included.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Three-year dropout 80% in all-comers versus 36.1% in bounded-entry patients; five-year ITT OS 21.1% versus 56.0%. Among ten all-comer recipients, five-year OS 50% and recurrence-free probability 40%; three recurrences and eight explants beyond Milan. Largest diameter plus lesion count of 12 corresponded to an estimated 47% one-year downstaging probability; the authors' concluding proposed boundary was &lt;12. Safety: Eight of 74 had treatment-associated decompensation: one of 40 Child-Pugh A, five of 27 B and two of six C patients. Favorable response did not prevent later dropout.</w:t>
            </w:r>
          </w:p>
          <w:p>
            <w:pPr>
              <w:pStyle w:val="Normal"/>
              <w:widowControl/>
              <w:spacing w:before="60" w:after="20"/>
            </w:pPr>
            <w:r>
              <w:rPr>
                <w:b/>
              </w:rPr>
              <w:t xml:space="preserve">Do not infer: </w:t>
            </w:r>
            <w:r>
              <w:t xml:space="preserve">Small single-center series with era/selection differences and overlap with Yao/UCSF cohorts. The burden threshold was exploratory; a local ≤12 boundary is not the same as the paper's &lt;12 proposal. Recurrence-free probability is not death-inclusive RFS. Dropout-reason narrative sums do not perfectly reconcile with 62.</w:t>
            </w:r>
          </w:p>
        </w:tc>
      </w:tr>
      <w:tr>
        <w:trPr/>
        <w:tc>
          <w:tcPr>
            <w:tcW w:w="3400" w:type="dxa"/>
            <w:tcMar>
              <w:top w:w="90" w:type="dxa"/>
              <w:left w:w="90" w:type="dxa"/>
              <w:bottom w:w="90" w:type="dxa"/>
              <w:right w:w="90" w:type="dxa"/>
            </w:tcMar>
          </w:tcPr>
          <w:p>
            <w:pPr>
              <w:pStyle w:val="Normal"/>
              <w:widowControl/>
              <w:spacing w:before="60" w:after="20"/>
            </w:pPr>
            <w:r>
              <w:rPr>
                <w:b/>
              </w:rPr>
              <w:t xml:space="preserve">Natarajan 2023</w:t>
            </w:r>
            <w:r>
              <w:t xml:space="preserve"> </w:t>
            </w:r>
            <w:r>
              <w:t xml:space="preserve"> </w:t>
            </w:r>
            <w:r>
              <w:fldChar w:fldCharType="begin"/>
            </w:r>
            <w:r>
              <w:instrText xml:space="preserve"> ADDIN EN.CITE </w:instrText>
            </w:r>
            <w:r>
              <w:fldChar w:fldCharType="begin">
                <w:fldData>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Prospective MERITS-LT expansion: 82 all-comers beyond UNOS-DS versus 229 UNOS-DS patients, 2015–2020. Overlaps the earlier MERITS cohort.</w:t>
            </w:r>
          </w:p>
          <w:p>
            <w:pPr>
              <w:pStyle w:val="Normal"/>
              <w:widowControl/>
              <w:spacing w:before="60" w:after="20"/>
            </w:pPr>
            <w:hyperlink r:id="rId37">
              <w:r>
                <w:rPr>
                  <w:color w:val="77230C"/>
                  <w:sz w:val="20"/>
                  <w:u w:val="single"/>
                </w:rPr>
                <w:t>Primary source</w:t>
              </w:r>
            </w:hyperlink>
            <w:r>
              <w:t xml:space="preserve"> | </w:t>
            </w:r>
            <w:hyperlink r:id="rId38">
              <w:r>
                <w:rPr>
                  <w:color w:val="77230C"/>
                  <w:sz w:val="20"/>
                  <w:u w:val="single"/>
                </w:rPr>
                <w:t>Full-text PDF</w:t>
              </w:r>
            </w:hyperlink>
          </w:p>
          <w:p>
            <w:pPr>
              <w:pStyle w:val="Normal"/>
              <w:widowControl/>
              <w:spacing w:before="60" w:after="20"/>
            </w:pPr>
            <w:r>
              <w:t xml:space="preserve">Locator: PDF pp 2–3/j 1772–1773: population, protocol and time origins. | PDF pp 4–6/j 1774–1776: Tables 2–4, flow, outcomes and follow-up. | PDF pp 7–9/j 1777–1779: survival figure, Table 5, limitations.</w:t>
            </w:r>
          </w:p>
          <w:p>
            <w:pPr>
              <w:pStyle w:val="Normal"/>
              <w:widowControl/>
              <w:spacing w:before="60" w:after="20"/>
            </w:pPr>
            <w:r>
              <w:t xml:space="preserve">Review depth: Complete ten-page main paper read, including methods, results, all tables, discussion and reference list.</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One-year downstaging probability 67.3% in all-comers versus 82.6% in UNOS-DS. Three-year ITT OS 58.1% versus 69.4%. All-comers with Child-Pugh B/C or AFP ≥500 had three-year ITT OS 29.9% versus 67.7% without those features; Child-Pugh B/C alone had 23.2%. Recipient three-year OS 90.9% versus 80.6%; recurrence 1/20 versus 7/85. Eight of 20 all-comer explants remained beyond Milan and four had microvascular invasion. Safety: Poor liver reserve/high AFP identified a high-attrition group; favorable recipient survival is heavily conditioned on reaching transplantation.</w:t>
            </w:r>
          </w:p>
          <w:p>
            <w:pPr>
              <w:pStyle w:val="Normal"/>
              <w:widowControl/>
              <w:spacing w:before="60" w:after="20"/>
            </w:pPr>
            <w:r>
              <w:rPr>
                <w:b/>
              </w:rPr>
              <w:t xml:space="preserve">Do not infer: </w:t>
            </w:r>
            <w:r>
              <w:t xml:space="preserve">Nonrandom selected enrollment; few all-comer recipients, immature long-term follow-up and overlap with prior MERITS reports. Does not validate a combined ≤12/AFP &lt;100/Child-Pugh A rule. Kaplan–Meier dropout or LT probabilities should not be described as competing-risk cumulative incidence.</w:t>
            </w:r>
          </w:p>
        </w:tc>
      </w:tr>
      <w:tr>
        <w:trPr/>
        <w:tc>
          <w:tcPr>
            <w:tcW w:w="3400" w:type="dxa"/>
            <w:tcMar>
              <w:top w:w="90" w:type="dxa"/>
              <w:left w:w="90" w:type="dxa"/>
              <w:bottom w:w="90" w:type="dxa"/>
              <w:right w:w="90" w:type="dxa"/>
            </w:tcMar>
          </w:tcPr>
          <w:p>
            <w:pPr>
              <w:pStyle w:val="Normal"/>
              <w:widowControl/>
              <w:spacing w:before="60" w:after="20"/>
            </w:pPr>
            <w:r>
              <w:rPr>
                <w:b/>
              </w:rPr>
              <w:t xml:space="preserve">Xu 2025 · all-comers</w:t>
            </w:r>
            <w:r>
              <w:t xml:space="preserve"> </w:t>
            </w:r>
            <w:r>
              <w:t xml:space="preserve"> </w:t>
            </w:r>
            <w:r>
              <w:fldChar w:fldCharType="begin"/>
            </w:r>
            <w:r>
              <w:instrText xml:space="preserve"> ADDIN EN.CITE </w:instrText>
            </w:r>
            <w:r>
              <w:fldChar w:fldCharType="begin">
                <w:fldData>PEVuZE5vdGU+PENpdGU+PEF1dGhvcj5YdTwvQXV0aG9yPjxZZWFyPjIwMjU8L1llYXI+PFJlY051bT43PC9SZWNOdW0+PERpc3BsYXlUZXh0PltWMTItN108L0Rpc3BsYXlUZXh0PjxyZWNvcmQ+PHJlYy1udW1iZXI+NzwvcmVjLW51bWJlcj48Zm9yZWlnbi1rZXlzPjxrZXkgYXBwPSJFTiIgZGItaWQ9ImEzYWFmZGZjLTZjMTgtNTIyYy04YTY4LWZhMGFkMjhmNTFkMiIgdGltZXN0YW1wPSIxNzkyOTIxMDg3Ij43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[V12-7]</w:t>
            </w:r>
            <w:r>
              <w:fldChar w:fldCharType="end"/>
            </w:r>
          </w:p>
          <w:p>
            <w:pPr>
              <w:pStyle w:val="Normal"/>
              <w:widowControl/>
              <w:spacing w:before="60" w:after="20"/>
            </w:pPr>
            <w:r>
              <w:t xml:space="preserve">National prospective cohort, nine centers, 2015–2023: 190 all-comers and 326 UNOS-DS patients; intention-to-treat clock starts at first locoregional treatment.</w:t>
            </w:r>
          </w:p>
          <w:p>
            <w:pPr>
              <w:pStyle w:val="Normal"/>
              <w:widowControl/>
              <w:spacing w:before="60" w:after="20"/>
            </w:pPr>
            <w:r>
              <w:t xml:space="preserve">Selection: No extrahepatic disease or macrovascular invasion; all-comers exceeded UNOS-DS. Proposed burden and biologic refinements were derived from this cohort, not prospectively locked eligibility criteria.</w:t>
            </w:r>
          </w:p>
          <w:p>
            <w:pPr>
              <w:pStyle w:val="Normal"/>
              <w:widowControl/>
              <w:spacing w:before="60" w:after="20"/>
            </w:pPr>
            <w:hyperlink r:id="rId39">
              <w:r>
                <w:rPr>
                  <w:color w:val="77230C"/>
                  <w:sz w:val="20"/>
                  <w:u w:val="single"/>
                </w:rPr>
                <w:t>Primary source</w:t>
              </w:r>
            </w:hyperlink>
            <w:r>
              <w:t xml:space="preserve"> | </w:t>
            </w:r>
            <w:hyperlink r:id="rId40">
              <w:r>
                <w:rPr>
                  <w:color w:val="77230C"/>
                  <w:sz w:val="20"/>
                  <w:u w:val="single"/>
                </w:rPr>
                <w:t>Full-text PDF</w:t>
              </w:r>
            </w:hyperlink>
          </w:p>
          <w:p>
            <w:pPr>
              <w:pStyle w:val="Normal"/>
              <w:widowControl/>
              <w:spacing w:before="60" w:after="20"/>
            </w:pPr>
            <w:r>
              <w:t xml:space="preserve">Locator: Complete local PDF, Results pp6–9, Tables 3–4; proposed refinements in Discussion pp9–11.</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Two-year downstaging: 66% versus 82%. Among all-comers, number plus largest diameter &lt;10, 10–12 and &gt;12 had success of 72%, 51% and 39%. Five-year treatment-entry survival: 45.0% versus 58.8%. LT occurred in 76/190 versus 155/326; median downstaging-to-LT 10.6 months. Five-year recipient survival: 71.5% versus 73.6%; recurrence: 29.8% versus 13.7%, with median post-LT follow-up 27.4 months. AFP ≥100 and Child-Pugh B predicted worse entry survival.</w:t>
            </w:r>
          </w:p>
          <w:p>
            <w:pPr>
              <w:pStyle w:val="Normal"/>
              <w:widowControl/>
              <w:spacing w:before="60" w:after="20"/>
            </w:pPr>
            <w:r>
              <w:rPr>
                <w:b/>
              </w:rPr>
              <w:t xml:space="preserve">Do not infer: </w:t>
            </w:r>
            <w:r>
              <w:t xml:space="preserve">Selected-recipient success cannot replace entry survival; five-year tails are immature. Y90/TACE comparisons were observational. The proposed number-plus-diameter ≤12, AFP &lt;100 and Child-Pugh A combination remains unvalidated.</w:t>
            </w:r>
          </w:p>
        </w:tc>
      </w:tr>
      <w:tr>
        <w:trPr/>
        <w:tc>
          <w:tcPr>
            <w:tcW w:w="3400" w:type="dxa"/>
            <w:tcMar>
              <w:top w:w="90" w:type="dxa"/>
              <w:left w:w="90" w:type="dxa"/>
              <w:bottom w:w="90" w:type="dxa"/>
              <w:right w:w="90" w:type="dxa"/>
            </w:tcMar>
          </w:tcPr>
          <w:p>
            <w:pPr>
              <w:pStyle w:val="Normal"/>
              <w:widowControl/>
              <w:spacing w:before="60" w:after="20"/>
            </w:pPr>
            <w:r>
              <w:rPr>
                <w:b/>
              </w:rPr>
              <w:t xml:space="preserve">XXL 2020</w:t>
            </w:r>
            <w:r>
              <w:t xml:space="preserve"> </w:t>
            </w:r>
            <w:r>
              <w:t xml:space="preserve"> </w:t>
            </w:r>
            <w:r>
              <w:fldChar w:fldCharType="begin"/>
            </w:r>
            <w:r>
              <w:instrText xml:space="preserve"> ADDIN EN.CITE </w:instrText>
            </w:r>
            <w:r>
              <w:fldChar w:fldCharType="begin">
                <w:fldData>PEVuZE5vdGU+PENpdGU+PEF1dGhvcj5NYXp6YWZlcnJvPC9BdXRob3I+PFllYXI+MjAyMDwvWWVhcj48UmVjTnVtPjg8L1JlY051bT48RGlzcGxheVRleHQ+W1YxMi04XTwvRGlzcGxheVRleHQ+PHJlY29yZD48cmVjLW51bWJlcj44PC9yZWMtbnVtYmVyPjxmb3JlaWduLWtleXM+PGtleSBhcHA9IkVOIiBkYi1pZD0iYTNhYWZkZmMtNmMxOC01MjJjLThhNjgtZmEwYWQyOGY1MWQyIiB0aW1lc3RhbXA9IjE3OTI5MjEwODciPjg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NzQgZW5yb2xsZWQsIDI5IGRyb3BwZWQgb3V0IGJlZm9yZSByYW5kb21pemF0aW9uOyA0NSByYW5kb21pemVkLiBGaXZlLXllYXIgT1MgNzcuNSUgdnMgMzEuMiUuIFN1cHBvcnRzIExUIGluIHNlbGVjdGVkIHJlc3BvbmRlcnMsIG5vdCBpbmRpc2NyaW1pbmF0ZSBlbnRyeSBvciBJQ0kvUFZUVCBzYWZldHkuPC9ub3Rlcz48dXJscz48cmVsYXRlZC11cmxzPjx1cmw+aHR0cHM6Ly9kb2kub3JnLzEwLjEwMTYvUzE0NzAtMjA0NSgyMCkzMDIyNC0y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Multicenter randomized phase 2b/3 trial: 74 entered downstaging; 29 dropped out before randomization; 45 responders were randomized, 23 to LT and 22 to nontransplant treatment.</w:t>
            </w:r>
          </w:p>
          <w:p>
            <w:pPr>
              <w:pStyle w:val="Normal"/>
              <w:widowControl/>
              <w:spacing w:before="60" w:after="20"/>
            </w:pPr>
            <w:r>
              <w:t xml:space="preserve">Selection: Child-Pugh A–B7, ECOG 0–1, predicted five-year post-LT survival ≥50%, and ≥3 months sustained response. AFP rules depended on baseline value and response, not an unconditional AFP &lt;400 entry rule.</w:t>
            </w:r>
          </w:p>
          <w:p>
            <w:pPr>
              <w:pStyle w:val="Normal"/>
              <w:widowControl/>
              <w:spacing w:before="60" w:after="20"/>
            </w:pPr>
            <w:hyperlink r:id="rId41">
              <w:r>
                <w:rPr>
                  <w:color w:val="77230C"/>
                  <w:sz w:val="20"/>
                  <w:u w:val="single"/>
                </w:rPr>
                <w:t>Primary source</w:t>
              </w:r>
            </w:hyperlink>
            <w:r>
              <w:t xml:space="preserve"> | </w:t>
            </w:r>
            <w:hyperlink r:id="rId42">
              <w:r>
                <w:rPr>
                  <w:color w:val="77230C"/>
                  <w:sz w:val="20"/>
                  <w:u w:val="single"/>
                </w:rPr>
                <w:t>Full-text PDF</w:t>
              </w:r>
            </w:hyperlink>
          </w:p>
          <w:p>
            <w:pPr>
              <w:pStyle w:val="Normal"/>
              <w:widowControl/>
              <w:spacing w:before="60" w:after="20"/>
            </w:pPr>
            <w:r>
              <w:t xml:space="preserve">Locator: Complete accepted manuscript and protocol appendix; final published abstract for survival estimates. Avoid mixing accepted-manuscript and final-publication hazard ratios.</w:t>
            </w:r>
          </w:p>
          <w:p>
            <w:pPr>
              <w:pStyle w:val="Normal"/>
              <w:widowControl/>
              <w:spacing w:before="60" w:after="20"/>
            </w:pPr>
            <w:r>
              <w:t xml:space="preserve">Review depth: Complete accepted manuscript including protocol appendix plus final published abstract; version-dependent hazard ratios not merged.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randomization, five-year overall survival was 77.5% with LT versus 31.2% without LT; tumor-event-free survival 76.8% versus 18.3%; median follow-up 71 months.</w:t>
            </w:r>
          </w:p>
          <w:p>
            <w:pPr>
              <w:pStyle w:val="Normal"/>
              <w:widowControl/>
              <w:spacing w:before="60" w:after="20"/>
            </w:pPr>
            <w:r>
              <w:rPr>
                <w:b/>
              </w:rPr>
              <w:t xml:space="preserve">Do not infer: </w:t>
            </w:r>
            <w:r>
              <w:t xml:space="preserve">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tc>
      </w:tr>
      <w:tr>
        <w:trPr/>
        <w:tc>
          <w:tcPr>
            <w:tcW w:w="3400" w:type="dxa"/>
            <w:tcMar>
              <w:top w:w="90" w:type="dxa"/>
              <w:left w:w="90" w:type="dxa"/>
              <w:bottom w:w="90" w:type="dxa"/>
              <w:right w:w="90" w:type="dxa"/>
            </w:tcMar>
          </w:tcPr>
          <w:p>
            <w:pPr>
              <w:pStyle w:val="Normal"/>
              <w:widowControl/>
              <w:spacing w:before="60" w:after="20"/>
            </w:pPr>
            <w:r>
              <w:rPr>
                <w:b/>
              </w:rPr>
              <w:t xml:space="preserve">Huang 2023</w:t>
            </w:r>
            <w:r>
              <w:t xml:space="preserve"> </w:t>
            </w:r>
            <w:r>
              <w:t xml:space="preserve"> </w:t>
            </w:r>
            <w:r>
              <w:fldChar w:fldCharType="begin"/>
            </w:r>
            <w:r>
              <w:instrText xml:space="preserve"> ADDIN EN.CITE </w:instrText>
            </w:r>
            <w:r>
              <w:fldChar w:fldCharType="begin">
                <w:fldData>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</w:fldData>
              </w:fldChar>
            </w:r>
            <w:r>
              <w:instrText xml:space="preserve"> ADDIN EN.CITE.DATA </w:instrText>
            </w:r>
            <w:r>
              <w:fldChar w:fldCharType="end"/>
            </w:r>
            <w:r>
              <w:fldChar w:fldCharType="separate"/>
            </w:r>
            <w:r>
              <w:t xml:space="preserve">[V12-9]</w:t>
            </w:r>
            <w:r>
              <w:fldChar w:fldCharType="end"/>
            </w:r>
          </w:p>
          <w:p>
            <w:pPr>
              <w:pStyle w:val="Normal"/>
              <w:widowControl/>
              <w:spacing w:before="60" w:after="20"/>
            </w:pPr>
            <w:r>
              <w:t xml:space="preserve">UNOS registry study of 23,398 HCC exception applicants: 20,579 always within Milan, 2,151 UNOS-DS and 668 all-comers. Initial AFP refers to the time of entry into the highest tumor-burden category, not necessarily current post-treatment AFP.</w:t>
            </w:r>
          </w:p>
          <w:p>
            <w:pPr>
              <w:pStyle w:val="Normal"/>
              <w:widowControl/>
              <w:spacing w:before="60" w:after="20"/>
            </w:pPr>
            <w:hyperlink r:id="rId43">
              <w:r>
                <w:rPr>
                  <w:color w:val="77230C"/>
                  <w:sz w:val="20"/>
                  <w:u w:val="single"/>
                </w:rPr>
                <w:t>Primary source</w:t>
              </w:r>
            </w:hyperlink>
            <w:r>
              <w:t xml:space="preserve"> | </w:t>
            </w:r>
            <w:hyperlink r:id="rId44">
              <w:r>
                <w:rPr>
                  <w:color w:val="77230C"/>
                  <w:sz w:val="20"/>
                  <w:u w:val="single"/>
                </w:rPr>
                <w:t>Full-text PDF</w:t>
              </w:r>
            </w:hyperlink>
          </w:p>
          <w:p>
            <w:pPr>
              <w:pStyle w:val="Normal"/>
              <w:widowControl/>
              <w:spacing w:before="60" w:after="20"/>
            </w:pPr>
            <w:r>
              <w:t xml:space="preserve">Locator: PDF pp 2–3/j 1582–1583: cohort definition, time zero, AFP measurement. | PDF p 4/j 1584: Table 1 including initial-application beyond Milan. | PDF pp 5–6/j 1585–1586: comparators, dropout, ITT and recipient OS. | PDF pp 7–8/j 1587–1588: clinical interpretation and limits.</w:t>
            </w:r>
          </w:p>
          <w:p>
            <w:pPr>
              <w:pStyle w:val="Normal"/>
              <w:widowControl/>
              <w:spacing w:before="60" w:after="20"/>
            </w:pPr>
            <w:r>
              <w:t xml:space="preserve">Review depth: Complete nine-page main paper read, all methods/results/tables/discussion.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Two-year dropout: Milan 19.3%, UNOS-DS 25.3%, all-comers 29.7%; all-comers versus UNOS-DS P = .07. Five-year ITT OS: 64.9%, 56.6%, 51.8%; recipient OS: 78.7%, 73.2%, 68.6%. All-comers with initial AFP &gt;100 (n = 82 derived from Table 1) had two-year dropout 52.3% versus 25.6% among all other beyond-Milan patients. Safety: Highest entry burden/high AFP are associated with substantial attrition even after selection for exception application.</w:t>
            </w:r>
          </w:p>
          <w:p>
            <w:pPr>
              <w:pStyle w:val="Normal"/>
              <w:widowControl/>
              <w:spacing w:before="60" w:after="20"/>
            </w:pPr>
            <w:r>
              <w:rPr>
                <w:b/>
              </w:rPr>
              <w:t xml:space="preserve">Do not infer: </w:t>
            </w:r>
            <w:r>
              <w:t xml:space="preserve">Registry selection excludes preapplication treatment failures and cannot represent all-comer treatment-entry survival. AFP &gt;100 comparison is against all other beyond-Milan applicants, not simply all-comers with AFP ≤100. Observational associations do not validate an AFP &lt;100 eligibility cutoff or a composite local rule.</w:t>
            </w:r>
          </w:p>
        </w:tc>
      </w:tr>
      <w:tr>
        <w:trPr/>
        <w:tc>
          <w:tcPr>
            <w:tcW w:w="3400" w:type="dxa"/>
            <w:tcMar>
              <w:top w:w="90" w:type="dxa"/>
              <w:left w:w="90" w:type="dxa"/>
              <w:bottom w:w="90" w:type="dxa"/>
              <w:right w:w="90" w:type="dxa"/>
            </w:tcMar>
          </w:tcPr>
          <w:p>
            <w:pPr>
              <w:pStyle w:val="Normal"/>
              <w:widowControl/>
              <w:spacing w:before="60" w:after="20"/>
            </w:pPr>
            <w:r>
              <w:rPr>
                <w:b/>
              </w:rPr>
              <w:t xml:space="preserve">Tabrizian 2022</w:t>
            </w:r>
            <w:r>
              <w:t xml:space="preserve"> </w:t>
            </w:r>
            <w:r>
              <w:t xml:space="preserve"> </w:t>
            </w:r>
            <w:r>
              <w:fldChar w:fldCharType="begin"/>
            </w:r>
            <w:r>
              <w:instrText xml:space="preserve"> ADDIN EN.CITE </w:instrText>
            </w:r>
            <w:r>
              <w:fldChar w:fldCharType="begin">
                <w:fldData>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p>
          <w:p>
            <w:pPr>
              <w:pStyle w:val="Normal"/>
              <w:widowControl/>
              <w:spacing w:before="60" w:after="20"/>
            </w:pPr>
            <w:r>
              <w:t xml:space="preserve">Retrospective five-US-center cohort of 2,645 HCC recipients transplanted during 2001–2015: 2,122 always within Milan, 341 downstaged to Milan, and 182 beyond Milan at LT. Only 168 of 341 downstaged recipients met UNOS-DS entry criteria.</w:t>
            </w:r>
          </w:p>
          <w:p>
            <w:pPr>
              <w:pStyle w:val="Normal"/>
              <w:widowControl/>
              <w:spacing w:before="60" w:after="20"/>
            </w:pPr>
            <w:hyperlink r:id="rId45">
              <w:r>
                <w:rPr>
                  <w:color w:val="77230C"/>
                  <w:sz w:val="20"/>
                  <w:u w:val="single"/>
                </w:rPr>
                <w:t>Primary source</w:t>
              </w:r>
            </w:hyperlink>
            <w:r>
              <w:t xml:space="preserve"> | </w:t>
            </w:r>
            <w:hyperlink r:id="rId46">
              <w:r>
                <w:rPr>
                  <w:color w:val="77230C"/>
                  <w:sz w:val="20"/>
                  <w:u w:val="single"/>
                </w:rPr>
                <w:t>Full-text PDF</w:t>
              </w:r>
            </w:hyperlink>
          </w:p>
          <w:p>
            <w:pPr>
              <w:pStyle w:val="Normal"/>
              <w:widowControl/>
              <w:spacing w:before="60" w:after="20"/>
            </w:pPr>
            <w:r>
              <w:t xml:space="preserve">Locator: PDF pp 1–2: cohort, methods and time origins; pp 3–6: Tables 1–2 and Figures 1–2; pp 7–9: recurrence treatment, limitations and conclusions</w:t>
            </w:r>
          </w:p>
          <w:p>
            <w:pPr>
              <w:pStyle w:val="Normal"/>
              <w:widowControl/>
              <w:spacing w:before="60" w:after="20"/>
            </w:pPr>
            <w:r>
              <w:t xml:space="preserve">Review depth: Complete main-paper full text reviewed;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Five-/ten-year post-LT OS: always Milan 73.6%/61.5%; downstaged 67.9%/52.1%; beyond Milan 52.9%/43.3%. Observed recurrences: 212/2,122, 54/341, and 64/182. Five-/ten-year Kaplan–Meier recurrence estimates: 11.3%/13.3%, 19.1%/20.6%, and 38.9%/approximately 41%. The beyond-Milan 10-year estimate is 41.1% in the abstract versus 41.4% in the main results/figure. Downstaged versus beyond-Milan OS difference was not statistically significant (P = .34). Safety: There were 853 deaths overall, including 116 within 90 days (4.4% of all recipients). Recurrence after LT remained substantial outside Milan.</w:t>
            </w:r>
          </w:p>
          <w:p>
            <w:pPr>
              <w:pStyle w:val="Normal"/>
              <w:widowControl/>
              <w:spacing w:before="60" w:after="20"/>
            </w:pPr>
            <w:r>
              <w:rPr>
                <w:b/>
              </w:rPr>
              <w:t xml:space="preserve">Do not infer: </w:t>
            </w:r>
            <w:r>
              <w:t xml:space="preserve">Recipient-only selection excludes pretreatment failures and waiting-list deaths. Does not estimate intent-to-treat benefit, all-comer downstaging success, or comparative causal treatment effects. Ten-year tails have small risk sets. Recurrence is not interchangeable with death-inclusive RFS or competing-risk cumulative incidence. The paper contains an internal 41.1% versus 41.4% discrepancy and a transposed recurrence sentence. Surgical treatment of recurrence was selected for favorable disease; its survival association is not proof of benefit.</w:t>
            </w:r>
          </w:p>
        </w:tc>
      </w:tr>
    </w:tbl>
    <w:p>
      <w:pPr>
        <w:pStyle w:val="Heading3"/>
        <w:keepNext/>
        <w:widowControl/>
      </w:pPr>
      <w:r>
        <w:t xml:space="preserve">Synthesis and evidence that challenges the proposal</w:t>
      </w:r>
    </w:p>
    <w:p>
      <w:pPr>
        <w:pStyle w:val="Normal"/>
        <w:widowControl/>
        <w:spacing w:before="60" w:after="20"/>
      </w:pPr>
      <w:r>
        <w:t xml:space="preserve">Bounded downstaging has reproducible favorable recipient outcomes but substantial pretreatment attrition. Unrestricted all-comer outcomes vary sharply across cohorts: Sinha reported only 10/74 recipients and five-year ITT OS 21.1%; later MERITS all-comers had 20/82 LT and three-year ITT OS 58.1%, with poor outcomes in Child-Pugh B/C or AFP ≥500. Huang begins at exception application and omits earlier downstaging failures. Tabrizian is recipient-only. ImmunoXXL selected 16 from 61 treated, not an unselected 16-person conversion trial.</w:t>
      </w:r>
      <w:r>
        <w:t xml:space="preserve"> </w:t>
      </w:r>
      <w:r>
        <w:t xml:space="preserve"> </w:t>
      </w:r>
      <w:r>
        <w:fldChar w:fldCharType="begin"/>
      </w:r>
      <w:r>
        <w:instrText xml:space="preserve"> ADDIN EN.CITE </w:instrText>
      </w:r>
      <w:r>
        <w:fldChar w:fldCharType="begin">
          <w:fldData>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YdTwvQXV0aG9yPjxZZWFyPjIwMjU8L1llYXI+PFJlY051bT43PC9SZWNOdW0+PERpc3BsYXlUZXh0PltWMTItN108L0Rpc3BsYXlUZXh0PjxyZWNvcmQ+PHJlYy1udW1iZXI+NzwvcmVjLW51bWJlcj48Zm9yZWlnbi1rZXlzPjxrZXkgYXBwPSJFTiIgZGItaWQ9ImEzYWFmZGZjLTZjMTgtNTIyYy04YTY4LWZhMGFkMjhmNTFkMiIgdGltZXN0YW1wPSIxNzkyOTIxMDg3Ij43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[V12-7]</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yMDwvWWVhcj48UmVjTnVtPjg8L1JlY051bT48RGlzcGxheVRleHQ+W1YxMi04XTwvRGlzcGxheVRleHQ+PHJlY29yZD48cmVjLW51bWJlcj44PC9yZWMtbnVtYmVyPjxmb3JlaWduLWtleXM+PGtleSBhcHA9IkVOIiBkYi1pZD0iYTNhYWZkZmMtNmMxOC01MjJjLThhNjgtZmEwYWQyOGY1MWQyIiB0aW1lc3RhbXA9IjE3OTI5MjEwODciPjg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NzQgZW5yb2xsZWQsIDI5IGRyb3BwZWQgb3V0IGJlZm9yZSByYW5kb21pemF0aW9uOyA0NSByYW5kb21pemVkLiBGaXZlLXllYXIgT1MgNzcuNSUgdnMgMzEuMiUuIFN1cHBvcnRzIExUIGluIHNlbGVjdGVkIHJlc3BvbmRlcnMsIG5vdCBpbmRpc2NyaW1pbmF0ZSBlbnRyeSBvciBJQ0kvUFZUVCBzYWZldHkuPC9ub3Rlcz48dXJscz48cmVsYXRlZC11cmxzPjx1cmw+aHR0cHM6Ly9kb2kub3JnLzEwLjEwMTYvUzE0NzAtMjA0NSgyMCkzMDIyNC0y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</w:fldData>
        </w:fldChar>
      </w:r>
      <w:r>
        <w:instrText xml:space="preserve"> ADDIN EN.CITE.DATA </w:instrText>
      </w:r>
      <w:r>
        <w:fldChar w:fldCharType="end"/>
      </w:r>
      <w:r>
        <w:fldChar w:fldCharType="separate"/>
      </w:r>
      <w:r>
        <w:t xml:space="preserve">[V12-9]</w:t>
      </w:r>
      <w:r>
        <w:fldChar w:fldCharType="end"/>
      </w:r>
      <w:r>
        <w:t xml:space="preserve"> </w:t>
      </w:r>
      <w:r>
        <w:t xml:space="preserve"> </w:t>
      </w:r>
      <w:r>
        <w:fldChar w:fldCharType="begin"/>
      </w:r>
      <w:r>
        <w:instrText xml:space="preserve"> ADDIN EN.CITE </w:instrText>
      </w:r>
      <w:r>
        <w:fldChar w:fldCharType="begin">
          <w:fldData>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p>
    <w:p>
      <w:pPr>
        <w:pStyle w:val="Normal"/>
        <w:widowControl/>
        <w:numPr>
          <w:ilvl w:val="0"/>
          <w:numId w:val="3"/>
        </w:numPr>
        <w:spacing w:before="60" w:after="20"/>
      </w:pPr>
      <w:r>
        <w:t xml:space="preserve">Favorable MERITS recipient survival and the randomized responder benefit argue against declaring all beyond-UNOS disease futile. Conversely, high dropout in historical all-comers, worse entry survival, increased long-term recurrence and explant understaging argue against accepting a radiographic Milan endpoint alone. Child-Pugh B/C patients may need transplantation most, yet poorer downstaging tolerance makes an initial Child-Pugh-A-only pilot a local safety restriction rather than a universal oncologic exclusion.</w:t>
      </w:r>
    </w:p>
    <w:p>
      <w:pPr>
        <w:pStyle w:val="Normal"/>
        <w:widowControl/>
        <w:spacing w:before="60" w:after="20"/>
      </w:pPr>
      <w:r>
        <w:rPr>
          <w:b/>
        </w:rPr>
        <w:t xml:space="preserve">Certainty / applicability: </w:t>
      </w:r>
      <w:r>
        <w:t xml:space="preserve">Moderate for a benefit of LT in carefully selected sustained responders, limited by one small responder-randomized trial; low for the exact expanded-entry limits; very low for a jointly validated ≤12/AFP &lt;100/Child-Pugh A/six-month rule. This is an informal certainty assessment, not a formal GRADE exercise.</w:t>
      </w:r>
    </w:p>
    <w:p>
      <w:pPr>
        <w:pStyle w:val="Heading3"/>
        <w:keepNext/>
        <w:widowControl/>
      </w:pPr>
      <w:r>
        <w:t xml:space="preserve">Where each proposed threshold comes from</w:t>
      </w:r>
    </w:p>
    <w:p>
      <w:pPr>
        <w:pStyle w:val="Normal"/>
        <w:widowControl/>
        <w:numPr>
          <w:ilvl w:val="0"/>
          <w:numId w:val="3"/>
        </w:numPr>
        <w:spacing w:before="60" w:after="20"/>
      </w:pPr>
      <w:r>
        <w:t xml:space="preserve">Number-plus-largest-diameter ≤12 and AFP &lt;100/Child-Pugh A: cohort-derived risk refinement, not validated cutoff. Six months: proposed conservative operational observation period; studies used differing clocks and intervals. Imaging/AFP every three months: proposed monitoring cadence. A five-year ≥60% intention-to-treat target is a research-design benchmark, not an achieved or validated eligibility estimate for this pilot. The clinical stability clock must remain separate from OPTN/NLRB exception timing.</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Xu 2025 · all-comers</w:t>
            </w:r>
            <w:r>
              <w:t xml:space="preserve"> </w:t>
            </w:r>
            <w:r>
              <w:t xml:space="preserve"> </w:t>
            </w:r>
            <w:r>
              <w:fldChar w:fldCharType="begin"/>
            </w:r>
            <w:r>
              <w:instrText xml:space="preserve"> ADDIN EN.CITE </w:instrText>
            </w:r>
            <w:r>
              <w:fldChar w:fldCharType="begin">
                <w:fldData>PEVuZE5vdGU+PENpdGU+PEF1dGhvcj5YdTwvQXV0aG9yPjxZZWFyPjIwMjU8L1llYXI+PFJlY051bT43PC9SZWNOdW0+PERpc3BsYXlUZXh0PltWMTItN108L0Rpc3BsYXlUZXh0PjxyZWNvcmQ+PHJlYy1udW1iZXI+NzwvcmVjLW51bWJlcj48Zm9yZWlnbi1rZXlzPjxrZXkgYXBwPSJFTiIgZGItaWQ9ImEzYWFmZGZjLTZjMTgtNTIyYy04YTY4LWZhMGFkMjhmNTFkMiIgdGltZXN0YW1wPSIxNzkyOTIxMDg3Ij43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[V12-7]</w:t>
            </w:r>
            <w:r>
              <w:fldChar w:fldCharType="end"/>
            </w:r>
          </w:p>
          <w:p>
            <w:pPr>
              <w:pStyle w:val="Normal"/>
              <w:widowControl/>
              <w:spacing w:before="60" w:after="20"/>
            </w:pPr>
            <w:r>
              <w:t xml:space="preserve">“sum of tumor number and largest tumor diameter ≤12”</w:t>
            </w:r>
          </w:p>
          <w:p>
            <w:pPr>
              <w:pStyle w:val="Normal"/>
              <w:widowControl/>
              <w:spacing w:before="60" w:after="20"/>
            </w:pPr>
            <w:r>
              <w:t xml:space="preserve">Author-manuscript PDF p11, conclusion</w:t>
            </w:r>
          </w:p>
          <w:p>
            <w:pPr>
              <w:pStyle w:val="Normal"/>
              <w:widowControl/>
              <w:spacing w:before="60" w:after="20"/>
            </w:pPr>
            <w:hyperlink r:id="rId47">
              <w:r>
                <w:rPr>
                  <w:color w:val="77230C"/>
                  <w:sz w:val="20"/>
                  <w:u w:val="single"/>
                </w:rPr>
                <w:t>Source</w:t>
              </w:r>
            </w:hyperlink>
            <w:r>
              <w:t xml:space="preserve"> | </w:t>
            </w:r>
            <w:hyperlink r:id="rId48">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Observationally proposed upper burden boundary, not an externally validated treatment-benefit rule.</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Xu 2025 · all-comers</w:t>
            </w:r>
            <w:r>
              <w:t xml:space="preserve"> </w:t>
            </w:r>
            <w:r>
              <w:t xml:space="preserve"> </w:t>
            </w:r>
            <w:r>
              <w:fldChar w:fldCharType="begin"/>
            </w:r>
            <w:r>
              <w:instrText xml:space="preserve"> ADDIN EN.CITE </w:instrText>
            </w:r>
            <w:r>
              <w:fldChar w:fldCharType="begin">
                <w:fldData>PEVuZE5vdGU+PENpdGU+PEF1dGhvcj5YdTwvQXV0aG9yPjxZZWFyPjIwMjU8L1llYXI+PFJlY051bT43PC9SZWNOdW0+PERpc3BsYXlUZXh0PltWMTItN108L0Rpc3BsYXlUZXh0PjxyZWNvcmQ+PHJlYy1udW1iZXI+NzwvcmVjLW51bWJlcj48Zm9yZWlnbi1rZXlzPjxrZXkgYXBwPSJFTiIgZGItaWQ9ImEzYWFmZGZjLTZjMTgtNTIyYy04YTY4LWZhMGFkMjhmNTFkMiIgdGltZXN0YW1wPSIxNzkyOTIxMDg3Ij43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[V12-7]</w:t>
            </w:r>
            <w:r>
              <w:fldChar w:fldCharType="end"/>
            </w:r>
          </w:p>
          <w:p>
            <w:pPr>
              <w:pStyle w:val="Normal"/>
              <w:widowControl/>
              <w:spacing w:before="60" w:after="20"/>
            </w:pPr>
            <w:r>
              <w:t xml:space="preserve">“exclusion criteria of AFP ≥100 and Child Pugh B/C”</w:t>
            </w:r>
          </w:p>
          <w:p>
            <w:pPr>
              <w:pStyle w:val="Normal"/>
              <w:widowControl/>
              <w:spacing w:before="60" w:after="20"/>
            </w:pPr>
            <w:r>
              <w:t xml:space="preserve">Author-manuscript PDF p11, conclusion</w:t>
            </w:r>
          </w:p>
          <w:p>
            <w:pPr>
              <w:pStyle w:val="Normal"/>
              <w:widowControl/>
              <w:spacing w:before="60" w:after="20"/>
            </w:pPr>
            <w:hyperlink r:id="rId49">
              <w:r>
                <w:rPr>
                  <w:color w:val="77230C"/>
                  <w:sz w:val="20"/>
                  <w:u w:val="single"/>
                </w:rPr>
                <w:t>Source</w:t>
              </w:r>
            </w:hyperlink>
            <w:r>
              <w:t xml:space="preserve"> | </w:t>
            </w:r>
            <w:hyperlink r:id="rId50">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Supports a narrower initial cohort; does not establish that all excluded patients cannot benefit.</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AASLD HCC 2023</w:t>
            </w:r>
            <w:r>
              <w:t xml:space="preserve"> </w:t>
            </w:r>
            <w:r>
              <w:t xml:space="preserve"> </w:t>
            </w:r>
            <w:r>
              <w:fldChar w:fldCharType="begin"/>
            </w:r>
            <w:r>
              <w:instrText xml:space="preserve"> ADDIN EN.CITE </w:instrText>
            </w:r>
            <w:r>
              <w:fldChar w:fldCharType="begin">
                <w:fldData>PEVuZE5vdGU+PENpdGU+PEF1dGhvcj5TaW5nYWw8L0F1dGhvcj48WWVhcj4yMDIzPC9ZZWFyPjxSZWNOdW0+MTE8L1JlY051bT48RGlzcGxheVRleHQ+W1YxMi0xMV08L0Rpc3BsYXlUZXh0PjxyZWNvcmQ+PHJlYy1udW1iZXI+MTE8L3JlYy1udW1iZXI+PGZvcmVpZ24ta2V5cz48a2V5IGFwcD0iRU4iIGRiLWlkPSJhM2FhZmRmYy02YzE4LTUyMmMtOGE2OC1mYTBhZDI4ZjUxZDIiIHRpbWVzdGFtcD0iMTc5MjkyMTA4NyI+MTE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FBU0xEIDIwMjMgSEhTIGF1dGhvciBtYW51c2NyaXB0OyBjb21wbGV0ZSBMVCBzZWN0aW9ucyBQREYgcHAxNiYjODIxMTsyMCwgZ3VpZGFuY2Ugc3RhdGVtZW50cyBwcDU2JiM4MjExOzU3LCBhbGxvY2F0aW9uIGNhcHRpb25zIHBwNzEmIzgyMTE7NzIgYW5kIFRhYmxlcyAzJiM4MjExOzQgcHA3OCYjODIxMTs3OSByZWNoZWNrZWQuIEN1cnJlbnQgYW5kIHByaW9yIGNvcGllcyBoYXZlIGlkZW50aWNhbCB0ZXh0OyBub3QgYSB3aG9sZS1ndWlkZWxpbmUgcmVyZWFk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p>
          <w:p>
            <w:pPr>
              <w:pStyle w:val="Normal"/>
              <w:widowControl/>
              <w:spacing w:before="60" w:after="20"/>
            </w:pPr>
            <w:r>
              <w:t xml:space="preserve">“3-to-6-month period of observation”</w:t>
            </w:r>
          </w:p>
          <w:p>
            <w:pPr>
              <w:pStyle w:val="Normal"/>
              <w:widowControl/>
              <w:spacing w:before="60" w:after="20"/>
            </w:pPr>
            <w:r>
              <w:t xml:space="preserve">Author-manuscript PDF p56, guidance statement 36</w:t>
            </w:r>
          </w:p>
          <w:p>
            <w:pPr>
              <w:pStyle w:val="Normal"/>
              <w:widowControl/>
              <w:spacing w:before="60" w:after="20"/>
            </w:pPr>
            <w:hyperlink r:id="rId51">
              <w:r>
                <w:rPr>
                  <w:color w:val="77230C"/>
                  <w:sz w:val="20"/>
                  <w:u w:val="single"/>
                </w:rPr>
                <w:t>Source</w:t>
              </w:r>
            </w:hyperlink>
            <w:r>
              <w:t xml:space="preserve"> | </w:t>
            </w:r>
            <w:hyperlink r:id="rId52">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Six months selects the conservative end of this guidance range; it is not a guarantee of favorable biology.</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Open a bounded prospective beyond-UNOS downstaging cohort, not an unrestricted all-comers pathway.</w:t>
      </w:r>
      <w:r>
        <w:t xml:space="preserve"> </w:t>
      </w:r>
      <w:r>
        <w:t xml:space="preserve"> </w:t>
      </w:r>
      <w:r>
        <w:fldChar w:fldCharType="begin"/>
      </w:r>
      <w:r>
        <w:instrText xml:space="preserve"> ADDIN EN.CITE </w:instrText>
      </w:r>
      <w:r>
        <w:fldChar w:fldCharType="begin">
          <w:fldData>PEVuZE5vdGU+PENpdGU+PEF1dGhvcj5YdTwvQXV0aG9yPjxZZWFyPjIwMjU8L1llYXI+PFJlY051bT43PC9SZWNOdW0+PERpc3BsYXlUZXh0PltWMTItN108L0Rpc3BsYXlUZXh0PjxyZWNvcmQ+PHJlYy1udW1iZXI+NzwvcmVjLW51bWJlcj48Zm9yZWlnbi1rZXlzPjxrZXkgYXBwPSJFTiIgZGItaWQ9ImEzYWFmZGZjLTZjMTgtNTIyYy04YTY4LWZhMGFkMjhmNTFkMiIgdGltZXN0YW1wPSIxNzkyOTIxMDg3Ij43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[V12-7]</w:t>
      </w:r>
      <w:r>
        <w:fldChar w:fldCharType="end"/>
      </w:r>
      <w:r>
        <w:t xml:space="preserve"> </w:t>
      </w:r>
      <w:r>
        <w:t xml:space="preserve"> </w:t>
      </w:r>
      <w:r>
        <w:fldChar w:fldCharType="begin"/>
      </w:r>
      <w:r>
        <w:instrText xml:space="preserve"> ADDIN EN.CITE </w:instrText>
      </w:r>
      <w:r>
        <w:fldChar w:fldCharType="begin">
          <w:fldData>PEVuZE5vdGU+PENpdGU+PEF1dGhvcj5TaW5nYWw8L0F1dGhvcj48WWVhcj4yMDIzPC9ZZWFyPjxSZWNOdW0+MTE8L1JlY051bT48RGlzcGxheVRleHQ+W1YxMi0xMV08L0Rpc3BsYXlUZXh0PjxyZWNvcmQ+PHJlYy1udW1iZXI+MTE8L3JlYy1udW1iZXI+PGZvcmVpZ24ta2V5cz48a2V5IGFwcD0iRU4iIGRiLWlkPSJhM2FhZmRmYy02YzE4LTUyMmMtOGE2OC1mYTBhZDI4ZjUxZDIiIHRpbWVzdGFtcD0iMTc5MjkyMTA4NyI+MTE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FBU0xEIDIwMjMgSEhTIGF1dGhvciBtYW51c2NyaXB0OyBjb21wbGV0ZSBMVCBzZWN0aW9ucyBQREYgcHAxNiYjODIxMTsyMCwgZ3VpZGFuY2Ugc3RhdGVtZW50cyBwcDU2JiM4MjExOzU3LCBhbGxvY2F0aW9uIGNhcHRpb25zIHBwNzEmIzgyMTE7NzIgYW5kIFRhYmxlcyAzJiM4MjExOzQgcHA3OCYjODIxMTs3OSByZWNoZWNrZWQuIEN1cnJlbnQgYW5kIHByaW9yIGNvcGllcyBoYXZlIGlkZW50aWNhbCB0ZXh0OyBub3QgYSB3aG9sZS1ndWlkZWxpbmUgcmVyZWFk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yMDwvWWVhcj48UmVjTnVtPjg8L1JlY051bT48RGlzcGxheVRleHQ+W1YxMi04XTwvRGlzcGxheVRleHQ+PHJlY29yZD48cmVjLW51bWJlcj44PC9yZWMtbnVtYmVyPjxmb3JlaWduLWtleXM+PGtleSBhcHA9IkVOIiBkYi1pZD0iYTNhYWZkZmMtNmMxOC01MjJjLThhNjgtZmEwYWQyOGY1MWQyIiB0aW1lc3RhbXA9IjE3OTI5MjEwODciPjg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NzQgZW5yb2xsZWQsIDI5IGRyb3BwZWQgb3V0IGJlZm9yZSByYW5kb21pemF0aW9uOyA0NSByYW5kb21pemVkLiBGaXZlLXllYXIgT1MgNzcuNSUgdnMgMzEuMiUuIFN1cHBvcnRzIExUIGluIHNlbGVjdGVkIHJlc3BvbmRlcnMsIG5vdCBpbmRpc2NyaW1pbmF0ZSBlbnRyeSBvciBJQ0kvUFZUVCBzYWZldHkuPC9ub3Rlcz48dXJscz48cmVsYXRlZC11cmxzPjx1cmw+aHR0cHM6Ly9kb2kub3JnLzEwLjEwMTYvUzE0NzAtMjA0NSgyMCkzMDIyNC0y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MbG92ZXQ8L0F1dGhvcj48WWVhcj4yMDI2PC9ZZWFyPjxSZWNOdW0+MTI8L1JlY051bT48RGlzcGxheVRleHQ+W1YxMi0xMl08L0Rpc3BsYXlUZXh0PjxyZWNvcmQ+PHJlYy1udW1iZXI+MTI8L3JlYy1udW1iZXI+PGZvcmVpZ24ta2V5cz48a2V5IGFwcD0iRU4iIGRiLWlkPSJhM2FhZmRmYy02YzE4LTUyMmMtOGE2OC1mYTBhZDI4ZjUxZDIiIHRpbWVzdGFtcD0iMTc5MjkyMTA4NyI+MTI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</w:fldData>
        </w:fldChar>
      </w:r>
      <w:r>
        <w:instrText xml:space="preserve"> ADDIN EN.CITE.DATA </w:instrText>
      </w:r>
      <w:r>
        <w:fldChar w:fldCharType="end"/>
      </w:r>
      <w:r>
        <w:fldChar w:fldCharType="separate"/>
      </w:r>
      <w:r>
        <w:t xml:space="preserve">[V12-9]</w:t>
      </w:r>
      <w:r>
        <w:fldChar w:fldCharType="end"/>
      </w:r>
      <w:r>
        <w:t xml:space="preserve"> </w:t>
      </w:r>
      <w:r>
        <w:t xml:space="preserve"> </w:t>
      </w:r>
      <w:r>
        <w:fldChar w:fldCharType="begin"/>
      </w:r>
      <w:r>
        <w:instrText xml:space="preserve"> ADDIN EN.CITE </w:instrText>
      </w:r>
      <w:r>
        <w:fldChar w:fldCharType="begin">
          <w:fldData>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p>
    <w:p>
      <w:pPr>
        <w:pStyle w:val="Normal"/>
        <w:widowControl/>
        <w:numPr>
          <w:ilvl w:val="0"/>
          <w:numId w:val="3"/>
        </w:numPr>
      </w:pPr>
      <w:r>
        <w:t xml:space="preserve">Proposed entry ceiling: original pretreatment tumor count plus largest tumor diameter in cm ≤12; AFP &lt;100 ng/mL; Child-Pugh A; no macrovascular invasion, extrahepatic disease or unmeasurable infiltrative tumor.</w:t>
      </w:r>
    </w:p>
    <w:p>
      <w:pPr>
        <w:pStyle w:val="Normal"/>
        <w:widowControl/>
        <w:numPr>
          <w:ilvl w:val="1"/>
          <w:numId w:val="3"/>
        </w:numPr>
        <w:spacing w:before="60" w:after="20"/>
      </w:pPr>
      <w:r>
        <w:t xml:space="preserve">These restrictions apply to the expanded arm, not to otherwise standard-eligible HCC.</w:t>
      </w:r>
    </w:p>
    <w:p>
      <w:pPr>
        <w:pStyle w:val="Normal"/>
        <w:widowControl/>
        <w:numPr>
          <w:ilvl w:val="0"/>
          <w:numId w:val="3"/>
        </w:numPr>
      </w:pPr>
      <w:r>
        <w:t xml:space="preserve">Before LT: viable tumor burden within Milan, or complete nonviability, with at least six months of documented stability from the first assessment meeting that target.</w:t>
      </w:r>
    </w:p>
    <w:p>
      <w:pPr>
        <w:pStyle w:val="Normal"/>
        <w:widowControl/>
        <w:numPr>
          <w:ilvl w:val="1"/>
          <w:numId w:val="3"/>
        </w:numPr>
        <w:spacing w:before="60" w:after="20"/>
      </w:pPr>
      <w:r>
        <w:t xml:space="preserve">Repeat liver CT/MRI and AFP at least every three months; confirmed progression holds the route and resets the study control clock after new successful downstaging.</w:t>
      </w:r>
    </w:p>
    <w:p>
      <w:pPr>
        <w:pStyle w:val="Normal"/>
        <w:widowControl/>
        <w:numPr>
          <w:ilvl w:val="0"/>
          <w:numId w:val="3"/>
        </w:numPr>
      </w:pPr>
      <w:r>
        <w:t xml:space="preserve">Preserve baseline measurements and AFP.</w:t>
      </w:r>
    </w:p>
    <w:p>
      <w:pPr>
        <w:pStyle w:val="Normal"/>
        <w:widowControl/>
        <w:numPr>
          <w:ilvl w:val="1"/>
          <w:numId w:val="3"/>
        </w:numPr>
        <w:spacing w:before="60" w:after="20"/>
      </w:pPr>
      <w:r>
        <w:t xml:space="preserve">A prior AFP ≥100 or Child-Pugh B/C at expanded-arm entry belongs to a separately approved stratum; do not erase that history after response.</w:t>
      </w:r>
    </w:p>
    <w:p>
      <w:pPr>
        <w:pStyle w:val="Normal"/>
        <w:widowControl/>
        <w:numPr>
          <w:ilvl w:val="1"/>
          <w:numId w:val="3"/>
        </w:numPr>
        <w:spacing w:before="60" w:after="20"/>
      </w:pPr>
      <w:r>
        <w:t xml:space="preserve">No initial stacking with the PVTT arm.</w:t>
      </w:r>
    </w:p>
    <w:p>
      <w:pPr>
        <w:pStyle w:val="Normal"/>
        <w:widowControl/>
        <w:spacing w:before="60" w:after="20"/>
      </w:pPr>
      <w:r>
        <w:rPr>
          <w:b/>
        </w:rPr>
        <w:t xml:space="preserve">Why retain or change it: </w:t>
      </w:r>
      <w:r>
        <w:t xml:space="preserve">Retain a restricted, prospectively governed pilot with largest diameter plus count ≤12, current AFP &lt;100, Child-Pugh A, no active macrovascular/extrahepatic/infiltrative disease, and Milan/nonviable status sustained for six months with interval imaging. Explicitly label the complete package and inclusive ≤12 boundary as local judgment, not a validated composite criterion. Do not stack a prior-PVTT indication into this simple expansion cohort. Audit every referred/treated patient, not only those listed or transplanted.</w:t>
      </w:r>
    </w:p>
    <w:p>
      <w:pPr>
        <w:pStyle w:val="Heading3"/>
        <w:keepNext/>
        <w:widowControl/>
      </w:pPr>
      <w:r>
        <w:t xml:space="preserve">Information required before the decision</w:t>
      </w:r>
    </w:p>
    <w:p>
      <w:pPr>
        <w:pStyle w:val="Normal"/>
        <w:widowControl/>
        <w:spacing w:before="60" w:after="20"/>
      </w:pPr>
      <w:r>
        <w:t xml:space="preserve">Central review of pretreatment and current multiphasic CT/MRI; chest CT; dated AFP series; Child-Pugh components; resection/ablation assessment; dated response and progression record. Record first treatment, first successful downstaging, latest progression, listing, first exception request and LT dates separately; report all-entry, waitlist and recipient outcomes with their own time origins.</w:t>
      </w:r>
    </w:p>
    <w:p>
      <w:pPr>
        <w:pStyle w:val="Normal"/>
        <w:widowControl/>
        <w:spacing w:before="60" w:after="20"/>
      </w:pPr>
      <w:r>
        <w:rPr>
          <w:b/>
        </w:rPr>
        <w:t xml:space="preserve">Clinical versus allocation: </w:t>
      </w:r>
      <w:r>
        <w:t xml:space="preserve">Reaching Milan/T2 does not retrospectively create standardized downstaging entry eligibility. A nonstandard exception request, calculated-MELD route or LDLT review remains separate; apply the actual allocation clock.</w:t>
      </w:r>
    </w:p>
    <w:p>
      <w:pPr>
        <w:pStyle w:val="Normal"/>
        <w:widowControl/>
        <w:spacing w:before="60" w:after="20"/>
      </w:pPr>
      <w:r>
        <w:rPr>
          <w:b/>
        </w:rPr>
        <w:t xml:space="preserve">Roadmap / protocol reconciliation: </w:t>
      </w:r>
      <w:r>
        <w:t xml:space="preserve">Retain the HCC roadmap’s resection/ablation assessment and treatment selection. This proposal changes transplant entry boundaries, not the standard cancer-treatment algorithm.</w:t>
      </w:r>
    </w:p>
    <w:p>
      <w:pPr>
        <w:pStyle w:val="Heading3"/>
        <w:keepNext/>
        <w:widowControl/>
      </w:pPr>
      <w:r>
        <w:t xml:space="preserve">Meeting decision — complete only after discussion</w:t>
      </w:r>
    </w:p>
    <w:p>
      <w:pPr>
        <w:pStyle w:val="Normal"/>
        <w:widowControl/>
        <w:spacing w:before="60" w:after="20"/>
      </w:pPr>
      <w:r>
        <w:t xml:space="preserve">Group decision (adopt / amend / defer / decline): __________________________________</w:t>
      </w:r>
    </w:p>
    <w:p>
      <w:pPr>
        <w:pStyle w:val="Normal"/>
        <w:widowControl/>
        <w:spacing w:before="60" w:after="20"/>
      </w:pPr>
      <w:r>
        <w:t xml:space="preserve">Final cutoff / population / exact protocol wording: _________________________________</w:t>
      </w:r>
    </w:p>
    <w:p>
      <w:pPr>
        <w:pStyle w:val="Normal"/>
        <w:widowControl/>
        <w:spacing w:before="60" w:after="20"/>
      </w:pPr>
      <w:r>
        <w:t xml:space="preserve">________________________________________________________________________</w:t>
      </w:r>
    </w:p>
    <w:p>
      <w:pPr>
        <w:pStyle w:val="Normal"/>
        <w:widowControl/>
        <w:spacing w:before="60" w:after="20"/>
      </w:pPr>
      <w:r>
        <w:t xml:space="preserve">Evidence accepted/rejected; denominator/time origin; residual uncertainty: ______________</w:t>
      </w:r>
    </w:p>
    <w:p>
      <w:pPr>
        <w:pStyle w:val="Normal"/>
        <w:widowControl/>
        <w:spacing w:before="60" w:after="20"/>
      </w:pPr>
      <w:r>
        <w:t xml:space="preserve">________________________________________________________________________</w:t>
      </w:r>
    </w:p>
    <w:p>
      <w:pPr>
        <w:pStyle w:val="Normal"/>
        <w:widowControl/>
        <w:spacing w:before="60" w:after="20"/>
      </w:pPr>
      <w:r>
        <w:t xml:space="preserve">Rationale and dissent: ______________________________________________________</w:t>
      </w:r>
    </w:p>
    <w:p>
      <w:pPr>
        <w:pStyle w:val="Normal"/>
        <w:widowControl/>
        <w:spacing w:before="60" w:after="20"/>
      </w:pPr>
      <w:r>
        <w:t xml:space="preserve">Protocol section(s) to change / required source or PDF: _____________________________</w:t>
      </w:r>
    </w:p>
    <w:p>
      <w:pPr>
        <w:pStyle w:val="Normal"/>
        <w:widowControl/>
        <w:spacing w:before="60" w:after="20"/>
      </w:pPr>
      <w:r>
        <w:t xml:space="preserve">Owner / action / due date: ___________________________________________________</w:t>
      </w:r>
    </w:p>
    <w:p>
      <w:pPr>
        <w:pStyle w:val="Normal"/>
        <w:widowControl/>
        <w:spacing w:before="60" w:after="20"/>
      </w:pPr>
      <w:r>
        <w:t xml:space="preserve">Meeting date / decision-maker signatures: ________________________________________</w:t>
      </w:r>
    </w:p>
    <w:p>
      <w:pPr>
        <w:pStyle w:val="Normal"/>
        <w:widowControl/>
        <w:spacing w:before="60" w:after="20"/>
      </w:pPr>
      <w:r>
        <w:t xml:space="preserve">Clinical / allocation / donor / research approvals and effective date: ____________________</w:t>
      </w:r>
    </w:p>
    <w:p>
      <w:pPr>
        <w:pStyle w:val="Normal"/>
        <w:widowControl/>
        <w:spacing w:before="60" w:after="20"/>
      </w:pPr>
      <w:r>
        <w:t xml:space="preserve">Proposed discussion owners: HCC transplant lead; radiology; hepatology; oncology; allocation; biostatistics.</w:t>
      </w:r>
    </w:p>
    <w:p>
      <w:pPr>
        <w:pStyle w:val="Heading2"/>
        <w:keepNext/>
        <w:widowControl/>
      </w:pPr>
      <w:bookmarkStart w:id="2" w:name="HCC_B2"/>
      <w:r>
        <w:t xml:space="preserve">HCC-B2 — Which PVTT anatomy could enter a transplanting study?</w:t>
      </w:r>
      <w:bookmarkEnd w:id="2"/>
    </w:p>
    <w:p>
      <w:pPr>
        <w:pStyle w:val="Normal"/>
        <w:widowControl/>
        <w:spacing w:before="60" w:after="20"/>
      </w:pPr>
      <w:r>
        <w:t xml:space="preserve">OPEN — evidence review first; institutional decision remains blank.</w:t>
      </w:r>
    </w:p>
    <w:p>
      <w:pPr>
        <w:pStyle w:val="Normal"/>
        <w:widowControl/>
        <w:spacing w:before="60" w:after="20"/>
      </w:pPr>
      <w:hyperlink r:id="rId53">
        <w:r>
          <w:rPr>
            <w:color w:val="77230C"/>
            <w:sz w:val="20"/>
            <w:u w:val="single"/>
          </w:rPr>
          <w:t>Corresponding V12 protocol / boundary addendum</w:t>
        </w:r>
      </w:hyperlink>
    </w:p>
    <w:p>
      <w:pPr>
        <w:pStyle w:val="Heading3"/>
        <w:keepNext/>
        <w:widowControl/>
      </w:pPr>
      <w:r>
        <w:t xml:space="preserve">Question and comparison</w:t>
      </w:r>
    </w:p>
    <w:p>
      <w:pPr>
        <w:pStyle w:val="Normal"/>
        <w:widowControl/>
        <w:spacing w:before="60" w:after="20"/>
      </w:pPr>
      <w:r>
        <w:t xml:space="preserve">HCC with previously documented portal-vein tumor thrombus, after antitumor treatment; compare original segmental/second-order versus first-order/main-trunk extent and response strata. Outcomes are treatment-entry access and survival, recipient survival, recurrence and graft-related harm—not anatomy alone.</w:t>
      </w:r>
    </w:p>
    <w:p>
      <w:pPr>
        <w:pStyle w:val="Heading3"/>
        <w:keepNext/>
        <w:widowControl/>
      </w:pPr>
      <w:r>
        <w:t xml:space="preserve">Search scope and evidence access</w:t>
      </w:r>
    </w:p>
    <w:p>
      <w:pPr>
        <w:pStyle w:val="Normal"/>
        <w:widowControl/>
        <w:spacing w:before="60" w:after="20"/>
      </w:pPr>
      <w:r>
        <w:t xml:space="preserve">Reviewed seven principal recipient/downstaging series across LDLT and DDLT, including the 2026 Asan cohort and new Italian Y90 downstaging cohort. Preserved the verified V6 grade table without curve-digitizing unreported estimates. Retrieved complete Assalino 2020 PDF. Study anatomy labels and DFS/RFS definitions are not harmonized. The complete Sposito 2026 main PDF supplied as 94457 was reviewed on 24 October 2026, including methods, Figures 1–3 and Tables 1–3; external supplements remain unavailable. This replaces the earlier abstract-only extraction.</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Yoon 2026</w:t>
            </w:r>
            <w:r>
              <w:t xml:space="preserve"> </w:t>
            </w:r>
            <w:r>
              <w:t xml:space="preserve"> </w:t>
            </w:r>
            <w:r>
              <w:fldChar w:fldCharType="begin"/>
            </w:r>
            <w:r>
              <w:instrText xml:space="preserve"> ADDIN EN.CITE </w:instrText>
            </w:r>
            <w:r>
              <w:fldChar w:fldCharType="begin">
                <w:fldData>PEVuZE5vdGU+PENpdGU+PEF1dGhvcj5Zb29uPC9BdXRob3I+PFllYXI+MjAyNjwvWWVhcj48UmVjTnVtPjEzPC9SZWNOdW0+PERpc3BsYXlUZXh0PltWMTItMTNdPC9EaXNwbGF5VGV4dD48cmVjb3JkPjxyZWMtbnVtYmVyPjEzPC9yZWMtbnVtYmVyPjxmb3JlaWduLWtleXM+PGtleSBhcHA9IkVOIiBkYi1pZD0iYTNhYWZkZmMtNmMxOC01MjJjLThhNjgtZmEwYWQyOGY1MWQyIiB0aW1lc3RhbXA9IjE3OTI5MjEwODciPjEz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p>
            <w:pPr>
              <w:pStyle w:val="Normal"/>
              <w:widowControl/>
              <w:spacing w:before="60" w:after="20"/>
            </w:pPr>
            <w:r>
              <w:t xml:space="preserve">Retrospective Asan LDLT cohort, 1997–2022, 137 selected PVTT recipients; median follow-up 38.3 months.</w:t>
            </w:r>
          </w:p>
          <w:p>
            <w:pPr>
              <w:pStyle w:val="Normal"/>
              <w:widowControl/>
              <w:spacing w:before="60" w:after="20"/>
            </w:pPr>
            <w:r>
              <w:t xml:space="preserve">Selection: Original Vp1/Vp2/Vp3/Vp4 counts were 51/36/36/14. Overall mRECIST CR/PR defined responders, not necessarily complete vascular response.</w:t>
            </w:r>
          </w:p>
          <w:p>
            <w:pPr>
              <w:pStyle w:val="Normal"/>
              <w:widowControl/>
              <w:spacing w:before="60" w:after="20"/>
            </w:pPr>
            <w:hyperlink r:id="rId54">
              <w:r>
                <w:rPr>
                  <w:color w:val="77230C"/>
                  <w:sz w:val="20"/>
                  <w:u w:val="single"/>
                </w:rPr>
                <w:t>Primary source</w:t>
              </w:r>
            </w:hyperlink>
            <w:r>
              <w:t xml:space="preserve"> | </w:t>
            </w:r>
            <w:hyperlink r:id="rId55">
              <w:r>
                <w:rPr>
                  <w:color w:val="77230C"/>
                  <w:sz w:val="20"/>
                  <w:u w:val="single"/>
                </w:rPr>
                <w:t>Full-text PDF</w:t>
              </w:r>
            </w:hyperlink>
          </w:p>
          <w:p>
            <w:pPr>
              <w:pStyle w:val="Normal"/>
              <w:widowControl/>
              <w:spacing w:before="60" w:after="20"/>
            </w:pPr>
            <w:r>
              <w:t xml:space="preserve">Locator: Complete PDF: Table 1; Results p7261; Table 2 p7264; Figure 1 p7265; Discussion p7268. Preserve source/pvtt_outcomes.py values.</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Vp1 five-year OS 69.5%, DFS 56.2%; Vp4 OS 50.0%, DFS 34.3%. Exact Vp2/Vp3 five-year values were not tabulated. Vp4 recurrence was 9/14 (64.3%) by Table 2 count, not a five-year risk. Responders: 83 patients, five-year OS 66.6%, DFS 64.7%, recurrence 28/83; nonresponders: 54, OS 35.1%, DFS 19.7%, recurrence 42/54. Viable PVTT remained in 65/83 responder explants.</w:t>
            </w:r>
          </w:p>
          <w:p>
            <w:pPr>
              <w:pStyle w:val="Normal"/>
              <w:widowControl/>
              <w:spacing w:before="60" w:after="20"/>
            </w:pPr>
            <w:r>
              <w:rPr>
                <w:b/>
              </w:rPr>
              <w:t xml:space="preserve">Do not infer: </w:t>
            </w:r>
            <w:r>
              <w:t xml:space="preserve">Recipient-only, heterogeneous treatment eras and small grade subgroups. Nonsignificant grade comparisons do not prove equivalence. Discussion/conclusion transpose responder OS and DFS; retain Results/Figure 1 values.</w:t>
            </w:r>
          </w:p>
        </w:tc>
      </w:tr>
      <w:tr>
        <w:trPr/>
        <w:tc>
          <w:tcPr>
            <w:tcW w:w="3400" w:type="dxa"/>
            <w:tcMar>
              <w:top w:w="90" w:type="dxa"/>
              <w:left w:w="90" w:type="dxa"/>
              <w:bottom w:w="90" w:type="dxa"/>
              <w:right w:w="90" w:type="dxa"/>
            </w:tcMar>
          </w:tcPr>
          <w:p>
            <w:pPr>
              <w:pStyle w:val="Normal"/>
              <w:widowControl/>
              <w:spacing w:before="60" w:after="20"/>
            </w:pPr>
            <w:r>
              <w:rPr>
                <w:b/>
              </w:rPr>
              <w:t xml:space="preserve">Choi 2017</w:t>
            </w:r>
            <w:r>
              <w:t xml:space="preserve"> </w:t>
            </w:r>
            <w:r>
              <w:t xml:space="preserve"> </w:t>
            </w:r>
            <w:r>
              <w:fldChar w:fldCharType="begin"/>
            </w:r>
            <w:r>
              <w:instrText xml:space="preserve"> ADDIN EN.CITE </w:instrText>
            </w:r>
            <w:r>
              <w:fldChar w:fldCharType="begin">
                <w:fldData>PEVuZE5vdGU+PENpdGU+PEF1dGhvcj5DaG9pPC9BdXRob3I+PFllYXI+MjAxNzwvWWVhcj48UmVjTnVtPjE0PC9SZWNOdW0+PERpc3BsYXlUZXh0PltWMTItMTRdPC9EaXNwbGF5VGV4dD48cmVjb3JkPjxyZWMtbnVtYmVyPjE0PC9yZWMtbnVtYmVyPjxmb3JlaWduLWtleXM+PGtleSBhcHA9IkVOIiBkYi1pZD0iYTNhYWZkZmMtNmMxOC01MjJjLThhNjgtZmEwYWQyOGY1MWQyIiB0aW1lc3RhbXA9IjE3OTI5MjEwODciPjE0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Single-center Korean LDLT cohort, 2005–2015. Of 253 adult HCC LDLTs, four deaths within one month, five lost to follow-up and two mixed HCC/CCA cases were excluded, leaving 242. PVTT: 27 segmental (at/below second-order branches) and seven first-order/lobar; main-portal disease, nodes and distant spread excluded. Eleven of 27 segmental thrombi were unsuspected before LT and discovered on explant. Prior treatment in 22/34 was not a standardized downstaging protocol.</w:t>
            </w:r>
          </w:p>
          <w:p>
            <w:pPr>
              <w:pStyle w:val="Normal"/>
              <w:widowControl/>
              <w:spacing w:before="60" w:after="20"/>
            </w:pPr>
            <w:hyperlink r:id="rId56">
              <w:r>
                <w:rPr>
                  <w:color w:val="77230C"/>
                  <w:sz w:val="20"/>
                  <w:u w:val="single"/>
                </w:rPr>
                <w:t>Primary source</w:t>
              </w:r>
            </w:hyperlink>
            <w:r>
              <w:t xml:space="preserve"> | </w:t>
            </w:r>
            <w:hyperlink r:id="rId57">
              <w:r>
                <w:rPr>
                  <w:color w:val="77230C"/>
                  <w:sz w:val="20"/>
                  <w:u w:val="single"/>
                </w:rPr>
                <w:t>Full-text PDF</w:t>
              </w:r>
            </w:hyperlink>
          </w:p>
          <w:p>
            <w:pPr>
              <w:pStyle w:val="Normal"/>
              <w:widowControl/>
              <w:spacing w:before="60" w:after="20"/>
            </w:pPr>
            <w:r>
              <w:t xml:space="preserve">Locator: PDF p 2/j 1024: exclusions, pretreatment, anatomy definition. | PDF p 3/j 1025: 16/27 preoperative segmental diagnoses. | PDF pp 5–6/j 1027–1028: Tables 2–3 and explicit lobar DFS 14.3%. | PDF p 7/j 1029 Table 4: AFP subgroup counts. | PDF p 8/j 1030: subgroup survival and limitations.</w:t>
            </w:r>
          </w:p>
          <w:p>
            <w:pPr>
              <w:pStyle w:val="Normal"/>
              <w:widowControl/>
              <w:spacing w:before="60" w:after="20"/>
            </w:pPr>
            <w:r>
              <w:t xml:space="preserve">Review depth: Complete main text/tables/figures/discussion of nine-page article read; last-page bibliography only not material to extraction.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Segmental n = 27: recurrence 9/27 (33.3%), five-year OS 50.3%, author-labelled DFS 63.9%. Lobar n = 7: recurrence 6/7 (85.7%), three-/five-year OS 14.3%/14.3%, DFS 14.3%/14.3%. Segmental AFP &lt;100 subgroup: five-year OS 71.3%, DFS 90.9%. Overall PVTT recurrence 15/34 (44.1%); mean time to recurrence 6.8±4.33 months. Safety: Four early postoperative deaths were excluded across the parent HCC cohort; their PVTT status is not reported. Lobar recurrence was 6/7. Donor harms are not quantified.</w:t>
            </w:r>
          </w:p>
          <w:p>
            <w:pPr>
              <w:pStyle w:val="Normal"/>
              <w:widowControl/>
              <w:spacing w:before="60" w:after="20"/>
            </w:pPr>
            <w:r>
              <w:rPr>
                <w:b/>
              </w:rPr>
              <w:t xml:space="preserve">Do not infer: </w:t>
            </w:r>
            <w:r>
              <w:t xml:space="preserve">Tiny retrospective recipient subgroups; early-death exclusion and occult segmental thrombi favor outcomes. No entry-cohort ITT estimate, standardized response duration or validated AFP cutoff. Do not call author-labelled DFS death-inclusive RFS.</w:t>
            </w:r>
          </w:p>
        </w:tc>
      </w:tr>
      <w:tr>
        <w:trPr/>
        <w:tc>
          <w:tcPr>
            <w:tcW w:w="3400" w:type="dxa"/>
            <w:tcMar>
              <w:top w:w="90" w:type="dxa"/>
              <w:left w:w="90" w:type="dxa"/>
              <w:bottom w:w="90" w:type="dxa"/>
              <w:right w:w="90" w:type="dxa"/>
            </w:tcMar>
          </w:tcPr>
          <w:p>
            <w:pPr>
              <w:pStyle w:val="Normal"/>
              <w:widowControl/>
              <w:spacing w:before="60" w:after="20"/>
            </w:pPr>
            <w:r>
              <w:rPr>
                <w:b/>
              </w:rPr>
              <w:t xml:space="preserve">Yang 2020</w:t>
            </w:r>
            <w:r>
              <w:t xml:space="preserve"> </w:t>
            </w:r>
            <w:r>
              <w:t xml:space="preserve"> </w:t>
            </w:r>
            <w:r>
              <w:fldChar w:fldCharType="begin"/>
            </w:r>
            <w:r>
              <w:instrText xml:space="preserve"> ADDIN EN.CITE </w:instrText>
            </w:r>
            <w:r>
              <w:fldChar w:fldCharType="begin">
                <w:fldData>PEVuZE5vdGU+PENpdGU+PEF1dGhvcj5ZYW5nPC9BdXRob3I+PFllYXI+MjAyMDwvWWVhcj48UmVjTnVtPjE1PC9SZWNOdW0+PERpc3BsYXlUZXh0PltWMTItMTVdPC9EaXNwbGF5VGV4dD48cmVjb3JkPjxyZWMtbnVtYmVyPjE1PC9yZWMtbnVtYmVyPjxmb3JlaWduLWtleXM+PGtleSBhcHA9IkVOIiBkYi1pZD0iYTNhYWZkZmMtNmMxOC01MjJjLThhNjgtZmEwYWQyOGY1MWQyIiB0aW1lc3RhbXA9IjE3OTI5MjEwODciPjE1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[V12-15]</w:t>
            </w:r>
            <w:r>
              <w:fldChar w:fldCharType="end"/>
            </w:r>
          </w:p>
          <w:p>
            <w:pPr>
              <w:pStyle w:val="Normal"/>
              <w:widowControl/>
              <w:spacing w:before="60" w:after="20"/>
            </w:pPr>
            <w:r>
              <w:t xml:space="preserve">Retrospective Chinese recipient cohort of 75 HCC/PVTT transplants: 47 with Vp2–3 combined and 28 with Vp4. The Vp2–3 group was entirely HBV-associated; Child-Pugh A/B/C counts were 1/22/24 and median MELD 30. Not a standardized downstaging-response cohort.</w:t>
            </w:r>
          </w:p>
          <w:p>
            <w:pPr>
              <w:pStyle w:val="Normal"/>
              <w:widowControl/>
              <w:spacing w:before="60" w:after="20"/>
            </w:pPr>
            <w:hyperlink r:id="rId58">
              <w:r>
                <w:rPr>
                  <w:color w:val="77230C"/>
                  <w:sz w:val="20"/>
                  <w:u w:val="single"/>
                </w:rPr>
                <w:t>Primary source</w:t>
              </w:r>
            </w:hyperlink>
            <w:r>
              <w:t xml:space="preserve"> | </w:t>
            </w:r>
            <w:hyperlink r:id="rId59">
              <w:r>
                <w:rPr>
                  <w:color w:val="77230C"/>
                  <w:sz w:val="20"/>
                  <w:u w:val="single"/>
                </w:rPr>
                <w:t>Full-text PDF</w:t>
              </w:r>
            </w:hyperlink>
          </w:p>
          <w:p>
            <w:pPr>
              <w:pStyle w:val="Normal"/>
              <w:widowControl/>
              <w:spacing w:before="60" w:after="20"/>
            </w:pPr>
            <w:r>
              <w:t xml:space="preserve">Locator: PDF p 2/j 230: Methods, endpoint definitions, 47/28 groups, Table 1. | PDF p 3/j 231: grade outcomes and 22/17/8 risk groups. | PDF p 4/j 232: Tables 2–3. | PDF p 5/j 233: limitations.</w:t>
            </w:r>
          </w:p>
          <w:p>
            <w:pPr>
              <w:pStyle w:val="Normal"/>
              <w:widowControl/>
              <w:spacing w:before="60" w:after="20"/>
            </w:pPr>
            <w:r>
              <w:t xml:space="preserve">Review depth: Complete six-page article read, all main methods/results/tables/figures/discussion/references.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Vp2–3 n = 47: three-year OS 65.4%, recurrence-only RFS 40.0%. Vp4 n = 28: three-year OS 30.6%, recurrence-only RFS 21.4%. A derived low-risk subgroup of 22/47 had three-year OS 95.2% and recurrence-only RFS 67.6%; its rule was total tumor diameter ≤8 cm, OR if &gt;8 cm, AFP &lt;1,000 ng/mL AND SUVmax &lt;5. Safety: Three-year recurrence-only RFS was low in both anatomical groups. Short median follow-up limits three-year precision; no donor-harm estimate.</w:t>
            </w:r>
          </w:p>
          <w:p>
            <w:pPr>
              <w:pStyle w:val="Normal"/>
              <w:widowControl/>
              <w:spacing w:before="60" w:after="20"/>
            </w:pPr>
            <w:r>
              <w:rPr>
                <w:b/>
              </w:rPr>
              <w:t xml:space="preserve">Do not infer: </w:t>
            </w:r>
            <w:r>
              <w:t xml:space="preserve">The low-risk rule was derived in the same 47 recipients and lacks external validation. It is not a Vp3-specific outcome or proof of safe active PVTT transplantation. No entry-denominator survival or validated observation interval.</w:t>
            </w:r>
          </w:p>
        </w:tc>
      </w:tr>
      <w:tr>
        <w:trPr/>
        <w:tc>
          <w:tcPr>
            <w:tcW w:w="3400" w:type="dxa"/>
            <w:tcMar>
              <w:top w:w="90" w:type="dxa"/>
              <w:left w:w="90" w:type="dxa"/>
              <w:bottom w:w="90" w:type="dxa"/>
              <w:right w:w="90" w:type="dxa"/>
            </w:tcMar>
          </w:tcPr>
          <w:p>
            <w:pPr>
              <w:pStyle w:val="Normal"/>
              <w:widowControl/>
              <w:spacing w:before="60" w:after="20"/>
            </w:pPr>
            <w:r>
              <w:rPr>
                <w:b/>
              </w:rPr>
              <w:t xml:space="preserve">Ye 2024</w:t>
            </w:r>
            <w:r>
              <w:t xml:space="preserve"> </w:t>
            </w:r>
            <w:r>
              <w:t xml:space="preserve"> </w:t>
            </w:r>
            <w:r>
              <w:fldChar w:fldCharType="begin"/>
            </w:r>
            <w:r>
              <w:instrText xml:space="preserve"> ADDIN EN.CITE </w:instrText>
            </w:r>
            <w:r>
              <w:fldChar w:fldCharType="begin">
                <w:fldData>PEVuZE5vdGU+PENpdGU+PEF1dGhvcj5ZZTwvQXV0aG9yPjxZZWFyPjIwMjQ8L1llYXI+PFJlY051bT4xNjwvUmVjTnVtPjxEaXNwbGF5VGV4dD5bVjEyLTE2XTwvRGlzcGxheVRleHQ+PHJlY29yZD48cmVjLW51bWJlcj4xNjwvcmVjLW51bWJlcj48Zm9yZWlnbi1rZXlzPjxrZXkgYXBwPSJFTiIgZGItaWQ9ImEzYWFmZGZjLTZjMTgtNTIyYy04YTY4LWZhMGFkMjhmNTFkMiIgdGltZXN0YW1wPSIxNzkyOTIxMDg3Ij4xNj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p>
          <w:p>
            <w:pPr>
              <w:pStyle w:val="Normal"/>
              <w:widowControl/>
              <w:spacing w:before="60" w:after="20"/>
            </w:pPr>
            <w:r>
              <w:t xml:space="preserve">Retrospective DDLT cohort of 141 vascular-invasion recipients: 13 segmental PVTT, 68 lobar PVTT, 60 microvascular invasion.</w:t>
            </w:r>
          </w:p>
          <w:p>
            <w:pPr>
              <w:pStyle w:val="Normal"/>
              <w:widowControl/>
              <w:spacing w:before="60" w:after="20"/>
            </w:pPr>
            <w:r>
              <w:t xml:space="preserve">Selection: All had HBV. Lobar PVTT included first-order branches or main portal vein; perioperative deaths and early follow-up losses were excluded.</w:t>
            </w:r>
          </w:p>
          <w:p>
            <w:pPr>
              <w:pStyle w:val="Normal"/>
              <w:widowControl/>
              <w:spacing w:before="60" w:after="20"/>
            </w:pPr>
            <w:hyperlink r:id="rId60">
              <w:r>
                <w:rPr>
                  <w:color w:val="77230C"/>
                  <w:sz w:val="20"/>
                  <w:u w:val="single"/>
                </w:rPr>
                <w:t>Primary source</w:t>
              </w:r>
            </w:hyperlink>
            <w:r>
              <w:t xml:space="preserve"> | </w:t>
            </w:r>
            <w:hyperlink r:id="rId61">
              <w:r>
                <w:rPr>
                  <w:color w:val="77230C"/>
                  <w:sz w:val="20"/>
                  <w:u w:val="single"/>
                </w:rPr>
                <w:t>Full-text PDF</w:t>
              </w:r>
            </w:hyperlink>
          </w:p>
          <w:p>
            <w:pPr>
              <w:pStyle w:val="Normal"/>
              <w:widowControl/>
              <w:spacing w:before="60" w:after="20"/>
            </w:pPr>
            <w:r>
              <w:t xml:space="preserve">Locator: Complete 12-page PDF: Methods p3, Tables 1–2 p6, Figure 4 p7.</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Segmental three-year OS 75.0%, RFS 58.3%, crude recurrence 4/13. Lobar three-year OS 45.9%, RFS 9.1%, crude recurrence 60/68.</w:t>
            </w:r>
          </w:p>
          <w:p>
            <w:pPr>
              <w:pStyle w:val="Normal"/>
              <w:widowControl/>
              <w:spacing w:before="60" w:after="20"/>
            </w:pPr>
            <w:r>
              <w:rPr>
                <w:b/>
              </w:rPr>
              <w:t xml:space="preserve">Do not infer: </w:t>
            </w:r>
            <w:r>
              <w:t xml:space="preserve">Exclusion of early deaths biases recipient survival upward. Lobar is not an isolated Vp3 group. Crude recurrence and RFS are distinct measures; the cohort is not directly transportable to Western mixed-etiology candidates.</w:t>
            </w:r>
          </w:p>
        </w:tc>
      </w:tr>
      <w:tr>
        <w:trPr/>
        <w:tc>
          <w:tcPr>
            <w:tcW w:w="3400" w:type="dxa"/>
            <w:tcMar>
              <w:top w:w="90" w:type="dxa"/>
              <w:left w:w="90" w:type="dxa"/>
              <w:bottom w:w="90" w:type="dxa"/>
              <w:right w:w="90" w:type="dxa"/>
            </w:tcMar>
          </w:tcPr>
          <w:p>
            <w:pPr>
              <w:pStyle w:val="Normal"/>
              <w:widowControl/>
              <w:spacing w:before="60" w:after="20"/>
            </w:pPr>
            <w:r>
              <w:rPr>
                <w:b/>
              </w:rPr>
              <w:t xml:space="preserve">Soin 2020</w:t>
            </w:r>
            <w:r>
              <w:t xml:space="preserve"> </w:t>
            </w:r>
            <w:r>
              <w:t xml:space="preserve"> </w:t>
            </w:r>
            <w:r>
              <w:fldChar w:fldCharType="begin"/>
            </w:r>
            <w:r>
              <w:instrText xml:space="preserve"> ADDIN EN.CITE </w:instrText>
            </w:r>
            <w:r>
              <w:fldChar w:fldCharType="begin">
                <w:fldData>PEVuZE5vdGU+PENpdGU+PEF1dGhvcj5Tb2luPC9BdXRob3I+PFllYXI+MjAyMDwvWWVhcj48UmVjTnVtPjE3PC9SZWNOdW0+PERpc3BsYXlUZXh0PltWMTItMTddPC9EaXNwbGF5VGV4dD48cmVjb3JkPjxyZWMtbnVtYmVyPjE3PC9yZWMtbnVtYmVyPjxmb3JlaWduLWtleXM+PGtleSBhcHA9IkVOIiBkYi1pZD0iYTNhYWZkZmMtNmMxOC01MjJjLThhNjgtZmEwYWQyOGY1MWQyIiB0aW1lc3RhbXA9IjE3OTI5MjEwODciPjE3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[V12-17]</w:t>
            </w:r>
            <w:r>
              <w:fldChar w:fldCharType="end"/>
            </w:r>
          </w:p>
          <w:p>
            <w:pPr>
              <w:pStyle w:val="Normal"/>
              <w:widowControl/>
              <w:spacing w:before="60" w:after="20"/>
            </w:pPr>
            <w:r>
              <w:t xml:space="preserve">Single-center prospective downstaging pathway: 43 patients with macrovascular invasion, comprising 38 PVTT and five hepatic-vein/IVC cases; 27 responded and 25 underwent LDLT. Recipient original Vp1/Vp2/Vp3/Vp4 counts: 1/12/11/1.</w:t>
            </w:r>
          </w:p>
          <w:p>
            <w:pPr>
              <w:pStyle w:val="Normal"/>
              <w:widowControl/>
              <w:spacing w:before="60" w:after="20"/>
            </w:pPr>
            <w:hyperlink r:id="rId62">
              <w:r>
                <w:rPr>
                  <w:color w:val="77230C"/>
                  <w:sz w:val="20"/>
                  <w:u w:val="single"/>
                </w:rPr>
                <w:t>Primary source</w:t>
              </w:r>
            </w:hyperlink>
            <w:r>
              <w:t xml:space="preserve"> | </w:t>
            </w:r>
            <w:hyperlink r:id="rId63">
              <w:r>
                <w:rPr>
                  <w:color w:val="77230C"/>
                  <w:sz w:val="20"/>
                  <w:u w:val="single"/>
                </w:rPr>
                <w:t>Full-text PDF</w:t>
              </w:r>
            </w:hyperlink>
          </w:p>
          <w:p>
            <w:pPr>
              <w:pStyle w:val="Normal"/>
              <w:widowControl/>
              <w:spacing w:before="60" w:after="20"/>
            </w:pPr>
            <w:r>
              <w:t xml:space="preserve">Locator: PDF pp 2–4/j 2335–2337: protocol, 43 entry flow, endpoint definitions, 18 vs 7 response. | PDF p 5/j 2338: all 25 survival 53/52 and timing Table 1. | PDF p 6/j 2339: Table 2, 17/25 viable PVTT, early death-excluded 57/51. | PDF p 7/j 2340: Fig 3. | PDF pp 9–11/j 2342–2344: models, variable wait protocol, limitations.</w:t>
            </w:r>
          </w:p>
          <w:p>
            <w:pPr>
              <w:pStyle w:val="Normal"/>
              <w:widowControl/>
              <w:spacing w:before="60" w:after="20"/>
            </w:pPr>
            <w:r>
              <w:t xml:space="preserve">Review depth: Complete 12-page main paper read; supplemental Tables S1–S2/Figures S1–S5 not supplied/read.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All 25 recipients: five-year OS 53% and author-labelled RFS 52%. After excluding two early postoperative deaths (n = 23): five-year OS 57%, RFS 51%. Recurrence 6/25 (24%), median five months. Eighteen had complete vascular enhancement loss; seven retained minimal/absent enhancement in Vp1–2 disease. Explants still showed viable PVTT in 17/25 and microvascular invasion in 21/25. Safety: Nine recipient deaths: two early sepsis deaths, four later non-cancer deaths and three cancer deaths. Six recurrences occurred despite downstaging selection. Radiographic response did not reliably imply pathological vascular sterilization.</w:t>
            </w:r>
          </w:p>
          <w:p>
            <w:pPr>
              <w:pStyle w:val="Normal"/>
              <w:widowControl/>
              <w:spacing w:before="60" w:after="20"/>
            </w:pPr>
            <w:r>
              <w:rPr>
                <w:b/>
              </w:rPr>
              <w:t xml:space="preserve">Do not infer: </w:t>
            </w:r>
            <w:r>
              <w:t xml:space="preserve">No randomized comparator, limited recipient number and no grade-specific survival estimates. The 43-entry denominator includes nonportal macrovascular invasion. Five-year 57% OS excludes early deaths; it is neither all-recipient nor ITT survival. Small poor-grade/AFP-change subgroups do not validate new cutoffs or a 12-month control rule.</w:t>
            </w:r>
          </w:p>
        </w:tc>
      </w:tr>
      <w:tr>
        <w:trPr/>
        <w:tc>
          <w:tcPr>
            <w:tcW w:w="3400" w:type="dxa"/>
            <w:tcMar>
              <w:top w:w="90" w:type="dxa"/>
              <w:left w:w="90" w:type="dxa"/>
              <w:bottom w:w="90" w:type="dxa"/>
              <w:right w:w="90" w:type="dxa"/>
            </w:tcMar>
          </w:tcPr>
          <w:p>
            <w:pPr>
              <w:pStyle w:val="Normal"/>
              <w:widowControl/>
              <w:spacing w:before="60" w:after="20"/>
            </w:pPr>
            <w:r>
              <w:rPr>
                <w:b/>
              </w:rPr>
              <w:t xml:space="preserve">Assalino 2020 · vascular invasion</w:t>
            </w:r>
            <w:r>
              <w:t xml:space="preserve"> </w:t>
            </w:r>
            <w:r>
              <w:t xml:space="preserve"> </w:t>
            </w:r>
            <w:r>
              <w:fldChar w:fldCharType="begin"/>
            </w:r>
            <w:r>
              <w:instrText xml:space="preserve"> ADDIN EN.CITE </w:instrText>
            </w:r>
            <w:r>
              <w:fldChar w:fldCharType="begin">
                <w:fldData>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spacing w:before="60" w:after="20"/>
            </w:pPr>
            <w:r>
              <w:t xml:space="preserve">Multicenter recipient-only series: 45 records identified, 29 with centrally confirmed pretreatment vascular invasion plus one pathologically confirmed case accepted (n = 30). Excluded records are not downstaging failures. There were 24 portal cases (seven Vp1, 12 Vp2, five study-defined Vp3) and six hepatic/caval cases; the paper's Vp3 category includes main-trunk disease.</w:t>
            </w:r>
          </w:p>
          <w:p>
            <w:pPr>
              <w:pStyle w:val="Normal"/>
              <w:widowControl/>
              <w:spacing w:before="60" w:after="20"/>
            </w:pPr>
            <w:hyperlink r:id="rId64">
              <w:r>
                <w:rPr>
                  <w:color w:val="77230C"/>
                  <w:sz w:val="20"/>
                  <w:u w:val="single"/>
                </w:rPr>
                <w:t>Primary source</w:t>
              </w:r>
            </w:hyperlink>
            <w:r>
              <w:t xml:space="preserve"> | </w:t>
            </w:r>
            <w:hyperlink r:id="rId65">
              <w:r>
                <w:rPr>
                  <w:color w:val="77230C"/>
                  <w:sz w:val="20"/>
                  <w:u w:val="single"/>
                </w:rPr>
                <w:t>Full-text PDF</w:t>
              </w:r>
            </w:hyperlink>
          </w:p>
          <w:p>
            <w:pPr>
              <w:pStyle w:val="Normal"/>
              <w:widowControl/>
              <w:spacing w:before="60" w:after="20"/>
            </w:pPr>
            <w:r>
              <w:t xml:space="preserve">Locator: PDF pp 2–3/j 568–569: cohort, definitions, endpoint death handling. | PDF p 4/j 570: flow, outcomes, AFP ROC. | PDF p 5/j 571: Table 1 and subgroup outcomes. | PDF pp 6–8/j 572–574: explant, limitations, Table 2.</w:t>
            </w:r>
          </w:p>
          <w:p>
            <w:pPr>
              <w:pStyle w:val="Normal"/>
              <w:widowControl/>
              <w:spacing w:before="60" w:after="20"/>
            </w:pPr>
            <w:r>
              <w:t xml:space="preserve">Review depth: Complete nine-page primary paper (same study reviewed in V7) verified against newly downloaded copy; all main methods/results/tables/discussion read; supplementary Table S1 not available.</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OS 59.6% and death-inclusive DFS 56.3%; recurrence 8/30, median 6.5 months. Three explants retained major vascular invasion and 11 had complete necrosis. Exploratory AFP &lt;10 ng/mL subgroup: recurrence 11.1% versus 50%, five-year OS 83.3% versus 27.8%, DFS 71.8% versus 33.3%; cutoff AUC 0.78. Safety: Eight recurrences among 30 highly selected recipients; residual vascular invasion despite radiographic control.</w:t>
            </w:r>
          </w:p>
          <w:p>
            <w:pPr>
              <w:pStyle w:val="Normal"/>
              <w:widowControl/>
              <w:spacing w:before="60" w:after="20"/>
            </w:pPr>
            <w:r>
              <w:rPr>
                <w:b/>
              </w:rPr>
              <w:t xml:space="preserve">Do not infer: </w:t>
            </w:r>
            <w:r>
              <w:t xml:space="preserve">Small selected mixed-anatomy cohort; AFP cutoff derived post hoc, with subgroup denominators not clearly stated in the main text. Local Vp labels do not map cleanly onto usual Vp1–4. A median 11.4-month interval is not a validated minimum observation period.</w:t>
            </w:r>
          </w:p>
        </w:tc>
      </w:tr>
      <w:tr>
        <w:trPr/>
        <w:tc>
          <w:tcPr>
            <w:tcW w:w="3400" w:type="dxa"/>
            <w:tcMar>
              <w:top w:w="90" w:type="dxa"/>
              <w:left w:w="90" w:type="dxa"/>
              <w:bottom w:w="90" w:type="dxa"/>
              <w:right w:w="90" w:type="dxa"/>
            </w:tcMar>
          </w:tcPr>
          <w:p>
            <w:pPr>
              <w:pStyle w:val="Normal"/>
              <w:widowControl/>
              <w:spacing w:before="60" w:after="20"/>
            </w:pPr>
            <w:r>
              <w:rPr>
                <w:b/>
              </w:rPr>
              <w:t xml:space="preserve">Sposito 2026</w:t>
            </w:r>
            <w:r>
              <w:t xml:space="preserve"> </w:t>
            </w:r>
            <w:r>
              <w:t xml:space="preserve"> </w:t>
            </w:r>
            <w:r>
              <w:fldChar w:fldCharType="begin"/>
            </w:r>
            <w:r>
              <w:instrText xml:space="preserve"> ADDIN EN.CITE </w:instrText>
            </w:r>
            <w:r>
              <w:fldChar w:fldCharType="begin">
                <w:fldData>PEVuZE5vdGU+PENpdGU+PEF1dGhvcj5TcG9zaXRvPC9BdXRob3I+PFllYXI+MjAyNjwvWWVhcj48UmVjTnVtPjE5PC9SZWNOdW0+PERpc3BsYXlUZXh0PltWMTItMTldPC9EaXNwbGF5VGV4dD48cmVjb3JkPjxyZWMtbnVtYmVyPjE5PC9yZWMtbnVtYmVyPjxmb3JlaWduLWtleXM+PGtleSBhcHA9IkVOIiBkYi1pZD0iYTNhYWZkZmMtNmMxOC01MjJjLThhNjgtZmEwYWQyOGY1MWQyIiB0aW1lc3RhbXA9IjE3OTI5MjEwODciPjE5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[V12-19]</w:t>
            </w:r>
            <w:r>
              <w:fldChar w:fldCharType="end"/>
            </w:r>
          </w:p>
          <w:p>
            <w:pPr>
              <w:pStyle w:val="Normal"/>
              <w:widowControl/>
              <w:spacing w:before="60" w:after="20"/>
            </w:pPr>
            <w:r>
              <w:t xml:space="preserve">Retrospective analysis of prospectively collected databases at five Italian centers, 2010–2023: 240 consecutive Y90-TARE-treated HCC/PVTT patients; 61 achieved sustained downstaging and 37 underwent deceased-donor LT.</w:t>
            </w:r>
          </w:p>
          <w:p>
            <w:pPr>
              <w:pStyle w:val="Normal"/>
              <w:widowControl/>
              <w:spacing w:before="60" w:after="20"/>
            </w:pPr>
            <w:r>
              <w:t xml:space="preserve">Selection: Age &lt;70 years, ECOG 0–1, measurable HCC, no extrahepatic disease, hepatic-vein involvement or main-portal-trunk involvement. Study anatomy: PV1 segmentary (84), PV2 secondary-order branch (76), PV3 first-order branch (80); these are all-240 baseline groups, not transplanted-grade denominators. No unified prespecified downstaging protocol. All centers required at least six months of radiological response after TARE; Center 3 required complete PVTT response, four centers accepted partial response. Tumor criteria varied between up-to-seven, Metroticket predicted five-year survival &gt;60%, and Milan; AFP ceilings varied &lt;100, &lt;400 and &lt;1,000 ng/mL. Median TARE-to-LT interval 17 months (IQR 10–19), not a required minimum; median listed wait 90 days (32–210). All grafts DBD/DCD, not LDLT.</w:t>
            </w:r>
          </w:p>
          <w:p>
            <w:pPr>
              <w:pStyle w:val="Normal"/>
              <w:widowControl/>
              <w:spacing w:before="60" w:after="20"/>
            </w:pPr>
            <w:hyperlink r:id="rId66">
              <w:r>
                <w:rPr>
                  <w:color w:val="77230C"/>
                  <w:sz w:val="20"/>
                  <w:u w:val="single"/>
                </w:rPr>
                <w:t>Primary source</w:t>
              </w:r>
            </w:hyperlink>
            <w:r>
              <w:t xml:space="preserve"> | </w:t>
            </w:r>
            <w:hyperlink r:id="rId67">
              <w:r>
                <w:rPr>
                  <w:color w:val="77230C"/>
                  <w:sz w:val="20"/>
                  <w:u w:val="single"/>
                </w:rPr>
                <w:t>Full-text PDF</w:t>
              </w:r>
            </w:hyperlink>
          </w:p>
          <w:p>
            <w:pPr>
              <w:pStyle w:val="Normal"/>
              <w:widowControl/>
              <w:spacing w:before="60" w:after="20"/>
            </w:pPr>
            <w:r>
              <w:t xml:space="preserve">Locator: Complete 12-page PDF including visual abstract. Methods/selection p4; endpoint definitions and all-240 outcomes p5; flow, central review and recipient results p6/Figure 1; baseline anatomy p7/Table 1; harms/explant p8/Table 2; survival and at-risk counts p9/Figure 3; exploratory subgroups p10/Table 3; response uncertainty and limitations p11.</w:t>
            </w:r>
          </w:p>
          <w:p>
            <w:pPr>
              <w:pStyle w:val="Normal"/>
              <w:widowControl/>
              <w:spacing w:before="60" w:after="20"/>
            </w:pPr>
            <w:r>
              <w:t xml:space="preserve">Review depth: Complete 12-page main PDF read and figures/tables visually checked; title and DOI matched. External supplementary tables S1/S2 and STROBE checklist not available/reviewed.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Pathway: 118/240 had CR/PR within six months; 61/240 (25.4%) had sustained downstaging, 37/240 (15.4%) reached LT. Of 61 downstaged, 24 were not listed: nine age/comorbidity, six conversion to resection, nine refusal/noncompliance. No dropout among the 37 actually listed does not mean no pathway attrition. All-240 survival from TARE: median OS 14.1 months (reported interval 11.1–17.1); one/three/five-year OS 53.7%/27.2%/18.9%, with 184 deaths and median follow-up 65.2 months. Among all 37 recipients, including four perioperative deaths: three/five-year OS 67.2%/61.6%; six recurrences (16.2% crude count); author RFS 79.3% at three and five years, censoring death without recurrence. Median recipient follow-up 56.7 months; only eight patients at risk at five years in Figure 3A. Complete pathological necrosis 21/37 (56.7%); persistent pathological macrovascular invasion 11/37, including viable vascular thrombus in 8/37 (21.6%). Among the 61 downstaged, cancer-related death at 60 months from successful downstaging was 15.8% with LT versus 45.2% without LT (sHR 0.221, 95% CI 0.071–0.683; p=0.0087); this is an observational association. No grade-specific recipient survival/recurrence estimates are reported in the main paper. Harms: Post-TARE liver decompensation occurred in 56/240 (23.3%); symptomatic radiation-induced lung toxicity in 3/240 (1.2%), not classified as treatment-related mortality. LT major Dindo–Clavien grade ≥3 complications occurred in 13/37 (35.1%); four perioperative deaths among 37 recipients (10.8%, calculated). The paper does not specify a 30- or 90-day definition for those four deaths.</w:t>
            </w:r>
          </w:p>
          <w:p>
            <w:pPr>
              <w:pStyle w:val="Normal"/>
              <w:widowControl/>
              <w:spacing w:before="60" w:after="20"/>
            </w:pPr>
            <w:r>
              <w:rPr>
                <w:b/>
              </w:rPr>
              <w:t xml:space="preserve">Do not infer: </w:t>
            </w:r>
            <w:r>
              <w:t xml:space="preserve">Selected-recipient outcomes cannot be applied to all 240 entrants. No randomized comparator against contemporary systemic therapy; heterogeneous treatment/selection, calendar-era effects, comorbidity and response differences, and timing/selection bias remain. Non-LT downstaged patients had fewer complete responses (29.2% vs 62.2%); a time-dependent LT/immortal-time correction is not explicitly described. Radiological extent changed on central review in 16/31 available cases (four upgrades, twelve downgrades). Post-radiation enhancement may complicate vascular-response interpretation, and response did not exclude viable PVTT. Table 3 univariable age &gt;65 (n=4), AFP &gt;100 (n=3), size &gt;50 mm (n=6), and partial best response (n=14) associations do not validate hard eligibility cutoffs; no variable significantly predicted RFS. Figure 1's ineffective-downstaging subcounts 18+27+14 sum to 59, not the stated 57; the 14-death label is printed as 6.3%. Use the coherent main cohort totals without inventing a correction. Possible overlap with earlier Italian reports must not be pooled as independent evidence. External tables S1/S2 and STROBE supplement were not available for this review. Endpoint/time origin: Three distinct origins: TARE for all-240 OS; date of successful downstaging for the 61-patient cancer-death comparison; LT for recipient OS/RFS. RFS treats recurrence as the event and censors death without recurrence: 79.3% is neither alive-and-recurrence-free survival nor a competing-risk estimate. Six recurrences/37 is a crude follow-up count, not five-year recurrence risk. Do not calculate recurrence incidence as 1 minus RFS. The recipient-only competing-risk cancer-death estimate at five years is 17%, not the 15.8% comparison starting at downstaging.</w:t>
            </w:r>
          </w:p>
        </w:tc>
      </w:tr>
    </w:tbl>
    <w:p>
      <w:pPr>
        <w:pStyle w:val="Heading3"/>
        <w:keepNext/>
        <w:widowControl/>
      </w:pPr>
      <w:r>
        <w:t xml:space="preserve">PVTT outcomes underlying the open anatomy boundary</w:t>
      </w:r>
    </w:p>
    <w:p>
      <w:pPr>
        <w:pStyle w:val="Normal"/>
        <w:widowControl/>
      </w:pPr>
      <w:r>
        <w:t xml:space="preserve">The evidence supports studying carefully selected patients, but does not validate a universal Vp2/Vp3 cutoff. The following are outcomes after transplantation in selected recipients, not the chance of benefit from the start of downstaging. OS means overall survival; DFS/RFS retain each paper’s terminology. Observed recurrence is a crude count over available follow-up, not a fixed-time cumulative incidence.</w:t>
      </w:r>
    </w:p>
    <w:p>
      <w:pPr>
        <w:pStyle w:val="Heading3"/>
        <w:keepNext/>
        <w:widowControl/>
      </w:pPr>
      <w:r>
        <w:t xml:space="preserve">Individual Vp grades in the largest LDLT cohort reviewed</w:t>
      </w:r>
    </w:p>
    <w:p>
      <w:pPr>
        <w:pStyle w:val="Normal"/>
        <w:keepNext/>
        <w:widowControl/>
      </w:pPr>
      <w:r>
        <w:t xml:space="preserve">Yoon 2026: 137 recipients, Asan, 1997–2022; median follow-up 38.3 months. Record original highest Vp extent and current viable extent separately; do not re-label historical Vp4 as Vp1 after response.</w:t>
      </w:r>
      <w:r>
        <w:t xml:space="preserve"> </w:t>
      </w:r>
      <w:r>
        <w:t xml:space="preserve"> </w:t>
      </w:r>
      <w:r>
        <w:fldChar w:fldCharType="begin"/>
      </w:r>
      <w:r>
        <w:instrText xml:space="preserve"> ADDIN EN.CITE </w:instrText>
      </w:r>
      <w:r>
        <w:fldChar w:fldCharType="begin">
          <w:fldData>PEVuZE5vdGU+PENpdGU+PEF1dGhvcj5Zb29uPC9BdXRob3I+PFllYXI+MjAyNjwvWWVhcj48UmVjTnVtPjEzPC9SZWNOdW0+PERpc3BsYXlUZXh0PltWMTItMTNdPC9EaXNwbGF5VGV4dD48cmVjb3JkPjxyZWMtbnVtYmVyPjEzPC9yZWMtbnVtYmVyPjxmb3JlaWduLWtleXM+PGtleSBhcHA9IkVOIiBkYi1pZD0iYTNhYWZkZmMtNmMxOC01MjJjLThhNjgtZmEwYWQyOGY1MWQyIiB0aW1lc3RhbXA9IjE3OTI5MjEwODciPjEz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tbl>
      <w:tblPr>
        <w:tblW w:w="90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2650"/>
        <w:gridCol w:w="500"/>
        <w:gridCol w:w="1150"/>
        <w:gridCol w:w="1150"/>
        <w:gridCol w:w="3550"/>
      </w:tblGrid>
      <w:tr>
        <w:trPr>
          <w:cantSplit/>
          <w:tblHeader/>
        </w:trPr>
        <w:tc>
          <w:tcPr>
            <w:tcW w:w="2650" w:type="dxa"/>
            <w:vAlign w:val="center"/>
            <w:tcMar>
              <w:top w:w="90" w:type="dxa"/>
              <w:left w:w="90" w:type="dxa"/>
              <w:bottom w:w="90" w:type="dxa"/>
              <w:right w:w="90" w:type="dxa"/>
            </w:tcMar>
            <w:shd w:fill="DCE6F1"/>
          </w:tcPr>
          <w:p>
            <w:pPr>
              <w:pStyle w:val="Normal"/>
              <w:widowControl/>
              <w:spacing w:before="60" w:after="20"/>
            </w:pPr>
            <w:r>
              <w:rPr>
                <w:b/>
              </w:rPr>
              <w:t xml:space="preserve">Vp grade and vessel</w:t>
            </w:r>
          </w:p>
        </w:tc>
        <w:tc>
          <w:tcPr>
            <w:tcW w:w="500" w:type="dxa"/>
            <w:vAlign w:val="center"/>
            <w:tcMar>
              <w:top w:w="90" w:type="dxa"/>
              <w:left w:w="90" w:type="dxa"/>
              <w:bottom w:w="90" w:type="dxa"/>
              <w:right w:w="90" w:type="dxa"/>
            </w:tcMar>
            <w:shd w:fill="DCE6F1"/>
          </w:tcPr>
          <w:p>
            <w:pPr>
              <w:pStyle w:val="Normal"/>
              <w:widowControl/>
              <w:spacing w:before="60" w:after="20"/>
              <w:jc w:val="center"/>
            </w:pPr>
            <w:r>
              <w:rPr>
                <w:b/>
              </w:rPr>
              <w:t xml:space="preserve">n</w:t>
            </w:r>
          </w:p>
        </w:tc>
        <w:tc>
          <w:tcPr>
            <w:tcW w:w="1150" w:type="dxa"/>
            <w:vAlign w:val="center"/>
            <w:tcMar>
              <w:top w:w="90" w:type="dxa"/>
              <w:left w:w="90" w:type="dxa"/>
              <w:bottom w:w="90" w:type="dxa"/>
              <w:right w:w="90" w:type="dxa"/>
            </w:tcMar>
            <w:shd w:fill="DCE6F1"/>
          </w:tcPr>
          <w:p>
            <w:pPr>
              <w:pStyle w:val="Normal"/>
              <w:widowControl/>
              <w:spacing w:before="60" w:after="20"/>
              <w:jc w:val="center"/>
            </w:pPr>
            <w:r>
              <w:rPr>
                <w:b/>
              </w:rPr>
              <w:t xml:space="preserve">5-year OS</w:t>
            </w:r>
          </w:p>
        </w:tc>
        <w:tc>
          <w:tcPr>
            <w:tcW w:w="1150" w:type="dxa"/>
            <w:vAlign w:val="center"/>
            <w:tcMar>
              <w:top w:w="90" w:type="dxa"/>
              <w:left w:w="90" w:type="dxa"/>
              <w:bottom w:w="90" w:type="dxa"/>
              <w:right w:w="90" w:type="dxa"/>
            </w:tcMar>
            <w:shd w:fill="DCE6F1"/>
          </w:tcPr>
          <w:p>
            <w:pPr>
              <w:pStyle w:val="Normal"/>
              <w:widowControl/>
              <w:spacing w:before="60" w:after="20"/>
              <w:jc w:val="center"/>
            </w:pPr>
            <w:r>
              <w:rPr>
                <w:b/>
              </w:rPr>
              <w:t xml:space="preserve">5-year DFS</w:t>
            </w:r>
          </w:p>
        </w:tc>
        <w:tc>
          <w:tcPr>
            <w:tcW w:w="3550" w:type="dxa"/>
            <w:vAlign w:val="center"/>
            <w:tcMar>
              <w:top w:w="90" w:type="dxa"/>
              <w:left w:w="90" w:type="dxa"/>
              <w:bottom w:w="90" w:type="dxa"/>
              <w:right w:w="90" w:type="dxa"/>
            </w:tcMar>
            <w:shd w:fill="DCE6F1"/>
          </w:tcPr>
          <w:p>
            <w:pPr>
              <w:pStyle w:val="Normal"/>
              <w:widowControl/>
              <w:spacing w:before="60" w:after="20"/>
              <w:jc w:val="center"/>
            </w:pPr>
            <w:r>
              <w:rPr>
                <w:b/>
              </w:rPr>
              <w:t xml:space="preserve">Observed recurrence</w:t>
            </w:r>
          </w:p>
        </w:tc>
      </w:tr>
      <w:tr>
        <w:trPr>
          <w:cantSplit/>
        </w:trPr>
        <w:tc>
          <w:tcPr>
            <w:tcW w:w="2650" w:type="dxa"/>
            <w:vAlign w:val="center"/>
            <w:tcMar>
              <w:top w:w="90" w:type="dxa"/>
              <w:left w:w="90" w:type="dxa"/>
              <w:bottom w:w="90" w:type="dxa"/>
              <w:right w:w="90" w:type="dxa"/>
            </w:tcMar>
            <w:shd w:fill="FFFFFF"/>
          </w:tcPr>
          <w:p>
            <w:pPr>
              <w:pStyle w:val="Normal"/>
              <w:widowControl/>
              <w:spacing w:before="60" w:after="20"/>
            </w:pPr>
            <w:r>
              <w:t xml:space="preserve">Vp1</w:t>
            </w:r>
            <w:r>
              <w:br/>
            </w:r>
            <w:r>
              <w:t xml:space="preserve">Peripheral to second-order branches</w:t>
            </w:r>
          </w:p>
        </w:tc>
        <w:tc>
          <w:tcPr>
            <w:tcW w:w="500" w:type="dxa"/>
            <w:vAlign w:val="center"/>
            <w:tcMar>
              <w:top w:w="90" w:type="dxa"/>
              <w:left w:w="90" w:type="dxa"/>
              <w:bottom w:w="90" w:type="dxa"/>
              <w:right w:w="90" w:type="dxa"/>
            </w:tcMar>
            <w:shd w:fill="FFFFFF"/>
          </w:tcPr>
          <w:p>
            <w:pPr>
              <w:pStyle w:val="Normal"/>
              <w:widowControl/>
              <w:spacing w:before="60" w:after="20"/>
              <w:jc w:val="center"/>
            </w:pPr>
            <w:r>
              <w:t xml:space="preserve">51</w:t>
            </w:r>
          </w:p>
        </w:tc>
        <w:tc>
          <w:tcPr>
            <w:tcW w:w="1150" w:type="dxa"/>
            <w:vAlign w:val="center"/>
            <w:tcMar>
              <w:top w:w="90" w:type="dxa"/>
              <w:left w:w="90" w:type="dxa"/>
              <w:bottom w:w="90" w:type="dxa"/>
              <w:right w:w="90" w:type="dxa"/>
            </w:tcMar>
            <w:shd w:fill="FFFFFF"/>
          </w:tcPr>
          <w:p>
            <w:pPr>
              <w:pStyle w:val="Normal"/>
              <w:widowControl/>
              <w:spacing w:before="60" w:after="20"/>
              <w:jc w:val="center"/>
            </w:pPr>
            <w:r>
              <w:t xml:space="preserve">69.5%</w:t>
            </w:r>
          </w:p>
        </w:tc>
        <w:tc>
          <w:tcPr>
            <w:tcW w:w="1150" w:type="dxa"/>
            <w:vAlign w:val="center"/>
            <w:tcMar>
              <w:top w:w="90" w:type="dxa"/>
              <w:left w:w="90" w:type="dxa"/>
              <w:bottom w:w="90" w:type="dxa"/>
              <w:right w:w="90" w:type="dxa"/>
            </w:tcMar>
            <w:shd w:fill="FFFFFF"/>
          </w:tcPr>
          <w:p>
            <w:pPr>
              <w:pStyle w:val="Normal"/>
              <w:widowControl/>
              <w:spacing w:before="60" w:after="20"/>
              <w:jc w:val="center"/>
            </w:pPr>
            <w:r>
              <w:t xml:space="preserve">56.2%</w:t>
            </w:r>
          </w:p>
        </w:tc>
        <w:tc>
          <w:tcPr>
            <w:tcW w:w="3550" w:type="dxa"/>
            <w:vAlign w:val="center"/>
            <w:tcMar>
              <w:top w:w="90" w:type="dxa"/>
              <w:left w:w="90" w:type="dxa"/>
              <w:bottom w:w="90" w:type="dxa"/>
              <w:right w:w="90" w:type="dxa"/>
            </w:tcMar>
            <w:shd w:fill="FFFFFF"/>
          </w:tcPr>
          <w:p>
            <w:pPr>
              <w:pStyle w:val="Normal"/>
              <w:widowControl/>
              <w:spacing w:before="60" w:after="20"/>
              <w:jc w:val="center"/>
            </w:pPr>
            <w:r>
              <w:t xml:space="preserve">Not separately tabulated</w:t>
            </w:r>
          </w:p>
        </w:tc>
      </w:tr>
      <w:tr>
        <w:trPr>
          <w:cantSplit/>
        </w:trPr>
        <w:tc>
          <w:tcPr>
            <w:tcW w:w="2650" w:type="dxa"/>
            <w:vAlign w:val="center"/>
            <w:tcMar>
              <w:top w:w="90" w:type="dxa"/>
              <w:left w:w="90" w:type="dxa"/>
              <w:bottom w:w="90" w:type="dxa"/>
              <w:right w:w="90" w:type="dxa"/>
            </w:tcMar>
            <w:shd w:fill="F5F7F9"/>
          </w:tcPr>
          <w:p>
            <w:pPr>
              <w:pStyle w:val="Normal"/>
              <w:widowControl/>
              <w:spacing w:before="60" w:after="20"/>
            </w:pPr>
            <w:r>
              <w:t xml:space="preserve">Vp2</w:t>
            </w:r>
            <w:r>
              <w:br/>
            </w:r>
            <w:r>
              <w:t xml:space="preserve">Second-order branches</w:t>
            </w:r>
          </w:p>
        </w:tc>
        <w:tc>
          <w:tcPr>
            <w:tcW w:w="500" w:type="dxa"/>
            <w:vAlign w:val="center"/>
            <w:tcMar>
              <w:top w:w="90" w:type="dxa"/>
              <w:left w:w="90" w:type="dxa"/>
              <w:bottom w:w="90" w:type="dxa"/>
              <w:right w:w="90" w:type="dxa"/>
            </w:tcMar>
            <w:shd w:fill="F5F7F9"/>
          </w:tcPr>
          <w:p>
            <w:pPr>
              <w:pStyle w:val="Normal"/>
              <w:widowControl/>
              <w:spacing w:before="60" w:after="20"/>
              <w:jc w:val="center"/>
            </w:pPr>
            <w:r>
              <w:t xml:space="preserve">36</w:t>
            </w:r>
          </w:p>
        </w:tc>
        <w:tc>
          <w:tcPr>
            <w:tcW w:w="1150" w:type="dxa"/>
            <w:vAlign w:val="center"/>
            <w:tcMar>
              <w:top w:w="90" w:type="dxa"/>
              <w:left w:w="90" w:type="dxa"/>
              <w:bottom w:w="90" w:type="dxa"/>
              <w:right w:w="90" w:type="dxa"/>
            </w:tcMar>
            <w:shd w:fill="F5F7F9"/>
          </w:tcPr>
          <w:p>
            <w:pPr>
              <w:pStyle w:val="Normal"/>
              <w:widowControl/>
              <w:spacing w:before="60" w:after="20"/>
              <w:jc w:val="center"/>
            </w:pPr>
            <w:r>
              <w:t xml:space="preserve">Not tabulated</w:t>
            </w:r>
          </w:p>
        </w:tc>
        <w:tc>
          <w:tcPr>
            <w:tcW w:w="1150" w:type="dxa"/>
            <w:vAlign w:val="center"/>
            <w:tcMar>
              <w:top w:w="90" w:type="dxa"/>
              <w:left w:w="90" w:type="dxa"/>
              <w:bottom w:w="90" w:type="dxa"/>
              <w:right w:w="90" w:type="dxa"/>
            </w:tcMar>
            <w:shd w:fill="F5F7F9"/>
          </w:tcPr>
          <w:p>
            <w:pPr>
              <w:pStyle w:val="Normal"/>
              <w:widowControl/>
              <w:spacing w:before="60" w:after="20"/>
              <w:jc w:val="center"/>
            </w:pPr>
            <w:r>
              <w:t xml:space="preserve">Not tabulated</w:t>
            </w:r>
          </w:p>
        </w:tc>
        <w:tc>
          <w:tcPr>
            <w:tcW w:w="3550" w:type="dxa"/>
            <w:vAlign w:val="center"/>
            <w:tcMar>
              <w:top w:w="90" w:type="dxa"/>
              <w:left w:w="90" w:type="dxa"/>
              <w:bottom w:w="90" w:type="dxa"/>
              <w:right w:w="90" w:type="dxa"/>
            </w:tcMar>
            <w:shd w:fill="F5F7F9"/>
          </w:tcPr>
          <w:p>
            <w:pPr>
              <w:pStyle w:val="Normal"/>
              <w:widowControl/>
              <w:spacing w:before="60" w:after="20"/>
              <w:jc w:val="center"/>
            </w:pPr>
            <w:r>
              <w:t xml:space="preserve">Not separately tabulated</w:t>
            </w:r>
          </w:p>
        </w:tc>
      </w:tr>
      <w:tr>
        <w:trPr>
          <w:cantSplit/>
        </w:trPr>
        <w:tc>
          <w:tcPr>
            <w:tcW w:w="2650" w:type="dxa"/>
            <w:vAlign w:val="center"/>
            <w:tcMar>
              <w:top w:w="90" w:type="dxa"/>
              <w:left w:w="90" w:type="dxa"/>
              <w:bottom w:w="90" w:type="dxa"/>
              <w:right w:w="90" w:type="dxa"/>
            </w:tcMar>
            <w:shd w:fill="FFFFFF"/>
          </w:tcPr>
          <w:p>
            <w:pPr>
              <w:pStyle w:val="Normal"/>
              <w:widowControl/>
              <w:spacing w:before="60" w:after="20"/>
            </w:pPr>
            <w:r>
              <w:t xml:space="preserve">Vp3</w:t>
            </w:r>
            <w:r>
              <w:br/>
            </w:r>
            <w:r>
              <w:t xml:space="preserve">First-order right or left branch</w:t>
            </w:r>
          </w:p>
        </w:tc>
        <w:tc>
          <w:tcPr>
            <w:tcW w:w="500" w:type="dxa"/>
            <w:vAlign w:val="center"/>
            <w:tcMar>
              <w:top w:w="90" w:type="dxa"/>
              <w:left w:w="90" w:type="dxa"/>
              <w:bottom w:w="90" w:type="dxa"/>
              <w:right w:w="90" w:type="dxa"/>
            </w:tcMar>
            <w:shd w:fill="FFFFFF"/>
          </w:tcPr>
          <w:p>
            <w:pPr>
              <w:pStyle w:val="Normal"/>
              <w:widowControl/>
              <w:spacing w:before="60" w:after="20"/>
              <w:jc w:val="center"/>
            </w:pPr>
            <w:r>
              <w:t xml:space="preserve">36</w:t>
            </w:r>
          </w:p>
        </w:tc>
        <w:tc>
          <w:tcPr>
            <w:tcW w:w="1150" w:type="dxa"/>
            <w:vAlign w:val="center"/>
            <w:tcMar>
              <w:top w:w="90" w:type="dxa"/>
              <w:left w:w="90" w:type="dxa"/>
              <w:bottom w:w="90" w:type="dxa"/>
              <w:right w:w="90" w:type="dxa"/>
            </w:tcMar>
            <w:shd w:fill="FFFFFF"/>
          </w:tcPr>
          <w:p>
            <w:pPr>
              <w:pStyle w:val="Normal"/>
              <w:widowControl/>
              <w:spacing w:before="60" w:after="20"/>
              <w:jc w:val="center"/>
            </w:pPr>
            <w:r>
              <w:t xml:space="preserve">Not tabulated</w:t>
            </w:r>
          </w:p>
        </w:tc>
        <w:tc>
          <w:tcPr>
            <w:tcW w:w="1150" w:type="dxa"/>
            <w:vAlign w:val="center"/>
            <w:tcMar>
              <w:top w:w="90" w:type="dxa"/>
              <w:left w:w="90" w:type="dxa"/>
              <w:bottom w:w="90" w:type="dxa"/>
              <w:right w:w="90" w:type="dxa"/>
            </w:tcMar>
            <w:shd w:fill="FFFFFF"/>
          </w:tcPr>
          <w:p>
            <w:pPr>
              <w:pStyle w:val="Normal"/>
              <w:widowControl/>
              <w:spacing w:before="60" w:after="20"/>
              <w:jc w:val="center"/>
            </w:pPr>
            <w:r>
              <w:t xml:space="preserve">Not tabulated</w:t>
            </w:r>
          </w:p>
        </w:tc>
        <w:tc>
          <w:tcPr>
            <w:tcW w:w="3550" w:type="dxa"/>
            <w:vAlign w:val="center"/>
            <w:tcMar>
              <w:top w:w="90" w:type="dxa"/>
              <w:left w:w="90" w:type="dxa"/>
              <w:bottom w:w="90" w:type="dxa"/>
              <w:right w:w="90" w:type="dxa"/>
            </w:tcMar>
            <w:shd w:fill="FFFFFF"/>
          </w:tcPr>
          <w:p>
            <w:pPr>
              <w:pStyle w:val="Normal"/>
              <w:widowControl/>
              <w:spacing w:before="60" w:after="20"/>
              <w:jc w:val="center"/>
            </w:pPr>
            <w:r>
              <w:t xml:space="preserve">Not separately tabulated</w:t>
            </w:r>
          </w:p>
        </w:tc>
      </w:tr>
      <w:tr>
        <w:trPr>
          <w:cantSplit/>
        </w:trPr>
        <w:tc>
          <w:tcPr>
            <w:tcW w:w="2650" w:type="dxa"/>
            <w:vAlign w:val="center"/>
            <w:tcMar>
              <w:top w:w="90" w:type="dxa"/>
              <w:left w:w="90" w:type="dxa"/>
              <w:bottom w:w="90" w:type="dxa"/>
              <w:right w:w="90" w:type="dxa"/>
            </w:tcMar>
            <w:shd w:fill="F5F7F9"/>
          </w:tcPr>
          <w:p>
            <w:pPr>
              <w:pStyle w:val="Normal"/>
              <w:widowControl/>
              <w:spacing w:before="60" w:after="20"/>
            </w:pPr>
            <w:r>
              <w:t xml:space="preserve">Vp4</w:t>
            </w:r>
            <w:r>
              <w:br/>
            </w:r>
            <w:r>
              <w:t xml:space="preserve">Main trunk and/or contralateral branch</w:t>
            </w:r>
          </w:p>
        </w:tc>
        <w:tc>
          <w:tcPr>
            <w:tcW w:w="500" w:type="dxa"/>
            <w:vAlign w:val="center"/>
            <w:tcMar>
              <w:top w:w="90" w:type="dxa"/>
              <w:left w:w="90" w:type="dxa"/>
              <w:bottom w:w="90" w:type="dxa"/>
              <w:right w:w="90" w:type="dxa"/>
            </w:tcMar>
            <w:shd w:fill="F5F7F9"/>
          </w:tcPr>
          <w:p>
            <w:pPr>
              <w:pStyle w:val="Normal"/>
              <w:widowControl/>
              <w:spacing w:before="60" w:after="20"/>
              <w:jc w:val="center"/>
            </w:pPr>
            <w:r>
              <w:t xml:space="preserve">14</w:t>
            </w:r>
          </w:p>
        </w:tc>
        <w:tc>
          <w:tcPr>
            <w:tcW w:w="1150" w:type="dxa"/>
            <w:vAlign w:val="center"/>
            <w:tcMar>
              <w:top w:w="90" w:type="dxa"/>
              <w:left w:w="90" w:type="dxa"/>
              <w:bottom w:w="90" w:type="dxa"/>
              <w:right w:w="90" w:type="dxa"/>
            </w:tcMar>
            <w:shd w:fill="F5F7F9"/>
          </w:tcPr>
          <w:p>
            <w:pPr>
              <w:pStyle w:val="Normal"/>
              <w:widowControl/>
              <w:spacing w:before="60" w:after="20"/>
              <w:jc w:val="center"/>
            </w:pPr>
            <w:r>
              <w:t xml:space="preserve">50.0%</w:t>
            </w:r>
          </w:p>
        </w:tc>
        <w:tc>
          <w:tcPr>
            <w:tcW w:w="1150" w:type="dxa"/>
            <w:vAlign w:val="center"/>
            <w:tcMar>
              <w:top w:w="90" w:type="dxa"/>
              <w:left w:w="90" w:type="dxa"/>
              <w:bottom w:w="90" w:type="dxa"/>
              <w:right w:w="90" w:type="dxa"/>
            </w:tcMar>
            <w:shd w:fill="F5F7F9"/>
          </w:tcPr>
          <w:p>
            <w:pPr>
              <w:pStyle w:val="Normal"/>
              <w:widowControl/>
              <w:spacing w:before="60" w:after="20"/>
              <w:jc w:val="center"/>
            </w:pPr>
            <w:r>
              <w:t xml:space="preserve">34.3%</w:t>
            </w:r>
          </w:p>
        </w:tc>
        <w:tc>
          <w:tcPr>
            <w:tcW w:w="3550" w:type="dxa"/>
            <w:vAlign w:val="center"/>
            <w:tcMar>
              <w:top w:w="90" w:type="dxa"/>
              <w:left w:w="90" w:type="dxa"/>
              <w:bottom w:w="90" w:type="dxa"/>
              <w:right w:w="90" w:type="dxa"/>
            </w:tcMar>
            <w:shd w:fill="F5F7F9"/>
          </w:tcPr>
          <w:p>
            <w:pPr>
              <w:pStyle w:val="Normal"/>
              <w:widowControl/>
              <w:spacing w:before="60" w:after="20"/>
              <w:jc w:val="center"/>
            </w:pPr>
            <w:r>
              <w:t xml:space="preserve">9/14 (64.3%), counted from Table 2; not a five-year risk</w:t>
            </w:r>
          </w:p>
        </w:tc>
      </w:tr>
    </w:tbl>
    <w:p>
      <w:pPr>
        <w:pStyle w:val="Normal"/>
        <w:widowControl/>
        <w:spacing w:before="60" w:after="20"/>
      </w:pPr>
      <w:r>
        <w:t xml:space="preserve">Source locators: Table 1, Results p7261, Table 2 p7264 and Figure 1 p7265. The Vp2/Vp3 survival curves are shown, but exact five-year estimates are not supplied numerically; no values have been guessed from the graph.</w:t>
      </w:r>
      <w:r>
        <w:t xml:space="preserve"> </w:t>
      </w:r>
      <w:r>
        <w:t xml:space="preserve"> </w:t>
      </w:r>
      <w:r>
        <w:fldChar w:fldCharType="begin"/>
      </w:r>
      <w:r>
        <w:instrText xml:space="preserve"> ADDIN EN.CITE </w:instrText>
      </w:r>
      <w:r>
        <w:fldChar w:fldCharType="begin">
          <w:fldData>PEVuZE5vdGU+PENpdGU+PEF1dGhvcj5Zb29uPC9BdXRob3I+PFllYXI+MjAyNjwvWWVhcj48UmVjTnVtPjEzPC9SZWNOdW0+PERpc3BsYXlUZXh0PltWMTItMTNdPC9EaXNwbGF5VGV4dD48cmVjb3JkPjxyZWMtbnVtYmVyPjEzPC9yZWMtbnVtYmVyPjxmb3JlaWduLWtleXM+PGtleSBhcHA9IkVOIiBkYi1pZD0iYTNhYWZkZmMtNmMxOC01MjJjLThhNjgtZmEwYWQyOGY1MWQyIiB0aW1lc3RhbXA9IjE3OTI5MjEwODciPjEz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p>
      <w:pPr>
        <w:pStyle w:val="Normal"/>
        <w:widowControl/>
        <w:spacing w:before="60" w:after="20"/>
      </w:pPr>
      <w:hyperlink r:id="rId68">
        <w:r>
          <w:rPr>
            <w:color w:val="77230C"/>
            <w:sz w:val="20"/>
            <w:u w:val="single"/>
          </w:rPr>
          <w:t>Yoon 2026</w:t>
        </w:r>
      </w:hyperlink>
      <w:r>
        <w:t xml:space="preserve"> — </w:t>
      </w:r>
      <w:hyperlink r:id="rId69">
        <w:r>
          <w:rPr>
            <w:color w:val="77230C"/>
            <w:sz w:val="20"/>
            <w:u w:val="single"/>
          </w:rPr>
          <w:t>Full-text PDF</w:t>
        </w:r>
      </w:hyperlink>
    </w:p>
    <w:p>
      <w:pPr>
        <w:pStyle w:val="Normal"/>
        <w:widowControl/>
        <w:spacing w:before="60" w:after="20"/>
      </w:pPr>
      <w:r>
        <w:t xml:space="preserve">Vp4 recurrence was independently counted from the 14 Table 2 rows. Grade-specific recurrence counts for Vp1–3 were not separately reported. Neither 100 minus DFS nor 100 minus RFS is relabeled as recurrence. Different event definitions, death handling and follow-up preclude that substitution.</w:t>
      </w:r>
    </w:p>
    <w:p>
      <w:pPr>
        <w:pStyle w:val="Heading3"/>
        <w:keepNext/>
        <w:widowControl/>
      </w:pPr>
      <w:r>
        <w:t xml:space="preserve">Anatomy comparisons in other transplant cohorts</w:t>
      </w:r>
    </w:p>
    <w:tbl>
      <w:tblPr>
        <w:tblW w:w="91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3350"/>
        <w:gridCol w:w="1350"/>
        <w:gridCol w:w="1550"/>
        <w:gridCol w:w="2850"/>
      </w:tblGrid>
      <w:tr>
        <w:trPr>
          <w:cantSplit/>
          <w:tblHeader/>
        </w:trPr>
        <w:tc>
          <w:tcPr>
            <w:tcW w:w="3350" w:type="dxa"/>
            <w:vAlign w:val="center"/>
            <w:tcMar>
              <w:top w:w="90" w:type="dxa"/>
              <w:left w:w="90" w:type="dxa"/>
              <w:bottom w:w="90" w:type="dxa"/>
              <w:right w:w="90" w:type="dxa"/>
            </w:tcMar>
            <w:shd w:fill="DCE6F1"/>
          </w:tcPr>
          <w:p>
            <w:pPr>
              <w:pStyle w:val="Normal"/>
              <w:widowControl/>
              <w:spacing w:before="60" w:after="20"/>
            </w:pPr>
            <w:r>
              <w:rPr>
                <w:b/>
              </w:rPr>
              <w:t xml:space="preserve">Study and reported group</w:t>
            </w:r>
          </w:p>
        </w:tc>
        <w:tc>
          <w:tcPr>
            <w:tcW w:w="1350" w:type="dxa"/>
            <w:vAlign w:val="center"/>
            <w:tcMar>
              <w:top w:w="90" w:type="dxa"/>
              <w:left w:w="90" w:type="dxa"/>
              <w:bottom w:w="90" w:type="dxa"/>
              <w:right w:w="90" w:type="dxa"/>
            </w:tcMar>
            <w:shd w:fill="DCE6F1"/>
          </w:tcPr>
          <w:p>
            <w:pPr>
              <w:pStyle w:val="Normal"/>
              <w:widowControl/>
              <w:spacing w:before="60" w:after="20"/>
              <w:jc w:val="center"/>
            </w:pPr>
            <w:r>
              <w:rPr>
                <w:b/>
              </w:rPr>
              <w:t xml:space="preserve">OS</w:t>
            </w:r>
          </w:p>
        </w:tc>
        <w:tc>
          <w:tcPr>
            <w:tcW w:w="1550" w:type="dxa"/>
            <w:vAlign w:val="center"/>
            <w:tcMar>
              <w:top w:w="90" w:type="dxa"/>
              <w:left w:w="90" w:type="dxa"/>
              <w:bottom w:w="90" w:type="dxa"/>
              <w:right w:w="90" w:type="dxa"/>
            </w:tcMar>
            <w:shd w:fill="DCE6F1"/>
          </w:tcPr>
          <w:p>
            <w:pPr>
              <w:pStyle w:val="Normal"/>
              <w:widowControl/>
              <w:spacing w:before="60" w:after="20"/>
              <w:jc w:val="center"/>
            </w:pPr>
            <w:r>
              <w:rPr>
                <w:b/>
              </w:rPr>
              <w:t xml:space="preserve">DFS or RFS</w:t>
            </w:r>
          </w:p>
        </w:tc>
        <w:tc>
          <w:tcPr>
            <w:tcW w:w="2850" w:type="dxa"/>
            <w:vAlign w:val="center"/>
            <w:tcMar>
              <w:top w:w="90" w:type="dxa"/>
              <w:left w:w="90" w:type="dxa"/>
              <w:bottom w:w="90" w:type="dxa"/>
              <w:right w:w="90" w:type="dxa"/>
            </w:tcMar>
            <w:shd w:fill="DCE6F1"/>
          </w:tcPr>
          <w:p>
            <w:pPr>
              <w:pStyle w:val="Normal"/>
              <w:widowControl/>
              <w:spacing w:before="60" w:after="20"/>
              <w:jc w:val="center"/>
            </w:pPr>
            <w:r>
              <w:rPr>
                <w:b/>
              </w:rPr>
              <w:t xml:space="preserve">Observed recurrence</w:t>
            </w:r>
          </w:p>
        </w:tc>
      </w:tr>
      <w:tr>
        <w:trPr>
          <w:cantSplit/>
        </w:trPr>
        <w:tc>
          <w:tcPr>
            <w:tcW w:w="3350" w:type="dxa"/>
            <w:vAlign w:val="center"/>
            <w:tcMar>
              <w:top w:w="90" w:type="dxa"/>
              <w:left w:w="90" w:type="dxa"/>
              <w:bottom w:w="90" w:type="dxa"/>
              <w:right w:w="90" w:type="dxa"/>
            </w:tcMar>
            <w:shd w:fill="FFFFFF"/>
          </w:tcPr>
          <w:p>
            <w:pPr>
              <w:pStyle w:val="Normal"/>
              <w:widowControl/>
              <w:spacing w:before="60" w:after="20"/>
            </w:pPr>
            <w:r>
              <w:t xml:space="preserve">Choi 2017</w:t>
            </w:r>
            <w:r>
              <w:br/>
            </w:r>
            <w:r>
              <w:t xml:space="preserve">Segmental n=27; Vp1–2-type anatomy</w:t>
            </w:r>
          </w:p>
        </w:tc>
        <w:tc>
          <w:tcPr>
            <w:tcW w:w="1350" w:type="dxa"/>
            <w:vAlign w:val="center"/>
            <w:tcMar>
              <w:top w:w="90" w:type="dxa"/>
              <w:left w:w="90" w:type="dxa"/>
              <w:bottom w:w="90" w:type="dxa"/>
              <w:right w:w="90" w:type="dxa"/>
            </w:tcMar>
            <w:shd w:fill="FFFFFF"/>
          </w:tcPr>
          <w:p>
            <w:pPr>
              <w:pStyle w:val="Normal"/>
              <w:widowControl/>
              <w:spacing w:before="60" w:after="20"/>
              <w:jc w:val="center"/>
            </w:pPr>
            <w:r>
              <w:t xml:space="preserve">50.3% at 5 y</w:t>
            </w:r>
          </w:p>
        </w:tc>
        <w:tc>
          <w:tcPr>
            <w:tcW w:w="1550" w:type="dxa"/>
            <w:vAlign w:val="center"/>
            <w:tcMar>
              <w:top w:w="90" w:type="dxa"/>
              <w:left w:w="90" w:type="dxa"/>
              <w:bottom w:w="90" w:type="dxa"/>
              <w:right w:w="90" w:type="dxa"/>
            </w:tcMar>
            <w:shd w:fill="FFFFFF"/>
          </w:tcPr>
          <w:p>
            <w:pPr>
              <w:pStyle w:val="Normal"/>
              <w:widowControl/>
              <w:spacing w:before="60" w:after="20"/>
              <w:jc w:val="center"/>
            </w:pPr>
            <w:r>
              <w:t xml:space="preserve">DFS 63.9% at 5 y</w:t>
            </w:r>
          </w:p>
        </w:tc>
        <w:tc>
          <w:tcPr>
            <w:tcW w:w="2850" w:type="dxa"/>
            <w:vAlign w:val="center"/>
            <w:tcMar>
              <w:top w:w="90" w:type="dxa"/>
              <w:left w:w="90" w:type="dxa"/>
              <w:bottom w:w="90" w:type="dxa"/>
              <w:right w:w="90" w:type="dxa"/>
            </w:tcMar>
            <w:shd w:fill="FFFFFF"/>
          </w:tcPr>
          <w:p>
            <w:pPr>
              <w:pStyle w:val="Normal"/>
              <w:widowControl/>
              <w:spacing w:before="60" w:after="20"/>
              <w:jc w:val="center"/>
            </w:pPr>
            <w:r>
              <w:t xml:space="preserve">9/27; 11/27 occult PVTT until explant</w:t>
            </w:r>
          </w:p>
        </w:tc>
      </w:tr>
      <w:tr>
        <w:trPr>
          <w:cantSplit/>
        </w:trPr>
        <w:tc>
          <w:tcPr>
            <w:tcW w:w="3350" w:type="dxa"/>
            <w:vAlign w:val="center"/>
            <w:tcMar>
              <w:top w:w="90" w:type="dxa"/>
              <w:left w:w="90" w:type="dxa"/>
              <w:bottom w:w="90" w:type="dxa"/>
              <w:right w:w="90" w:type="dxa"/>
            </w:tcMar>
            <w:shd w:fill="F5F7F9"/>
          </w:tcPr>
          <w:p>
            <w:pPr>
              <w:pStyle w:val="Normal"/>
              <w:widowControl/>
              <w:spacing w:before="60" w:after="20"/>
            </w:pPr>
            <w:r>
              <w:t xml:space="preserve">Choi 2017</w:t>
            </w:r>
            <w:r>
              <w:br/>
            </w:r>
            <w:r>
              <w:t xml:space="preserve">First-order/lobar n=7; Vp3-type anatomy</w:t>
            </w:r>
          </w:p>
        </w:tc>
        <w:tc>
          <w:tcPr>
            <w:tcW w:w="1350" w:type="dxa"/>
            <w:vAlign w:val="center"/>
            <w:tcMar>
              <w:top w:w="90" w:type="dxa"/>
              <w:left w:w="90" w:type="dxa"/>
              <w:bottom w:w="90" w:type="dxa"/>
              <w:right w:w="90" w:type="dxa"/>
            </w:tcMar>
            <w:shd w:fill="F5F7F9"/>
          </w:tcPr>
          <w:p>
            <w:pPr>
              <w:pStyle w:val="Normal"/>
              <w:widowControl/>
              <w:spacing w:before="60" w:after="20"/>
              <w:jc w:val="center"/>
            </w:pPr>
            <w:r>
              <w:t xml:space="preserve">14.3% at 5 y</w:t>
            </w:r>
          </w:p>
        </w:tc>
        <w:tc>
          <w:tcPr>
            <w:tcW w:w="1550" w:type="dxa"/>
            <w:vAlign w:val="center"/>
            <w:tcMar>
              <w:top w:w="90" w:type="dxa"/>
              <w:left w:w="90" w:type="dxa"/>
              <w:bottom w:w="90" w:type="dxa"/>
              <w:right w:w="90" w:type="dxa"/>
            </w:tcMar>
            <w:shd w:fill="F5F7F9"/>
          </w:tcPr>
          <w:p>
            <w:pPr>
              <w:pStyle w:val="Normal"/>
              <w:widowControl/>
              <w:spacing w:before="60" w:after="20"/>
              <w:jc w:val="center"/>
            </w:pPr>
            <w:r>
              <w:t xml:space="preserve">DFS 14.3% at 3 and 5 y</w:t>
            </w:r>
          </w:p>
        </w:tc>
        <w:tc>
          <w:tcPr>
            <w:tcW w:w="2850" w:type="dxa"/>
            <w:vAlign w:val="center"/>
            <w:tcMar>
              <w:top w:w="90" w:type="dxa"/>
              <w:left w:w="90" w:type="dxa"/>
              <w:bottom w:w="90" w:type="dxa"/>
              <w:right w:w="90" w:type="dxa"/>
            </w:tcMar>
            <w:shd w:fill="F5F7F9"/>
          </w:tcPr>
          <w:p>
            <w:pPr>
              <w:pStyle w:val="Normal"/>
              <w:widowControl/>
              <w:spacing w:before="60" w:after="20"/>
              <w:jc w:val="center"/>
            </w:pPr>
            <w:r>
              <w:t xml:space="preserve">6/7; four early deaths excluded from study</w:t>
            </w:r>
          </w:p>
        </w:tc>
      </w:tr>
      <w:tr>
        <w:trPr>
          <w:cantSplit/>
        </w:trPr>
        <w:tc>
          <w:tcPr>
            <w:tcW w:w="3350" w:type="dxa"/>
            <w:vAlign w:val="center"/>
            <w:tcMar>
              <w:top w:w="90" w:type="dxa"/>
              <w:left w:w="90" w:type="dxa"/>
              <w:bottom w:w="90" w:type="dxa"/>
              <w:right w:w="90" w:type="dxa"/>
            </w:tcMar>
            <w:shd w:fill="FFFFFF"/>
          </w:tcPr>
          <w:p>
            <w:pPr>
              <w:pStyle w:val="Normal"/>
              <w:widowControl/>
              <w:spacing w:before="60" w:after="20"/>
            </w:pPr>
            <w:r>
              <w:t xml:space="preserve">Yang 2020</w:t>
            </w:r>
            <w:r>
              <w:br/>
            </w:r>
            <w:r>
              <w:t xml:space="preserve">Vp2–3 combined, n=47</w:t>
            </w:r>
          </w:p>
        </w:tc>
        <w:tc>
          <w:tcPr>
            <w:tcW w:w="1350" w:type="dxa"/>
            <w:vAlign w:val="center"/>
            <w:tcMar>
              <w:top w:w="90" w:type="dxa"/>
              <w:left w:w="90" w:type="dxa"/>
              <w:bottom w:w="90" w:type="dxa"/>
              <w:right w:w="90" w:type="dxa"/>
            </w:tcMar>
            <w:shd w:fill="FFFFFF"/>
          </w:tcPr>
          <w:p>
            <w:pPr>
              <w:pStyle w:val="Normal"/>
              <w:widowControl/>
              <w:spacing w:before="60" w:after="20"/>
              <w:jc w:val="center"/>
            </w:pPr>
            <w:r>
              <w:t xml:space="preserve">65.4% at 3 y</w:t>
            </w:r>
          </w:p>
        </w:tc>
        <w:tc>
          <w:tcPr>
            <w:tcW w:w="1550" w:type="dxa"/>
            <w:vAlign w:val="center"/>
            <w:tcMar>
              <w:top w:w="90" w:type="dxa"/>
              <w:left w:w="90" w:type="dxa"/>
              <w:bottom w:w="90" w:type="dxa"/>
              <w:right w:w="90" w:type="dxa"/>
            </w:tcMar>
            <w:shd w:fill="FFFFFF"/>
          </w:tcPr>
          <w:p>
            <w:pPr>
              <w:pStyle w:val="Normal"/>
              <w:widowControl/>
              <w:spacing w:before="60" w:after="20"/>
              <w:jc w:val="center"/>
            </w:pPr>
            <w:r>
              <w:t xml:space="preserve">RFS 40.0% at 3 y</w:t>
            </w:r>
          </w:p>
        </w:tc>
        <w:tc>
          <w:tcPr>
            <w:tcW w:w="2850" w:type="dxa"/>
            <w:vAlign w:val="center"/>
            <w:tcMar>
              <w:top w:w="90" w:type="dxa"/>
              <w:left w:w="90" w:type="dxa"/>
              <w:bottom w:w="90" w:type="dxa"/>
              <w:right w:w="90" w:type="dxa"/>
            </w:tcMar>
            <w:shd w:fill="FFFFFF"/>
          </w:tcPr>
          <w:p>
            <w:pPr>
              <w:pStyle w:val="Normal"/>
              <w:widowControl/>
              <w:spacing w:before="60" w:after="20"/>
              <w:jc w:val="center"/>
            </w:pPr>
            <w:r>
              <w:t xml:space="preserve">RFS recurrence-only; not a death composite</w:t>
            </w:r>
          </w:p>
        </w:tc>
      </w:tr>
      <w:tr>
        <w:trPr>
          <w:cantSplit/>
        </w:trPr>
        <w:tc>
          <w:tcPr>
            <w:tcW w:w="3350" w:type="dxa"/>
            <w:vAlign w:val="center"/>
            <w:tcMar>
              <w:top w:w="90" w:type="dxa"/>
              <w:left w:w="90" w:type="dxa"/>
              <w:bottom w:w="90" w:type="dxa"/>
              <w:right w:w="90" w:type="dxa"/>
            </w:tcMar>
            <w:shd w:fill="F5F7F9"/>
          </w:tcPr>
          <w:p>
            <w:pPr>
              <w:pStyle w:val="Normal"/>
              <w:widowControl/>
              <w:spacing w:before="60" w:after="20"/>
            </w:pPr>
            <w:r>
              <w:t xml:space="preserve">Yang 2020</w:t>
            </w:r>
            <w:r>
              <w:br/>
            </w:r>
            <w:r>
              <w:t xml:space="preserve">Vp4, n=28</w:t>
            </w:r>
          </w:p>
        </w:tc>
        <w:tc>
          <w:tcPr>
            <w:tcW w:w="1350" w:type="dxa"/>
            <w:vAlign w:val="center"/>
            <w:tcMar>
              <w:top w:w="90" w:type="dxa"/>
              <w:left w:w="90" w:type="dxa"/>
              <w:bottom w:w="90" w:type="dxa"/>
              <w:right w:w="90" w:type="dxa"/>
            </w:tcMar>
            <w:shd w:fill="F5F7F9"/>
          </w:tcPr>
          <w:p>
            <w:pPr>
              <w:pStyle w:val="Normal"/>
              <w:widowControl/>
              <w:spacing w:before="60" w:after="20"/>
              <w:jc w:val="center"/>
            </w:pPr>
            <w:r>
              <w:t xml:space="preserve">30.6% at 3 y</w:t>
            </w:r>
          </w:p>
        </w:tc>
        <w:tc>
          <w:tcPr>
            <w:tcW w:w="1550" w:type="dxa"/>
            <w:vAlign w:val="center"/>
            <w:tcMar>
              <w:top w:w="90" w:type="dxa"/>
              <w:left w:w="90" w:type="dxa"/>
              <w:bottom w:w="90" w:type="dxa"/>
              <w:right w:w="90" w:type="dxa"/>
            </w:tcMar>
            <w:shd w:fill="F5F7F9"/>
          </w:tcPr>
          <w:p>
            <w:pPr>
              <w:pStyle w:val="Normal"/>
              <w:widowControl/>
              <w:spacing w:before="60" w:after="20"/>
              <w:jc w:val="center"/>
            </w:pPr>
            <w:r>
              <w:t xml:space="preserve">RFS 21.4% at 3 y</w:t>
            </w:r>
          </w:p>
        </w:tc>
        <w:tc>
          <w:tcPr>
            <w:tcW w:w="2850" w:type="dxa"/>
            <w:vAlign w:val="center"/>
            <w:tcMar>
              <w:top w:w="90" w:type="dxa"/>
              <w:left w:w="90" w:type="dxa"/>
              <w:bottom w:w="90" w:type="dxa"/>
              <w:right w:w="90" w:type="dxa"/>
            </w:tcMar>
            <w:shd w:fill="F5F7F9"/>
          </w:tcPr>
          <w:p>
            <w:pPr>
              <w:pStyle w:val="Normal"/>
              <w:widowControl/>
              <w:spacing w:before="60" w:after="20"/>
              <w:jc w:val="center"/>
            </w:pPr>
            <w:r>
              <w:t xml:space="preserve">Separate crude count not used here</w:t>
            </w:r>
          </w:p>
        </w:tc>
      </w:tr>
      <w:tr>
        <w:trPr>
          <w:cantSplit/>
        </w:trPr>
        <w:tc>
          <w:tcPr>
            <w:tcW w:w="3350" w:type="dxa"/>
            <w:vAlign w:val="center"/>
            <w:tcMar>
              <w:top w:w="90" w:type="dxa"/>
              <w:left w:w="90" w:type="dxa"/>
              <w:bottom w:w="90" w:type="dxa"/>
              <w:right w:w="90" w:type="dxa"/>
            </w:tcMar>
            <w:shd w:fill="FFFFFF"/>
          </w:tcPr>
          <w:p>
            <w:pPr>
              <w:pStyle w:val="Normal"/>
              <w:widowControl/>
              <w:spacing w:before="60" w:after="20"/>
            </w:pPr>
            <w:r>
              <w:t xml:space="preserve">Ye 2024</w:t>
            </w:r>
            <w:r>
              <w:br/>
            </w:r>
            <w:r>
              <w:t xml:space="preserve">Segmental, n=13</w:t>
            </w:r>
          </w:p>
        </w:tc>
        <w:tc>
          <w:tcPr>
            <w:tcW w:w="1350" w:type="dxa"/>
            <w:vAlign w:val="center"/>
            <w:tcMar>
              <w:top w:w="90" w:type="dxa"/>
              <w:left w:w="90" w:type="dxa"/>
              <w:bottom w:w="90" w:type="dxa"/>
              <w:right w:w="90" w:type="dxa"/>
            </w:tcMar>
            <w:shd w:fill="FFFFFF"/>
          </w:tcPr>
          <w:p>
            <w:pPr>
              <w:pStyle w:val="Normal"/>
              <w:widowControl/>
              <w:spacing w:before="60" w:after="20"/>
              <w:jc w:val="center"/>
            </w:pPr>
            <w:r>
              <w:t xml:space="preserve">75.0% at 3 y</w:t>
            </w:r>
          </w:p>
        </w:tc>
        <w:tc>
          <w:tcPr>
            <w:tcW w:w="1550" w:type="dxa"/>
            <w:vAlign w:val="center"/>
            <w:tcMar>
              <w:top w:w="90" w:type="dxa"/>
              <w:left w:w="90" w:type="dxa"/>
              <w:bottom w:w="90" w:type="dxa"/>
              <w:right w:w="90" w:type="dxa"/>
            </w:tcMar>
            <w:shd w:fill="FFFFFF"/>
          </w:tcPr>
          <w:p>
            <w:pPr>
              <w:pStyle w:val="Normal"/>
              <w:widowControl/>
              <w:spacing w:before="60" w:after="20"/>
              <w:jc w:val="center"/>
            </w:pPr>
            <w:r>
              <w:t xml:space="preserve">RFS 58.3% at 3 y</w:t>
            </w:r>
          </w:p>
        </w:tc>
        <w:tc>
          <w:tcPr>
            <w:tcW w:w="2850" w:type="dxa"/>
            <w:vAlign w:val="center"/>
            <w:tcMar>
              <w:top w:w="90" w:type="dxa"/>
              <w:left w:w="90" w:type="dxa"/>
              <w:bottom w:w="90" w:type="dxa"/>
              <w:right w:w="90" w:type="dxa"/>
            </w:tcMar>
            <w:shd w:fill="FFFFFF"/>
          </w:tcPr>
          <w:p>
            <w:pPr>
              <w:pStyle w:val="Normal"/>
              <w:widowControl/>
              <w:spacing w:before="60" w:after="20"/>
              <w:jc w:val="center"/>
            </w:pPr>
            <w:r>
              <w:t xml:space="preserve">4/13 (30.8%)</w:t>
            </w:r>
          </w:p>
        </w:tc>
      </w:tr>
      <w:tr>
        <w:trPr>
          <w:cantSplit/>
        </w:trPr>
        <w:tc>
          <w:tcPr>
            <w:tcW w:w="3350" w:type="dxa"/>
            <w:vAlign w:val="center"/>
            <w:tcMar>
              <w:top w:w="90" w:type="dxa"/>
              <w:left w:w="90" w:type="dxa"/>
              <w:bottom w:w="90" w:type="dxa"/>
              <w:right w:w="90" w:type="dxa"/>
            </w:tcMar>
            <w:shd w:fill="F5F7F9"/>
          </w:tcPr>
          <w:p>
            <w:pPr>
              <w:pStyle w:val="Normal"/>
              <w:widowControl/>
              <w:spacing w:before="60" w:after="20"/>
            </w:pPr>
            <w:r>
              <w:t xml:space="preserve">Ye 2024</w:t>
            </w:r>
            <w:r>
              <w:br/>
            </w:r>
            <w:r>
              <w:t xml:space="preserve">Lobar including main portal vein, n=68; NOT isolated Vp3</w:t>
            </w:r>
          </w:p>
        </w:tc>
        <w:tc>
          <w:tcPr>
            <w:tcW w:w="1350" w:type="dxa"/>
            <w:vAlign w:val="center"/>
            <w:tcMar>
              <w:top w:w="90" w:type="dxa"/>
              <w:left w:w="90" w:type="dxa"/>
              <w:bottom w:w="90" w:type="dxa"/>
              <w:right w:w="90" w:type="dxa"/>
            </w:tcMar>
            <w:shd w:fill="F5F7F9"/>
          </w:tcPr>
          <w:p>
            <w:pPr>
              <w:pStyle w:val="Normal"/>
              <w:widowControl/>
              <w:spacing w:before="60" w:after="20"/>
              <w:jc w:val="center"/>
            </w:pPr>
            <w:r>
              <w:t xml:space="preserve">45.9% at 3 y</w:t>
            </w:r>
          </w:p>
        </w:tc>
        <w:tc>
          <w:tcPr>
            <w:tcW w:w="1550" w:type="dxa"/>
            <w:vAlign w:val="center"/>
            <w:tcMar>
              <w:top w:w="90" w:type="dxa"/>
              <w:left w:w="90" w:type="dxa"/>
              <w:bottom w:w="90" w:type="dxa"/>
              <w:right w:w="90" w:type="dxa"/>
            </w:tcMar>
            <w:shd w:fill="F5F7F9"/>
          </w:tcPr>
          <w:p>
            <w:pPr>
              <w:pStyle w:val="Normal"/>
              <w:widowControl/>
              <w:spacing w:before="60" w:after="20"/>
              <w:jc w:val="center"/>
            </w:pPr>
            <w:r>
              <w:t xml:space="preserve">RFS 9.1% at 3 y</w:t>
            </w:r>
          </w:p>
        </w:tc>
        <w:tc>
          <w:tcPr>
            <w:tcW w:w="2850" w:type="dxa"/>
            <w:vAlign w:val="center"/>
            <w:tcMar>
              <w:top w:w="90" w:type="dxa"/>
              <w:left w:w="90" w:type="dxa"/>
              <w:bottom w:w="90" w:type="dxa"/>
              <w:right w:w="90" w:type="dxa"/>
            </w:tcMar>
            <w:shd w:fill="F5F7F9"/>
          </w:tcPr>
          <w:p>
            <w:pPr>
              <w:pStyle w:val="Normal"/>
              <w:widowControl/>
              <w:spacing w:before="60" w:after="20"/>
              <w:jc w:val="center"/>
            </w:pPr>
            <w:r>
              <w:t xml:space="preserve">60/68 (88.2%)</w:t>
            </w:r>
          </w:p>
        </w:tc>
      </w:tr>
      <w:tr>
        <w:trPr>
          <w:cantSplit/>
        </w:trPr>
        <w:tc>
          <w:tcPr>
            <w:tcW w:w="3350" w:type="dxa"/>
            <w:vAlign w:val="center"/>
            <w:tcMar>
              <w:top w:w="90" w:type="dxa"/>
              <w:left w:w="90" w:type="dxa"/>
              <w:bottom w:w="90" w:type="dxa"/>
              <w:right w:w="90" w:type="dxa"/>
            </w:tcMar>
            <w:shd w:fill="FFFFFF"/>
          </w:tcPr>
          <w:p>
            <w:pPr>
              <w:pStyle w:val="Normal"/>
              <w:widowControl/>
              <w:spacing w:before="60" w:after="20"/>
            </w:pPr>
            <w:r>
              <w:t xml:space="preserve">Soin 2020</w:t>
            </w:r>
            <w:r>
              <w:br/>
            </w:r>
            <w:r>
              <w:t xml:space="preserve">All 25 LDLT; 43 initial entries included portal and hepatic/IVC invasion</w:t>
            </w:r>
          </w:p>
        </w:tc>
        <w:tc>
          <w:tcPr>
            <w:tcW w:w="1350" w:type="dxa"/>
            <w:vAlign w:val="center"/>
            <w:tcMar>
              <w:top w:w="90" w:type="dxa"/>
              <w:left w:w="90" w:type="dxa"/>
              <w:bottom w:w="90" w:type="dxa"/>
              <w:right w:w="90" w:type="dxa"/>
            </w:tcMar>
            <w:shd w:fill="FFFFFF"/>
          </w:tcPr>
          <w:p>
            <w:pPr>
              <w:pStyle w:val="Normal"/>
              <w:widowControl/>
              <w:spacing w:before="60" w:after="20"/>
              <w:jc w:val="center"/>
            </w:pPr>
            <w:r>
              <w:t xml:space="preserve">53% at 5 y; 57% excluding 2 early deaths</w:t>
            </w:r>
          </w:p>
        </w:tc>
        <w:tc>
          <w:tcPr>
            <w:tcW w:w="1550" w:type="dxa"/>
            <w:vAlign w:val="center"/>
            <w:tcMar>
              <w:top w:w="90" w:type="dxa"/>
              <w:left w:w="90" w:type="dxa"/>
              <w:bottom w:w="90" w:type="dxa"/>
              <w:right w:w="90" w:type="dxa"/>
            </w:tcMar>
            <w:shd w:fill="FFFFFF"/>
          </w:tcPr>
          <w:p>
            <w:pPr>
              <w:pStyle w:val="Normal"/>
              <w:widowControl/>
              <w:spacing w:before="60" w:after="20"/>
              <w:jc w:val="center"/>
            </w:pPr>
            <w:r>
              <w:t xml:space="preserve">RFS 52% at 5 y; 51% excluding 2 early deaths</w:t>
            </w:r>
          </w:p>
        </w:tc>
        <w:tc>
          <w:tcPr>
            <w:tcW w:w="2850" w:type="dxa"/>
            <w:vAlign w:val="center"/>
            <w:tcMar>
              <w:top w:w="90" w:type="dxa"/>
              <w:left w:w="90" w:type="dxa"/>
              <w:bottom w:w="90" w:type="dxa"/>
              <w:right w:w="90" w:type="dxa"/>
            </w:tcMar>
            <w:shd w:fill="FFFFFF"/>
          </w:tcPr>
          <w:p>
            <w:pPr>
              <w:pStyle w:val="Normal"/>
              <w:widowControl/>
              <w:spacing w:before="60" w:after="20"/>
              <w:jc w:val="center"/>
            </w:pPr>
            <w:r>
              <w:t xml:space="preserve">6/25 (24%); viable PVTT 17/25 on Table 2</w:t>
            </w:r>
          </w:p>
        </w:tc>
      </w:tr>
      <w:tr>
        <w:trPr>
          <w:cantSplit/>
        </w:trPr>
        <w:tc>
          <w:tcPr>
            <w:tcW w:w="3350" w:type="dxa"/>
            <w:vAlign w:val="center"/>
            <w:tcMar>
              <w:top w:w="90" w:type="dxa"/>
              <w:left w:w="90" w:type="dxa"/>
              <w:bottom w:w="90" w:type="dxa"/>
              <w:right w:w="90" w:type="dxa"/>
            </w:tcMar>
            <w:shd w:fill="F5F7F9"/>
          </w:tcPr>
          <w:p>
            <w:pPr>
              <w:pStyle w:val="Normal"/>
              <w:widowControl/>
              <w:spacing w:before="60" w:after="20"/>
            </w:pPr>
            <w:r>
              <w:t xml:space="preserve">Sposito 2026</w:t>
            </w:r>
            <w:r>
              <w:br/>
            </w:r>
            <w:r>
              <w:t xml:space="preserve">37 DBD/DCD LT after Y90; branch PVTT, no grade-specific LT estimates</w:t>
            </w:r>
          </w:p>
        </w:tc>
        <w:tc>
          <w:tcPr>
            <w:tcW w:w="1350" w:type="dxa"/>
            <w:vAlign w:val="center"/>
            <w:tcMar>
              <w:top w:w="90" w:type="dxa"/>
              <w:left w:w="90" w:type="dxa"/>
              <w:bottom w:w="90" w:type="dxa"/>
              <w:right w:w="90" w:type="dxa"/>
            </w:tcMar>
            <w:shd w:fill="F5F7F9"/>
          </w:tcPr>
          <w:p>
            <w:pPr>
              <w:pStyle w:val="Normal"/>
              <w:widowControl/>
              <w:spacing w:before="60" w:after="20"/>
              <w:jc w:val="center"/>
            </w:pPr>
            <w:r>
              <w:t xml:space="preserve">67.2% at 3 y; 61.6% at 5 y</w:t>
            </w:r>
          </w:p>
        </w:tc>
        <w:tc>
          <w:tcPr>
            <w:tcW w:w="1550" w:type="dxa"/>
            <w:vAlign w:val="center"/>
            <w:tcMar>
              <w:top w:w="90" w:type="dxa"/>
              <w:left w:w="90" w:type="dxa"/>
              <w:bottom w:w="90" w:type="dxa"/>
              <w:right w:w="90" w:type="dxa"/>
            </w:tcMar>
            <w:shd w:fill="F5F7F9"/>
          </w:tcPr>
          <w:p>
            <w:pPr>
              <w:pStyle w:val="Normal"/>
              <w:widowControl/>
              <w:spacing w:before="60" w:after="20"/>
              <w:jc w:val="center"/>
            </w:pPr>
            <w:r>
              <w:t xml:space="preserve">79.3% at 3 and 5 y; nonrecurrence deaths censored</w:t>
            </w:r>
          </w:p>
        </w:tc>
        <w:tc>
          <w:tcPr>
            <w:tcW w:w="2850" w:type="dxa"/>
            <w:vAlign w:val="center"/>
            <w:tcMar>
              <w:top w:w="90" w:type="dxa"/>
              <w:left w:w="90" w:type="dxa"/>
              <w:bottom w:w="90" w:type="dxa"/>
              <w:right w:w="90" w:type="dxa"/>
            </w:tcMar>
            <w:shd w:fill="F5F7F9"/>
          </w:tcPr>
          <w:p>
            <w:pPr>
              <w:pStyle w:val="Normal"/>
              <w:widowControl/>
              <w:spacing w:before="60" w:after="20"/>
              <w:jc w:val="center"/>
            </w:pPr>
            <w:r>
              <w:t xml:space="preserve">6/37 (16.2%) crude; 4 perioperative deaths included in OS</w:t>
            </w:r>
          </w:p>
        </w:tc>
      </w:tr>
    </w:tbl>
    <w:p>
      <w:pPr>
        <w:pStyle w:val="Normal"/>
        <w:widowControl/>
        <w:spacing w:before="60" w:after="20"/>
      </w:pPr>
      <w:r>
        <w:t xml:space="preserve">Choi and Yang full PDFs reviewed. Choi excluded four deaths within one month and included occult explant PVTT; Yang groups Vp2–3 (n=47) against Vp4 (n=28). Their results do not provide independent estimates for each grade or a validated anatomy cutoff.</w:t>
      </w:r>
      <w:r>
        <w:t xml:space="preserve"> </w:t>
      </w:r>
      <w:r>
        <w:t xml:space="preserve"> </w:t>
      </w:r>
      <w:r>
        <w:fldChar w:fldCharType="begin"/>
      </w:r>
      <w:r>
        <w:instrText xml:space="preserve"> ADDIN EN.CITE </w:instrText>
      </w:r>
      <w:r>
        <w:fldChar w:fldCharType="begin">
          <w:fldData>PEVuZE5vdGU+PENpdGU+PEF1dGhvcj5DaG9pPC9BdXRob3I+PFllYXI+MjAxNzwvWWVhcj48UmVjTnVtPjE0PC9SZWNOdW0+PERpc3BsYXlUZXh0PltWMTItMTRdPC9EaXNwbGF5VGV4dD48cmVjb3JkPjxyZWMtbnVtYmVyPjE0PC9yZWMtbnVtYmVyPjxmb3JlaWduLWtleXM+PGtleSBhcHA9IkVOIiBkYi1pZD0iYTNhYWZkZmMtNmMxOC01MjJjLThhNjgtZmEwYWQyOGY1MWQyIiB0aW1lc3RhbXA9IjE3OTI5MjEwODciPjE0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ZYW5nPC9BdXRob3I+PFllYXI+MjAyMDwvWWVhcj48UmVjTnVtPjE1PC9SZWNOdW0+PERpc3BsYXlUZXh0PltWMTItMTVdPC9EaXNwbGF5VGV4dD48cmVjb3JkPjxyZWMtbnVtYmVyPjE1PC9yZWMtbnVtYmVyPjxmb3JlaWduLWtleXM+PGtleSBhcHA9IkVOIiBkYi1pZD0iYTNhYWZkZmMtNmMxOC01MjJjLThhNjgtZmEwYWQyOGY1MWQyIiB0aW1lc3RhbXA9IjE3OTI5MjEwODciPjE1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[V12-15]</w:t>
      </w:r>
      <w:r>
        <w:fldChar w:fldCharType="end"/>
      </w:r>
    </w:p>
    <w:p>
      <w:pPr>
        <w:pStyle w:val="Normal"/>
        <w:widowControl/>
        <w:spacing w:before="60" w:after="20"/>
      </w:pPr>
      <w:hyperlink r:id="rId70">
        <w:r>
          <w:rPr>
            <w:color w:val="77230C"/>
            <w:sz w:val="20"/>
            <w:u w:val="single"/>
          </w:rPr>
          <w:t>Choi 2017</w:t>
        </w:r>
      </w:hyperlink>
      <w:r>
        <w:t xml:space="preserve"> — </w:t>
      </w:r>
      <w:hyperlink r:id="rId71">
        <w:r>
          <w:rPr>
            <w:color w:val="77230C"/>
            <w:sz w:val="20"/>
            <w:u w:val="single"/>
          </w:rPr>
          <w:t>Full-text PDF</w:t>
        </w:r>
      </w:hyperlink>
      <w:r>
        <w:t xml:space="preserve">  |  </w:t>
      </w:r>
      <w:hyperlink r:id="rId72">
        <w:r>
          <w:rPr>
            <w:color w:val="77230C"/>
            <w:sz w:val="20"/>
            <w:u w:val="single"/>
          </w:rPr>
          <w:t>Yang 2020</w:t>
        </w:r>
      </w:hyperlink>
      <w:r>
        <w:t xml:space="preserve"> — </w:t>
      </w:r>
      <w:hyperlink r:id="rId73">
        <w:r>
          <w:rPr>
            <w:color w:val="77230C"/>
            <w:sz w:val="20"/>
            <w:u w:val="single"/>
          </w:rPr>
          <w:t>Full-text PDF</w:t>
        </w:r>
      </w:hyperlink>
    </w:p>
    <w:p>
      <w:pPr>
        <w:pStyle w:val="Normal"/>
        <w:widowControl/>
        <w:spacing w:before="60" w:after="20"/>
      </w:pPr>
      <w:r>
        <w:t xml:space="preserve">Ye: Table 2, PDF p6; Results and Figure 4, p7. Its “lobar” definition includes the main trunk (Methods p3), so these results cannot be assigned to Vp3 alone. Perioperative deaths and follow-up losses within one year were excluded; all patients had HBV.</w:t>
      </w:r>
      <w:r>
        <w:t xml:space="preserve"> </w:t>
      </w:r>
      <w:r>
        <w:t xml:space="preserve"> </w:t>
      </w:r>
      <w:r>
        <w:fldChar w:fldCharType="begin"/>
      </w:r>
      <w:r>
        <w:instrText xml:space="preserve"> ADDIN EN.CITE </w:instrText>
      </w:r>
      <w:r>
        <w:fldChar w:fldCharType="begin">
          <w:fldData>PEVuZE5vdGU+PENpdGU+PEF1dGhvcj5ZZTwvQXV0aG9yPjxZZWFyPjIwMjQ8L1llYXI+PFJlY051bT4xNjwvUmVjTnVtPjxEaXNwbGF5VGV4dD5bVjEyLTE2XTwvRGlzcGxheVRleHQ+PHJlY29yZD48cmVjLW51bWJlcj4xNjwvcmVjLW51bWJlcj48Zm9yZWlnbi1rZXlzPjxrZXkgYXBwPSJFTiIgZGItaWQ9ImEzYWFmZGZjLTZjMTgtNTIyYy04YTY4LWZhMGFkMjhmNTFkMiIgdGltZXN0YW1wPSIxNzkyOTIxMDg3Ij4xNj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p>
    <w:p>
      <w:pPr>
        <w:pStyle w:val="Normal"/>
        <w:widowControl/>
        <w:spacing w:before="60" w:after="20"/>
      </w:pPr>
      <w:hyperlink r:id="rId74">
        <w:r>
          <w:rPr>
            <w:color w:val="77230C"/>
            <w:sz w:val="20"/>
            <w:u w:val="single"/>
          </w:rPr>
          <w:t>Ye 2024</w:t>
        </w:r>
      </w:hyperlink>
      <w:r>
        <w:t xml:space="preserve"> — </w:t>
      </w:r>
      <w:hyperlink r:id="rId75">
        <w:r>
          <w:rPr>
            <w:color w:val="77230C"/>
            <w:sz w:val="20"/>
            <w:u w:val="single"/>
          </w:rPr>
          <w:t>Full-text PDF</w:t>
        </w:r>
      </w:hyperlink>
    </w:p>
    <w:p>
      <w:pPr>
        <w:pStyle w:val="Normal"/>
        <w:widowControl/>
        <w:spacing w:before="60" w:after="20"/>
      </w:pPr>
      <w:r>
        <w:t xml:space="preserve">Soin full PDF: all 25 recipients had five-year OS 53% and author RFS 52%; 57%/51% excludes two early deaths. Only 18/25 had complete loss of PVTT enhancement; seven Vp1/2 cases had minimal enhancement or no repeat imaging. Table 2 reports viable PVTT in 17/25. No complete 43-entry ITT survival comparison.</w:t>
      </w:r>
      <w:r>
        <w:t xml:space="preserve"> </w:t>
      </w:r>
      <w:r>
        <w:t xml:space="preserve"> </w:t>
      </w:r>
      <w:r>
        <w:fldChar w:fldCharType="begin"/>
      </w:r>
      <w:r>
        <w:instrText xml:space="preserve"> ADDIN EN.CITE </w:instrText>
      </w:r>
      <w:r>
        <w:fldChar w:fldCharType="begin">
          <w:fldData>PEVuZE5vdGU+PENpdGU+PEF1dGhvcj5Tb2luPC9BdXRob3I+PFllYXI+MjAyMDwvWWVhcj48UmVjTnVtPjE3PC9SZWNOdW0+PERpc3BsYXlUZXh0PltWMTItMTddPC9EaXNwbGF5VGV4dD48cmVjb3JkPjxyZWMtbnVtYmVyPjE3PC9yZWMtbnVtYmVyPjxmb3JlaWduLWtleXM+PGtleSBhcHA9IkVOIiBkYi1pZD0iYTNhYWZkZmMtNmMxOC01MjJjLThhNjgtZmEwYWQyOGY1MWQyIiB0aW1lc3RhbXA9IjE3OTI5MjEwODciPjE3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[V12-17]</w:t>
      </w:r>
      <w:r>
        <w:fldChar w:fldCharType="end"/>
      </w:r>
    </w:p>
    <w:p>
      <w:pPr>
        <w:pStyle w:val="Normal"/>
        <w:widowControl/>
        <w:spacing w:before="60" w:after="20"/>
      </w:pPr>
      <w:hyperlink r:id="rId76">
        <w:r>
          <w:rPr>
            <w:color w:val="77230C"/>
            <w:sz w:val="20"/>
            <w:u w:val="single"/>
          </w:rPr>
          <w:t>Soin 2020</w:t>
        </w:r>
      </w:hyperlink>
      <w:r>
        <w:t xml:space="preserve"> — </w:t>
      </w:r>
      <w:hyperlink r:id="rId77">
        <w:r>
          <w:rPr>
            <w:color w:val="77230C"/>
            <w:sz w:val="20"/>
            <w:u w:val="single"/>
          </w:rPr>
          <w:t>Full-text PDF</w:t>
        </w:r>
      </w:hyperlink>
    </w:p>
    <w:p>
      <w:pPr>
        <w:pStyle w:val="Heading3"/>
        <w:keepNext/>
        <w:widowControl/>
      </w:pPr>
      <w:r>
        <w:t xml:space="preserve">Response matters and does not erase the anatomical uncertainty</w:t>
      </w:r>
    </w:p>
    <w:tbl>
      <w:tblPr>
        <w:tblW w:w="90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2850"/>
        <w:gridCol w:w="500"/>
        <w:gridCol w:w="1200"/>
        <w:gridCol w:w="1200"/>
        <w:gridCol w:w="3250"/>
      </w:tblGrid>
      <w:tr>
        <w:trPr>
          <w:cantSplit/>
          <w:tblHeader/>
        </w:trPr>
        <w:tc>
          <w:tcPr>
            <w:tcW w:w="2850" w:type="dxa"/>
            <w:vAlign w:val="center"/>
            <w:tcMar>
              <w:top w:w="90" w:type="dxa"/>
              <w:left w:w="90" w:type="dxa"/>
              <w:bottom w:w="90" w:type="dxa"/>
              <w:right w:w="90" w:type="dxa"/>
            </w:tcMar>
            <w:shd w:fill="DCE6F1"/>
          </w:tcPr>
          <w:p>
            <w:pPr>
              <w:pStyle w:val="Normal"/>
              <w:widowControl/>
              <w:spacing w:before="60" w:after="20"/>
            </w:pPr>
            <w:r>
              <w:rPr>
                <w:b/>
              </w:rPr>
              <w:t xml:space="preserve">Yoon response stratum</w:t>
            </w:r>
          </w:p>
        </w:tc>
        <w:tc>
          <w:tcPr>
            <w:tcW w:w="500" w:type="dxa"/>
            <w:vAlign w:val="center"/>
            <w:tcMar>
              <w:top w:w="90" w:type="dxa"/>
              <w:left w:w="90" w:type="dxa"/>
              <w:bottom w:w="90" w:type="dxa"/>
              <w:right w:w="90" w:type="dxa"/>
            </w:tcMar>
            <w:shd w:fill="DCE6F1"/>
          </w:tcPr>
          <w:p>
            <w:pPr>
              <w:pStyle w:val="Normal"/>
              <w:widowControl/>
              <w:spacing w:before="60" w:after="20"/>
              <w:jc w:val="center"/>
            </w:pPr>
            <w:r>
              <w:rPr>
                <w:b/>
              </w:rPr>
              <w:t xml:space="preserve">n</w:t>
            </w:r>
          </w:p>
        </w:tc>
        <w:tc>
          <w:tcPr>
            <w:tcW w:w="1200" w:type="dxa"/>
            <w:vAlign w:val="center"/>
            <w:tcMar>
              <w:top w:w="90" w:type="dxa"/>
              <w:left w:w="90" w:type="dxa"/>
              <w:bottom w:w="90" w:type="dxa"/>
              <w:right w:w="90" w:type="dxa"/>
            </w:tcMar>
            <w:shd w:fill="DCE6F1"/>
          </w:tcPr>
          <w:p>
            <w:pPr>
              <w:pStyle w:val="Normal"/>
              <w:widowControl/>
              <w:spacing w:before="60" w:after="20"/>
              <w:jc w:val="center"/>
            </w:pPr>
            <w:r>
              <w:rPr>
                <w:b/>
              </w:rPr>
              <w:t xml:space="preserve">5-year OS</w:t>
            </w:r>
          </w:p>
        </w:tc>
        <w:tc>
          <w:tcPr>
            <w:tcW w:w="1200" w:type="dxa"/>
            <w:vAlign w:val="center"/>
            <w:tcMar>
              <w:top w:w="90" w:type="dxa"/>
              <w:left w:w="90" w:type="dxa"/>
              <w:bottom w:w="90" w:type="dxa"/>
              <w:right w:w="90" w:type="dxa"/>
            </w:tcMar>
            <w:shd w:fill="DCE6F1"/>
          </w:tcPr>
          <w:p>
            <w:pPr>
              <w:pStyle w:val="Normal"/>
              <w:widowControl/>
              <w:spacing w:before="60" w:after="20"/>
              <w:jc w:val="center"/>
            </w:pPr>
            <w:r>
              <w:rPr>
                <w:b/>
              </w:rPr>
              <w:t xml:space="preserve">5-year DFS</w:t>
            </w:r>
          </w:p>
        </w:tc>
        <w:tc>
          <w:tcPr>
            <w:tcW w:w="3250" w:type="dxa"/>
            <w:vAlign w:val="center"/>
            <w:tcMar>
              <w:top w:w="90" w:type="dxa"/>
              <w:left w:w="90" w:type="dxa"/>
              <w:bottom w:w="90" w:type="dxa"/>
              <w:right w:w="90" w:type="dxa"/>
            </w:tcMar>
            <w:shd w:fill="DCE6F1"/>
          </w:tcPr>
          <w:p>
            <w:pPr>
              <w:pStyle w:val="Normal"/>
              <w:widowControl/>
              <w:spacing w:before="60" w:after="20"/>
              <w:jc w:val="center"/>
            </w:pPr>
            <w:r>
              <w:rPr>
                <w:b/>
              </w:rPr>
              <w:t xml:space="preserve">Observed recurrence</w:t>
            </w:r>
          </w:p>
        </w:tc>
      </w:tr>
      <w:tr>
        <w:trPr>
          <w:cantSplit/>
        </w:trPr>
        <w:tc>
          <w:tcPr>
            <w:tcW w:w="2850" w:type="dxa"/>
            <w:vAlign w:val="center"/>
            <w:tcMar>
              <w:top w:w="90" w:type="dxa"/>
              <w:left w:w="90" w:type="dxa"/>
              <w:bottom w:w="90" w:type="dxa"/>
              <w:right w:w="90" w:type="dxa"/>
            </w:tcMar>
            <w:shd w:fill="FFFFFF"/>
          </w:tcPr>
          <w:p>
            <w:pPr>
              <w:pStyle w:val="Normal"/>
              <w:widowControl/>
              <w:spacing w:before="60" w:after="20"/>
            </w:pPr>
            <w:r>
              <w:t xml:space="preserve">CR or PR by overall mRECIST</w:t>
            </w:r>
          </w:p>
        </w:tc>
        <w:tc>
          <w:tcPr>
            <w:tcW w:w="500" w:type="dxa"/>
            <w:vAlign w:val="center"/>
            <w:tcMar>
              <w:top w:w="90" w:type="dxa"/>
              <w:left w:w="90" w:type="dxa"/>
              <w:bottom w:w="90" w:type="dxa"/>
              <w:right w:w="90" w:type="dxa"/>
            </w:tcMar>
            <w:shd w:fill="FFFFFF"/>
          </w:tcPr>
          <w:p>
            <w:pPr>
              <w:pStyle w:val="Normal"/>
              <w:widowControl/>
              <w:spacing w:before="60" w:after="20"/>
              <w:jc w:val="center"/>
            </w:pPr>
            <w:r>
              <w:t xml:space="preserve">83</w:t>
            </w:r>
          </w:p>
        </w:tc>
        <w:tc>
          <w:tcPr>
            <w:tcW w:w="1200" w:type="dxa"/>
            <w:vAlign w:val="center"/>
            <w:tcMar>
              <w:top w:w="90" w:type="dxa"/>
              <w:left w:w="90" w:type="dxa"/>
              <w:bottom w:w="90" w:type="dxa"/>
              <w:right w:w="90" w:type="dxa"/>
            </w:tcMar>
            <w:shd w:fill="FFFFFF"/>
          </w:tcPr>
          <w:p>
            <w:pPr>
              <w:pStyle w:val="Normal"/>
              <w:widowControl/>
              <w:spacing w:before="60" w:after="20"/>
              <w:jc w:val="center"/>
            </w:pPr>
            <w:r>
              <w:t xml:space="preserve">66.6%</w:t>
            </w:r>
          </w:p>
        </w:tc>
        <w:tc>
          <w:tcPr>
            <w:tcW w:w="1200" w:type="dxa"/>
            <w:vAlign w:val="center"/>
            <w:tcMar>
              <w:top w:w="90" w:type="dxa"/>
              <w:left w:w="90" w:type="dxa"/>
              <w:bottom w:w="90" w:type="dxa"/>
              <w:right w:w="90" w:type="dxa"/>
            </w:tcMar>
            <w:shd w:fill="FFFFFF"/>
          </w:tcPr>
          <w:p>
            <w:pPr>
              <w:pStyle w:val="Normal"/>
              <w:widowControl/>
              <w:spacing w:before="60" w:after="20"/>
              <w:jc w:val="center"/>
            </w:pPr>
            <w:r>
              <w:t xml:space="preserve">64.7%</w:t>
            </w:r>
          </w:p>
        </w:tc>
        <w:tc>
          <w:tcPr>
            <w:tcW w:w="3250" w:type="dxa"/>
            <w:vAlign w:val="center"/>
            <w:tcMar>
              <w:top w:w="90" w:type="dxa"/>
              <w:left w:w="90" w:type="dxa"/>
              <w:bottom w:w="90" w:type="dxa"/>
              <w:right w:w="90" w:type="dxa"/>
            </w:tcMar>
            <w:shd w:fill="FFFFFF"/>
          </w:tcPr>
          <w:p>
            <w:pPr>
              <w:pStyle w:val="Normal"/>
              <w:widowControl/>
              <w:spacing w:before="60" w:after="20"/>
              <w:jc w:val="center"/>
            </w:pPr>
            <w:r>
              <w:t xml:space="preserve">28/83 (33.7%)</w:t>
            </w:r>
          </w:p>
        </w:tc>
      </w:tr>
      <w:tr>
        <w:trPr>
          <w:cantSplit/>
        </w:trPr>
        <w:tc>
          <w:tcPr>
            <w:tcW w:w="2850" w:type="dxa"/>
            <w:vAlign w:val="center"/>
            <w:tcMar>
              <w:top w:w="90" w:type="dxa"/>
              <w:left w:w="90" w:type="dxa"/>
              <w:bottom w:w="90" w:type="dxa"/>
              <w:right w:w="90" w:type="dxa"/>
            </w:tcMar>
            <w:shd w:fill="F5F7F9"/>
          </w:tcPr>
          <w:p>
            <w:pPr>
              <w:pStyle w:val="Normal"/>
              <w:widowControl/>
              <w:spacing w:before="60" w:after="20"/>
            </w:pPr>
            <w:r>
              <w:t xml:space="preserve">Stable or progressive disease</w:t>
            </w:r>
          </w:p>
        </w:tc>
        <w:tc>
          <w:tcPr>
            <w:tcW w:w="500" w:type="dxa"/>
            <w:vAlign w:val="center"/>
            <w:tcMar>
              <w:top w:w="90" w:type="dxa"/>
              <w:left w:w="90" w:type="dxa"/>
              <w:bottom w:w="90" w:type="dxa"/>
              <w:right w:w="90" w:type="dxa"/>
            </w:tcMar>
            <w:shd w:fill="F5F7F9"/>
          </w:tcPr>
          <w:p>
            <w:pPr>
              <w:pStyle w:val="Normal"/>
              <w:widowControl/>
              <w:spacing w:before="60" w:after="20"/>
              <w:jc w:val="center"/>
            </w:pPr>
            <w:r>
              <w:t xml:space="preserve">54</w:t>
            </w:r>
          </w:p>
        </w:tc>
        <w:tc>
          <w:tcPr>
            <w:tcW w:w="1200" w:type="dxa"/>
            <w:vAlign w:val="center"/>
            <w:tcMar>
              <w:top w:w="90" w:type="dxa"/>
              <w:left w:w="90" w:type="dxa"/>
              <w:bottom w:w="90" w:type="dxa"/>
              <w:right w:w="90" w:type="dxa"/>
            </w:tcMar>
            <w:shd w:fill="F5F7F9"/>
          </w:tcPr>
          <w:p>
            <w:pPr>
              <w:pStyle w:val="Normal"/>
              <w:widowControl/>
              <w:spacing w:before="60" w:after="20"/>
              <w:jc w:val="center"/>
            </w:pPr>
            <w:r>
              <w:t xml:space="preserve">35.1%</w:t>
            </w:r>
          </w:p>
        </w:tc>
        <w:tc>
          <w:tcPr>
            <w:tcW w:w="1200" w:type="dxa"/>
            <w:vAlign w:val="center"/>
            <w:tcMar>
              <w:top w:w="90" w:type="dxa"/>
              <w:left w:w="90" w:type="dxa"/>
              <w:bottom w:w="90" w:type="dxa"/>
              <w:right w:w="90" w:type="dxa"/>
            </w:tcMar>
            <w:shd w:fill="F5F7F9"/>
          </w:tcPr>
          <w:p>
            <w:pPr>
              <w:pStyle w:val="Normal"/>
              <w:widowControl/>
              <w:spacing w:before="60" w:after="20"/>
              <w:jc w:val="center"/>
            </w:pPr>
            <w:r>
              <w:t xml:space="preserve">19.7%</w:t>
            </w:r>
          </w:p>
        </w:tc>
        <w:tc>
          <w:tcPr>
            <w:tcW w:w="3250" w:type="dxa"/>
            <w:vAlign w:val="center"/>
            <w:tcMar>
              <w:top w:w="90" w:type="dxa"/>
              <w:left w:w="90" w:type="dxa"/>
              <w:bottom w:w="90" w:type="dxa"/>
              <w:right w:w="90" w:type="dxa"/>
            </w:tcMar>
            <w:shd w:fill="F5F7F9"/>
          </w:tcPr>
          <w:p>
            <w:pPr>
              <w:pStyle w:val="Normal"/>
              <w:widowControl/>
              <w:spacing w:before="60" w:after="20"/>
              <w:jc w:val="center"/>
            </w:pPr>
            <w:r>
              <w:t xml:space="preserve">42/54 (77.8%)</w:t>
            </w:r>
          </w:p>
        </w:tc>
      </w:tr>
    </w:tbl>
    <w:p>
      <w:pPr>
        <w:pStyle w:val="Normal"/>
        <w:widowControl/>
        <w:spacing w:before="60" w:after="20"/>
      </w:pPr>
      <w:r>
        <w:t xml:space="preserve">Yoon: Results p7261, Figure 1 and Table 4. CR/PR is overall mRECIST response, not mandatory complete disappearance of viable vascular tumor; 65/83 responders still had viable PVTT on explant.</w:t>
      </w:r>
      <w:r>
        <w:t xml:space="preserve"> </w:t>
      </w:r>
      <w:r>
        <w:t xml:space="preserve"> </w:t>
      </w:r>
      <w:r>
        <w:fldChar w:fldCharType="begin"/>
      </w:r>
      <w:r>
        <w:instrText xml:space="preserve"> ADDIN EN.CITE </w:instrText>
      </w:r>
      <w:r>
        <w:fldChar w:fldCharType="begin">
          <w:fldData>PEVuZE5vdGU+PENpdGU+PEF1dGhvcj5Zb29uPC9BdXRob3I+PFllYXI+MjAyNjwvWWVhcj48UmVjTnVtPjEzPC9SZWNOdW0+PERpc3BsYXlUZXh0PltWMTItMTNdPC9EaXNwbGF5VGV4dD48cmVjb3JkPjxyZWMtbnVtYmVyPjEzPC9yZWMtbnVtYmVyPjxmb3JlaWduLWtleXM+PGtleSBhcHA9IkVOIiBkYi1pZD0iYTNhYWZkZmMtNmMxOC01MjJjLThhNjgtZmEwYWQyOGY1MWQyIiB0aW1lc3RhbXA9IjE3OTI5MjEwODciPjEz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p>
      <w:pPr>
        <w:pStyle w:val="Normal"/>
        <w:widowControl/>
        <w:spacing w:before="60" w:after="20"/>
      </w:pPr>
      <w:hyperlink r:id="rId78">
        <w:r>
          <w:rPr>
            <w:color w:val="77230C"/>
            <w:sz w:val="20"/>
            <w:u w:val="single"/>
          </w:rPr>
          <w:t>Yoon 2026</w:t>
        </w:r>
      </w:hyperlink>
      <w:r>
        <w:t xml:space="preserve"> — </w:t>
      </w:r>
      <w:hyperlink r:id="rId79">
        <w:r>
          <w:rPr>
            <w:color w:val="77230C"/>
            <w:sz w:val="20"/>
            <w:u w:val="single"/>
          </w:rPr>
          <w:t>Full-text PDF</w:t>
        </w:r>
      </w:hyperlink>
    </w:p>
    <w:p>
      <w:pPr>
        <w:pStyle w:val="Heading3"/>
        <w:keepNext/>
        <w:widowControl/>
      </w:pPr>
      <w:r>
        <w:t xml:space="preserve">Interpretation for HCC B2</w:t>
      </w:r>
    </w:p>
    <w:p>
      <w:pPr>
        <w:pStyle w:val="Normal"/>
        <w:widowControl/>
        <w:numPr>
          <w:ilvl w:val="0"/>
          <w:numId w:val="3"/>
        </w:numPr>
      </w:pPr>
      <w:r>
        <w:t xml:space="preserve">The Yoon grade comparisons were not statistically significant (OS P=0.1882; DFS P=0.2988). With only 14 Vp4 recipients, this neither proves equivalence nor establishes futility. The Vp4 five-year OS of 50.0% is a real counterargument to blanket exclusion.</w:t>
      </w:r>
    </w:p>
    <w:p>
      <w:pPr>
        <w:pStyle w:val="Normal"/>
        <w:widowControl/>
        <w:numPr>
          <w:ilvl w:val="0"/>
          <w:numId w:val="3"/>
        </w:numPr>
      </w:pPr>
      <w:r>
        <w:t xml:space="preserve">Older anatomy-based cohorts report substantially poorer proximal-vessel outcomes; the populations, treatments, classification systems and endpoint definitions differ. Possible center/time overlap among Chinese cohorts prevents treating every series as independent confirmation. No pooled survival percentage is calculated.</w:t>
      </w:r>
    </w:p>
    <w:p>
      <w:pPr>
        <w:pStyle w:val="Normal"/>
        <w:widowControl/>
        <w:numPr>
          <w:ilvl w:val="0"/>
          <w:numId w:val="3"/>
        </w:numPr>
      </w:pPr>
      <w:r>
        <w:t xml:space="preserve">OPEN local position: retain original Vp1–2 as the initial transplanting-study boundary. Vp3 registry-first means observational follow-up without transplantation authorized by that registry; any transplanting Vp3 arm needs separate prospective approval. Keep Vp4 outside the initial pilot, not labeled universally futile.</w:t>
      </w:r>
    </w:p>
    <w:p>
      <w:pPr>
        <w:pStyle w:val="Normal"/>
        <w:widowControl/>
        <w:numPr>
          <w:ilvl w:val="0"/>
          <w:numId w:val="3"/>
        </w:numPr>
      </w:pPr>
      <w:r>
        <w:t xml:space="preserve">The complete vascular-response requirement and ≥12-month control period are conservative proposed safeguards, not thresholds validated by these cohorts. Favorable LDLT outcomes do not establish deceased-donor allocation priority or resolve living-donor risk.</w:t>
      </w:r>
    </w:p>
    <w:p>
      <w:pPr>
        <w:pStyle w:val="Normal"/>
        <w:widowControl/>
        <w:spacing w:before="60" w:after="20"/>
      </w:pPr>
      <w:r>
        <w:t xml:space="preserve">Read the selection and reporting limits together with the outcome estimates.</w:t>
      </w:r>
      <w:r>
        <w:t xml:space="preserve"> </w:t>
      </w:r>
      <w:r>
        <w:t xml:space="preserve"> </w:t>
      </w:r>
      <w:r>
        <w:fldChar w:fldCharType="begin"/>
      </w:r>
      <w:r>
        <w:instrText xml:space="preserve"> ADDIN EN.CITE </w:instrText>
      </w:r>
      <w:r>
        <w:fldChar w:fldCharType="begin">
          <w:fldData>PEVuZE5vdGU+PENpdGU+PEF1dGhvcj5Zb29uPC9BdXRob3I+PFllYXI+MjAyNjwvWWVhcj48UmVjTnVtPjEzPC9SZWNOdW0+PERpc3BsYXlUZXh0PltWMTItMTNdPC9EaXNwbGF5VGV4dD48cmVjb3JkPjxyZWMtbnVtYmVyPjEzPC9yZWMtbnVtYmVyPjxmb3JlaWduLWtleXM+PGtleSBhcHA9IkVOIiBkYi1pZD0iYTNhYWZkZmMtNmMxOC01MjJjLThhNjgtZmEwYWQyOGY1MWQyIiB0aW1lc3RhbXA9IjE3OTI5MjEwODciPjEz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ZZTwvQXV0aG9yPjxZZWFyPjIwMjQ8L1llYXI+PFJlY051bT4xNjwvUmVjTnVtPjxEaXNwbGF5VGV4dD5bVjEyLTE2XTwvRGlzcGxheVRleHQ+PHJlY29yZD48cmVjLW51bWJlcj4xNjwvcmVjLW51bWJlcj48Zm9yZWlnbi1rZXlzPjxrZXkgYXBwPSJFTiIgZGItaWQ9ImEzYWFmZGZjLTZjMTgtNTIyYy04YTY4LWZhMGFkMjhmNTFkMiIgdGltZXN0YW1wPSIxNzkyOTIxMDg3Ij4xNj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r>
        <w:t xml:space="preserve"> </w:t>
      </w:r>
      <w:r>
        <w:t xml:space="preserve"> </w:t>
      </w:r>
      <w:r>
        <w:fldChar w:fldCharType="begin"/>
      </w:r>
      <w:r>
        <w:instrText xml:space="preserve"> ADDIN EN.CITE </w:instrText>
      </w:r>
      <w:r>
        <w:fldChar w:fldCharType="begin">
          <w:fldData>PEVuZE5vdGU+PENpdGU+PEF1dGhvcj5DaG9pPC9BdXRob3I+PFllYXI+MjAxNzwvWWVhcj48UmVjTnVtPjE0PC9SZWNOdW0+PERpc3BsYXlUZXh0PltWMTItMTRdPC9EaXNwbGF5VGV4dD48cmVjb3JkPjxyZWMtbnVtYmVyPjE0PC9yZWMtbnVtYmVyPjxmb3JlaWduLWtleXM+PGtleSBhcHA9IkVOIiBkYi1pZD0iYTNhYWZkZmMtNmMxOC01MjJjLThhNjgtZmEwYWQyOGY1MWQyIiB0aW1lc3RhbXA9IjE3OTI5MjEwODciPjE0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ZYW5nPC9BdXRob3I+PFllYXI+MjAyMDwvWWVhcj48UmVjTnVtPjE1PC9SZWNOdW0+PERpc3BsYXlUZXh0PltWMTItMTVdPC9EaXNwbGF5VGV4dD48cmVjb3JkPjxyZWMtbnVtYmVyPjE1PC9yZWMtbnVtYmVyPjxmb3JlaWduLWtleXM+PGtleSBhcHA9IkVOIiBkYi1pZD0iYTNhYWZkZmMtNmMxOC01MjJjLThhNjgtZmEwYWQyOGY1MWQyIiB0aW1lc3RhbXA9IjE3OTI5MjEwODciPjE1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[V12-15]</w:t>
      </w:r>
      <w:r>
        <w:fldChar w:fldCharType="end"/>
      </w:r>
      <w:r>
        <w:t xml:space="preserve"> </w:t>
      </w:r>
      <w:r>
        <w:t xml:space="preserve"> </w:t>
      </w:r>
      <w:r>
        <w:fldChar w:fldCharType="begin"/>
      </w:r>
      <w:r>
        <w:instrText xml:space="preserve"> ADDIN EN.CITE </w:instrText>
      </w:r>
      <w:r>
        <w:fldChar w:fldCharType="begin">
          <w:fldData>PEVuZE5vdGU+PENpdGU+PEF1dGhvcj5Tb2luPC9BdXRob3I+PFllYXI+MjAyMDwvWWVhcj48UmVjTnVtPjE3PC9SZWNOdW0+PERpc3BsYXlUZXh0PltWMTItMTddPC9EaXNwbGF5VGV4dD48cmVjb3JkPjxyZWMtbnVtYmVyPjE3PC9yZWMtbnVtYmVyPjxmb3JlaWduLWtleXM+PGtleSBhcHA9IkVOIiBkYi1pZD0iYTNhYWZkZmMtNmMxOC01MjJjLThhNjgtZmEwYWQyOGY1MWQyIiB0aW1lc3RhbXA9IjE3OTI5MjEwODciPjE3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[V12-17]</w:t>
      </w:r>
      <w:r>
        <w:fldChar w:fldCharType="end"/>
      </w:r>
    </w:p>
    <w:p>
      <w:pPr>
        <w:pStyle w:val="Normal"/>
        <w:widowControl/>
        <w:spacing w:before="60" w:after="20"/>
      </w:pPr>
      <w:hyperlink r:id="rId80">
        <w:r>
          <w:rPr>
            <w:color w:val="77230C"/>
            <w:sz w:val="20"/>
            <w:u w:val="single"/>
          </w:rPr>
          <w:t>Yoon 2026</w:t>
        </w:r>
      </w:hyperlink>
      <w:r>
        <w:t xml:space="preserve"> — </w:t>
      </w:r>
      <w:hyperlink r:id="rId81">
        <w:r>
          <w:rPr>
            <w:color w:val="77230C"/>
            <w:sz w:val="20"/>
            <w:u w:val="single"/>
          </w:rPr>
          <w:t>Full-text PDF</w:t>
        </w:r>
      </w:hyperlink>
      <w:r>
        <w:t xml:space="preserve">  |  </w:t>
      </w:r>
      <w:hyperlink r:id="rId82">
        <w:r>
          <w:rPr>
            <w:color w:val="77230C"/>
            <w:sz w:val="20"/>
            <w:u w:val="single"/>
          </w:rPr>
          <w:t>Ye 2024</w:t>
        </w:r>
      </w:hyperlink>
      <w:r>
        <w:t xml:space="preserve"> — </w:t>
      </w:r>
      <w:hyperlink r:id="rId83">
        <w:r>
          <w:rPr>
            <w:color w:val="77230C"/>
            <w:sz w:val="20"/>
            <w:u w:val="single"/>
          </w:rPr>
          <w:t>Full-text PDF</w:t>
        </w:r>
      </w:hyperlink>
      <w:r>
        <w:t xml:space="preserve">  |  </w:t>
      </w:r>
      <w:hyperlink r:id="rId84">
        <w:r>
          <w:rPr>
            <w:color w:val="77230C"/>
            <w:sz w:val="20"/>
            <w:u w:val="single"/>
          </w:rPr>
          <w:t>Choi 2017</w:t>
        </w:r>
      </w:hyperlink>
      <w:r>
        <w:t xml:space="preserve"> — </w:t>
      </w:r>
      <w:hyperlink r:id="rId85">
        <w:r>
          <w:rPr>
            <w:color w:val="77230C"/>
            <w:sz w:val="20"/>
            <w:u w:val="single"/>
          </w:rPr>
          <w:t>Full-text PDF</w:t>
        </w:r>
      </w:hyperlink>
      <w:r>
        <w:t xml:space="preserve">  |  </w:t>
      </w:r>
      <w:hyperlink r:id="rId86">
        <w:r>
          <w:rPr>
            <w:color w:val="77230C"/>
            <w:sz w:val="20"/>
            <w:u w:val="single"/>
          </w:rPr>
          <w:t>Yang 2020</w:t>
        </w:r>
      </w:hyperlink>
      <w:r>
        <w:t xml:space="preserve"> — </w:t>
      </w:r>
      <w:hyperlink r:id="rId87">
        <w:r>
          <w:rPr>
            <w:color w:val="77230C"/>
            <w:sz w:val="20"/>
            <w:u w:val="single"/>
          </w:rPr>
          <w:t>Full-text PDF</w:t>
        </w:r>
      </w:hyperlink>
      <w:r>
        <w:t xml:space="preserve">  |  </w:t>
      </w:r>
      <w:hyperlink r:id="rId88">
        <w:r>
          <w:rPr>
            <w:color w:val="77230C"/>
            <w:sz w:val="20"/>
            <w:u w:val="single"/>
          </w:rPr>
          <w:t>Soin 2020</w:t>
        </w:r>
      </w:hyperlink>
      <w:r>
        <w:t xml:space="preserve"> — </w:t>
      </w:r>
      <w:hyperlink r:id="rId89">
        <w:r>
          <w:rPr>
            <w:color w:val="77230C"/>
            <w:sz w:val="20"/>
            <w:u w:val="single"/>
          </w:rPr>
          <w:t>Full-text PDF</w:t>
        </w:r>
      </w:hyperlink>
    </w:p>
    <w:p>
      <w:pPr>
        <w:pStyle w:val="Normal"/>
        <w:widowControl/>
        <w:spacing w:before="60" w:after="20"/>
      </w:pPr>
      <w:r>
        <w:t xml:space="preserve">Evidence integrity note: Yoon’s discussion/conclusion transpose the responder OS and DFS percentages; this update uses the Results and Figure 1 values. Request numerical Vp2/Vp3 Kaplan–Meier estimates, confidence intervals and grade-specific recurrence counts from the authors or a supplement before using exact grade-specific estimates in consent.</w:t>
      </w:r>
    </w:p>
    <w:p>
      <w:pPr>
        <w:pStyle w:val="Heading3"/>
        <w:keepNext/>
        <w:widowControl/>
      </w:pPr>
      <w:r>
        <w:t xml:space="preserve">Y90-to-LT: what the newly available full text changes</w:t>
      </w:r>
    </w:p>
    <w:p>
      <w:pPr>
        <w:pStyle w:val="Normal"/>
        <w:widowControl/>
        <w:numPr>
          <w:ilvl w:val="0"/>
          <w:numId w:val="3"/>
        </w:numPr>
        <w:spacing w:before="60" w:after="20"/>
      </w:pPr>
      <w:r>
        <w:t xml:space="preserve">The 37/240 transplant proportion (15.4%) describes pathway feasibility; five-year OS 61.6% describes selected recipients from LT. Four perioperative deaths and 13 major complications (grade ≥3) occurred among 37 recipients. The 79.3% RFS estimate censors deaths without recurrence and is not an alive-and-recurrence-free outcome.</w:t>
      </w:r>
      <w:r>
        <w:t xml:space="preserve"> </w:t>
      </w:r>
      <w:r>
        <w:t xml:space="preserve"> </w:t>
      </w:r>
      <w:r>
        <w:fldChar w:fldCharType="begin"/>
      </w:r>
      <w:r>
        <w:instrText xml:space="preserve"> ADDIN EN.CITE </w:instrText>
      </w:r>
      <w:r>
        <w:fldChar w:fldCharType="begin">
          <w:fldData>PEVuZE5vdGU+PENpdGU+PEF1dGhvcj5TcG9zaXRvPC9BdXRob3I+PFllYXI+MjAyNjwvWWVhcj48UmVjTnVtPjE5PC9SZWNOdW0+PERpc3BsYXlUZXh0PltWMTItMTldPC9EaXNwbGF5VGV4dD48cmVjb3JkPjxyZWMtbnVtYmVyPjE5PC9yZWMtbnVtYmVyPjxmb3JlaWduLWtleXM+PGtleSBhcHA9IkVOIiBkYi1pZD0iYTNhYWZkZmMtNmMxOC01MjJjLThhNjgtZmEwYWQyOGY1MWQyIiB0aW1lc3RhbXA9IjE3OTI5MjEwODciPjE5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[V12-19]</w:t>
      </w:r>
      <w:r>
        <w:fldChar w:fldCharType="end"/>
      </w:r>
    </w:p>
    <w:p>
      <w:pPr>
        <w:pStyle w:val="Normal"/>
        <w:widowControl/>
        <w:numPr>
          <w:ilvl w:val="0"/>
          <w:numId w:val="3"/>
        </w:numPr>
        <w:spacing w:before="60" w:after="20"/>
      </w:pPr>
      <w:r>
        <w:t xml:space="preserve">Six months of response was the shared Italian minimum; four centers accepted partial vascular response. The median 17 months from TARE to LT was not a minimum. Neither interval proves that the proposed original-Vp1–2/complete-response/12-month combination is optimal; the stricter local proposal remains OPEN.</w:t>
      </w:r>
      <w:r>
        <w:t xml:space="preserve"> </w:t>
      </w:r>
      <w:r>
        <w:t xml:space="preserve"> </w:t>
      </w:r>
      <w:r>
        <w:fldChar w:fldCharType="begin"/>
      </w:r>
      <w:r>
        <w:instrText xml:space="preserve"> ADDIN EN.CITE </w:instrText>
      </w:r>
      <w:r>
        <w:fldChar w:fldCharType="begin">
          <w:fldData>PEVuZE5vdGU+PENpdGU+PEF1dGhvcj5TcG9zaXRvPC9BdXRob3I+PFllYXI+MjAyNjwvWWVhcj48UmVjTnVtPjE5PC9SZWNOdW0+PERpc3BsYXlUZXh0PltWMTItMTldPC9EaXNwbGF5VGV4dD48cmVjb3JkPjxyZWMtbnVtYmVyPjE5PC9yZWMtbnVtYmVyPjxmb3JlaWduLWtleXM+PGtleSBhcHA9IkVOIiBkYi1pZD0iYTNhYWZkZmMtNmMxOC01MjJjLThhNjgtZmEwYWQyOGY1MWQyIiB0aW1lc3RhbXA9IjE3OTI5MjEwODciPjE5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[V12-19]</w:t>
      </w:r>
      <w:r>
        <w:fldChar w:fldCharType="end"/>
      </w:r>
    </w:p>
    <w:p>
      <w:pPr>
        <w:pStyle w:val="Normal"/>
        <w:widowControl/>
        <w:numPr>
          <w:ilvl w:val="0"/>
          <w:numId w:val="3"/>
        </w:numPr>
        <w:spacing w:before="60" w:after="20"/>
      </w:pPr>
      <w:r>
        <w:t xml:space="preserve">Map original and current vessel anatomy. The study reports no grade-specific recipient outcomes and excluded main-portal-trunk/hepatic-vein disease. Indeterminate postradiation enhancement requires HOLD and expert review; confirmed viable tumor fails the proposed gate. Allograft allocation and study authorization remain separate.</w:t>
      </w:r>
      <w:r>
        <w:t xml:space="preserve"> </w:t>
      </w:r>
      <w:r>
        <w:t xml:space="preserve"> </w:t>
      </w:r>
      <w:r>
        <w:fldChar w:fldCharType="begin"/>
      </w:r>
      <w:r>
        <w:instrText xml:space="preserve"> ADDIN EN.CITE </w:instrText>
      </w:r>
      <w:r>
        <w:fldChar w:fldCharType="begin">
          <w:fldData>PEVuZE5vdGU+PENpdGU+PEF1dGhvcj5TcG9zaXRvPC9BdXRob3I+PFllYXI+MjAyNjwvWWVhcj48UmVjTnVtPjE5PC9SZWNOdW0+PERpc3BsYXlUZXh0PltWMTItMTldPC9EaXNwbGF5VGV4dD48cmVjb3JkPjxyZWMtbnVtYmVyPjE5PC9yZWMtbnVtYmVyPjxmb3JlaWduLWtleXM+PGtleSBhcHA9IkVOIiBkYi1pZD0iYTNhYWZkZmMtNmMxOC01MjJjLThhNjgtZmEwYWQyOGY1MWQyIiB0aW1lc3RhbXA9IjE3OTI5MjEwODciPjE5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[V12-19]</w:t>
      </w:r>
      <w:r>
        <w:fldChar w:fldCharType="end"/>
      </w:r>
    </w:p>
    <w:p>
      <w:pPr>
        <w:pStyle w:val="Normal"/>
        <w:widowControl/>
        <w:spacing w:before="60" w:after="20"/>
      </w:pPr>
      <w:r>
        <w:t xml:space="preserve">Main PDF pp4–6 (selection, endpoints, cohort flow), p8/Table 2 (harms/pathology), p9/Figure 3 (outcomes and risk set), pp10–11 (exploratory limits).</w:t>
      </w:r>
      <w:r>
        <w:t xml:space="preserve"> </w:t>
      </w:r>
      <w:r>
        <w:t xml:space="preserve"> </w:t>
      </w:r>
      <w:r>
        <w:fldChar w:fldCharType="begin"/>
      </w:r>
      <w:r>
        <w:instrText xml:space="preserve"> ADDIN EN.CITE </w:instrText>
      </w:r>
      <w:r>
        <w:fldChar w:fldCharType="begin">
          <w:fldData>PEVuZE5vdGU+PENpdGU+PEF1dGhvcj5TcG9zaXRvPC9BdXRob3I+PFllYXI+MjAyNjwvWWVhcj48UmVjTnVtPjE5PC9SZWNOdW0+PERpc3BsYXlUZXh0PltWMTItMTldPC9EaXNwbGF5VGV4dD48cmVjb3JkPjxyZWMtbnVtYmVyPjE5PC9yZWMtbnVtYmVyPjxmb3JlaWduLWtleXM+PGtleSBhcHA9IkVOIiBkYi1pZD0iYTNhYWZkZmMtNmMxOC01MjJjLThhNjgtZmEwYWQyOGY1MWQyIiB0aW1lc3RhbXA9IjE3OTI5MjEwODciPjE5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[V12-19]</w:t>
      </w:r>
      <w:r>
        <w:fldChar w:fldCharType="end"/>
      </w:r>
    </w:p>
    <w:p>
      <w:pPr>
        <w:pStyle w:val="Normal"/>
        <w:widowControl/>
        <w:spacing w:before="60" w:after="20"/>
      </w:pPr>
      <w:hyperlink r:id="rId90">
        <w:r>
          <w:rPr>
            <w:color w:val="77230C"/>
            <w:sz w:val="20"/>
            <w:u w:val="single"/>
          </w:rPr>
          <w:t>Sposito 2026</w:t>
        </w:r>
      </w:hyperlink>
      <w:r>
        <w:t xml:space="preserve"> — </w:t>
      </w:r>
      <w:hyperlink r:id="rId91">
        <w:r>
          <w:rPr>
            <w:color w:val="77230C"/>
            <w:sz w:val="20"/>
            <w:u w:val="single"/>
          </w:rPr>
          <w:t>Full-text PDF</w:t>
        </w:r>
      </w:hyperlink>
    </w:p>
    <w:p>
      <w:pPr>
        <w:pStyle w:val="Heading3"/>
        <w:keepNext/>
        <w:widowControl/>
      </w:pPr>
      <w:r>
        <w:t xml:space="preserve">Synthesis and evidence that challenges the proposal</w:t>
      </w:r>
    </w:p>
    <w:p>
      <w:pPr>
        <w:pStyle w:val="Normal"/>
        <w:widowControl/>
        <w:spacing w:before="60" w:after="20"/>
      </w:pPr>
      <w:r>
        <w:t xml:space="preserve">Selected PVTT transplant cohorts show that some long-term survivors exist, including proximal disease, but do not establish a universal Vp2/Vp3 benefit boundary. Sposito's now-reviewed full text adds a 240-patient Y90 pathway: 61 sustained downstagings, 37 transplants, five-year OS 18.9% from TARE for all entrants versus 61.6% from LT for recipients. Recipient RFS 79.3% censors nonrecurrence deaths; six recurrences/37 and four perioperative deaths must be reported separately. Selection varied across centers and accepted partial vascular response at four of five centers after at least six months. No grade-specific transplant outcomes or validation of the proposed Vp1–2/complete-response/12-month composite is supplied. Its favorable recipient results support prospective study development, while substantial attrition, decompensation, major complications and selection bias temper benefit and allocation claims. The original-Vp1–2 and 12-month post-downstaging proposal is consistent with the weak-evidence, weak-recommendation ILTS–ILCA consensus (Table 1, printed p820/current PDF p6). This is not a validated optimum or universal transplant-benefit threshold; separate NLRB requirements and prospective approvals still apply.</w:t>
      </w:r>
      <w:r>
        <w:t xml:space="preserve"> </w:t>
      </w:r>
      <w:r>
        <w:t xml:space="preserve"> </w:t>
      </w:r>
      <w:r>
        <w:fldChar w:fldCharType="begin"/>
      </w:r>
      <w:r>
        <w:instrText xml:space="preserve"> ADDIN EN.CITE </w:instrText>
      </w:r>
      <w:r>
        <w:fldChar w:fldCharType="begin">
          <w:fldData>PEVuZE5vdGU+PENpdGU+PEF1dGhvcj5Zb29uPC9BdXRob3I+PFllYXI+MjAyNjwvWWVhcj48UmVjTnVtPjEzPC9SZWNOdW0+PERpc3BsYXlUZXh0PltWMTItMTNdPC9EaXNwbGF5VGV4dD48cmVjb3JkPjxyZWMtbnVtYmVyPjEzPC9yZWMtbnVtYmVyPjxmb3JlaWduLWtleXM+PGtleSBhcHA9IkVOIiBkYi1pZD0iYTNhYWZkZmMtNmMxOC01MjJjLThhNjgtZmEwYWQyOGY1MWQyIiB0aW1lc3RhbXA9IjE3OTI5MjEwODciPjEz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DaG9pPC9BdXRob3I+PFllYXI+MjAxNzwvWWVhcj48UmVjTnVtPjE0PC9SZWNOdW0+PERpc3BsYXlUZXh0PltWMTItMTRdPC9EaXNwbGF5VGV4dD48cmVjb3JkPjxyZWMtbnVtYmVyPjE0PC9yZWMtbnVtYmVyPjxmb3JlaWduLWtleXM+PGtleSBhcHA9IkVOIiBkYi1pZD0iYTNhYWZkZmMtNmMxOC01MjJjLThhNjgtZmEwYWQyOGY1MWQyIiB0aW1lc3RhbXA9IjE3OTI5MjEwODciPjE0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ZYW5nPC9BdXRob3I+PFllYXI+MjAyMDwvWWVhcj48UmVjTnVtPjE1PC9SZWNOdW0+PERpc3BsYXlUZXh0PltWMTItMTVdPC9EaXNwbGF5VGV4dD48cmVjb3JkPjxyZWMtbnVtYmVyPjE1PC9yZWMtbnVtYmVyPjxmb3JlaWduLWtleXM+PGtleSBhcHA9IkVOIiBkYi1pZD0iYTNhYWZkZmMtNmMxOC01MjJjLThhNjgtZmEwYWQyOGY1MWQyIiB0aW1lc3RhbXA9IjE3OTI5MjEwODciPjE1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[V12-15]</w:t>
      </w:r>
      <w:r>
        <w:fldChar w:fldCharType="end"/>
      </w:r>
      <w:r>
        <w:t xml:space="preserve"> </w:t>
      </w:r>
      <w:r>
        <w:t xml:space="preserve"> </w:t>
      </w:r>
      <w:r>
        <w:fldChar w:fldCharType="begin"/>
      </w:r>
      <w:r>
        <w:instrText xml:space="preserve"> ADDIN EN.CITE </w:instrText>
      </w:r>
      <w:r>
        <w:fldChar w:fldCharType="begin">
          <w:fldData>PEVuZE5vdGU+PENpdGU+PEF1dGhvcj5ZZTwvQXV0aG9yPjxZZWFyPjIwMjQ8L1llYXI+PFJlY051bT4xNjwvUmVjTnVtPjxEaXNwbGF5VGV4dD5bVjEyLTE2XTwvRGlzcGxheVRleHQ+PHJlY29yZD48cmVjLW51bWJlcj4xNjwvcmVjLW51bWJlcj48Zm9yZWlnbi1rZXlzPjxrZXkgYXBwPSJFTiIgZGItaWQ9ImEzYWFmZGZjLTZjMTgtNTIyYy04YTY4LWZhMGFkMjhmNTFkMiIgdGltZXN0YW1wPSIxNzkyOTIxMDg3Ij4xNj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r>
        <w:t xml:space="preserve"> </w:t>
      </w:r>
      <w:r>
        <w:t xml:space="preserve"> </w:t>
      </w:r>
      <w:r>
        <w:fldChar w:fldCharType="begin"/>
      </w:r>
      <w:r>
        <w:instrText xml:space="preserve"> ADDIN EN.CITE </w:instrText>
      </w:r>
      <w:r>
        <w:fldChar w:fldCharType="begin">
          <w:fldData>PEVuZE5vdGU+PENpdGU+PEF1dGhvcj5Tb2luPC9BdXRob3I+PFllYXI+MjAyMDwvWWVhcj48UmVjTnVtPjE3PC9SZWNOdW0+PERpc3BsYXlUZXh0PltWMTItMTddPC9EaXNwbGF5VGV4dD48cmVjb3JkPjxyZWMtbnVtYmVyPjE3PC9yZWMtbnVtYmVyPjxmb3JlaWduLWtleXM+PGtleSBhcHA9IkVOIiBkYi1pZD0iYTNhYWZkZmMtNmMxOC01MjJjLThhNjgtZmEwYWQyOGY1MWQyIiB0aW1lc3RhbXA9IjE3OTI5MjEwODciPjE3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[V12-17]</w:t>
      </w:r>
      <w:r>
        <w:fldChar w:fldCharType="end"/>
      </w:r>
      <w:r>
        <w:t xml:space="preserve"> </w:t>
      </w:r>
      <w:r>
        <w:t xml:space="preserve"> </w:t>
      </w:r>
      <w:r>
        <w:fldChar w:fldCharType="begin"/>
      </w:r>
      <w:r>
        <w:instrText xml:space="preserve"> ADDIN EN.CITE </w:instrText>
      </w:r>
      <w:r>
        <w:fldChar w:fldCharType="begin">
          <w:fldData>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r>
        <w:t xml:space="preserve"> </w:t>
      </w:r>
      <w:r>
        <w:t xml:space="preserve"> </w:t>
      </w:r>
      <w:r>
        <w:fldChar w:fldCharType="begin"/>
      </w:r>
      <w:r>
        <w:instrText xml:space="preserve"> ADDIN EN.CITE </w:instrText>
      </w:r>
      <w:r>
        <w:fldChar w:fldCharType="begin">
          <w:fldData>PEVuZE5vdGU+PENpdGU+PEF1dGhvcj5TcG9zaXRvPC9BdXRob3I+PFllYXI+MjAyNjwvWWVhcj48UmVjTnVtPjE5PC9SZWNOdW0+PERpc3BsYXlUZXh0PltWMTItMTldPC9EaXNwbGF5VGV4dD48cmVjb3JkPjxyZWMtbnVtYmVyPjE5PC9yZWMtbnVtYmVyPjxmb3JlaWduLWtleXM+PGtleSBhcHA9IkVOIiBkYi1pZD0iYTNhYWZkZmMtNmMxOC01MjJjLThhNjgtZmEwYWQyOGY1MWQyIiB0aW1lc3RhbXA9IjE3OTI5MjEwODciPjE5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[V12-19]</w:t>
      </w:r>
      <w:r>
        <w:fldChar w:fldCharType="end"/>
      </w:r>
    </w:p>
    <w:p>
      <w:pPr>
        <w:pStyle w:val="Normal"/>
        <w:widowControl/>
        <w:numPr>
          <w:ilvl w:val="0"/>
          <w:numId w:val="3"/>
        </w:numPr>
        <w:spacing w:before="60" w:after="20"/>
      </w:pPr>
      <w:r>
        <w:t xml:space="preserve">A blanket statement that every PVTT transplant is futile is not supported: Yoon reports selected Vp4 survivors, and Sposito reports five-year recipient OS 61.6% after branch-PVTT downstaging. Conversely, Sposito excluded main-trunk/hepatic-vein involvement and gives no separate recipient survival for its PV1/PV2/PV3 groups. Its six-month requirement and acceptance of partial PVTT response challenge the necessity of the stricter local proposal without proving that relaxation is safe. Post-radiation enhancement requires expert adjudication; radiological uncertainty is a HOLD, not automatic viable disease or permission to transplant. Neither 79.3% author RFS nor the cancer-death association establishes survival benefit for an unselected entrant or a modern-systemic-therapy comparator.</w:t>
      </w:r>
    </w:p>
    <w:p>
      <w:pPr>
        <w:pStyle w:val="Normal"/>
        <w:widowControl/>
        <w:spacing w:before="60" w:after="20"/>
      </w:pPr>
      <w:r>
        <w:rPr>
          <w:b/>
        </w:rPr>
        <w:t xml:space="preserve">Certainty / applicability: </w:t>
      </w:r>
      <w:r>
        <w:t xml:space="preserve">Low certainty for feasibility in highly selected branch-PVTT responders; very low certainty for causal comparative benefit, grade-specific eligibility, optimal observation duration and transferability to US deceased-donor allocation. No validated combined selection rule.</w:t>
      </w:r>
    </w:p>
    <w:p>
      <w:pPr>
        <w:pStyle w:val="Heading3"/>
        <w:keepNext/>
        <w:widowControl/>
      </w:pPr>
      <w:r>
        <w:t xml:space="preserve">Where each proposed threshold comes from</w:t>
      </w:r>
    </w:p>
    <w:p>
      <w:pPr>
        <w:pStyle w:val="Normal"/>
        <w:widowControl/>
        <w:numPr>
          <w:ilvl w:val="0"/>
          <w:numId w:val="3"/>
        </w:numPr>
        <w:spacing w:before="60" w:after="20"/>
      </w:pPr>
      <w:r>
        <w:t xml:space="preserve">Original Vp1–2 and at least 12 months of control: weak-evidence ILTS–ILCA consensus lineage plus conservative local risk control; not a demonstrated survival cliff or an optimal duration. Complete vascular response and bounded Milan parenchymal burden add local safeguards, not a jointly tested model.</w:t>
      </w:r>
    </w:p>
    <w:p>
      <w:pPr>
        <w:pStyle w:val="Normal"/>
        <w:widowControl/>
        <w:numPr>
          <w:ilvl w:val="0"/>
          <w:numId w:val="3"/>
        </w:numPr>
        <w:spacing w:before="60" w:after="20"/>
      </w:pPr>
      <w:r>
        <w:t xml:space="preserve">Sposito: at least six months of response after TARE; complete PVTT response at one center, partial response accepted at four; variable morphology and AFP thresholds. Its median 17 months from TARE to LT is an observed interval, not a minimum requirement.</w:t>
      </w:r>
    </w:p>
    <w:p>
      <w:pPr>
        <w:pStyle w:val="Normal"/>
        <w:widowControl/>
        <w:numPr>
          <w:ilvl w:val="0"/>
          <w:numId w:val="3"/>
        </w:numPr>
        <w:spacing w:before="60" w:after="20"/>
      </w:pPr>
      <w:r>
        <w:t xml:space="preserve">Anatomy: Sposito PV1 segmentary, PV2 secondary-order and PV3 first-order describe baseline all-240 groups. Main-trunk/hepatic-vein disease was excluded; grade-specific recipient outcomes are absent. Document vessel anatomy before crosswalking classification systems; do not infer a Vp3 estimate or any Vp4 evidence from this cohort.</w:t>
      </w:r>
    </w:p>
    <w:p>
      <w:pPr>
        <w:pStyle w:val="Normal"/>
        <w:widowControl/>
        <w:numPr>
          <w:ilvl w:val="0"/>
          <w:numId w:val="3"/>
        </w:numPr>
        <w:spacing w:before="60" w:after="20"/>
      </w:pPr>
      <w:r>
        <w:t xml:space="preserve">Do not turn exploratory recipient associations for age 65, AFP 100 ng/mL or tumor size 50 mm into new mandatory cutoffs. Relevant adverse subgroups contained only four, three and six patients, respectively.</w:t>
      </w:r>
    </w:p>
    <w:p>
      <w:pPr>
        <w:pStyle w:val="Normal"/>
        <w:widowControl/>
        <w:numPr>
          <w:ilvl w:val="0"/>
          <w:numId w:val="3"/>
        </w:numPr>
        <w:spacing w:before="60" w:after="20"/>
      </w:pPr>
      <w:r>
        <w:t xml:space="preserve">Vp3 observational registry first and Vp4/main/contralateral/hepatic-vein exclusion from the initial pilot remain OPEN design boundaries, not universal declarations of futility. A registry, donor offer or favorable response does not confer clinical/research/allocation approval.</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Yoon 2026</w:t>
            </w:r>
            <w:r>
              <w:t xml:space="preserve"> </w:t>
            </w:r>
            <w:r>
              <w:t xml:space="preserve"> </w:t>
            </w:r>
            <w:r>
              <w:fldChar w:fldCharType="begin"/>
            </w:r>
            <w:r>
              <w:instrText xml:space="preserve"> ADDIN EN.CITE </w:instrText>
            </w:r>
            <w:r>
              <w:fldChar w:fldCharType="begin">
                <w:fldData>PEVuZE5vdGU+PENpdGU+PEF1dGhvcj5Zb29uPC9BdXRob3I+PFllYXI+MjAyNjwvWWVhcj48UmVjTnVtPjEzPC9SZWNOdW0+PERpc3BsYXlUZXh0PltWMTItMTNdPC9EaXNwbGF5VGV4dD48cmVjb3JkPjxyZWMtbnVtYmVyPjEzPC9yZWMtbnVtYmVyPjxmb3JlaWduLWtleXM+PGtleSBhcHA9IkVOIiBkYi1pZD0iYTNhYWZkZmMtNmMxOC01MjJjLThhNjgtZmEwYWQyOGY1MWQyIiB0aW1lc3RhbXA9IjE3OTI5MjEwODciPjEz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p>
            <w:pPr>
              <w:pStyle w:val="Normal"/>
              <w:widowControl/>
              <w:spacing w:before="60" w:after="20"/>
            </w:pPr>
            <w:r>
              <w:t xml:space="preserve">“Those with CR or PR were defined as DS responders”</w:t>
            </w:r>
          </w:p>
          <w:p>
            <w:pPr>
              <w:pStyle w:val="Normal"/>
              <w:widowControl/>
              <w:spacing w:before="60" w:after="20"/>
            </w:pPr>
            <w:r>
              <w:t xml:space="preserve">Published PDF p2 / journal p7260, response assessment</w:t>
            </w:r>
          </w:p>
          <w:p>
            <w:pPr>
              <w:pStyle w:val="Normal"/>
              <w:widowControl/>
              <w:spacing w:before="60" w:after="20"/>
            </w:pPr>
            <w:hyperlink r:id="rId92">
              <w:r>
                <w:rPr>
                  <w:color w:val="77230C"/>
                  <w:sz w:val="20"/>
                  <w:u w:val="single"/>
                </w:rPr>
                <w:t>Source</w:t>
              </w:r>
            </w:hyperlink>
            <w:r>
              <w:t xml:space="preserve"> | </w:t>
            </w:r>
            <w:hyperlink r:id="rId93">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Yoon did not require the complete vascular clearance proposed here; 65/83 responders still had viable PVTT on explant.</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Yoon 2026</w:t>
            </w:r>
            <w:r>
              <w:t xml:space="preserve"> </w:t>
            </w:r>
            <w:r>
              <w:t xml:space="preserve"> </w:t>
            </w:r>
            <w:r>
              <w:fldChar w:fldCharType="begin"/>
            </w:r>
            <w:r>
              <w:instrText xml:space="preserve"> ADDIN EN.CITE </w:instrText>
            </w:r>
            <w:r>
              <w:fldChar w:fldCharType="begin">
                <w:fldData>PEVuZE5vdGU+PENpdGU+PEF1dGhvcj5Zb29uPC9BdXRob3I+PFllYXI+MjAyNjwvWWVhcj48UmVjTnVtPjEzPC9SZWNOdW0+PERpc3BsYXlUZXh0PltWMTItMTNdPC9EaXNwbGF5VGV4dD48cmVjb3JkPjxyZWMtbnVtYmVyPjEzPC9yZWMtbnVtYmVyPjxmb3JlaWduLWtleXM+PGtleSBhcHA9IkVOIiBkYi1pZD0iYTNhYWZkZmMtNmMxOC01MjJjLThhNjgtZmEwYWQyOGY1MWQyIiB0aW1lc3RhbXA9IjE3OTI5MjEwODciPjEz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p>
            <w:pPr>
              <w:pStyle w:val="Normal"/>
              <w:widowControl/>
              <w:spacing w:before="60" w:after="20"/>
            </w:pPr>
            <w:r>
              <w:t xml:space="preserve">“our study did not identify it as an independent predictor of survival.”</w:t>
            </w:r>
          </w:p>
          <w:p>
            <w:pPr>
              <w:pStyle w:val="Normal"/>
              <w:widowControl/>
              <w:spacing w:before="60" w:after="20"/>
            </w:pPr>
            <w:r>
              <w:t xml:space="preserve">Published PDF p10 / journal p7268, discussion of PVTT grade</w:t>
            </w:r>
          </w:p>
          <w:p>
            <w:pPr>
              <w:pStyle w:val="Normal"/>
              <w:widowControl/>
              <w:spacing w:before="60" w:after="20"/>
            </w:pPr>
            <w:hyperlink r:id="rId94">
              <w:r>
                <w:rPr>
                  <w:color w:val="77230C"/>
                  <w:sz w:val="20"/>
                  <w:u w:val="single"/>
                </w:rPr>
                <w:t>Source</w:t>
              </w:r>
            </w:hyperlink>
            <w:r>
              <w:t xml:space="preserve"> | </w:t>
            </w:r>
            <w:hyperlink r:id="rId95">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selected cohort did not establish a sharp anatomical survival cutoff. Vp4 five-year OS was 50.0%; small numbers and non-intention-to-treat selection prevent an equivalence claim.</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Ye 2024</w:t>
            </w:r>
            <w:r>
              <w:t xml:space="preserve"> </w:t>
            </w:r>
            <w:r>
              <w:t xml:space="preserve"> </w:t>
            </w:r>
            <w:r>
              <w:fldChar w:fldCharType="begin"/>
            </w:r>
            <w:r>
              <w:instrText xml:space="preserve"> ADDIN EN.CITE </w:instrText>
            </w:r>
            <w:r>
              <w:fldChar w:fldCharType="begin">
                <w:fldData>PEVuZE5vdGU+PENpdGU+PEF1dGhvcj5ZZTwvQXV0aG9yPjxZZWFyPjIwMjQ8L1llYXI+PFJlY051bT4xNjwvUmVjTnVtPjxEaXNwbGF5VGV4dD5bVjEyLTE2XTwvRGlzcGxheVRleHQ+PHJlY29yZD48cmVjLW51bWJlcj4xNjwvcmVjLW51bWJlcj48Zm9yZWlnbi1rZXlzPjxrZXkgYXBwPSJFTiIgZGItaWQ9ImEzYWFmZGZjLTZjMTgtNTIyYy04YTY4LWZhMGFkMjhmNTFkMiIgdGltZXN0YW1wPSIxNzkyOTIxMDg3Ij4xNj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p>
          <w:p>
            <w:pPr>
              <w:pStyle w:val="Normal"/>
              <w:widowControl/>
              <w:spacing w:before="60" w:after="20"/>
            </w:pPr>
            <w:r>
              <w:t xml:space="preserve">“lobar PVTT: tumor thrombi involving left and right branches or main portal vein”</w:t>
            </w:r>
          </w:p>
          <w:p>
            <w:pPr>
              <w:pStyle w:val="Normal"/>
              <w:widowControl/>
              <w:spacing w:before="60" w:after="20"/>
            </w:pPr>
            <w:r>
              <w:t xml:space="preserve">Complete early-online PDF p3, Diagnosis of PVTT</w:t>
            </w:r>
          </w:p>
          <w:p>
            <w:pPr>
              <w:pStyle w:val="Normal"/>
              <w:widowControl/>
              <w:spacing w:before="60" w:after="20"/>
            </w:pPr>
            <w:hyperlink r:id="rId96">
              <w:r>
                <w:rPr>
                  <w:color w:val="77230C"/>
                  <w:sz w:val="20"/>
                  <w:u w:val="single"/>
                </w:rPr>
                <w:t>Source</w:t>
              </w:r>
            </w:hyperlink>
            <w:r>
              <w:t xml:space="preserve"> | </w:t>
            </w:r>
            <w:hyperlink r:id="rId9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This poor-outcome group combines first-order and main-portal involvement. Its recurrence cannot be attributed to Vp3 alone; perioperative deaths were excluded.</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hM2FhZmRmYy02YzE4LTUyMmMtOGE2OC1mYTBhZDI4ZjUxZDIiIHRpbWVzdGFtcD0iMTc5MjkyMTA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before="60" w:after="20"/>
            </w:pPr>
            <w:r>
              <w:t xml:space="preserve">“minimum of 12 months”</w:t>
            </w:r>
          </w:p>
          <w:p>
            <w:pPr>
              <w:pStyle w:val="Normal"/>
              <w:widowControl/>
              <w:spacing w:before="60" w:after="20"/>
            </w:pPr>
            <w:r>
              <w:t xml:space="preserve">December 2025 guidance p3, treated primary-branch invasion/rupture discussion</w:t>
            </w:r>
          </w:p>
          <w:p>
            <w:pPr>
              <w:pStyle w:val="Normal"/>
              <w:widowControl/>
              <w:spacing w:before="60" w:after="20"/>
            </w:pPr>
            <w:hyperlink r:id="rId98">
              <w:r>
                <w:rPr>
                  <w:color w:val="77230C"/>
                  <w:sz w:val="20"/>
                  <w:u w:val="single"/>
                </w:rPr>
                <w:t>Source</w:t>
              </w:r>
            </w:hyperlink>
            <w:r>
              <w:t xml:space="preserve"> | </w:t>
            </w:r>
            <w:hyperlink r:id="rId99">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Applies to specified case-by-case exception considerations; applying this duration to every Vp1–2 study candidate is local conservatism.</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Sposito 2026</w:t>
            </w:r>
            <w:r>
              <w:t xml:space="preserve"> </w:t>
            </w:r>
            <w:r>
              <w:t xml:space="preserve"> </w:t>
            </w:r>
            <w:r>
              <w:fldChar w:fldCharType="begin"/>
            </w:r>
            <w:r>
              <w:instrText xml:space="preserve"> ADDIN EN.CITE </w:instrText>
            </w:r>
            <w:r>
              <w:fldChar w:fldCharType="begin">
                <w:fldData>PEVuZE5vdGU+PENpdGU+PEF1dGhvcj5TcG9zaXRvPC9BdXRob3I+PFllYXI+MjAyNjwvWWVhcj48UmVjTnVtPjE5PC9SZWNOdW0+PERpc3BsYXlUZXh0PltWMTItMTldPC9EaXNwbGF5VGV4dD48cmVjb3JkPjxyZWMtbnVtYmVyPjE5PC9yZWMtbnVtYmVyPjxmb3JlaWduLWtleXM+PGtleSBhcHA9IkVOIiBkYi1pZD0iYTNhYWZkZmMtNmMxOC01MjJjLThhNjgtZmEwYWQyOGY1MWQyIiB0aW1lc3RhbXA9IjE3OTI5MjEwODciPjE5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[V12-19]</w:t>
            </w:r>
            <w:r>
              <w:fldChar w:fldCharType="end"/>
            </w:r>
          </w:p>
          <w:p>
            <w:pPr>
              <w:pStyle w:val="Normal"/>
              <w:widowControl/>
              <w:spacing w:before="60" w:after="20"/>
            </w:pPr>
            <w:r>
              <w:t xml:space="preserve">“with censoring at last follow-up or death without recurrence.”</w:t>
            </w:r>
          </w:p>
          <w:p>
            <w:pPr>
              <w:pStyle w:val="Normal"/>
              <w:widowControl/>
              <w:spacing w:before="60" w:after="20"/>
            </w:pPr>
            <w:r>
              <w:t xml:space="preserve">Full main PDF p5, Statistical analysis, definition of RFS</w:t>
            </w:r>
          </w:p>
          <w:p>
            <w:pPr>
              <w:pStyle w:val="Normal"/>
              <w:widowControl/>
              <w:spacing w:before="60" w:after="20"/>
            </w:pPr>
            <w:hyperlink r:id="rId100">
              <w:r>
                <w:rPr>
                  <w:color w:val="77230C"/>
                  <w:sz w:val="20"/>
                  <w:u w:val="single"/>
                </w:rPr>
                <w:t>Source</w:t>
              </w:r>
            </w:hyperlink>
            <w:r>
              <w:t xml:space="preserve"> | </w:t>
            </w:r>
            <w:hyperlink r:id="rId101">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Author RFS is recurrence-only with nonrecurrence deaths censored; 79.3% is not death-inclusive disease-free survival and is not a competing-risk recurrence estimate.</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Sposito 2026</w:t>
            </w:r>
            <w:r>
              <w:t xml:space="preserve"> </w:t>
            </w:r>
            <w:r>
              <w:t xml:space="preserve"> </w:t>
            </w:r>
            <w:r>
              <w:fldChar w:fldCharType="begin"/>
            </w:r>
            <w:r>
              <w:instrText xml:space="preserve"> ADDIN EN.CITE </w:instrText>
            </w:r>
            <w:r>
              <w:fldChar w:fldCharType="begin">
                <w:fldData>PEVuZE5vdGU+PENpdGU+PEF1dGhvcj5TcG9zaXRvPC9BdXRob3I+PFllYXI+MjAyNjwvWWVhcj48UmVjTnVtPjE5PC9SZWNOdW0+PERpc3BsYXlUZXh0PltWMTItMTldPC9EaXNwbGF5VGV4dD48cmVjb3JkPjxyZWMtbnVtYmVyPjE5PC9yZWMtbnVtYmVyPjxmb3JlaWduLWtleXM+PGtleSBhcHA9IkVOIiBkYi1pZD0iYTNhYWZkZmMtNmMxOC01MjJjLThhNjgtZmEwYWQyOGY1MWQyIiB0aW1lc3RhbXA9IjE3OTI5MjEwODciPjE5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[V12-19]</w:t>
            </w:r>
            <w:r>
              <w:fldChar w:fldCharType="end"/>
            </w:r>
          </w:p>
          <w:p>
            <w:pPr>
              <w:pStyle w:val="Normal"/>
              <w:widowControl/>
              <w:spacing w:before="60" w:after="20"/>
            </w:pPr>
            <w:r>
              <w:t xml:space="preserve">“criteria for successful downstaging were not defined a priori by a unified protocol”</w:t>
            </w:r>
          </w:p>
          <w:p>
            <w:pPr>
              <w:pStyle w:val="Normal"/>
              <w:widowControl/>
              <w:spacing w:before="60" w:after="20"/>
            </w:pPr>
            <w:r>
              <w:t xml:space="preserve">Full main PDF p4, Criteria for successful downstaging and liver transplant</w:t>
            </w:r>
          </w:p>
          <w:p>
            <w:pPr>
              <w:pStyle w:val="Normal"/>
              <w:widowControl/>
              <w:spacing w:before="60" w:after="20"/>
            </w:pPr>
            <w:hyperlink r:id="rId102">
              <w:r>
                <w:rPr>
                  <w:color w:val="77230C"/>
                  <w:sz w:val="20"/>
                  <w:u w:val="single"/>
                </w:rPr>
                <w:t>Source</w:t>
              </w:r>
            </w:hyperlink>
            <w:r>
              <w:t xml:space="preserve"> | </w:t>
            </w:r>
            <w:hyperlink r:id="rId103">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centers shared a minimum response interval but differed in vascular response, tumor burden and AFP selection. Their combined results do not prospectively validate one composite eligibility rule.</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Develop an initial Vp1–2-only transplanting study; keep Vp3 registry-first and Vp4/hepatic-vein expansion closed.</w:t>
      </w:r>
      <w:r>
        <w:t xml:space="preserve"> </w:t>
      </w:r>
      <w:r>
        <w:t xml:space="preserve"> </w:t>
      </w:r>
      <w:r>
        <w:fldChar w:fldCharType="begin"/>
      </w:r>
      <w:r>
        <w:instrText xml:space="preserve"> ADDIN EN.CITE </w:instrText>
      </w:r>
      <w:r>
        <w:fldChar w:fldCharType="begin">
          <w:fldData>PEVuZE5vdGU+PENpdGU+PEF1dGhvcj5Zb29uPC9BdXRob3I+PFllYXI+MjAyNjwvWWVhcj48UmVjTnVtPjEzPC9SZWNOdW0+PERpc3BsYXlUZXh0PltWMTItMTNdPC9EaXNwbGF5VGV4dD48cmVjb3JkPjxyZWMtbnVtYmVyPjEzPC9yZWMtbnVtYmVyPjxmb3JlaWduLWtleXM+PGtleSBhcHA9IkVOIiBkYi1pZD0iYTNhYWZkZmMtNmMxOC01MjJjLThhNjgtZmEwYWQyOGY1MWQyIiB0aW1lc3RhbXA9IjE3OTI5MjEwODciPjEz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ZZTwvQXV0aG9yPjxZZWFyPjIwMjQ8L1llYXI+PFJlY051bT4xNjwvUmVjTnVtPjxEaXNwbGF5VGV4dD5bVjEyLTE2XTwvRGlzcGxheVRleHQ+PHJlY29yZD48cmVjLW51bWJlcj4xNjwvcmVjLW51bWJlcj48Zm9yZWlnbi1rZXlzPjxrZXkgYXBwPSJFTiIgZGItaWQ9ImEzYWFmZGZjLTZjMTgtNTIyYy04YTY4LWZhMGFkMjhmNTFkMiIgdGltZXN0YW1wPSIxNzkyOTIxMDg3Ij4xNj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hM2FhZmRmYy02YzE4LTUyMmMtOGE2OC1mYTBhZDI4ZjUxZDIiIHRpbWVzdGFtcD0iMTc5MjkyMTA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TcG9zaXRvPC9BdXRob3I+PFllYXI+MjAyNjwvWWVhcj48UmVjTnVtPjE5PC9SZWNOdW0+PERpc3BsYXlUZXh0PltWMTItMTldPC9EaXNwbGF5VGV4dD48cmVjb3JkPjxyZWMtbnVtYmVyPjE5PC9yZWMtbnVtYmVyPjxmb3JlaWduLWtleXM+PGtleSBhcHA9IkVOIiBkYi1pZD0iYTNhYWZkZmMtNmMxOC01MjJjLThhNjgtZmEwYWQyOGY1MWQyIiB0aW1lc3RhbXA9IjE3OTI5MjEwODciPjE5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[V12-19]</w:t>
      </w:r>
      <w:r>
        <w:fldChar w:fldCharType="end"/>
      </w:r>
      <w:r>
        <w:t xml:space="preserve"> </w:t>
      </w:r>
      <w:r>
        <w:t xml:space="preserve"> </w:t>
      </w:r>
      <w:r>
        <w:fldChar w:fldCharType="begin"/>
      </w:r>
      <w:r>
        <w:instrText xml:space="preserve"> ADDIN EN.CITE </w:instrText>
      </w:r>
      <w:r>
        <w:fldChar w:fldCharType="begin">
          <w:fldData>PEVuZE5vdGU+PENpdGU+PEF1dGhvcj5DaG9pPC9BdXRob3I+PFllYXI+MjAxNzwvWWVhcj48UmVjTnVtPjE0PC9SZWNOdW0+PERpc3BsYXlUZXh0PltWMTItMTRdPC9EaXNwbGF5VGV4dD48cmVjb3JkPjxyZWMtbnVtYmVyPjE0PC9yZWMtbnVtYmVyPjxmb3JlaWduLWtleXM+PGtleSBhcHA9IkVOIiBkYi1pZD0iYTNhYWZkZmMtNmMxOC01MjJjLThhNjgtZmEwYWQyOGY1MWQyIiB0aW1lc3RhbXA9IjE3OTI5MjEwODciPjE0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ZYW5nPC9BdXRob3I+PFllYXI+MjAyMDwvWWVhcj48UmVjTnVtPjE1PC9SZWNOdW0+PERpc3BsYXlUZXh0PltWMTItMTVdPC9EaXNwbGF5VGV4dD48cmVjb3JkPjxyZWMtbnVtYmVyPjE1PC9yZWMtbnVtYmVyPjxmb3JlaWduLWtleXM+PGtleSBhcHA9IkVOIiBkYi1pZD0iYTNhYWZkZmMtNmMxOC01MjJjLThhNjgtZmEwYWQyOGY1MWQyIiB0aW1lc3RhbXA9IjE3OTI5MjEwODciPjE1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[V12-15]</w:t>
      </w:r>
      <w:r>
        <w:fldChar w:fldCharType="end"/>
      </w:r>
      <w:r>
        <w:t xml:space="preserve"> </w:t>
      </w:r>
      <w:r>
        <w:t xml:space="preserve"> </w:t>
      </w:r>
      <w:r>
        <w:fldChar w:fldCharType="begin"/>
      </w:r>
      <w:r>
        <w:instrText xml:space="preserve"> ADDIN EN.CITE </w:instrText>
      </w:r>
      <w:r>
        <w:fldChar w:fldCharType="begin">
          <w:fldData>PEVuZE5vdGU+PENpdGU+PEF1dGhvcj5Tb2luPC9BdXRob3I+PFllYXI+MjAyMDwvWWVhcj48UmVjTnVtPjE3PC9SZWNOdW0+PERpc3BsYXlUZXh0PltWMTItMTddPC9EaXNwbGF5VGV4dD48cmVjb3JkPjxyZWMtbnVtYmVyPjE3PC9yZWMtbnVtYmVyPjxmb3JlaWduLWtleXM+PGtleSBhcHA9IkVOIiBkYi1pZD0iYTNhYWZkZmMtNmMxOC01MjJjLThhNjgtZmEwYWQyOGY1MWQyIiB0aW1lc3RhbXA9IjE3OTI5MjEwODciPjE3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[V12-17]</w:t>
      </w:r>
      <w:r>
        <w:fldChar w:fldCharType="end"/>
      </w:r>
      <w:r>
        <w:t xml:space="preserve"> </w:t>
      </w:r>
      <w:r>
        <w:t xml:space="preserve"> </w:t>
      </w:r>
      <w:r>
        <w:fldChar w:fldCharType="begin"/>
      </w:r>
      <w:r>
        <w:instrText xml:space="preserve"> ADDIN EN.CITE </w:instrText>
      </w:r>
      <w:r>
        <w:fldChar w:fldCharType="begin">
          <w:fldData>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r>
        <w:t xml:space="preserve"> </w:t>
      </w:r>
      <w:r>
        <w:t xml:space="preserve"> </w:t>
      </w:r>
      <w:r>
        <w:fldChar w:fldCharType="begin"/>
      </w:r>
      <w:r>
        <w:instrText xml:space="preserve"> ADDIN EN.CITE </w:instrText>
      </w:r>
      <w:r>
        <w:fldChar w:fldCharType="begin">
          <w:fldData>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</w:fldData>
        </w:fldChar>
      </w:r>
      <w:r>
        <w:instrText xml:space="preserve"> ADDIN EN.CITE.DATA </w:instrText>
      </w:r>
      <w:r>
        <w:fldChar w:fldCharType="end"/>
      </w:r>
      <w:r>
        <w:fldChar w:fldCharType="separate"/>
      </w:r>
      <w:r>
        <w:t xml:space="preserve">[V12-20]</w:t>
      </w:r>
      <w:r>
        <w:fldChar w:fldCharType="end"/>
      </w:r>
    </w:p>
    <w:p>
      <w:pPr>
        <w:pStyle w:val="Normal"/>
        <w:widowControl/>
        <w:numPr>
          <w:ilvl w:val="0"/>
          <w:numId w:val="3"/>
        </w:numPr>
      </w:pPr>
      <w:r>
        <w:t xml:space="preserve">Original Vp1 or Vp2 only, confirmed by central review of pretreatment imaging and an explicit vessel-anatomy map.</w:t>
      </w:r>
    </w:p>
    <w:p>
      <w:pPr>
        <w:pStyle w:val="Normal"/>
        <w:widowControl/>
        <w:numPr>
          <w:ilvl w:val="1"/>
          <w:numId w:val="3"/>
        </w:numPr>
        <w:spacing w:before="60" w:after="20"/>
      </w:pPr>
      <w:r>
        <w:t xml:space="preserve">Exclude Vp3, Vp4/main or contralateral portal involvement, hepatic-vein involvement, prior rupture and combined expanded-burden experiments from the initial transplanting pilot.</w:t>
      </w:r>
    </w:p>
    <w:p>
      <w:pPr>
        <w:pStyle w:val="Normal"/>
        <w:widowControl/>
        <w:numPr>
          <w:ilvl w:val="1"/>
          <w:numId w:val="3"/>
        </w:numPr>
        <w:spacing w:before="60" w:after="20"/>
      </w:pPr>
      <w:r>
        <w:t xml:space="preserve">These are OPEN study boundaries, not universal futility claims.</w:t>
      </w:r>
    </w:p>
    <w:p>
      <w:pPr>
        <w:pStyle w:val="Normal"/>
        <w:widowControl/>
        <w:numPr>
          <w:ilvl w:val="0"/>
          <w:numId w:val="3"/>
        </w:numPr>
      </w:pPr>
      <w:r>
        <w:t xml:space="preserve">Require centrally adjudicated complete absence of enhancing viable vascular tumor, parenchymal burden within Milan or nonviable, no extrahepatic disease, and at least 12 continuous months of control with imaging approximately every three months.</w:t>
      </w:r>
    </w:p>
    <w:p>
      <w:pPr>
        <w:pStyle w:val="Normal"/>
        <w:widowControl/>
        <w:numPr>
          <w:ilvl w:val="1"/>
          <w:numId w:val="3"/>
        </w:numPr>
        <w:spacing w:before="60" w:after="20"/>
      </w:pPr>
      <w:r>
        <w:t xml:space="preserve">Start the control clock at the first scan meeting all proposed response criteria; do not count the treatment date or the cohort's median time to LT as that clock.</w:t>
      </w:r>
    </w:p>
    <w:p>
      <w:pPr>
        <w:pStyle w:val="Normal"/>
        <w:widowControl/>
        <w:numPr>
          <w:ilvl w:val="0"/>
          <w:numId w:val="3"/>
        </w:numPr>
      </w:pPr>
      <w:r>
        <w:t xml:space="preserve">Confirmed recurrent or persistent viable vascular tumor or extrahepatic metastasis fails the proposed transplant gate.</w:t>
      </w:r>
    </w:p>
    <w:p>
      <w:pPr>
        <w:pStyle w:val="Normal"/>
        <w:widowControl/>
        <w:numPr>
          <w:ilvl w:val="1"/>
          <w:numId w:val="3"/>
        </w:numPr>
        <w:spacing w:before="60" w:after="20"/>
      </w:pPr>
      <w:r>
        <w:t xml:space="preserve">Indeterminate post-Y90 enhancement, bland-versus-tumor uncertainty or discordant reads requires HOLD, expert review and interval reassessment; enhancement alone is not automatically proof of viable tumor, and unresolved response cannot authorize LT.</w:t>
      </w:r>
    </w:p>
    <w:p>
      <w:pPr>
        <w:pStyle w:val="Normal"/>
        <w:widowControl/>
        <w:numPr>
          <w:ilvl w:val="0"/>
          <w:numId w:val="3"/>
        </w:numPr>
      </w:pPr>
      <w:r>
        <w:t xml:space="preserve">In counseling and the prospective dataset, report all-entry survival and the proportion reaching LT separately from recipient survival, crude recurrence, death-censored RFS and perioperative morbidity/mortality.</w:t>
      </w:r>
    </w:p>
    <w:p>
      <w:pPr>
        <w:pStyle w:val="Normal"/>
        <w:widowControl/>
        <w:numPr>
          <w:ilvl w:val="1"/>
          <w:numId w:val="3"/>
        </w:numPr>
        <w:spacing w:before="60" w:after="20"/>
      </w:pPr>
      <w:r>
        <w:t xml:space="preserve">Do not describe Sposito's 79.3% RFS as alive-and-recurrence-free survival or derive recurrence incidence by subtraction.</w:t>
      </w:r>
    </w:p>
    <w:p>
      <w:pPr>
        <w:pStyle w:val="Normal"/>
        <w:widowControl/>
        <w:spacing w:before="60" w:after="20"/>
      </w:pPr>
      <w:r>
        <w:rPr>
          <w:b/>
        </w:rPr>
        <w:t xml:space="preserve">Why retain or change it: </w:t>
      </w:r>
      <w:r>
        <w:t xml:space="preserve">Retain the OPEN initial original-Vp1–2/complete-vascular-response/at-least-12-month study proposal, with bounded parenchymal burden and expert imaging adjudication. This conservative combination is not validated by Sposito's less restrictive retrospective selection. Explain the 37/240 chance of reaching LT, 61.6% five-year recipient OS, six recurrences, four perioperative deaths and 13 major complications using their separate denominators and endpoints. Do not promote branch PVTT into the standard pathway or create US allocation priority from Italian deceased-donor experience. Vp3 remains registry-first without transplant authority; any expansion needs separate prospective and allocation review.</w:t>
      </w:r>
    </w:p>
    <w:p>
      <w:pPr>
        <w:pStyle w:val="Heading3"/>
        <w:keepNext/>
        <w:widowControl/>
      </w:pPr>
      <w:r>
        <w:t xml:space="preserve">Information required before the decision</w:t>
      </w:r>
    </w:p>
    <w:p>
      <w:pPr>
        <w:pStyle w:val="Normal"/>
        <w:widowControl/>
        <w:spacing w:before="60" w:after="20"/>
      </w:pPr>
      <w:r>
        <w:t xml:space="preserve">Original vessel-by-vessel map with Vp grade; expert serial contrast CT/MRI; chest staging; AFP; separate vascular and parenchymal response; resection options. Crosswalk the original study/anatomic vascular definition to current Vp grade. Record vascular response separately from overall mRECIST response; neither excludes microscopic viable PVTT.</w:t>
      </w:r>
    </w:p>
    <w:p>
      <w:pPr>
        <w:pStyle w:val="Normal"/>
        <w:widowControl/>
        <w:spacing w:before="60" w:after="20"/>
      </w:pPr>
      <w:r>
        <w:rPr>
          <w:b/>
        </w:rPr>
        <w:t xml:space="preserve">Clinical versus allocation: </w:t>
      </w:r>
      <w:r>
        <w:t xml:space="preserve">Clinical study eligibility cannot override the main-portal/hepatic-vein exception contraindications or grant priority. Obtain a separate documented organ route.</w:t>
      </w:r>
    </w:p>
    <w:p>
      <w:pPr>
        <w:pStyle w:val="Normal"/>
        <w:widowControl/>
        <w:spacing w:before="60" w:after="20"/>
      </w:pPr>
      <w:r>
        <w:rPr>
          <w:b/>
        </w:rPr>
        <w:t xml:space="preserve">Roadmap / protocol reconciliation: </w:t>
      </w:r>
      <w:r>
        <w:t xml:space="preserve">Continue standard HCC treatment and restaging while the study is developed; radiographic downstaging alone is not an instruction to list.</w:t>
      </w:r>
    </w:p>
    <w:p>
      <w:pPr>
        <w:pStyle w:val="Heading3"/>
        <w:keepNext/>
        <w:widowControl/>
      </w:pPr>
      <w:r>
        <w:t xml:space="preserve">Meeting decision — complete only after discussion</w:t>
      </w:r>
    </w:p>
    <w:p>
      <w:pPr>
        <w:pStyle w:val="Normal"/>
        <w:widowControl/>
        <w:spacing w:before="60" w:after="20"/>
      </w:pPr>
      <w:r>
        <w:t xml:space="preserve">Group decision (adopt / amend / defer / decline): __________________________________</w:t>
      </w:r>
    </w:p>
    <w:p>
      <w:pPr>
        <w:pStyle w:val="Normal"/>
        <w:widowControl/>
        <w:spacing w:before="60" w:after="20"/>
      </w:pPr>
      <w:r>
        <w:t xml:space="preserve">Final cutoff / population / exact protocol wording: _________________________________</w:t>
      </w:r>
    </w:p>
    <w:p>
      <w:pPr>
        <w:pStyle w:val="Normal"/>
        <w:widowControl/>
        <w:spacing w:before="60" w:after="20"/>
      </w:pPr>
      <w:r>
        <w:t xml:space="preserve">________________________________________________________________________</w:t>
      </w:r>
    </w:p>
    <w:p>
      <w:pPr>
        <w:pStyle w:val="Normal"/>
        <w:widowControl/>
        <w:spacing w:before="60" w:after="20"/>
      </w:pPr>
      <w:r>
        <w:t xml:space="preserve">Evidence accepted/rejected; denominator/time origin; residual uncertainty: ______________</w:t>
      </w:r>
    </w:p>
    <w:p>
      <w:pPr>
        <w:pStyle w:val="Normal"/>
        <w:widowControl/>
        <w:spacing w:before="60" w:after="20"/>
      </w:pPr>
      <w:r>
        <w:t xml:space="preserve">________________________________________________________________________</w:t>
      </w:r>
    </w:p>
    <w:p>
      <w:pPr>
        <w:pStyle w:val="Normal"/>
        <w:widowControl/>
        <w:spacing w:before="60" w:after="20"/>
      </w:pPr>
      <w:r>
        <w:t xml:space="preserve">Rationale and dissent: ______________________________________________________</w:t>
      </w:r>
    </w:p>
    <w:p>
      <w:pPr>
        <w:pStyle w:val="Normal"/>
        <w:widowControl/>
        <w:spacing w:before="60" w:after="20"/>
      </w:pPr>
      <w:r>
        <w:t xml:space="preserve">Protocol section(s) to change / required source or PDF: _____________________________</w:t>
      </w:r>
    </w:p>
    <w:p>
      <w:pPr>
        <w:pStyle w:val="Normal"/>
        <w:widowControl/>
        <w:spacing w:before="60" w:after="20"/>
      </w:pPr>
      <w:r>
        <w:t xml:space="preserve">Owner / action / due date: ___________________________________________________</w:t>
      </w:r>
    </w:p>
    <w:p>
      <w:pPr>
        <w:pStyle w:val="Normal"/>
        <w:widowControl/>
        <w:spacing w:before="60" w:after="20"/>
      </w:pPr>
      <w:r>
        <w:t xml:space="preserve">Meeting date / decision-maker signatures: ________________________________________</w:t>
      </w:r>
    </w:p>
    <w:p>
      <w:pPr>
        <w:pStyle w:val="Normal"/>
        <w:widowControl/>
        <w:spacing w:before="60" w:after="20"/>
      </w:pPr>
      <w:r>
        <w:t xml:space="preserve">Clinical / allocation / donor / research approvals and effective date: ____________________</w:t>
      </w:r>
    </w:p>
    <w:p>
      <w:pPr>
        <w:pStyle w:val="Normal"/>
        <w:widowControl/>
        <w:spacing w:before="60" w:after="20"/>
      </w:pPr>
      <w:r>
        <w:t xml:space="preserve">Proposed discussion owners: Transplant surgery; liver radiology; hepatology; allocation; study safety board.</w:t>
      </w:r>
    </w:p>
    <w:p>
      <w:pPr>
        <w:pStyle w:val="Heading2"/>
        <w:keepNext/>
        <w:widowControl/>
      </w:pPr>
      <w:bookmarkStart w:id="3" w:name="HCC_B3"/>
      <w:r>
        <w:t xml:space="preserve">HCC-B3 — How should prior ICI alter activation and consent?</w:t>
      </w:r>
      <w:bookmarkEnd w:id="3"/>
    </w:p>
    <w:p>
      <w:pPr>
        <w:pStyle w:val="Normal"/>
        <w:widowControl/>
        <w:spacing w:before="60" w:after="20"/>
      </w:pPr>
      <w:r>
        <w:t xml:space="preserve">OPEN — evidence review first; institutional decision remains blank.</w:t>
      </w:r>
    </w:p>
    <w:p>
      <w:pPr>
        <w:pStyle w:val="Normal"/>
        <w:widowControl/>
        <w:spacing w:before="60" w:after="20"/>
      </w:pPr>
      <w:hyperlink r:id="rId104">
        <w:r>
          <w:rPr>
            <w:color w:val="77230C"/>
            <w:sz w:val="20"/>
            <w:u w:val="single"/>
          </w:rPr>
          <w:t>Corresponding V12 protocol / boundary addendum</w:t>
        </w:r>
      </w:hyperlink>
    </w:p>
    <w:p>
      <w:pPr>
        <w:pStyle w:val="Heading3"/>
        <w:keepNext/>
        <w:widowControl/>
      </w:pPr>
      <w:r>
        <w:t xml:space="preserve">Question and comparison</w:t>
      </w:r>
    </w:p>
    <w:p>
      <w:pPr>
        <w:pStyle w:val="Normal"/>
        <w:widowControl/>
        <w:spacing w:before="60" w:after="20"/>
      </w:pPr>
      <w:r>
        <w:t xml:space="preserve">Patients with HCC treated with immune checkpoint inhibitors before planned LT; compare shorter versus longer ICI-free intervals, prior irAE versus none, and ICI-exposed versus non-ICI recipients. Assess treatment-entry tumor control/access to LT separately from recipient rejection, graft loss, recurrence and survival.</w:t>
      </w:r>
    </w:p>
    <w:p>
      <w:pPr>
        <w:pStyle w:val="Heading3"/>
        <w:keepNext/>
        <w:widowControl/>
      </w:pPr>
      <w:r>
        <w:t xml:space="preserve">Search scope and evidence access</w:t>
      </w:r>
    </w:p>
    <w:p>
      <w:pPr>
        <w:pStyle w:val="Normal"/>
        <w:widowControl/>
        <w:spacing w:before="60" w:after="20"/>
      </w:pPr>
      <w:r>
        <w:t xml:space="preserve">Reviewed prospective ImmunoXXL, multicenter VITALITY, washout and irAE cohorts, matched comparators, the LITCHI registry and the October 2026 JAMA Oncology study. The individual-patient-data review is retained as secondary synthesis because it influenced the 90-day proposal. Its cases overlap subsequent series; no pooled event rate is calculated across these reports.</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VITALITY · Tabrizian</w:t>
            </w:r>
            <w:r>
              <w:t xml:space="preserve"> </w:t>
            </w:r>
            <w:r>
              <w:t xml:space="preserve"> </w:t>
            </w:r>
            <w:r>
              <w:fldChar w:fldCharType="begin"/>
            </w:r>
            <w:r>
              <w:instrText xml:space="preserve"> ADDIN EN.CITE </w:instrText>
            </w:r>
            <w:r>
              <w:fldChar w:fldCharType="begin">
                <w:fldData>PEVuZE5vdGU+PENpdGU+PEF1dGhvcj5UYWJyaXppYW48L0F1dGhvcj48WWVhcj4yMDI1PC9ZZWFyPjxSZWNOdW0+MjE8L1JlY051bT48RGlzcGxheVRleHQ+W1YxMi0yMV08L0Rpc3BsYXlUZXh0PjxyZWNvcmQ+PHJlYy1udW1iZXI+MjE8L3JlYy1udW1iZXI+PGZvcmVpZ24ta2V5cz48a2V5IGFwcD0iRU4iIGRiLWlkPSJhM2FhZmRmYy02YzE4LTUyMmMtOGE2OC1mYTBhZDI4ZjUxZDIiIHRpbWVzdGFtcD0iMTc5MjkyMTA4NyI+MjE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[V12-21]</w:t>
            </w:r>
            <w:r>
              <w:fldChar w:fldCharType="end"/>
            </w:r>
          </w:p>
          <w:p>
            <w:pPr>
              <w:pStyle w:val="Normal"/>
              <w:widowControl/>
              <w:spacing w:before="60" w:after="20"/>
            </w:pPr>
            <w:r>
              <w:t xml:space="preserve">Prospectively collected six-center observational cohort, January 2016–August 2023; 117 ICI-treated adults with intent to transplant. Baseline 70 within Milan and 47 beyond; 39 of the original within-Milan patients later progressed, yielding 31 always-within and 86 ever-beyond. ICI chosen after inadequate/exhausted LRT, high AFP or technical LRT infeasibility; 110/117 also received LRT.</w:t>
            </w:r>
          </w:p>
          <w:p>
            <w:pPr>
              <w:pStyle w:val="Normal"/>
              <w:widowControl/>
              <w:spacing w:before="60" w:after="20"/>
            </w:pPr>
            <w:hyperlink r:id="rId105">
              <w:r>
                <w:rPr>
                  <w:color w:val="77230C"/>
                  <w:sz w:val="20"/>
                  <w:u w:val="single"/>
                </w:rPr>
                <w:t>Primary source</w:t>
              </w:r>
            </w:hyperlink>
            <w:r>
              <w:t xml:space="preserve"> | </w:t>
            </w:r>
            <w:hyperlink r:id="rId106">
              <w:r>
                <w:rPr>
                  <w:color w:val="77230C"/>
                  <w:sz w:val="20"/>
                  <w:u w:val="single"/>
                </w:rPr>
                <w:t>Full-text PDF</w:t>
              </w:r>
            </w:hyperlink>
          </w:p>
          <w:p>
            <w:pPr>
              <w:pStyle w:val="Normal"/>
              <w:widowControl/>
              <w:spacing w:before="60" w:after="20"/>
            </w:pPr>
            <w:r>
              <w:t xml:space="preserve">Locator: PDF p 3/j 513 Methods and time origins | PDF p 4/j 514 baseline counts | PDF p 5/j 515 toxicities/outcomes | PDF p 6/j 516 Figure 1 and LT outcomes | PDF p 8–9/j 518–519 Tables 3–5 | PDF p 10/j 520 limitations</w:t>
            </w:r>
          </w:p>
          <w:p>
            <w:pPr>
              <w:pStyle w:val="Normal"/>
              <w:widowControl/>
              <w:spacing w:before="60" w:after="20"/>
            </w:pPr>
            <w:r>
              <w:t xml:space="preserve">Review depth: Complete main-paper PDF read: all 12 pages, including methods/results/tables/discussion, Figure 1 and references. Separate supplement not supplied.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65/86 ever-beyond downstaged (75.6%), median 5.6 months. Three-year ITT survival 71.1% (Results/Figure 2; minor conflicting 70.8% in Discussion); recipient three-year survival 85%. Three-year cumulative LT 33.9%, dropout 42.6%. Complete necrosis 10/42 evaluable explants; micro/macrovascular invasion 13/41. Five HCC recurrences, none with complete explant necrosis. Median ICI washout 43 days; 29/43 &lt;3 months, 14/43 ≥3 months. Safety: Seven biopsy-proven rejections, six after &lt;3-month washout; one graft loss/retransplant after 54-day washout, no rejection-related death. Report 7 events/43 recipients (16.3% crude calculation); article says 16.7%, and Table 5 long-washout 1/13 = 7.7% despite n 14 header: one evaluable-status ambiguity remains. No grade 4–5 waitlist toxicity; two grade 3 events—Figure 1 'no grade3–5' conflicts with Table 2/text.</w:t>
            </w:r>
          </w:p>
          <w:p>
            <w:pPr>
              <w:pStyle w:val="Normal"/>
              <w:widowControl/>
              <w:spacing w:before="60" w:after="20"/>
            </w:pPr>
            <w:r>
              <w:rPr>
                <w:b/>
              </w:rPr>
              <w:t xml:space="preserve">Do not infer: </w:t>
            </w:r>
            <w:r>
              <w:t xml:space="preserve">No non-ICI comparator; treatment mix and prior-treatment survival selection; short post-LT follow-up. No demonstrated advantage from ICI addition, validated washout cutoff, immune assay or induction regimen. Supplements Figure S1 not provided.</w:t>
            </w:r>
          </w:p>
        </w:tc>
      </w:tr>
      <w:tr>
        <w:trPr/>
        <w:tc>
          <w:tcPr>
            <w:tcW w:w="3400" w:type="dxa"/>
            <w:tcMar>
              <w:top w:w="90" w:type="dxa"/>
              <w:left w:w="90" w:type="dxa"/>
              <w:bottom w:w="90" w:type="dxa"/>
              <w:right w:w="90" w:type="dxa"/>
            </w:tcMar>
          </w:tcPr>
          <w:p>
            <w:pPr>
              <w:pStyle w:val="Normal"/>
              <w:widowControl/>
              <w:spacing w:before="60" w:after="20"/>
            </w:pPr>
            <w:r>
              <w:rPr>
                <w:b/>
              </w:rPr>
              <w:t xml:space="preserve">ImmunoXXL 2026</w:t>
            </w:r>
            <w:r>
              <w:t xml:space="preserve"> </w:t>
            </w:r>
            <w:r>
              <w:t xml:space="preserve"> </w:t>
            </w:r>
            <w:r>
              <w:fldChar w:fldCharType="begin"/>
            </w:r>
            <w:r>
              <w:instrText xml:space="preserve"> ADDIN EN.CITE </w:instrText>
            </w:r>
            <w:r>
              <w:fldChar w:fldCharType="begin">
                <w:fldData>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</w:fldData>
              </w:fldChar>
            </w:r>
            <w:r>
              <w:instrText xml:space="preserve"> ADDIN EN.CITE.DATA </w:instrText>
            </w:r>
            <w:r>
              <w:fldChar w:fldCharType="end"/>
            </w:r>
            <w:r>
              <w:fldChar w:fldCharType="separate"/>
            </w:r>
            <w:r>
              <w:t xml:space="preserve">[V12-22]</w:t>
            </w:r>
            <w:r>
              <w:fldChar w:fldCharType="end"/>
            </w:r>
          </w:p>
          <w:p>
            <w:pPr>
              <w:pStyle w:val="Normal"/>
              <w:widowControl/>
              <w:spacing w:before="60" w:after="20"/>
            </w:pPr>
            <w:r>
              <w:t xml:space="preserve">Single-center prospective observational phase-II-design study. Sixty-one potentially eligible patients received atezolizumab/bevacizumab from June 2022; 16 selected responders enrolled/listed/transplanted December 2022–January 2025. Initially beyond Up-to-7/UNOS-DS, not amenable to further LRT/surgery, no hepatic-vein/caval invasion or extrahepatic spread. Methods specify Child-Pugh A/ECOG 0–1 at treatment, but Table 1 includes two Child-Pugh B at diagnosis (different time point). At least three months/three cycles and modeled post-LT survival ≥60%; Figure 1 explicitly adds PVTT ≤ Vp2 and AFP ≤100 at downstaging eligibility.</w:t>
            </w:r>
          </w:p>
          <w:p>
            <w:pPr>
              <w:pStyle w:val="Normal"/>
              <w:widowControl/>
              <w:spacing w:before="60" w:after="20"/>
            </w:pPr>
            <w:hyperlink r:id="rId107">
              <w:r>
                <w:rPr>
                  <w:color w:val="77230C"/>
                  <w:sz w:val="20"/>
                  <w:u w:val="single"/>
                </w:rPr>
                <w:t>Primary source</w:t>
              </w:r>
            </w:hyperlink>
            <w:r>
              <w:t xml:space="preserve"> | </w:t>
            </w:r>
            <w:hyperlink r:id="rId108">
              <w:r>
                <w:rPr>
                  <w:color w:val="77230C"/>
                  <w:sz w:val="20"/>
                  <w:u w:val="single"/>
                </w:rPr>
                <w:t>Full-text PDF</w:t>
              </w:r>
            </w:hyperlink>
          </w:p>
          <w:p>
            <w:pPr>
              <w:pStyle w:val="Normal"/>
              <w:widowControl/>
              <w:spacing w:before="60" w:after="20"/>
            </w:pPr>
            <w:r>
              <w:t xml:space="preserve">Locator: PDF p 3/j 118 eligibility/methods | PDF p 4/j 119 Figure 1 | PDF p 5/j 120 statistical time origins and cohort flow | PDF p 6/j 121 Table 1 | PDF p 7/j 122 Figures 2–3 | PDF p 8/j 123 rejection/retransplant outcomes | PDF p 10/j 125 limitations | PDF p 12/j 127 Table 2</w:t>
            </w:r>
          </w:p>
          <w:p>
            <w:pPr>
              <w:pStyle w:val="Normal"/>
              <w:widowControl/>
              <w:spacing w:before="60" w:after="20"/>
            </w:pPr>
            <w:r>
              <w:t xml:space="preserve">Review depth: Complete 14-page main-paper PDF read; Tables S1–S5 and separate supplementary methods/figures are referenced but not attached.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Eight baseline PVTT: Figure 2 six Vp2, one Vp3, one Vp4; after treatment/explant seven complete responses and one Vp4 → Vp2. Median washout 57.5 d (IQR 29–87), follow-up 16 mo. Ten complete and six partial pathological responses. One recurrence and one death; reported two-year recurrence-free estimate 90% (95% CI 62–98) and OS 94% (67–100), with above time-origin/death-censoring caveat. Radiologic counts 12 CR/4 PR equal 75%/25%, whereas text/table incorrectly label 70%/30%. Safety: Four biopsy-proven acute rejections (RAI 5–7); median washout 28 d rejecting vs 60 d nonrejecting, P = .045. Three pre-LT events labeled irAEs, including ascites and severe hypertension. Ninety-day morbidity 10/16 (62.5%), mortality 1/16 (6.3%). Two retransplants: one hepatic-artery thrombosis; one marginal-graft dysfunction mixed with rejection/sepsis, followed by death. Do not describe all graft loss as rejection-caused or the entire course as harmless/manageable rejection.</w:t>
            </w:r>
          </w:p>
          <w:p>
            <w:pPr>
              <w:pStyle w:val="Normal"/>
              <w:widowControl/>
              <w:spacing w:before="60" w:after="20"/>
            </w:pPr>
            <w:r>
              <w:rPr>
                <w:b/>
              </w:rPr>
              <w:t xml:space="preserve">Do not infer: </w:t>
            </w:r>
            <w:r>
              <w:t xml:space="preserve">Tiny selected cohort, short follow-up and wide intervals; historical proxy endpoint, no clinical survival control. Fourteen LRT-only patients served an immunoprofiling comparison, not an unbiased comparative efficacy arm. Transcriptomic/immune associations are exploratory and cannot validate a two-month safe interval or immune-clearance assay. Supplementary eligibility details unavailable.</w:t>
            </w:r>
          </w:p>
        </w:tc>
      </w:tr>
      <w:tr>
        <w:trPr/>
        <w:tc>
          <w:tcPr>
            <w:tcW w:w="3400" w:type="dxa"/>
            <w:tcMar>
              <w:top w:w="90" w:type="dxa"/>
              <w:left w:w="90" w:type="dxa"/>
              <w:bottom w:w="90" w:type="dxa"/>
              <w:right w:w="90" w:type="dxa"/>
            </w:tcMar>
          </w:tcPr>
          <w:p>
            <w:pPr>
              <w:pStyle w:val="Normal"/>
              <w:widowControl/>
              <w:spacing w:before="60" w:after="20"/>
            </w:pPr>
            <w:r>
              <w:rPr>
                <w:b/>
              </w:rPr>
              <w:t xml:space="preserve">Moeckli 2025</w:t>
            </w:r>
            <w:r>
              <w:t xml:space="preserve"> </w:t>
            </w:r>
            <w:r>
              <w:t xml:space="preserve"> </w:t>
            </w:r>
            <w:r>
              <w:fldChar w:fldCharType="begin"/>
            </w:r>
            <w:r>
              <w:instrText xml:space="preserve"> ADDIN EN.CITE </w:instrText>
            </w:r>
            <w:r>
              <w:fldChar w:fldCharType="begin">
                <w:fldData>PEVuZE5vdGU+PENpdGU+PEF1dGhvcj5Nb2Vja2xpPC9BdXRob3I+PFllYXI+MjAyNTwvWWVhcj48UmVjTnVtPjIzPC9SZWNOdW0+PERpc3BsYXlUZXh0PltWMTItMjNdPC9EaXNwbGF5VGV4dD48cmVjb3JkPjxyZWMtbnVtYmVyPjIzPC9yZWMtbnVtYmVyPjxmb3JlaWduLWtleXM+PGtleSBhcHA9IkVOIiBkYi1pZD0iYTNhYWZkZmMtNmMxOC01MjJjLThhNjgtZmEwYWQyOGY1MWQyIiB0aW1lc3RhbXA9IjE3OTI5MjEwODciPjIz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[V12-23]</w:t>
            </w:r>
            <w:r>
              <w:fldChar w:fldCharType="end"/>
            </w:r>
          </w:p>
          <w:p>
            <w:pPr>
              <w:pStyle w:val="Normal"/>
              <w:widowControl/>
              <w:spacing w:before="60" w:after="20"/>
            </w:pPr>
            <w:r>
              <w:t xml:space="preserve">International retrospective individual-patient assembly from literature search (2017–25 Nov 2024), author/center follow-up and five previously unpublished patients; 119 recipients from 29 centers after 3 exclusions. Not 119 independent newly recruited patients. Required ICI type, washout, rejection information and ≥2 weeks post-LT follow-up. Duplicates within this assembly removed; overlap with prior IPD review acknowledged.</w:t>
            </w:r>
          </w:p>
          <w:p>
            <w:pPr>
              <w:pStyle w:val="Normal"/>
              <w:widowControl/>
              <w:spacing w:before="60" w:after="20"/>
            </w:pPr>
            <w:hyperlink r:id="rId109">
              <w:r>
                <w:rPr>
                  <w:color w:val="77230C"/>
                  <w:sz w:val="20"/>
                  <w:u w:val="single"/>
                </w:rPr>
                <w:t>Primary source</w:t>
              </w:r>
            </w:hyperlink>
            <w:r>
              <w:t xml:space="preserve"> | </w:t>
            </w:r>
            <w:hyperlink r:id="rId110">
              <w:r>
                <w:rPr>
                  <w:color w:val="77230C"/>
                  <w:sz w:val="20"/>
                  <w:u w:val="single"/>
                </w:rPr>
                <w:t>Full-text PDF</w:t>
              </w:r>
            </w:hyperlink>
          </w:p>
          <w:p>
            <w:pPr>
              <w:pStyle w:val="Normal"/>
              <w:widowControl/>
              <w:spacing w:before="60" w:after="20"/>
            </w:pPr>
            <w:r>
              <w:t xml:space="preserve">Locator: PDF p 3–4/j 1124–1125 inclusion, outcome/statistical definitions | PDF p 5–7/j 1126–1128 Table 1 and graft-loss outcomes | PDF p 8/j 1129 Figure 2 | PDF p 10–11/j 1131–1132 Table 2 | PDF p 13/j 1134 missing follow-up/limitations</w:t>
            </w:r>
          </w:p>
          <w:p>
            <w:pPr>
              <w:pStyle w:val="Normal"/>
              <w:widowControl/>
              <w:spacing w:before="60" w:after="20"/>
            </w:pPr>
            <w:r>
              <w:t xml:space="preserve">Review depth: Complete 16-page main-paper PDF read, including both parts of regression Table 2 and all figures. Supplemental Appendix/Table S1–S2/Figures S1–S3 not supplied.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18 mo (IQR 11–27). Reported washout bins: 0–30 d n 30, 15 rejections; 30–50 d n 23, 6; 50–90 d n 28, 2; &gt;90 d n 38, 1. Combined short 53 had 21 rejections versus long 66 had 3. Table 2 multivariable ORs versus &gt;50 d: 0–30 d 34.0 (95% CI 7.17–267), 30–50 d 10.8 (2.3–78.6); univariate 21.3/9.48. Continuous sensitivity OR .97/day (.95–.99). Data-driven 50 day choice sought observed rejection &lt;10%. No detected recurrence difference; body reports 36 mo recurrence-free 71% vs 66%, abstract 67% comparator (minor inconsistency). Safety: 24/119 rejection 20.2%, median 9 d; six rejection-related graft losses (6/119 5.0%; 6/24 25%). Four patients with graft loss subsequently died and two were retransplanted; do not label all four deaths definitively rejection-attributable without case supplement. Nine deaths among 92 with available status. Rejection/persistent graft-loss risk not zero after 90 days (one of 38).</w:t>
            </w:r>
          </w:p>
          <w:p>
            <w:pPr>
              <w:pStyle w:val="Normal"/>
              <w:widowControl/>
              <w:spacing w:before="60" w:after="20"/>
            </w:pPr>
            <w:r>
              <w:rPr>
                <w:b/>
              </w:rPr>
              <w:t xml:space="preserve">Do not infer: </w:t>
            </w:r>
            <w:r>
              <w:t xml:space="preserve">Literature-derived/publication bias, heterogeneous ascertainment and immunosuppression, one-third clinically diagnosed, small event count/data-driven cutpoint and very wide adjusted intervals. Missing donor factors undermine reassurance from nonsignificance. No capture of progression/dropout during washout, so no estimate of the longer-wait oncologic tradeoff. Main paper does not externally validate the 50 day threshold.</w:t>
            </w:r>
          </w:p>
        </w:tc>
      </w:tr>
      <w:tr>
        <w:trPr/>
        <w:tc>
          <w:tcPr>
            <w:tcW w:w="3400" w:type="dxa"/>
            <w:tcMar>
              <w:top w:w="90" w:type="dxa"/>
              <w:left w:w="90" w:type="dxa"/>
              <w:bottom w:w="90" w:type="dxa"/>
              <w:right w:w="90" w:type="dxa"/>
            </w:tcMar>
          </w:tcPr>
          <w:p>
            <w:pPr>
              <w:pStyle w:val="Normal"/>
              <w:widowControl/>
              <w:spacing w:before="60" w:after="20"/>
            </w:pPr>
            <w:r>
              <w:rPr>
                <w:b/>
              </w:rPr>
              <w:t xml:space="preserve">Rezaee-Zavareh · IPD</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yNDwvUmVjTnVtPjxEaXNwbGF5VGV4dD5bVjEyLTI0XTwvRGlzcGxheVRleHQ+PHJlY29yZD48cmVjLW51bWJlcj4yNDwvcmVjLW51bWJlcj48Zm9yZWlnbi1rZXlzPjxrZXkgYXBwPSJFTiIgZGItaWQ9ImEzYWFmZGZjLTZjMTgtNTIyYy04YTY4LWZhMGFkMjhmNTFkMiIgdGltZXN0YW1wPSIxNzkyOTIxMDg3Ij4yND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p>
          <w:p>
            <w:pPr>
              <w:pStyle w:val="Normal"/>
              <w:widowControl/>
              <w:spacing w:before="60" w:after="20"/>
            </w:pPr>
            <w:r>
              <w:t xml:space="preserve">Secondary systematic review and individual-patient-data analysis: 91 recipients from 30 predominantly case reports/series and cohorts.</w:t>
            </w:r>
          </w:p>
          <w:p>
            <w:pPr>
              <w:pStyle w:val="Normal"/>
              <w:widowControl/>
              <w:spacing w:before="60" w:after="20"/>
            </w:pPr>
            <w:r>
              <w:t xml:space="preserve">Selection: Published ICI-exposed transplanted cases; not a randomized or consecutive all-treated population.</w:t>
            </w:r>
          </w:p>
          <w:p>
            <w:pPr>
              <w:pStyle w:val="Normal"/>
              <w:widowControl/>
              <w:spacing w:before="60" w:after="20"/>
            </w:pPr>
            <w:hyperlink r:id="rId111">
              <w:r>
                <w:rPr>
                  <w:color w:val="77230C"/>
                  <w:sz w:val="20"/>
                  <w:u w:val="single"/>
                </w:rPr>
                <w:t>Primary source</w:t>
              </w:r>
            </w:hyperlink>
            <w:r>
              <w:t xml:space="preserve"> | </w:t>
            </w:r>
            <w:hyperlink r:id="rId112">
              <w:r>
                <w:rPr>
                  <w:color w:val="77230C"/>
                  <w:sz w:val="20"/>
                  <w:u w:val="single"/>
                </w:rPr>
                <w:t>Full-text PDF</w:t>
              </w:r>
            </w:hyperlink>
          </w:p>
          <w:p>
            <w:pPr>
              <w:pStyle w:val="Normal"/>
              <w:widowControl/>
              <w:spacing w:before="60" w:after="20"/>
            </w:pPr>
            <w:r>
              <w:t xml:space="preserve">Locator: Complete local author manuscript: Results/washout model; PDF p10 (manuscript p7) conclusion. Existing V6 quotation ledger retained.</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24/91 rejections (26.4%), nine recurrences and nine deaths; median follow-up 690 days. Adjusted rejection hazard ratio per additional washout week .92 (95% CI .86–.99). Ninety-four days was the median washout among modeled patients with predicted rejection probability ≤20%, not an observed universal safety cutoff.</w:t>
            </w:r>
          </w:p>
          <w:p>
            <w:pPr>
              <w:pStyle w:val="Normal"/>
              <w:widowControl/>
              <w:spacing w:before="60" w:after="20"/>
            </w:pPr>
            <w:r>
              <w:rPr>
                <w:b/>
              </w:rPr>
              <w:t xml:space="preserve">Do not infer: </w:t>
            </w:r>
            <w:r>
              <w:t xml:space="preserve">Publication/selection bias, heterogeneous regimens, small events and overlap with later cohorts. A modeled ≤20% probability does not justify telling an individual that three months eliminates rejection risk.</w:t>
            </w:r>
          </w:p>
        </w:tc>
      </w:tr>
      <w:tr>
        <w:trPr/>
        <w:tc>
          <w:tcPr>
            <w:tcW w:w="3400" w:type="dxa"/>
            <w:tcMar>
              <w:top w:w="90" w:type="dxa"/>
              <w:left w:w="90" w:type="dxa"/>
              <w:bottom w:w="90" w:type="dxa"/>
              <w:right w:w="90" w:type="dxa"/>
            </w:tcMar>
          </w:tcPr>
          <w:p>
            <w:pPr>
              <w:pStyle w:val="Normal"/>
              <w:widowControl/>
              <w:spacing w:before="60" w:after="20"/>
            </w:pPr>
            <w:r>
              <w:rPr>
                <w:b/>
              </w:rPr>
              <w:t xml:space="preserve">Fang · irAEs</w:t>
            </w:r>
            <w:r>
              <w:t xml:space="preserve"> </w:t>
            </w:r>
            <w:r>
              <w:t xml:space="preserve"> </w:t>
            </w:r>
            <w:r>
              <w:fldChar w:fldCharType="begin"/>
            </w:r>
            <w:r>
              <w:instrText xml:space="preserve"> ADDIN EN.CITE </w:instrText>
            </w:r>
            <w:r>
              <w:fldChar w:fldCharType="begin">
                <w:fldData>PEVuZE5vdGU+PENpdGU+PEF1dGhvcj5GYW5nPC9BdXRob3I+PFllYXI+MjAyNjwvWWVhcj48UmVjTnVtPjI1PC9SZWNOdW0+PERpc3BsYXlUZXh0PltWMTItMjVdPC9EaXNwbGF5VGV4dD48cmVjb3JkPjxyZWMtbnVtYmVyPjI1PC9yZWMtbnVtYmVyPjxmb3JlaWduLWtleXM+PGtleSBhcHA9IkVOIiBkYi1pZD0iYTNhYWZkZmMtNmMxOC01MjJjLThhNjgtZmEwYWQyOGY1MWQyIiB0aW1lc3RhbXA9IjE3OTI5MjEwODciPjI1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p>
          <w:p>
            <w:pPr>
              <w:pStyle w:val="Normal"/>
              <w:widowControl/>
              <w:spacing w:before="60" w:after="20"/>
            </w:pPr>
            <w:r>
              <w:t xml:space="preserve">Multicenter Chinese retrospective cohort, 2018–2024: 209 ICI-exposed LT recipients.</w:t>
            </w:r>
          </w:p>
          <w:p>
            <w:pPr>
              <w:pStyle w:val="Normal"/>
              <w:widowControl/>
              <w:spacing w:before="60" w:after="20"/>
            </w:pPr>
            <w:r>
              <w:t xml:space="preserve">Selection: Prior irAEs of any grade were recorded; six patients had grade 3–4 events.</w:t>
            </w:r>
          </w:p>
          <w:p>
            <w:pPr>
              <w:pStyle w:val="Normal"/>
              <w:widowControl/>
              <w:spacing w:before="60" w:after="20"/>
            </w:pPr>
            <w:hyperlink r:id="rId113">
              <w:r>
                <w:rPr>
                  <w:color w:val="77230C"/>
                  <w:sz w:val="20"/>
                  <w:u w:val="single"/>
                </w:rPr>
                <w:t>Primary source</w:t>
              </w:r>
            </w:hyperlink>
            <w:r>
              <w:t xml:space="preserve"> | </w:t>
            </w:r>
            <w:hyperlink r:id="rId114">
              <w:r>
                <w:rPr>
                  <w:color w:val="77230C"/>
                  <w:sz w:val="20"/>
                  <w:u w:val="single"/>
                </w:rPr>
                <w:t>Full-text PDF</w:t>
              </w:r>
            </w:hyperlink>
          </w:p>
          <w:p>
            <w:pPr>
              <w:pStyle w:val="Normal"/>
              <w:widowControl/>
              <w:spacing w:before="60" w:after="20"/>
            </w:pPr>
            <w:r>
              <w:t xml:space="preserve">Locator: Complete local PDF pp5–6, Tables 3–4; avoid reversed conditional denominators.</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Rejection occurred in 36/209 (17.2%); 61.1% biopsy proven, median ten days after LT. Correct risks from Table 3: 21/44 (47.7%) with prior irAE versus 15/165 (9.1%) without. Any irAE adjusted OR 9.17 (95% CI 4.00–21.02); washout &lt;30 days OR 3.071 (1.211–7.787). The six grade 3–4 cases split three with and three without rejection.</w:t>
            </w:r>
          </w:p>
          <w:p>
            <w:pPr>
              <w:pStyle w:val="Normal"/>
              <w:widowControl/>
              <w:spacing w:before="60" w:after="20"/>
            </w:pPr>
            <w:r>
              <w:rPr>
                <w:b/>
              </w:rPr>
              <w:t xml:space="preserve">Do not infer: </w:t>
            </w:r>
            <w:r>
              <w:t xml:space="preserve">The discussion's 58.3%/13.3% are irAE prevalence within rejection/nonrejection groups, not rejection probabilities. Too few severe irAEs to validate a grade-specific exclusion or a recovery interval.</w:t>
            </w:r>
          </w:p>
        </w:tc>
      </w:tr>
      <w:tr>
        <w:trPr/>
        <w:tc>
          <w:tcPr>
            <w:tcW w:w="3400" w:type="dxa"/>
            <w:tcMar>
              <w:top w:w="90" w:type="dxa"/>
              <w:left w:w="90" w:type="dxa"/>
              <w:bottom w:w="90" w:type="dxa"/>
              <w:right w:w="90" w:type="dxa"/>
            </w:tcMar>
          </w:tcPr>
          <w:p>
            <w:pPr>
              <w:pStyle w:val="Normal"/>
              <w:widowControl/>
              <w:spacing w:before="60" w:after="20"/>
            </w:pPr>
            <w:r>
              <w:rPr>
                <w:b/>
              </w:rPr>
              <w:t xml:space="preserve">Aceituno 2026</w:t>
            </w:r>
            <w:r>
              <w:t xml:space="preserve"> </w:t>
            </w:r>
            <w:r>
              <w:t xml:space="preserve"> </w:t>
            </w:r>
            <w:r>
              <w:fldChar w:fldCharType="begin"/>
            </w:r>
            <w:r>
              <w:instrText xml:space="preserve"> ADDIN EN.CITE </w:instrText>
            </w:r>
            <w:r>
              <w:fldChar w:fldCharType="begin">
                <w:fldData>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</w:fldData>
              </w:fldChar>
            </w:r>
            <w:r>
              <w:instrText xml:space="preserve"> ADDIN EN.CITE.DATA </w:instrText>
            </w:r>
            <w:r>
              <w:fldChar w:fldCharType="end"/>
            </w:r>
            <w:r>
              <w:fldChar w:fldCharType="separate"/>
            </w:r>
            <w:r>
              <w:t xml:space="preserve">[V12-26]</w:t>
            </w:r>
            <w:r>
              <w:fldChar w:fldCharType="end"/>
            </w:r>
          </w:p>
          <w:p>
            <w:pPr>
              <w:pStyle w:val="Normal"/>
              <w:widowControl/>
              <w:spacing w:before="60" w:after="20"/>
            </w:pPr>
            <w:r>
              <w:t xml:space="preserve">Ten-center ICI series, 48 recipients, propensity matched with 144 Toronto non-ICI controls; 20/48 exposed cases previously published.</w:t>
            </w:r>
          </w:p>
          <w:p>
            <w:pPr>
              <w:pStyle w:val="Normal"/>
              <w:widowControl/>
              <w:spacing w:before="60" w:after="20"/>
            </w:pPr>
            <w:r>
              <w:t xml:space="preserve">Selection: Matching used age, sex, liver disease and LT year, not tumor burden or immunosuppression. Prior ICI adverse events were not captured.</w:t>
            </w:r>
          </w:p>
          <w:p>
            <w:pPr>
              <w:pStyle w:val="Normal"/>
              <w:widowControl/>
              <w:spacing w:before="60" w:after="20"/>
            </w:pPr>
            <w:hyperlink r:id="rId115">
              <w:r>
                <w:rPr>
                  <w:color w:val="77230C"/>
                  <w:sz w:val="20"/>
                  <w:u w:val="single"/>
                </w:rPr>
                <w:t>Primary source</w:t>
              </w:r>
            </w:hyperlink>
            <w:r>
              <w:t xml:space="preserve"> | </w:t>
            </w:r>
            <w:hyperlink r:id="rId116">
              <w:r>
                <w:rPr>
                  <w:color w:val="77230C"/>
                  <w:sz w:val="20"/>
                  <w:u w:val="single"/>
                </w:rPr>
                <w:t>Full-text PDF</w:t>
              </w:r>
            </w:hyperlink>
          </w:p>
          <w:p>
            <w:pPr>
              <w:pStyle w:val="Normal"/>
              <w:widowControl/>
              <w:spacing w:before="60" w:after="20"/>
            </w:pPr>
            <w:r>
              <w:t xml:space="preserve">Locator: Complete local PDF pp2–5, Methods and Tables 1–2.</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Biopsy-proven rejection 9/48 (18.8%) versus 28/144 (19.4%), P=.916. Two exposed cases were steroid resistant; one rejection-related graft failure required retransplant. Overall graft failure 2/48 versus 3/144, retransplant 2 versus zero, recurrence 5/48 versus 15/144, death 7/48 versus 21/144. Median follow-up 2.6 versus 3.2 years. Table 1 washout median 60 days, IQR 22–196.</w:t>
            </w:r>
          </w:p>
          <w:p>
            <w:pPr>
              <w:pStyle w:val="Normal"/>
              <w:widowControl/>
              <w:spacing w:before="60" w:after="20"/>
            </w:pPr>
            <w:r>
              <w:rPr>
                <w:b/>
              </w:rPr>
              <w:t xml:space="preserve">Do not infer: </w:t>
            </w:r>
            <w:r>
              <w:t xml:space="preserve">No detected difference is not equivalence. Substantial tumor-risk imbalance and published-case overlap. Abstract washout IQR 13–96 conflicts with Table 1 and appears to match rejection-onset timing; use table and flag discrepancy. It cannot reassure about prior irAE risk.</w:t>
            </w:r>
          </w:p>
        </w:tc>
      </w:tr>
      <w:tr>
        <w:trPr/>
        <w:tc>
          <w:tcPr>
            <w:tcW w:w="3400" w:type="dxa"/>
            <w:tcMar>
              <w:top w:w="90" w:type="dxa"/>
              <w:left w:w="90" w:type="dxa"/>
              <w:bottom w:w="90" w:type="dxa"/>
              <w:right w:w="90" w:type="dxa"/>
            </w:tcMar>
          </w:tcPr>
          <w:p>
            <w:pPr>
              <w:pStyle w:val="Normal"/>
              <w:widowControl/>
              <w:spacing w:before="60" w:after="20"/>
            </w:pPr>
            <w:r>
              <w:rPr>
                <w:b/>
              </w:rPr>
              <w:t xml:space="preserve">LITCHI 2026</w:t>
            </w:r>
            <w:r>
              <w:t xml:space="preserve"> </w:t>
            </w:r>
            <w:r>
              <w:t xml:space="preserve"> </w:t>
            </w:r>
            <w:r>
              <w:fldChar w:fldCharType="begin"/>
            </w:r>
            <w:r>
              <w:instrText xml:space="preserve"> ADDIN EN.CITE </w:instrText>
            </w:r>
            <w:r>
              <w:fldChar w:fldCharType="begin">
                <w:fldData>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p>
          <w:p>
            <w:pPr>
              <w:pStyle w:val="Normal"/>
              <w:widowControl/>
              <w:spacing w:before="60" w:after="20"/>
            </w:pPr>
            <w:r>
              <w:t xml:space="preserve">European multicenter series of 18 ICI-exposed LT recipients: 15 atezolizumab–bevacizumab, two nivolumab and one pembrolizumab. Fourteen of 17 evaluable patients were beyond Milan before treatment and seven of 17 remained beyond Milan before LT.</w:t>
            </w:r>
          </w:p>
          <w:p>
            <w:pPr>
              <w:pStyle w:val="Normal"/>
              <w:widowControl/>
              <w:spacing w:before="60" w:after="20"/>
            </w:pPr>
            <w:hyperlink r:id="rId117">
              <w:r>
                <w:rPr>
                  <w:color w:val="77230C"/>
                  <w:sz w:val="20"/>
                  <w:u w:val="single"/>
                </w:rPr>
                <w:t>Primary source</w:t>
              </w:r>
            </w:hyperlink>
            <w:r>
              <w:t xml:space="preserve"> | </w:t>
            </w:r>
            <w:hyperlink r:id="rId118">
              <w:r>
                <w:rPr>
                  <w:color w:val="77230C"/>
                  <w:sz w:val="20"/>
                  <w:u w:val="single"/>
                </w:rPr>
                <w:t>Full-text PDF</w:t>
              </w:r>
            </w:hyperlink>
          </w:p>
          <w:p>
            <w:pPr>
              <w:pStyle w:val="Normal"/>
              <w:widowControl/>
              <w:spacing w:before="60" w:after="20"/>
            </w:pPr>
            <w:r>
              <w:t xml:space="preserve">Locator: PDF p 2: cohort, biopsy ascertainment, 14/17 and 7/17 Milan status. | PDF p 3: Table 1 washout, harms, 12-month OS and follow up. | PDF p 4: rejection days, limitations, 14/18 &gt;100 days. | PDF p 5: supplement inventory not included.</w:t>
            </w:r>
          </w:p>
          <w:p>
            <w:pPr>
              <w:pStyle w:val="Normal"/>
              <w:widowControl/>
              <w:spacing w:before="60" w:after="20"/>
            </w:pPr>
            <w:r>
              <w:t xml:space="preserve">Review depth: Complete six-page main article read, including individual-patient Table 1 and discussion; supplemental Tables S1–S4/Figures S1–S3 not provided.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of 18 had biopsy-proven rejection (22%; reported 95% CI 6.4–47.6%), diagnosed at days 21, 27, 147 and 686. One rejection was fatal after a 13-day washout. One HCC recurrence occurred at 229 days. The reported one-year OS point estimate is 77%, but abstract and body give inconsistent confidence intervals. Safety: Rejection can occur late, not only in the immediate postoperative period. One fatal rejection; a long washout does not eliminate risk.</w:t>
            </w:r>
          </w:p>
          <w:p>
            <w:pPr>
              <w:pStyle w:val="Normal"/>
              <w:widowControl/>
              <w:spacing w:before="60" w:after="20"/>
            </w:pPr>
            <w:r>
              <w:rPr>
                <w:b/>
              </w:rPr>
              <w:t xml:space="preserve">Do not infer: </w:t>
            </w:r>
            <w:r>
              <w:t xml:space="preserve">Small selected recipient series without a control group or entry denominator; center-dependent surveillance biopsies. Very short oncologic follow-up for high-risk subgroups. The inconsistent OS confidence interval should not be copied. No validated washout or protective immunosuppression regimen.</w:t>
            </w:r>
          </w:p>
        </w:tc>
      </w:tr>
      <w:tr>
        <w:trPr/>
        <w:tc>
          <w:tcPr>
            <w:tcW w:w="3400" w:type="dxa"/>
            <w:tcMar>
              <w:top w:w="90" w:type="dxa"/>
              <w:left w:w="90" w:type="dxa"/>
              <w:bottom w:w="90" w:type="dxa"/>
              <w:right w:w="90" w:type="dxa"/>
            </w:tcMar>
          </w:tcPr>
          <w:p>
            <w:pPr>
              <w:pStyle w:val="Normal"/>
              <w:widowControl/>
              <w:spacing w:before="60" w:after="20"/>
            </w:pPr>
            <w:r>
              <w:rPr>
                <w:b/>
              </w:rPr>
              <w:t xml:space="preserve">HCC ICI cohort · JAMA 2026</w:t>
            </w:r>
            <w:r>
              <w:t xml:space="preserve"> </w:t>
            </w:r>
            <w:r>
              <w:t xml:space="preserve"> </w:t>
            </w:r>
            <w:r>
              <w:fldChar w:fldCharType="begin"/>
            </w:r>
            <w:r>
              <w:instrText xml:space="preserve"> ADDIN EN.CITE </w:instrText>
            </w:r>
            <w:r>
              <w:fldChar w:fldCharType="begin">
                <w:fldData>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</w:fldData>
              </w:fldChar>
            </w:r>
            <w:r>
              <w:instrText xml:space="preserve"> ADDIN EN.CITE.DATA </w:instrText>
            </w:r>
            <w:r>
              <w:fldChar w:fldCharType="end"/>
            </w:r>
            <w:r>
              <w:fldChar w:fldCharType="separate"/>
            </w:r>
            <w:r>
              <w:t xml:space="preserve">[V12-28]</w:t>
            </w:r>
            <w:r>
              <w:fldChar w:fldCharType="end"/>
            </w:r>
          </w:p>
          <w:p>
            <w:pPr>
              <w:pStyle w:val="Normal"/>
              <w:widowControl/>
              <w:spacing w:before="60" w:after="20"/>
            </w:pPr>
            <w:r>
              <w:t xml:space="preserve">Eight Chinese centers, LT 2019–2024. 879 adult recipients initially beyond Milan screened, 727 eligible: 244 ICI and 483 non-ICI; 208 matched in each arm. Predominantly HBV (88% matched), male (90.6%); baseline macrovascular invasion 76/208 versus 77/208. ICI strategy commonly combined LRT and targeted agents: 131 triple, 61 dual, 16 ICI alone. Control 182 LRT alone, 23 LRT + targeted, 3 targeted alone.</w:t>
            </w:r>
          </w:p>
          <w:p>
            <w:pPr>
              <w:pStyle w:val="Normal"/>
              <w:widowControl/>
              <w:spacing w:before="60" w:after="20"/>
            </w:pPr>
            <w:hyperlink r:id="rId119">
              <w:r>
                <w:rPr>
                  <w:color w:val="77230C"/>
                  <w:sz w:val="20"/>
                  <w:u w:val="single"/>
                </w:rPr>
                <w:t>Primary source</w:t>
              </w:r>
            </w:hyperlink>
            <w:r>
              <w:t xml:space="preserve"> | </w:t>
            </w:r>
            <w:hyperlink r:id="rId120">
              <w:r>
                <w:rPr>
                  <w:color w:val="77230C"/>
                  <w:sz w:val="20"/>
                  <w:u w:val="single"/>
                </w:rPr>
                <w:t>Full-text PDF</w:t>
              </w:r>
            </w:hyperlink>
          </w:p>
          <w:p>
            <w:pPr>
              <w:pStyle w:val="Normal"/>
              <w:widowControl/>
              <w:spacing w:before="60" w:after="20"/>
            </w:pPr>
            <w:r>
              <w:t xml:space="preserve">Locator: PDF pp 2–3 / E2–E3: design, Figure 1, time origins and matching. | PDF p 4 / E4: Table 1, multimodal exposures, only 32/208 and 18/208 within Milan. | PDF p 5 / E5: Table 2 washout missingness and rejection/survival. | PDF p 6 / E6: Figure 2 at-risk counts. | PDF pp 7–9 / E7–E9: subgroup caveats, limitations and conclusion.</w:t>
            </w:r>
          </w:p>
          <w:p>
            <w:pPr>
              <w:pStyle w:val="Normal"/>
              <w:widowControl/>
              <w:spacing w:before="60" w:after="20"/>
            </w:pPr>
            <w:r>
              <w:t xml:space="preserve">Review depth: Complete 10-page main article read, including all tables/figures, discussion and references; supplements not supplied/read.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ICI versus control: median OS 4.57 versus 2.53 years, adjusted HR .63 (95% CI .43–.92); median RFS 1.47 versus .89 years, adjusted HR .59 (.44–.80); recurrence subdistribution HR .54 (.40–.72). 1-/3-year OS 83.9/71.6% versus 74.6/43.9%; RFS 62.8/43.5 versus 48.4/30.7%. Acute rejection ≤90 days 34/208 (16.3%) versus 17/208 (8.2%), absolute difference 8.17 pp (CI 1.92–14.43); rejection-attributed deaths 3/34 versus 1/17. Median washout 58.5 days; ≤90-day washout 26/32 rejection cases versus 100/160 nonrejection cases. Objective response 100/208 versus 40/208; pCR 6/208 versus 0; major pathologic response 58/208 versus 35/208. Safety: Higher early rejection and three rejection-attributed deaths in ICI arm. No reliable pre-LT toxicity/dropout estimate because only transplanted patients included. At five years OS at-risk counts only 3 ICI and 21 control; long-horizon medians/tails imprecise.</w:t>
            </w:r>
          </w:p>
          <w:p>
            <w:pPr>
              <w:pStyle w:val="Normal"/>
              <w:widowControl/>
              <w:spacing w:before="60" w:after="20"/>
            </w:pPr>
            <w:r>
              <w:rPr>
                <w:b/>
              </w:rPr>
              <w:t xml:space="preserve">Do not infer: </w:t>
            </w:r>
            <w:r>
              <w:t xml:space="preserve">Retrospective PSM of selected recipients, residual biology/era confounding and conditioning on transplantation; graft type and donor age included in primary propensity model but sensitivity reportedly excludes these postexposure factors. Only 15.4%/8.7% downstaged within Milan; clinical selection differs markedly from proposed local pilot. Multimodal strategy not isolated ICI effect. Missing supplementary eligibility, rejection treatment and dynamic response details. Overlap with related Guo/Fang Chinese cohorts possible; do not sum as independent samples. Exploratory sex and high-risk subgroups not treatment-selection rules.</w:t>
            </w:r>
          </w:p>
        </w:tc>
      </w:tr>
      <w:tr>
        <w:trPr/>
        <w:tc>
          <w:tcPr>
            <w:tcW w:w="3400" w:type="dxa"/>
            <w:tcMar>
              <w:top w:w="90" w:type="dxa"/>
              <w:left w:w="90" w:type="dxa"/>
              <w:bottom w:w="90" w:type="dxa"/>
              <w:right w:w="90" w:type="dxa"/>
            </w:tcMar>
          </w:tcPr>
          <w:p>
            <w:pPr>
              <w:pStyle w:val="Normal"/>
              <w:widowControl/>
              <w:spacing w:before="60" w:after="20"/>
            </w:pPr>
            <w:r>
              <w:rPr>
                <w:b/>
              </w:rPr>
              <w:t xml:space="preserve">Kulkarni 2025</w:t>
            </w:r>
            <w:r>
              <w:t xml:space="preserve"> </w:t>
            </w:r>
            <w:r>
              <w:t xml:space="preserve"> </w:t>
            </w:r>
            <w:r>
              <w:fldChar w:fldCharType="begin"/>
            </w:r>
            <w:r>
              <w:instrText xml:space="preserve"> ADDIN EN.CITE </w:instrText>
            </w:r>
            <w:r>
              <w:fldChar w:fldCharType="begin">
                <w:fldData>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</w:fldData>
              </w:fldChar>
            </w:r>
            <w:r>
              <w:instrText xml:space="preserve"> ADDIN EN.CITE.DATA </w:instrText>
            </w:r>
            <w:r>
              <w:fldChar w:fldCharType="end"/>
            </w:r>
            <w:r>
              <w:fldChar w:fldCharType="separate"/>
            </w:r>
            <w:r>
              <w:t xml:space="preserve">[V12-29]</w:t>
            </w:r>
            <w:r>
              <w:fldChar w:fldCharType="end"/>
            </w:r>
          </w:p>
          <w:p>
            <w:pPr>
              <w:pStyle w:val="Normal"/>
              <w:widowControl/>
              <w:spacing w:before="60" w:after="20"/>
            </w:pPr>
            <w:r>
              <w:t xml:space="preserve">Mixed pre-LT ICI case series, a small pilot randomized study, post-LT case series, LRT studies and nontransplant systemic-therapy trials. These are different populations and overlapping evidence.</w:t>
            </w:r>
          </w:p>
          <w:p>
            <w:pPr>
              <w:pStyle w:val="Normal"/>
              <w:widowControl/>
              <w:spacing w:before="60" w:after="20"/>
            </w:pPr>
            <w:hyperlink r:id="rId121">
              <w:r>
                <w:rPr>
                  <w:color w:val="77230C"/>
                  <w:sz w:val="20"/>
                  <w:u w:val="single"/>
                </w:rPr>
                <w:t>Primary source</w:t>
              </w:r>
            </w:hyperlink>
            <w:r>
              <w:t xml:space="preserve"> | </w:t>
            </w:r>
            <w:hyperlink r:id="rId122">
              <w:r>
                <w:rPr>
                  <w:color w:val="77230C"/>
                  <w:sz w:val="20"/>
                  <w:u w:val="single"/>
                </w:rPr>
                <w:t>Full-text PDF</w:t>
              </w:r>
            </w:hyperlink>
          </w:p>
          <w:p>
            <w:pPr>
              <w:pStyle w:val="Normal"/>
              <w:widowControl/>
              <w:spacing w:before="60" w:after="20"/>
            </w:pPr>
            <w:r>
              <w:t xml:space="preserve">Locator: PDF pp 6–8 Table 3; p 9 rejection/post-LT discussion; p 10/printed 594 Section 10; pp 11–12 preventive proposals and research gaps; pp 13–14 trial table/conclusion.</w:t>
            </w:r>
          </w:p>
          <w:p>
            <w:pPr>
              <w:pStyle w:val="Normal"/>
              <w:widowControl/>
              <w:spacing w:before="60" w:after="20"/>
            </w:pPr>
            <w:r>
              <w:t xml:space="preserve">Review depth: Complete substantive narrative text pp 1–14, all 6 tables and relevant bibliography references read; no independent reanalysis of its cited cohorts or external supplements.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Supports individualized ICI use, acknowledgement of rejection, infection/decompensation and anti-VEGF wound-healing risk, and LDLT scheduling flexibility.; Section 10 describes center variation in corticosteroid with or without basiliximab induction. This supports documenting institutional practice, not declaring one regimen proven superior.; Suggested early tacrolimus 12–15 ng/mL, protocol biopsy and prophylactic plasma strategies are author proposals based on small heterogeneous reports; the review itself states that benefit of T-cell-directed induction is unknown.; Biomarkers and protocol biopsies are described as needing validation. The review does not establish a transplant-eligibility rule based on TP53, TERT, CTNNB1, ctDNA or fewer than five ICI cycles.</w:t>
            </w:r>
          </w:p>
          <w:p>
            <w:pPr>
              <w:pStyle w:val="Normal"/>
              <w:widowControl/>
              <w:spacing w:before="60" w:after="20"/>
            </w:pPr>
            <w:r>
              <w:rPr>
                <w:b/>
              </w:rPr>
              <w:t xml:space="preserve">Do not infer: </w:t>
            </w:r>
            <w:r>
              <w:t xml:space="preserve">Some categorical statements exceed the cited evidence: no response in post-LT HCC comes from tiny old series and is not consistent with the newer 52-recipient DeMartin study; use the updated primary extraction.; Section 10's tacrolimus target is not a society guideline and has not been prospectively shown to prevent ICI-associated rejection without excess toxicity.; Table 3 Guo washout direction contains a typographical inconsistency; do not copy it. The VITALITY 86%/14% numbers must not be presented as group rejection incidence.; Selection exclusion based solely on ≤4 ICI cycles, a mutation or imaging response category is not validated by this review.; Do not use the review's UNOS size inequalities instead of current official policy. Time origin: Use underlying primary studies for all quantitative consent/outcome claims. Table 3 mixes candidates and recipients; the 86%/14% VITALITY statement describes the distribution of seven rejection events by washout, not the probability of rejection in each exposure group.</w:t>
            </w:r>
          </w:p>
        </w:tc>
      </w:tr>
      <w:tr>
        <w:trPr/>
        <w:tc>
          <w:tcPr>
            <w:tcW w:w="3400" w:type="dxa"/>
            <w:tcMar>
              <w:top w:w="90" w:type="dxa"/>
              <w:left w:w="90" w:type="dxa"/>
              <w:bottom w:w="90" w:type="dxa"/>
              <w:right w:w="90" w:type="dxa"/>
            </w:tcMar>
          </w:tcPr>
          <w:p>
            <w:pPr>
              <w:pStyle w:val="Normal"/>
              <w:widowControl/>
              <w:spacing w:before="60" w:after="20"/>
            </w:pPr>
            <w:r>
              <w:rPr>
                <w:b/>
              </w:rPr>
              <w:t xml:space="preserve">Demirors 2026</w:t>
            </w:r>
            <w:r>
              <w:t xml:space="preserve"> </w:t>
            </w:r>
            <w:r>
              <w:t xml:space="preserve"> </w:t>
            </w:r>
            <w:r>
              <w:fldChar w:fldCharType="begin"/>
            </w:r>
            <w:r>
              <w:instrText xml:space="preserve"> ADDIN EN.CITE </w:instrText>
            </w:r>
            <w:r>
              <w:fldChar w:fldCharType="begin">
                <w:fldData>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</w:fldData>
              </w:fldChar>
            </w:r>
            <w:r>
              <w:instrText xml:space="preserve"> ADDIN EN.CITE.DATA </w:instrText>
            </w:r>
            <w:r>
              <w:fldChar w:fldCharType="end"/>
            </w:r>
            <w:r>
              <w:fldChar w:fldCharType="separate"/>
            </w:r>
            <w:r>
              <w:t xml:space="preserve">[V12-30]</w:t>
            </w:r>
            <w:r>
              <w:fldChar w:fldCharType="end"/>
            </w:r>
          </w:p>
          <w:p>
            <w:pPr>
              <w:pStyle w:val="Normal"/>
              <w:widowControl/>
              <w:spacing w:before="60" w:after="20"/>
            </w:pPr>
            <w:r>
              <w:t xml:space="preserve">HCC dominates; review claims &gt;1,200 ICI-exposed LT recipients and 43 CCA patients. Tables mix primary cohorts, systematic reviews, candidate denominators, resection cohorts, chemotherapy-only transplant evidence and contextual abstracts; unique-recipient totals are not independently reconciled.</w:t>
            </w:r>
          </w:p>
          <w:p>
            <w:pPr>
              <w:pStyle w:val="Normal"/>
              <w:widowControl/>
              <w:spacing w:before="60" w:after="20"/>
            </w:pPr>
            <w:hyperlink r:id="rId123">
              <w:r>
                <w:rPr>
                  <w:color w:val="77230C"/>
                  <w:sz w:val="20"/>
                  <w:u w:val="single"/>
                </w:rPr>
                <w:t>Primary source</w:t>
              </w:r>
            </w:hyperlink>
            <w:r>
              <w:t xml:space="preserve"> | </w:t>
            </w:r>
            <w:hyperlink r:id="rId124">
              <w:r>
                <w:rPr>
                  <w:color w:val="77230C"/>
                  <w:sz w:val="20"/>
                  <w:u w:val="single"/>
                </w:rPr>
                <w:t>Full-text PDF</w:t>
              </w:r>
            </w:hyperlink>
          </w:p>
          <w:p>
            <w:pPr>
              <w:pStyle w:val="Normal"/>
              <w:widowControl/>
              <w:spacing w:before="60" w:after="20"/>
            </w:pPr>
            <w:r>
              <w:t xml:space="preserve">Locator: PDF pp 3–5 methods/aggregate population; pp 6–7 Table 1 and CCA efficacy; pp 7–9 washout/rejection; pp 10–11 Table 2; p 12 Table 3; pp 13–14 interpretation; pp 16–17 references 4–6, 15, 22, 29–35.</w:t>
            </w:r>
          </w:p>
          <w:p>
            <w:pPr>
              <w:pStyle w:val="Normal"/>
              <w:widowControl/>
              <w:spacing w:before="60" w:after="20"/>
            </w:pPr>
            <w:r>
              <w:t xml:space="preserve">Review depth: Complete main text pp 1–14, all 3 tables and all 35 reference entries pp 15–17 read; conflicting claims checked against already-reviewed V8 primary papers and targeted official/primary sources.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General themes—ICI-associated rejection risk, need for an interval and MDT care, absence of a validated immune biomarker—are consistent with primary evidence.; Table 3 is not a reliable substitute for original society guidance: AASLD 2023 actually recommends discontinuation at least 3 months before LT (local official PDF p 20/j 1941), contrary to this review's 'no specific duration' cell.; Table 3 labels Watt et al. as ILTS guidance, but reference 31 is a prospective standardized institutional post-LT ICI practice study, not an ILTS consensus or pre-LT induction guideline.; SYS-TARE/Maspero chemotherapy-plus-radioembolization evidence is displayed under ICI bridging; it does not establish pre-LT ICI efficacy or safety in CCA.; Table 2 says Moeckli graft loss not separately reported; the primary paper reports 6/119. The review's OR 21.3/9.48 washout values are unadjusted, not the adjusted model coefficients.; PLENTY is mislabeled as a North American prospective cohort in Table 1; the primary pilot is a Chinese randomized study. ImmunoXXL is labeled RCT despite the reviewed prospective single-arm design.</w:t>
            </w:r>
          </w:p>
          <w:p>
            <w:pPr>
              <w:pStyle w:val="Normal"/>
              <w:widowControl/>
              <w:spacing w:before="60" w:after="20"/>
            </w:pPr>
            <w:r>
              <w:rPr>
                <w:b/>
              </w:rPr>
              <w:t xml:space="preserve">Do not infer: </w:t>
            </w:r>
            <w:r>
              <w:t xml:space="preserve">Guideline attribution errors, mixed eligibility/interventions, overlapping datasets and inconsistent denominators substantially weaken its use for protocol thresholds.; Claim that &gt;50 days normalizes rejection versus non-ICI controls overstates the 119-recipient source, which lacks a parallel non-ICI control group.; Proposed ATG indications, tacrolimus 12–15, protocol biopsies and early-mTOR avoidance are not established by the cited papers as universal society recommendations.; Donor-category nonsignificance is not proof of equivalence/safety across DCD, DBD and LDLT.; CCA and NET protocols must not inherit HCC cohort efficacy rates or transplant eligibility thresholds from this review. Time origin: Do not pool its &gt;1,200 as new unique patients or combine it with underlying studies. VITALITY 75.6% is 65/86 ever-beyond-Milan candidates, with 43 LT of 117 intent-to-transplant; 71.1% three-year survival is candidate-level ITT, not recipient survival.</w:t>
            </w:r>
          </w:p>
        </w:tc>
      </w:tr>
    </w:tbl>
    <w:p>
      <w:pPr>
        <w:pStyle w:val="Heading3"/>
        <w:keepNext/>
        <w:widowControl/>
      </w:pPr>
      <w:r>
        <w:t xml:space="preserve">Synthesis and evidence that challenges the proposal</w:t>
      </w:r>
    </w:p>
    <w:p>
      <w:pPr>
        <w:pStyle w:val="Normal"/>
        <w:widowControl/>
        <w:spacing w:before="60" w:after="20"/>
      </w:pPr>
      <w:r>
        <w:t xml:space="preserve">ICI conversion evidence is encouraging but observational and often recipient-selected. VITALITY has 117 intended candidates and 43 LT recipients; ImmunoXXL has 61 treated and 16 selected LT recipients. Ong's matched recipient comparison is not an ITT efficacy estimate. Moeckli's 50-day cutoff was data-driven in a heterogeneous 119-recipient collection; rejection was 21/53 at ≤50 days versus 3/66 at &gt;50 days. LITCHI shows late rejection despite predominantly long washout. Separate post-LT treatment data show five rejection-attributed deaths among 52 ICI-treated recipients. AASLD 2023 advises stopping ICI at least three months before LT. This supports the guideline lineage of the conservative interval but is not prospective proof of a safe threshold. Narrative reviews do not establish routine ATG, high tacrolimus troughs or prophylactic plasma as safe ICI-specific strategies.</w:t>
      </w:r>
      <w:r>
        <w:t xml:space="preserve"> </w:t>
      </w:r>
      <w:r>
        <w:t xml:space="preserve"> </w:t>
      </w:r>
      <w:r>
        <w:fldChar w:fldCharType="begin"/>
      </w:r>
      <w:r>
        <w:instrText xml:space="preserve"> ADDIN EN.CITE </w:instrText>
      </w:r>
      <w:r>
        <w:fldChar w:fldCharType="begin">
          <w:fldData>PEVuZE5vdGU+PENpdGU+PEF1dGhvcj5UYWJyaXppYW48L0F1dGhvcj48WWVhcj4yMDI1PC9ZZWFyPjxSZWNOdW0+MjE8L1JlY051bT48RGlzcGxheVRleHQ+W1YxMi0yMV08L0Rpc3BsYXlUZXh0PjxyZWNvcmQ+PHJlYy1udW1iZXI+MjE8L3JlYy1udW1iZXI+PGZvcmVpZ24ta2V5cz48a2V5IGFwcD0iRU4iIGRiLWlkPSJhM2FhZmRmYy02YzE4LTUyMmMtOGE2OC1mYTBhZDI4ZjUxZDIiIHRpbWVzdGFtcD0iMTc5MjkyMTA4NyI+MjE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</w:fldData>
        </w:fldChar>
      </w:r>
      <w:r>
        <w:instrText xml:space="preserve"> ADDIN EN.CITE.DATA </w:instrText>
      </w:r>
      <w:r>
        <w:fldChar w:fldCharType="end"/>
      </w:r>
      <w:r>
        <w:fldChar w:fldCharType="separate"/>
      </w:r>
      <w:r>
        <w:t xml:space="preserve">[V12-22]</w:t>
      </w:r>
      <w:r>
        <w:fldChar w:fldCharType="end"/>
      </w:r>
      <w:r>
        <w:t xml:space="preserve"> </w:t>
      </w:r>
      <w:r>
        <w:t xml:space="preserve"> </w:t>
      </w:r>
      <w:r>
        <w:fldChar w:fldCharType="begin"/>
      </w:r>
      <w:r>
        <w:instrText xml:space="preserve"> ADDIN EN.CITE </w:instrText>
      </w:r>
      <w:r>
        <w:fldChar w:fldCharType="begin">
          <w:fldData>PEVuZE5vdGU+PENpdGU+PEF1dGhvcj5Nb2Vja2xpPC9BdXRob3I+PFllYXI+MjAyNTwvWWVhcj48UmVjTnVtPjIzPC9SZWNOdW0+PERpc3BsYXlUZXh0PltWMTItMjNdPC9EaXNwbGF5VGV4dD48cmVjb3JkPjxyZWMtbnVtYmVyPjIzPC9yZWMtbnVtYmVyPjxmb3JlaWduLWtleXM+PGtleSBhcHA9IkVOIiBkYi1pZD0iYTNhYWZkZmMtNmMxOC01MjJjLThhNjgtZmEwYWQyOGY1MWQyIiB0aW1lc3RhbXA9IjE3OTI5MjEwODciPjIz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yNDwvUmVjTnVtPjxEaXNwbGF5VGV4dD5bVjEyLTI0XTwvRGlzcGxheVRleHQ+PHJlY29yZD48cmVjLW51bWJlcj4yNDwvcmVjLW51bWJlcj48Zm9yZWlnbi1rZXlzPjxrZXkgYXBwPSJFTiIgZGItaWQ9ImEzYWFmZGZjLTZjMTgtNTIyYy04YTY4LWZhMGFkMjhmNTFkMiIgdGltZXN0YW1wPSIxNzkyOTIxMDg3Ij4yND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r>
        <w:t xml:space="preserve"> </w:t>
      </w:r>
      <w:r>
        <w:t xml:space="preserve"> </w:t>
      </w:r>
      <w:r>
        <w:fldChar w:fldCharType="begin"/>
      </w:r>
      <w:r>
        <w:instrText xml:space="preserve"> ADDIN EN.CITE </w:instrText>
      </w:r>
      <w:r>
        <w:fldChar w:fldCharType="begin">
          <w:fldData>PEVuZE5vdGU+PENpdGU+PEF1dGhvcj5GYW5nPC9BdXRob3I+PFllYXI+MjAyNjwvWWVhcj48UmVjTnVtPjI1PC9SZWNOdW0+PERpc3BsYXlUZXh0PltWMTItMjVdPC9EaXNwbGF5VGV4dD48cmVjb3JkPjxyZWMtbnVtYmVyPjI1PC9yZWMtbnVtYmVyPjxmb3JlaWduLWtleXM+PGtleSBhcHA9IkVOIiBkYi1pZD0iYTNhYWZkZmMtNmMxOC01MjJjLThhNjgtZmEwYWQyOGY1MWQyIiB0aW1lc3RhbXA9IjE3OTI5MjEwODciPjI1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r>
        <w:t xml:space="preserve"> </w:t>
      </w:r>
      <w:r>
        <w:t xml:space="preserve"> </w:t>
      </w:r>
      <w:r>
        <w:fldChar w:fldCharType="begin"/>
      </w:r>
      <w:r>
        <w:instrText xml:space="preserve"> ADDIN EN.CITE </w:instrText>
      </w:r>
      <w:r>
        <w:fldChar w:fldCharType="begin">
          <w:fldData>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</w:fldData>
        </w:fldChar>
      </w:r>
      <w:r>
        <w:instrText xml:space="preserve"> ADDIN EN.CITE.DATA </w:instrText>
      </w:r>
      <w:r>
        <w:fldChar w:fldCharType="end"/>
      </w:r>
      <w:r>
        <w:fldChar w:fldCharType="separate"/>
      </w:r>
      <w:r>
        <w:t xml:space="preserve">[V12-26]</w:t>
      </w:r>
      <w:r>
        <w:fldChar w:fldCharType="end"/>
      </w:r>
      <w:r>
        <w:t xml:space="preserve"> </w:t>
      </w:r>
      <w:r>
        <w:t xml:space="preserve"> </w:t>
      </w:r>
      <w:r>
        <w:fldChar w:fldCharType="begin"/>
      </w:r>
      <w:r>
        <w:instrText xml:space="preserve"> ADDIN EN.CITE </w:instrText>
      </w:r>
      <w:r>
        <w:fldChar w:fldCharType="begin">
          <w:fldData>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</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</w:fldData>
        </w:fldChar>
      </w:r>
      <w:r>
        <w:instrText xml:space="preserve"> ADDIN EN.CITE.DATA </w:instrText>
      </w:r>
      <w:r>
        <w:fldChar w:fldCharType="end"/>
      </w:r>
      <w:r>
        <w:fldChar w:fldCharType="separate"/>
      </w:r>
      <w:r>
        <w:t xml:space="preserve">[V12-29]</w:t>
      </w:r>
      <w:r>
        <w:fldChar w:fldCharType="end"/>
      </w:r>
      <w:r>
        <w:t xml:space="preserve"> </w:t>
      </w:r>
      <w:r>
        <w:t xml:space="preserve"> </w:t>
      </w:r>
      <w:r>
        <w:fldChar w:fldCharType="begin"/>
      </w:r>
      <w:r>
        <w:instrText xml:space="preserve"> ADDIN EN.CITE </w:instrText>
      </w:r>
      <w:r>
        <w:fldChar w:fldCharType="begin">
          <w:fldData>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</w:fldData>
        </w:fldChar>
      </w:r>
      <w:r>
        <w:instrText xml:space="preserve"> ADDIN EN.CITE.DATA </w:instrText>
      </w:r>
      <w:r>
        <w:fldChar w:fldCharType="end"/>
      </w:r>
      <w:r>
        <w:fldChar w:fldCharType="separate"/>
      </w:r>
      <w:r>
        <w:t xml:space="preserve">[V12-30]</w:t>
      </w:r>
      <w:r>
        <w:fldChar w:fldCharType="end"/>
      </w:r>
    </w:p>
    <w:p>
      <w:pPr>
        <w:pStyle w:val="Normal"/>
        <w:widowControl/>
        <w:numPr>
          <w:ilvl w:val="0"/>
          <w:numId w:val="3"/>
        </w:numPr>
        <w:spacing w:before="60" w:after="20"/>
      </w:pPr>
      <w:r>
        <w:t xml:space="preserve">ImmunoXXL demonstrates feasibility with intervals shorter than 90 days, and Aceituno found similar rejection proportions in matched groups; these challenge a claim that &lt;90 days is an absolute biological contraindication. They do not prove equivalence or validate elective shortening. Ong suggests oncologic benefit but also higher rejection, while Fang highlights risk missed by washout alone. The literature supports individualized exceptional review, not automatic urgency-based exemption.</w:t>
      </w:r>
    </w:p>
    <w:p>
      <w:pPr>
        <w:pStyle w:val="Normal"/>
        <w:widowControl/>
        <w:spacing w:before="60" w:after="20"/>
      </w:pPr>
      <w:r>
        <w:rPr>
          <w:b/>
        </w:rPr>
        <w:t xml:space="preserve">Certainty / applicability: </w:t>
      </w:r>
      <w:r>
        <w:t xml:space="preserve">Low for the association between shorter washout and rejection; low for prior-any-irAE risk; very low for a precise safe interval, a grade-specific irAE exclusion, an optimal immunosuppression regimen or an ICI-caused treatment-entry survival benefit. No reviewed trial randomized washout or transplant versus continued systemic therapy after ICI.</w:t>
      </w:r>
    </w:p>
    <w:p>
      <w:pPr>
        <w:pStyle w:val="Heading3"/>
        <w:keepNext/>
        <w:widowControl/>
      </w:pPr>
      <w:r>
        <w:t xml:space="preserve">Where each proposed threshold comes from</w:t>
      </w:r>
    </w:p>
    <w:p>
      <w:pPr>
        <w:pStyle w:val="Normal"/>
        <w:widowControl/>
        <w:numPr>
          <w:ilvl w:val="0"/>
          <w:numId w:val="3"/>
        </w:numPr>
        <w:spacing w:before="60" w:after="20"/>
      </w:pPr>
      <w:r>
        <w:t xml:space="preserve">Ninety days: conservative local planning rule informed by retrospective timing associations and IPD modeling, not a validated threshold. Grade ≤1 recovery and exclusion of prior severe nonendocrine/myocarditis cases: proposed operational safety judgment, not a proven transplant-specific cutoff; Fang's severe-event sample is only six. No laboratory or immune assay identified in this review validates clearance for LT. Center-specific immunosuppression should not be portrayed as evidence-proven protection from ICI-associated rejection.</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Rezaee-Zavareh · IPD</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yNDwvUmVjTnVtPjxEaXNwbGF5VGV4dD5bVjEyLTI0XTwvRGlzcGxheVRleHQ+PHJlY29yZD48cmVjLW51bWJlcj4yNDwvcmVjLW51bWJlcj48Zm9yZWlnbi1rZXlzPjxrZXkgYXBwPSJFTiIgZGItaWQ9ImEzYWFmZGZjLTZjMTgtNTIyYy04YTY4LWZhMGFkMjhmNTFkMiIgdGltZXN0YW1wPSIxNzkyOTIxMDg3Ij4yND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p>
          <w:p>
            <w:pPr>
              <w:pStyle w:val="Normal"/>
              <w:widowControl/>
              <w:spacing w:before="60" w:after="20"/>
            </w:pPr>
            <w:r>
              <w:t xml:space="preserve">“a 3-month washout may reduce it”</w:t>
            </w:r>
          </w:p>
          <w:p>
            <w:pPr>
              <w:pStyle w:val="Normal"/>
              <w:widowControl/>
              <w:spacing w:before="60" w:after="20"/>
            </w:pPr>
            <w:r>
              <w:t xml:space="preserve">Accepted PDF p10 / manuscript p7, abstract conclusion</w:t>
            </w:r>
          </w:p>
          <w:p>
            <w:pPr>
              <w:pStyle w:val="Normal"/>
              <w:widowControl/>
              <w:spacing w:before="60" w:after="20"/>
            </w:pPr>
            <w:hyperlink r:id="rId125">
              <w:r>
                <w:rPr>
                  <w:color w:val="77230C"/>
                  <w:sz w:val="20"/>
                  <w:u w:val="single"/>
                </w:rPr>
                <w:t>Source</w:t>
              </w:r>
            </w:hyperlink>
            <w:r>
              <w:t xml:space="preserve"> | </w:t>
            </w:r>
            <w:hyperlink r:id="rId126">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 risk-reduction suggestion from largely retrospective data, not a safe minimum.</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Fang · irAEs</w:t>
            </w:r>
            <w:r>
              <w:t xml:space="preserve"> </w:t>
            </w:r>
            <w:r>
              <w:t xml:space="preserve"> </w:t>
            </w:r>
            <w:r>
              <w:fldChar w:fldCharType="begin"/>
            </w:r>
            <w:r>
              <w:instrText xml:space="preserve"> ADDIN EN.CITE </w:instrText>
            </w:r>
            <w:r>
              <w:fldChar w:fldCharType="begin">
                <w:fldData>PEVuZE5vdGU+PENpdGU+PEF1dGhvcj5GYW5nPC9BdXRob3I+PFllYXI+MjAyNjwvWWVhcj48UmVjTnVtPjI1PC9SZWNOdW0+PERpc3BsYXlUZXh0PltWMTItMjVdPC9EaXNwbGF5VGV4dD48cmVjb3JkPjxyZWMtbnVtYmVyPjI1PC9yZWMtbnVtYmVyPjxmb3JlaWduLWtleXM+PGtleSBhcHA9IkVOIiBkYi1pZD0iYTNhYWZkZmMtNmMxOC01MjJjLThhNjgtZmEwYWQyOGY1MWQyIiB0aW1lc3RhbXA9IjE3OTI5MjEwODciPjI1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p>
          <w:p>
            <w:pPr>
              <w:pStyle w:val="Normal"/>
              <w:widowControl/>
              <w:spacing w:before="60" w:after="20"/>
            </w:pPr>
            <w:r>
              <w:t xml:space="preserve">“irAEs (any grade vs non)”</w:t>
            </w:r>
          </w:p>
          <w:p>
            <w:pPr>
              <w:pStyle w:val="Normal"/>
              <w:widowControl/>
              <w:spacing w:before="60" w:after="20"/>
            </w:pPr>
            <w:r>
              <w:t xml:space="preserve">Published PDF p6, Table 4</w:t>
            </w:r>
          </w:p>
          <w:p>
            <w:pPr>
              <w:pStyle w:val="Normal"/>
              <w:widowControl/>
              <w:spacing w:before="60" w:after="20"/>
            </w:pPr>
            <w:hyperlink r:id="rId127">
              <w:r>
                <w:rPr>
                  <w:color w:val="77230C"/>
                  <w:sz w:val="20"/>
                  <w:u w:val="single"/>
                </w:rPr>
                <w:t>Source</w:t>
              </w:r>
            </w:hyperlink>
            <w:r>
              <w:t xml:space="preserve"> | </w:t>
            </w:r>
            <w:hyperlink r:id="rId128">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Prior irAEs were associated with rejection; the study did not validate the specific grade-based activation rule proposed here.</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Use ≥90 days after the last ICI dose as the elective LT planning threshold, with a separate immune-toxicity gate.</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yNDwvUmVjTnVtPjxEaXNwbGF5VGV4dD5bVjEyLTI0XTwvRGlzcGxheVRleHQ+PHJlY29yZD48cmVjLW51bWJlcj4yNDwvcmVjLW51bWJlcj48Zm9yZWlnbi1rZXlzPjxrZXkgYXBwPSJFTiIgZGItaWQ9ImEzYWFmZGZjLTZjMTgtNTIyYy04YTY4LWZhMGFkMjhmNTFkMiIgdGltZXN0YW1wPSIxNzkyOTIxMDg3Ij4yND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r>
        <w:t xml:space="preserve"> </w:t>
      </w:r>
      <w:r>
        <w:t xml:space="preserve"> </w:t>
      </w:r>
      <w:r>
        <w:fldChar w:fldCharType="begin"/>
      </w:r>
      <w:r>
        <w:instrText xml:space="preserve"> ADDIN EN.CITE </w:instrText>
      </w:r>
      <w:r>
        <w:fldChar w:fldCharType="begin">
          <w:fldData>PEVuZE5vdGU+PENpdGU+PEF1dGhvcj5GYW5nPC9BdXRob3I+PFllYXI+MjAyNjwvWWVhcj48UmVjTnVtPjI1PC9SZWNOdW0+PERpc3BsYXlUZXh0PltWMTItMjVdPC9EaXNwbGF5VGV4dD48cmVjb3JkPjxyZWMtbnVtYmVyPjI1PC9yZWMtbnVtYmVyPjxmb3JlaWduLWtleXM+PGtleSBhcHA9IkVOIiBkYi1pZD0iYTNhYWZkZmMtNmMxOC01MjJjLThhNjgtZmEwYWQyOGY1MWQyIiB0aW1lc3RhbXA9IjE3OTI5MjEwODciPjI1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r>
        <w:t xml:space="preserve"> </w:t>
      </w:r>
      <w:r>
        <w:t xml:space="preserve"> </w:t>
      </w:r>
      <w:r>
        <w:fldChar w:fldCharType="begin"/>
      </w:r>
      <w:r>
        <w:instrText xml:space="preserve"> ADDIN EN.CITE </w:instrText>
      </w:r>
      <w:r>
        <w:fldChar w:fldCharType="begin">
          <w:fldData>PEVuZE5vdGU+PENpdGU+PEF1dGhvcj5Nb2Vja2xpPC9BdXRob3I+PFllYXI+MjAyNTwvWWVhcj48UmVjTnVtPjIzPC9SZWNOdW0+PERpc3BsYXlUZXh0PltWMTItMjNdPC9EaXNwbGF5VGV4dD48cmVjb3JkPjxyZWMtbnVtYmVyPjIzPC9yZWMtbnVtYmVyPjxmb3JlaWduLWtleXM+PGtleSBhcHA9IkVOIiBkYi1pZD0iYTNhYWZkZmMtNmMxOC01MjJjLThhNjgtZmEwYWQyOGY1MWQyIiB0aW1lc3RhbXA9IjE3OTI5MjEwODciPjIz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UYWJyaXppYW48L0F1dGhvcj48WWVhcj4yMDI1PC9ZZWFyPjxSZWNOdW0+MjE8L1JlY051bT48RGlzcGxheVRleHQ+W1YxMi0yMV08L0Rpc3BsYXlUZXh0PjxyZWNvcmQ+PHJlYy1udW1iZXI+MjE8L3JlYy1udW1iZXI+PGZvcmVpZ24ta2V5cz48a2V5IGFwcD0iRU4iIGRiLWlkPSJhM2FhZmRmYy02YzE4LTUyMmMtOGE2OC1mYTBhZDI4ZjUxZDIiIHRpbWVzdGFtcD0iMTc5MjkyMTA4NyI+MjE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</w:fldData>
        </w:fldChar>
      </w:r>
      <w:r>
        <w:instrText xml:space="preserve"> ADDIN EN.CITE.DATA </w:instrText>
      </w:r>
      <w:r>
        <w:fldChar w:fldCharType="end"/>
      </w:r>
      <w:r>
        <w:fldChar w:fldCharType="separate"/>
      </w:r>
      <w:r>
        <w:t xml:space="preserve">[V12-22]</w:t>
      </w:r>
      <w:r>
        <w:fldChar w:fldCharType="end"/>
      </w:r>
      <w:r>
        <w:t xml:space="preserve"> </w:t>
      </w:r>
      <w:r>
        <w:t xml:space="preserve"> </w:t>
      </w:r>
      <w:r>
        <w:fldChar w:fldCharType="begin"/>
      </w:r>
      <w:r>
        <w:instrText xml:space="preserve"> ADDIN EN.CITE </w:instrText>
      </w:r>
      <w:r>
        <w:fldChar w:fldCharType="begin">
          <w:fldData>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</w:fldData>
        </w:fldChar>
      </w:r>
      <w:r>
        <w:instrText xml:space="preserve"> ADDIN EN.CITE.DATA </w:instrText>
      </w:r>
      <w:r>
        <w:fldChar w:fldCharType="end"/>
      </w:r>
      <w:r>
        <w:fldChar w:fldCharType="separate"/>
      </w:r>
      <w:r>
        <w:t xml:space="preserve">[V12-26]</w:t>
      </w:r>
      <w:r>
        <w:fldChar w:fldCharType="end"/>
      </w:r>
      <w:r>
        <w:t xml:space="preserve"> </w:t>
      </w:r>
      <w:r>
        <w:t xml:space="preserve"> </w:t>
      </w:r>
      <w:r>
        <w:fldChar w:fldCharType="begin"/>
      </w:r>
      <w:r>
        <w:instrText xml:space="preserve"> ADDIN EN.CITE </w:instrText>
      </w:r>
      <w:r>
        <w:fldChar w:fldCharType="begin">
          <w:fldData>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</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</w:fldData>
        </w:fldChar>
      </w:r>
      <w:r>
        <w:instrText xml:space="preserve"> ADDIN EN.CITE.DATA </w:instrText>
      </w:r>
      <w:r>
        <w:fldChar w:fldCharType="end"/>
      </w:r>
      <w:r>
        <w:fldChar w:fldCharType="separate"/>
      </w:r>
      <w:r>
        <w:t xml:space="preserve">[V12-29]</w:t>
      </w:r>
      <w:r>
        <w:fldChar w:fldCharType="end"/>
      </w:r>
      <w:r>
        <w:t xml:space="preserve"> </w:t>
      </w:r>
      <w:r>
        <w:t xml:space="preserve"> </w:t>
      </w:r>
      <w:r>
        <w:fldChar w:fldCharType="begin"/>
      </w:r>
      <w:r>
        <w:instrText xml:space="preserve"> ADDIN EN.CITE </w:instrText>
      </w:r>
      <w:r>
        <w:fldChar w:fldCharType="begin">
          <w:fldData>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</w:fldData>
        </w:fldChar>
      </w:r>
      <w:r>
        <w:instrText xml:space="preserve"> ADDIN EN.CITE.DATA </w:instrText>
      </w:r>
      <w:r>
        <w:fldChar w:fldCharType="end"/>
      </w:r>
      <w:r>
        <w:fldChar w:fldCharType="separate"/>
      </w:r>
      <w:r>
        <w:t xml:space="preserve">[V12-30]</w:t>
      </w:r>
      <w:r>
        <w:fldChar w:fldCharType="end"/>
      </w:r>
    </w:p>
    <w:p>
      <w:pPr>
        <w:pStyle w:val="Normal"/>
        <w:widowControl/>
        <w:numPr>
          <w:ilvl w:val="0"/>
          <w:numId w:val="3"/>
        </w:numPr>
      </w:pPr>
      <w:r>
        <w:t xml:space="preserve">Proposed elective cutoff: ≥90 days from last ICI dose to LT.</w:t>
      </w:r>
    </w:p>
    <w:p>
      <w:pPr>
        <w:pStyle w:val="Normal"/>
        <w:widowControl/>
        <w:numPr>
          <w:ilvl w:val="1"/>
          <w:numId w:val="3"/>
        </w:numPr>
        <w:spacing w:before="60" w:after="20"/>
      </w:pPr>
      <w:r>
        <w:t xml:space="preserve">No interval is proven safe; a longer interval does not eliminate rejection or graft-loss risk.</w:t>
      </w:r>
    </w:p>
    <w:p>
      <w:pPr>
        <w:pStyle w:val="Normal"/>
        <w:widowControl/>
        <w:numPr>
          <w:ilvl w:val="0"/>
          <w:numId w:val="3"/>
        </w:numPr>
      </w:pPr>
      <w:r>
        <w:t xml:space="preserve">Require no active clinically significant non-endocrine immune toxicity: grade ≤1 and no escalating immunosuppression for toxicity.</w:t>
      </w:r>
    </w:p>
    <w:p>
      <w:pPr>
        <w:pStyle w:val="Normal"/>
        <w:widowControl/>
        <w:numPr>
          <w:ilvl w:val="1"/>
          <w:numId w:val="3"/>
        </w:numPr>
        <w:spacing w:before="60" w:after="20"/>
      </w:pPr>
      <w:r>
        <w:t xml:space="preserve">Stable endocrine replacement may qualify.</w:t>
      </w:r>
    </w:p>
    <w:p>
      <w:pPr>
        <w:pStyle w:val="Normal"/>
        <w:widowControl/>
        <w:numPr>
          <w:ilvl w:val="1"/>
          <w:numId w:val="3"/>
        </w:numPr>
        <w:spacing w:before="60" w:after="20"/>
      </w:pPr>
      <w:r>
        <w:t xml:space="preserve">Prior grade 3–4 non-endocrine toxicity or myocarditis is excluded from the initial pilot pending separate specialist review.</w:t>
      </w:r>
    </w:p>
    <w:p>
      <w:pPr>
        <w:pStyle w:val="Normal"/>
        <w:widowControl/>
        <w:numPr>
          <w:ilvl w:val="0"/>
          <w:numId w:val="3"/>
        </w:numPr>
      </w:pPr>
      <w:r>
        <w:t xml:space="preserve">A shorter interval has no automatic urgency waiver.</w:t>
      </w:r>
    </w:p>
    <w:p>
      <w:pPr>
        <w:pStyle w:val="Normal"/>
        <w:widowControl/>
        <w:numPr>
          <w:ilvl w:val="1"/>
          <w:numId w:val="3"/>
        </w:numPr>
        <w:spacing w:before="60" w:after="20"/>
      </w:pPr>
      <w:r>
        <w:t xml:space="preserve">An exceptional-care decision must document near-term mortality without LT, alternatives, donor/graft risk, consent and rescue capability.</w:t>
      </w:r>
    </w:p>
    <w:p>
      <w:pPr>
        <w:pStyle w:val="Normal"/>
        <w:widowControl/>
        <w:numPr>
          <w:ilvl w:val="1"/>
          <w:numId w:val="3"/>
        </w:numPr>
        <w:spacing w:before="60" w:after="20"/>
      </w:pPr>
      <w:r>
        <w:t xml:space="preserve">Biology, ICI and allocation clocks may overlap; do not add them mechanically.</w:t>
      </w:r>
    </w:p>
    <w:p>
      <w:pPr>
        <w:pStyle w:val="Normal"/>
        <w:widowControl/>
        <w:numPr>
          <w:ilvl w:val="0"/>
          <w:numId w:val="3"/>
        </w:numPr>
      </w:pPr>
      <w:r>
        <w:t xml:space="preserve">Consent must address rejection, graft loss, uncertain comparative oncologic benefit and progression during washout.</w:t>
      </w:r>
    </w:p>
    <w:p>
      <w:pPr>
        <w:pStyle w:val="Normal"/>
        <w:widowControl/>
        <w:numPr>
          <w:ilvl w:val="1"/>
          <w:numId w:val="3"/>
        </w:numPr>
        <w:spacing w:before="60" w:after="20"/>
      </w:pPr>
      <w:r>
        <w:t xml:space="preserve">Neither elapsed time nor complete radiological response guarantees immune safety.</w:t>
      </w:r>
    </w:p>
    <w:p>
      <w:pPr>
        <w:pStyle w:val="Normal"/>
        <w:widowControl/>
        <w:numPr>
          <w:ilvl w:val="1"/>
          <w:numId w:val="3"/>
        </w:numPr>
        <w:spacing w:before="60" w:after="20"/>
      </w:pPr>
      <w:r>
        <w:t xml:space="preserve">Use the full-text evidence and source-specific residual gaps before ratifying these provisional thresholds.</w:t>
      </w:r>
    </w:p>
    <w:p>
      <w:pPr>
        <w:pStyle w:val="Normal"/>
        <w:widowControl/>
        <w:spacing w:before="60" w:after="20"/>
      </w:pPr>
      <w:r>
        <w:rPr>
          <w:b/>
        </w:rPr>
        <w:t xml:space="preserve">Why retain or change it: </w:t>
      </w:r>
      <w:r>
        <w:t xml:space="preserve">Retain elective last-ICI-to-LT interval ≥90 days as a conservative local default, with residual risk acknowledged; shorter intervals require explicit exceptional review, not automatic activation. Require non-endocrine irAE recovery to grade ≤1 and no escalating immune suppression; controlled endocrine replacement may be acceptable. Prior severe non-endocrine irAE or myocarditis should trigger initial-pilot exclusion or dedicated governance review. Do not mandate unvalidated immune assays, ATG induction or high tacrolimus targets. Keep pre-LT exposure and post-LT therapeutic ICI as distinct decisions.</w:t>
      </w:r>
    </w:p>
    <w:p>
      <w:pPr>
        <w:pStyle w:val="Heading3"/>
        <w:keepNext/>
        <w:widowControl/>
      </w:pPr>
      <w:r>
        <w:t xml:space="preserve">Information required before the decision</w:t>
      </w:r>
    </w:p>
    <w:p>
      <w:pPr>
        <w:pStyle w:val="Normal"/>
        <w:widowControl/>
        <w:spacing w:before="60" w:after="20"/>
      </w:pPr>
      <w:r>
        <w:t xml:space="preserve">Drug and last-dose dates; complete irAE history and grade; treatment and recovery; graft-risk review by hepatology, oncology and pharmacy; current staging.</w:t>
      </w:r>
    </w:p>
    <w:p>
      <w:pPr>
        <w:pStyle w:val="Normal"/>
        <w:widowControl/>
        <w:spacing w:before="60" w:after="20"/>
      </w:pPr>
      <w:r>
        <w:rPr>
          <w:b/>
        </w:rPr>
        <w:t xml:space="preserve">Clinical versus allocation: </w:t>
      </w:r>
      <w:r>
        <w:t xml:space="preserve">Prior ICI alone is not an automatic HCC exception exclusion. The proposed clinical timing gate is separate from tumor eligibility and allocation waiting time.</w:t>
      </w:r>
    </w:p>
    <w:p>
      <w:pPr>
        <w:pStyle w:val="Normal"/>
        <w:widowControl/>
        <w:spacing w:before="60" w:after="20"/>
      </w:pPr>
      <w:r>
        <w:rPr>
          <w:b/>
        </w:rPr>
        <w:t xml:space="preserve">Roadmap / protocol reconciliation: </w:t>
      </w:r>
      <w:r>
        <w:t xml:space="preserve">Preserve effective cancer treatment choices, but discuss transplant intent before initiating ICI. No immune assay, ATG regimen or high tacrolimus target is validated as clearance.</w:t>
      </w:r>
    </w:p>
    <w:p>
      <w:pPr>
        <w:pStyle w:val="Heading3"/>
        <w:keepNext/>
        <w:widowControl/>
      </w:pPr>
      <w:r>
        <w:t xml:space="preserve">Meeting decision — complete only after discussion</w:t>
      </w:r>
    </w:p>
    <w:p>
      <w:pPr>
        <w:pStyle w:val="Normal"/>
        <w:widowControl/>
        <w:spacing w:before="60" w:after="20"/>
      </w:pPr>
      <w:r>
        <w:t xml:space="preserve">Group decision (adopt / amend / defer / decline): __________________________________</w:t>
      </w:r>
    </w:p>
    <w:p>
      <w:pPr>
        <w:pStyle w:val="Normal"/>
        <w:widowControl/>
        <w:spacing w:before="60" w:after="20"/>
      </w:pPr>
      <w:r>
        <w:t xml:space="preserve">Final cutoff / population / exact protocol wording: _________________________________</w:t>
      </w:r>
    </w:p>
    <w:p>
      <w:pPr>
        <w:pStyle w:val="Normal"/>
        <w:widowControl/>
        <w:spacing w:before="60" w:after="20"/>
      </w:pPr>
      <w:r>
        <w:t xml:space="preserve">________________________________________________________________________</w:t>
      </w:r>
    </w:p>
    <w:p>
      <w:pPr>
        <w:pStyle w:val="Normal"/>
        <w:widowControl/>
        <w:spacing w:before="60" w:after="20"/>
      </w:pPr>
      <w:r>
        <w:t xml:space="preserve">Evidence accepted/rejected; denominator/time origin; residual uncertainty: ______________</w:t>
      </w:r>
    </w:p>
    <w:p>
      <w:pPr>
        <w:pStyle w:val="Normal"/>
        <w:widowControl/>
        <w:spacing w:before="60" w:after="20"/>
      </w:pPr>
      <w:r>
        <w:t xml:space="preserve">________________________________________________________________________</w:t>
      </w:r>
    </w:p>
    <w:p>
      <w:pPr>
        <w:pStyle w:val="Normal"/>
        <w:widowControl/>
        <w:spacing w:before="60" w:after="20"/>
      </w:pPr>
      <w:r>
        <w:t xml:space="preserve">Rationale and dissent: ______________________________________________________</w:t>
      </w:r>
    </w:p>
    <w:p>
      <w:pPr>
        <w:pStyle w:val="Normal"/>
        <w:widowControl/>
        <w:spacing w:before="60" w:after="20"/>
      </w:pPr>
      <w:r>
        <w:t xml:space="preserve">Protocol section(s) to change / required source or PDF: _____________________________</w:t>
      </w:r>
    </w:p>
    <w:p>
      <w:pPr>
        <w:pStyle w:val="Normal"/>
        <w:widowControl/>
        <w:spacing w:before="60" w:after="20"/>
      </w:pPr>
      <w:r>
        <w:t xml:space="preserve">Owner / action / due date: ___________________________________________________</w:t>
      </w:r>
    </w:p>
    <w:p>
      <w:pPr>
        <w:pStyle w:val="Normal"/>
        <w:widowControl/>
        <w:spacing w:before="60" w:after="20"/>
      </w:pPr>
      <w:r>
        <w:t xml:space="preserve">Meeting date / decision-maker signatures: ________________________________________</w:t>
      </w:r>
    </w:p>
    <w:p>
      <w:pPr>
        <w:pStyle w:val="Normal"/>
        <w:widowControl/>
        <w:spacing w:before="60" w:after="20"/>
      </w:pPr>
      <w:r>
        <w:t xml:space="preserve">Clinical / allocation / donor / research approvals and effective date: ____________________</w:t>
      </w:r>
    </w:p>
    <w:p>
      <w:pPr>
        <w:pStyle w:val="Normal"/>
        <w:widowControl/>
        <w:spacing w:before="60" w:after="20"/>
      </w:pPr>
      <w:r>
        <w:t xml:space="preserve">Proposed discussion owners: Transplant hepatology; oncology; pharmacy; surgery; safety board.</w:t>
      </w:r>
    </w:p>
    <w:p>
      <w:pPr>
        <w:pStyle w:val="Heading2"/>
        <w:keepNext/>
        <w:widowControl/>
      </w:pPr>
      <w:bookmarkStart w:id="4" w:name="HCC_B4"/>
      <w:r>
        <w:t xml:space="preserve">HCC-B4 — Can a survival-benefit score influence organ priority?</w:t>
      </w:r>
      <w:bookmarkEnd w:id="4"/>
    </w:p>
    <w:p>
      <w:pPr>
        <w:pStyle w:val="Normal"/>
        <w:widowControl/>
        <w:spacing w:before="60" w:after="20"/>
      </w:pPr>
      <w:r>
        <w:t xml:space="preserve">OPEN — evidence review first; institutional decision remains blank.</w:t>
      </w:r>
    </w:p>
    <w:p>
      <w:pPr>
        <w:pStyle w:val="Normal"/>
        <w:widowControl/>
        <w:spacing w:before="60" w:after="20"/>
      </w:pPr>
      <w:hyperlink r:id="rId129">
        <w:r>
          <w:rPr>
            <w:color w:val="77230C"/>
            <w:sz w:val="20"/>
            <w:u w:val="single"/>
          </w:rPr>
          <w:t>Corresponding V12 protocol / boundary addendum</w:t>
        </w:r>
      </w:hyperlink>
    </w:p>
    <w:p>
      <w:pPr>
        <w:pStyle w:val="Heading3"/>
        <w:keepNext/>
        <w:widowControl/>
      </w:pPr>
      <w:r>
        <w:t xml:space="preserve">Question and comparison</w:t>
      </w:r>
    </w:p>
    <w:p>
      <w:pPr>
        <w:pStyle w:val="Normal"/>
        <w:widowControl/>
        <w:spacing w:before="60" w:after="20"/>
      </w:pPr>
      <w:r>
        <w:t xml:space="preserve">HCC candidates under existing US allocation pathways, including whether results can transport to expanded-risk or LDLT cohorts; compare model-informed eligibility/priority with current policy. Evaluate calibration, causal estimand, treatment timing, clinical utility, equity and prospective impact—not only discrimination or correlation.</w:t>
      </w:r>
    </w:p>
    <w:p>
      <w:pPr>
        <w:pStyle w:val="Heading3"/>
        <w:keepNext/>
        <w:widowControl/>
      </w:pPr>
      <w:r>
        <w:t xml:space="preserve">Search scope and evidence access</w:t>
      </w:r>
    </w:p>
    <w:p>
      <w:pPr>
        <w:pStyle w:val="Normal"/>
        <w:widowControl/>
        <w:spacing w:before="60" w:after="20"/>
      </w:pPr>
      <w:r>
        <w:t xml:space="preserve">Reviewed the 2026 Liu model, its overlapping 2025 registry predecessor, European HCC benefit modeling, a longitudinal US benefit model, UK real-world allocation implementation and a 2026 causal-methods study. These sources address different populations and estimands; none provides independent validation of the exact 2026 score in PVTT/high-risk LDLT.</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Liu 2026</w:t>
            </w:r>
            <w:r>
              <w:t xml:space="preserve"> </w:t>
            </w:r>
            <w:r>
              <w:t xml:space="preserve"> </w:t>
            </w:r>
            <w:r>
              <w:fldChar w:fldCharType="begin"/>
            </w:r>
            <w:r>
              <w:instrText xml:space="preserve"> ADDIN EN.CITE </w:instrText>
            </w:r>
            <w:r>
              <w:fldChar w:fldCharType="begin">
                <w:fldData>PEVuZE5vdGU+PENpdGU+PEF1dGhvcj5MaXU8L0F1dGhvcj48WWVhcj4yMDI2PC9ZZWFyPjxSZWNOdW0+MzE8L1JlY051bT48RGlzcGxheVRleHQ+W1YxMi0zMV08L0Rpc3BsYXlUZXh0PjxyZWNvcmQ+PHJlYy1udW1iZXI+MzE8L3JlYy1udW1iZXI+PGZvcmVpZ24ta2V5cz48a2V5IGFwcD0iRU4iIGRiLWlkPSJhM2FhZmRmYy02YzE4LTUyMmMtOGE2OC1mYTBhZDI4ZjUxZDIiIHRpbWVzdGFtcD0iMTc5MjkyMTA4NyI+MzE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[V12-31]</w:t>
            </w:r>
            <w:r>
              <w:fldChar w:fldCharType="end"/>
            </w:r>
          </w:p>
          <w:p>
            <w:pPr>
              <w:pStyle w:val="Normal"/>
              <w:widowControl/>
              <w:spacing w:before="60" w:after="20"/>
            </w:pPr>
            <w:r>
              <w:t xml:space="preserve">SRTR 2002–2022 HCC cohort restricted to Milan: 30,565 candidates, randomly split into development 15,282 and internal validation 15,283. Table 1 records 19,997 LT and 8,249 dropout events.</w:t>
            </w:r>
          </w:p>
          <w:p>
            <w:pPr>
              <w:pStyle w:val="Normal"/>
              <w:widowControl/>
              <w:spacing w:before="60" w:after="20"/>
            </w:pPr>
            <w:r>
              <w:t xml:space="preserve">Selection: DDLT pathway; LDLT excluded. The 30,565 are not all transplanted recipients despite inconsistent Methods wording.</w:t>
            </w:r>
          </w:p>
          <w:p>
            <w:pPr>
              <w:pStyle w:val="Normal"/>
              <w:widowControl/>
              <w:spacing w:before="60" w:after="20"/>
            </w:pPr>
            <w:hyperlink r:id="rId130">
              <w:r>
                <w:rPr>
                  <w:color w:val="77230C"/>
                  <w:sz w:val="20"/>
                  <w:u w:val="single"/>
                </w:rPr>
                <w:t>Primary source</w:t>
              </w:r>
            </w:hyperlink>
            <w:r>
              <w:t xml:space="preserve"> | </w:t>
            </w:r>
            <w:hyperlink r:id="rId131">
              <w:r>
                <w:rPr>
                  <w:color w:val="77230C"/>
                  <w:sz w:val="20"/>
                  <w:u w:val="single"/>
                </w:rPr>
                <w:t>Full-text PDF</w:t>
              </w:r>
            </w:hyperlink>
          </w:p>
          <w:p>
            <w:pPr>
              <w:pStyle w:val="Normal"/>
              <w:widowControl/>
              <w:spacing w:before="60" w:after="20"/>
            </w:pPr>
            <w:r>
              <w:t xml:space="preserve">Locator: Complete local PDF pp2–5, §§1.3, 1.6, 1.8 and 2.3, Table 1.</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Proposed score: 0.65×(C-MELD−6)+1.99×(TBS−2.25)+0.68×log2(AFP). Reported internal correlation .93, R² .87 and C-index .91.</w:t>
            </w:r>
          </w:p>
          <w:p>
            <w:pPr>
              <w:pStyle w:val="Normal"/>
              <w:widowControl/>
              <w:spacing w:before="60" w:after="20"/>
            </w:pPr>
            <w:r>
              <w:rPr>
                <w:b/>
              </w:rPr>
              <w:t xml:space="preserve">Do not infer: </w:t>
            </w:r>
            <w:r>
              <w:t xml:space="preserve">Internal split is not external validation. Abstract refers to MELD 3.0 while Methods §1.6 gives an original-MELD formulation; authors/code clarification is needed. Listing versus post-LT time origins, benefit units and model implementation require reproducibility audit. These are audit questions, not proof of a specific bias. No validated transport to PVTT, LDLT or other cancers.</w:t>
            </w:r>
          </w:p>
        </w:tc>
      </w:tr>
      <w:tr>
        <w:trPr/>
        <w:tc>
          <w:tcPr>
            <w:tcW w:w="3400" w:type="dxa"/>
            <w:tcMar>
              <w:top w:w="90" w:type="dxa"/>
              <w:left w:w="90" w:type="dxa"/>
              <w:bottom w:w="90" w:type="dxa"/>
              <w:right w:w="90" w:type="dxa"/>
            </w:tcMar>
          </w:tcPr>
          <w:p>
            <w:pPr>
              <w:pStyle w:val="Normal"/>
              <w:widowControl/>
              <w:spacing w:before="60" w:after="20"/>
            </w:pPr>
            <w:r>
              <w:rPr>
                <w:b/>
              </w:rPr>
              <w:t xml:space="preserve">Liu 2025</w:t>
            </w:r>
            <w:r>
              <w:t xml:space="preserve"> </w:t>
            </w:r>
            <w:r>
              <w:t xml:space="preserve"> </w:t>
            </w:r>
            <w:r>
              <w:fldChar w:fldCharType="begin"/>
            </w:r>
            <w:r>
              <w:instrText xml:space="preserve"> ADDIN EN.CITE </w:instrText>
            </w:r>
            <w:r>
              <w:fldChar w:fldCharType="begin">
                <w:fldData>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p>
          <w:p>
            <w:pPr>
              <w:pStyle w:val="Normal"/>
              <w:widowControl/>
              <w:spacing w:before="60" w:after="20"/>
            </w:pPr>
            <w:r>
              <w:t xml:space="preserve">SRTR cohort of 36,634 adult HCC exception applicants listed during 2002–2019, followed through December 2023. TBS = sqrt (largest diameter squared + lesion count squared) at first exception; groups ≤3 (19,403), &gt;3 to ≤5 (14,689), and &gt;5 (2,542). Of all candidates, 91.0% were within Milan, 5.3% beyond Milan but within UCSF, and 3.6% beyond UCSF.</w:t>
            </w:r>
          </w:p>
          <w:p>
            <w:pPr>
              <w:pStyle w:val="Normal"/>
              <w:widowControl/>
              <w:spacing w:before="60" w:after="20"/>
            </w:pPr>
            <w:hyperlink r:id="rId132">
              <w:r>
                <w:rPr>
                  <w:color w:val="77230C"/>
                  <w:sz w:val="20"/>
                  <w:u w:val="single"/>
                </w:rPr>
                <w:t>Primary source</w:t>
              </w:r>
            </w:hyperlink>
            <w:r>
              <w:t xml:space="preserve"> | </w:t>
            </w:r>
            <w:hyperlink r:id="rId133">
              <w:r>
                <w:rPr>
                  <w:color w:val="77230C"/>
                  <w:sz w:val="20"/>
                  <w:u w:val="single"/>
                </w:rPr>
                <w:t>Full-text PDF</w:t>
              </w:r>
            </w:hyperlink>
          </w:p>
          <w:p>
            <w:pPr>
              <w:pStyle w:val="Normal"/>
              <w:widowControl/>
              <w:spacing w:before="60" w:after="20"/>
            </w:pPr>
            <w:r>
              <w:t xml:space="preserve">Locator: PDF pp 4–5 methods/time origins; p 6 Figure 1 and results; p 7 Table 1; pp 8–11 Figures 2–4, Table 2 caption and limitations</w:t>
            </w:r>
          </w:p>
          <w:p>
            <w:pPr>
              <w:pStyle w:val="Normal"/>
              <w:widowControl/>
              <w:spacing w:before="60" w:after="20"/>
            </w:pPr>
            <w:r>
              <w:t xml:space="preserve">Review depth: Complete main-paper full text reviewed; image-based Table 2 also visually inspected;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unadjusted restricted mean differences were 15.7, 22.1 and 25.0 months for low/intermediate/high TBS. Adjusted five-year survival-probability differences were 21.9, 34.5 and 39.4 percentage points. Five-year post-LT OS was 77.2%, 72.9% and 70.9%. Crude dropout counts were 4,585/19,403, 4,178/14,689 and 819/2,542. Time-dependent LT interaction HR 0.68 (95% CI 0.59–0.78); adjusted LT-associated death HRs 0.36, 0.27 and 0.22 by ascending TBS. Safety: Higher tumor burden was associated with higher dropout and modestly worse recipient survival/RFS. This is not an intervention trial and does not quantify harms caused by a new allocation policy.</w:t>
            </w:r>
          </w:p>
          <w:p>
            <w:pPr>
              <w:pStyle w:val="Normal"/>
              <w:widowControl/>
              <w:spacing w:before="60" w:after="20"/>
            </w:pPr>
            <w:r>
              <w:rPr>
                <w:b/>
              </w:rPr>
              <w:t xml:space="preserve">Do not infer: </w:t>
            </w:r>
            <w:r>
              <w:t xml:space="preserve">Registry association with residual selection, changing allocation/treatment eras, missingness and limited tumor-response/pathology data. Unadjusted curve differences do not share a common treatment-decision time origin; the time-dependent interaction analysis should not be misdescribed as ignoring transplant timing. No prospective deployment or validation in prior PVTT/ICI-expanded cohorts. Text reports median follow-up 53.9 months while Figure 1 reports 31.0; the text describes imputation but Figure 1 excludes 706 recipient records. Figure 2 risk-table group counts differ from Table 1 and increase across some times, so do not reuse those risk counts. Figure 4 uncertainty is called IQR in the caption/text but CI within the graphic.</w:t>
            </w:r>
          </w:p>
        </w:tc>
      </w:tr>
      <w:tr>
        <w:trPr/>
        <w:tc>
          <w:tcPr>
            <w:tcW w:w="3400" w:type="dxa"/>
            <w:tcMar>
              <w:top w:w="90" w:type="dxa"/>
              <w:left w:w="90" w:type="dxa"/>
              <w:bottom w:w="90" w:type="dxa"/>
              <w:right w:w="90" w:type="dxa"/>
            </w:tcMar>
          </w:tcPr>
          <w:p>
            <w:pPr>
              <w:pStyle w:val="Normal"/>
              <w:widowControl/>
              <w:spacing w:before="60" w:after="20"/>
            </w:pPr>
            <w:r>
              <w:rPr>
                <w:b/>
              </w:rPr>
              <w:t xml:space="preserve">Lai 2017</w:t>
            </w:r>
            <w:r>
              <w:t xml:space="preserve"> </w:t>
            </w:r>
            <w:r>
              <w:t xml:space="preserve"> </w:t>
            </w:r>
            <w:r>
              <w:fldChar w:fldCharType="begin"/>
            </w:r>
            <w:r>
              <w:instrText xml:space="preserve"> ADDIN EN.CITE </w:instrText>
            </w:r>
            <w:r>
              <w:fldChar w:fldCharType="begin">
                <w:fldData>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</w:fldData>
              </w:fldChar>
            </w:r>
            <w:r>
              <w:instrText xml:space="preserve"> ADDIN EN.CITE.DATA </w:instrText>
            </w:r>
            <w:r>
              <w:fldChar w:fldCharType="end"/>
            </w:r>
            <w:r>
              <w:fldChar w:fldCharType="separate"/>
            </w:r>
            <w:r>
              <w:t xml:space="preserve">[V12-33]</w:t>
            </w:r>
            <w:r>
              <w:fldChar w:fldCharType="end"/>
            </w:r>
          </w:p>
          <w:p>
            <w:pPr>
              <w:pStyle w:val="Normal"/>
              <w:widowControl/>
              <w:spacing w:before="60" w:after="20"/>
            </w:pPr>
            <w:r>
              <w:t xml:space="preserve">Ten-European-center retrospective cohort of 2,103 adults listed during 1987–2015 who had either undergone LT or dropped out during that period. There were 636 initially beyond-Milan patients and 1,754 treated with locoregional therapy; 1,857 underwent LT and 246 dropped out. Center selection remained within UCSF, up-to-seven or Tokyo criteria, with maximal observed target diameter 6.5 cm and 10 nodules.</w:t>
            </w:r>
          </w:p>
          <w:p>
            <w:pPr>
              <w:pStyle w:val="Normal"/>
              <w:widowControl/>
              <w:spacing w:before="60" w:after="20"/>
            </w:pPr>
            <w:hyperlink r:id="rId134">
              <w:r>
                <w:rPr>
                  <w:color w:val="77230C"/>
                  <w:sz w:val="20"/>
                  <w:u w:val="single"/>
                </w:rPr>
                <w:t>Primary source</w:t>
              </w:r>
            </w:hyperlink>
            <w:r>
              <w:t xml:space="preserve"> | </w:t>
            </w:r>
            <w:hyperlink r:id="rId135">
              <w:r>
                <w:rPr>
                  <w:color w:val="77230C"/>
                  <w:sz w:val="20"/>
                  <w:u w:val="single"/>
                </w:rPr>
                <w:t>Full-text PDF</w:t>
              </w:r>
            </w:hyperlink>
          </w:p>
          <w:p>
            <w:pPr>
              <w:pStyle w:val="Normal"/>
              <w:widowControl/>
              <w:spacing w:before="60" w:after="20"/>
            </w:pPr>
            <w:r>
              <w:t xml:space="preserve">Locator: PDF pp 2–4 selection, model construction and Table 1; pp 5–7 Tables 2–3 and benefit strata; pp 8–9 delisting claims and limitations</w:t>
            </w:r>
          </w:p>
          <w:p>
            <w:pPr>
              <w:pStyle w:val="Normal"/>
              <w:widowControl/>
              <w:spacing w:before="60" w:after="20"/>
            </w:pPr>
            <w:r>
              <w:t xml:space="preserve">Review depth: Complete main-paper full text reviewed; separate supporting data/models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 derived strata contained 405 patients (19.2%) with rounded estimated benefit 0 months, 897 (42.7%) with 20 months, 693 (33.0%) with 40 months, and 108 (5.1%) with 60 months. The four low-benefit factors were MELD ≤13, within-Milan status, mRECIST progression OR complete response, and AFP ≥1,000 ng/mL. There were 242 recurrences among 1,857 recipients (13.0%); 16.1% uses only 1,504 recipients with &gt;1-year follow-up. Safety: The paper proposes delisting its modelled no-benefit group, including complete responders with low MELD; this was not prospectively tested and could deny benefit to patients with residual occult disease or future decompensation.</w:t>
            </w:r>
          </w:p>
          <w:p>
            <w:pPr>
              <w:pStyle w:val="Normal"/>
              <w:widowControl/>
              <w:spacing w:before="60" w:after="20"/>
            </w:pPr>
            <w:r>
              <w:rPr>
                <w:b/>
              </w:rPr>
              <w:t xml:space="preserve">Do not infer: </w:t>
            </w:r>
            <w:r>
              <w:t xml:space="preserve">Non-LT survival is externally model-imputed rather than directly observed; last-evaluation covariates can encode information unavailable at initial listing. Retrospective 30-year cohort, heterogeneous selection and treatment, and no independent validation of the derived benefit strata or prospective delisting policy. The article alternately calls some subgroup summaries means and medians; avoid false numerical precision. Full coefficients/assumptions are in an unread supplement.</w:t>
            </w:r>
          </w:p>
        </w:tc>
      </w:tr>
      <w:tr>
        <w:trPr/>
        <w:tc>
          <w:tcPr>
            <w:tcW w:w="3400" w:type="dxa"/>
            <w:tcMar>
              <w:top w:w="90" w:type="dxa"/>
              <w:left w:w="90" w:type="dxa"/>
              <w:bottom w:w="90" w:type="dxa"/>
              <w:right w:w="90" w:type="dxa"/>
            </w:tcMar>
          </w:tcPr>
          <w:p>
            <w:pPr>
              <w:pStyle w:val="Normal"/>
              <w:widowControl/>
              <w:spacing w:before="60" w:after="20"/>
            </w:pPr>
            <w:r>
              <w:rPr>
                <w:b/>
              </w:rPr>
              <w:t xml:space="preserve">Goudsmit 2023</w:t>
            </w:r>
            <w:r>
              <w:t xml:space="preserve"> </w:t>
            </w:r>
            <w:r>
              <w:t xml:space="preserve"> </w:t>
            </w:r>
            <w:r>
              <w:fldChar w:fldCharType="begin"/>
            </w:r>
            <w:r>
              <w:instrText xml:space="preserve"> ADDIN EN.CITE </w:instrText>
            </w:r>
            <w:r>
              <w:fldChar w:fldCharType="begin">
                <w:fldData>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</w:fldData>
              </w:fldChar>
            </w:r>
            <w:r>
              <w:instrText xml:space="preserve"> ADDIN EN.CITE.DATA </w:instrText>
            </w:r>
            <w:r>
              <w:fldChar w:fldCharType="end"/>
            </w:r>
            <w:r>
              <w:fldChar w:fldCharType="separate"/>
            </w:r>
            <w:r>
              <w:t xml:space="preserve">[V12-34]</w:t>
            </w:r>
            <w:r>
              <w:fldChar w:fldCharType="end"/>
            </w:r>
          </w:p>
          <w:p>
            <w:pPr>
              <w:pStyle w:val="Normal"/>
              <w:widowControl/>
              <w:spacing w:before="60" w:after="20"/>
            </w:pPr>
            <w:r>
              <w:t xml:space="preserve">US UNOS first-LT candidates, 2010–April 2019; graphical abstract reports 83,395 eligible listed patients. Exclusions included previous LT, acute liver failure, living-donor listings, multiorgan LT, non-HCC malignancy and non-HCC exception indications. Recipient Table 1 reports 24,503 non-HCC, 6,922 T2 HCC and 5,448 HCC initially outside Milan.</w:t>
            </w:r>
          </w:p>
          <w:p>
            <w:pPr>
              <w:pStyle w:val="Normal"/>
              <w:widowControl/>
              <w:spacing w:before="60" w:after="20"/>
            </w:pPr>
            <w:hyperlink r:id="rId136">
              <w:r>
                <w:rPr>
                  <w:color w:val="77230C"/>
                  <w:sz w:val="20"/>
                  <w:u w:val="single"/>
                </w:rPr>
                <w:t>Primary source</w:t>
              </w:r>
            </w:hyperlink>
            <w:r>
              <w:t xml:space="preserve"> | </w:t>
            </w:r>
            <w:hyperlink r:id="rId137">
              <w:r>
                <w:rPr>
                  <w:color w:val="77230C"/>
                  <w:sz w:val="20"/>
                  <w:u w:val="single"/>
                </w:rPr>
                <w:t>Full-text PDF</w:t>
              </w:r>
            </w:hyperlink>
          </w:p>
          <w:p>
            <w:pPr>
              <w:pStyle w:val="Normal"/>
              <w:widowControl/>
              <w:spacing w:before="60" w:after="20"/>
            </w:pPr>
            <w:r>
              <w:t xml:space="preserve">Locator: PDF p 3 methods and exclusions; p 4 calculator restriction/Table 1; pp 5–6 performance and Table 2; pp 7–8 discussion/limitations</w:t>
            </w:r>
          </w:p>
          <w:p>
            <w:pPr>
              <w:pStyle w:val="Normal"/>
              <w:widowControl/>
              <w:spacing w:before="60" w:after="20"/>
            </w:pPr>
            <w:r>
              <w:t xml:space="preserve">Review depth: Complete main-paper full text reviewed;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Mean five-year estimated benefit was 2.30 years for non-HCC, 1.19 for T2 HCC and 1.45 for initially outside-Milan HCC. At the same MELD (-Na) below 30, HCC patients had more estimated benefit than non-HCC, but HCC recipients generally had lower MELD. Waiting-list AUROC was 0.86; post-LT AUROC approximately 0.619. Simplified calculator optimism-corrected R² was 0.93 against model-generated benefit, not a directly observed individual causal benefit. Safety: Allocation opportunity cost is inferred from the recipient case mix; the study did not implement a new policy or measure harms from model-led allocation. Low liver reserve and high tumor burden can lower recipient outcomes even when estimated no-LT survival is poor.</w:t>
            </w:r>
          </w:p>
          <w:p>
            <w:pPr>
              <w:pStyle w:val="Normal"/>
              <w:widowControl/>
              <w:spacing w:before="60" w:after="20"/>
            </w:pPr>
            <w:r>
              <w:rPr>
                <w:b/>
              </w:rPr>
              <w:t xml:space="preserve">Do not infer: </w:t>
            </w:r>
            <w:r>
              <w:t xml:space="preserve">No prospective or geographically independent deployment validation; excludes living-donor and non-HCC exception populations. Registry limits include incomplete five-year follow-up, policy-era change and inadequate recurrence detail. HCC MELD ≥30 estimates are sparse. Table 2 totals T2 HCC as 6,992 versus Table 1's 6,922, and its HCC strata have duplicated benefit values despite differing overall means; avoid reconstructing a calculator from printed aggregate tables. Model R² measures approximation of model outputs, not calibration of individual causal benefit.</w:t>
            </w:r>
          </w:p>
        </w:tc>
      </w:tr>
      <w:tr>
        <w:trPr/>
        <w:tc>
          <w:tcPr>
            <w:tcW w:w="3400" w:type="dxa"/>
            <w:tcMar>
              <w:top w:w="90" w:type="dxa"/>
              <w:left w:w="90" w:type="dxa"/>
              <w:bottom w:w="90" w:type="dxa"/>
              <w:right w:w="90" w:type="dxa"/>
            </w:tcMar>
          </w:tcPr>
          <w:p>
            <w:pPr>
              <w:pStyle w:val="Normal"/>
              <w:widowControl/>
              <w:spacing w:before="60" w:after="20"/>
            </w:pPr>
            <w:r>
              <w:rPr>
                <w:b/>
              </w:rPr>
              <w:t xml:space="preserve">Allen 2024</w:t>
            </w:r>
            <w:r>
              <w:t xml:space="preserve"> </w:t>
            </w:r>
            <w:r>
              <w:t xml:space="preserve"> </w:t>
            </w:r>
            <w:r>
              <w:fldChar w:fldCharType="begin"/>
            </w:r>
            <w:r>
              <w:instrText xml:space="preserve"> ADDIN EN.CITE </w:instrText>
            </w:r>
            <w:r>
              <w:fldChar w:fldCharType="begin">
                <w:fldData>PEVuZE5vdGU+PENpdGU+PEF1dGhvcj5BbGxlbjwvQXV0aG9yPjxZZWFyPjIwMjQ8L1llYXI+PFJlY051bT4zNTwvUmVjTnVtPjxEaXNwbGF5VGV4dD5bVjEyLTM1XTwvRGlzcGxheVRleHQ+PHJlY29yZD48cmVjLW51bWJlcj4zNTwvcmVjLW51bWJlcj48Zm9yZWlnbi1rZXlzPjxrZXkgYXBwPSJFTiIgZGItaWQ9ImEzYWFmZGZjLTZjMTgtNTIyYy04YTY4LWZhMGFkMjhmNTFkMiIgdGltZXN0YW1wPSIxNzkyOTIxMDg3Ij4zNT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[V12-35]</w:t>
            </w:r>
            <w:r>
              <w:fldChar w:fldCharType="end"/>
            </w:r>
          </w:p>
          <w:p>
            <w:pPr>
              <w:pStyle w:val="Normal"/>
              <w:widowControl/>
              <w:spacing w:before="60" w:after="20"/>
            </w:pPr>
            <w:r>
              <w:t xml:space="preserve">UK National Liver Offering Scheme development and before/after implementation study. Waiting-list models: 3,859 non-cancer and 660 cancer registrations; post-LT models: 2,495 non-cancer and 430 cancer recipients. The separate 2013 simulation cohort comprised 1,287 registrations and 629 donors.</w:t>
            </w:r>
          </w:p>
          <w:p>
            <w:pPr>
              <w:pStyle w:val="Normal"/>
              <w:widowControl/>
              <w:spacing w:before="60" w:after="20"/>
            </w:pPr>
            <w:hyperlink r:id="rId138">
              <w:r>
                <w:rPr>
                  <w:color w:val="77230C"/>
                  <w:sz w:val="20"/>
                  <w:u w:val="single"/>
                </w:rPr>
                <w:t>Primary source</w:t>
              </w:r>
            </w:hyperlink>
            <w:r>
              <w:t xml:space="preserve"> | </w:t>
            </w:r>
            <w:hyperlink r:id="rId139">
              <w:r>
                <w:rPr>
                  <w:color w:val="77230C"/>
                  <w:sz w:val="20"/>
                  <w:u w:val="single"/>
                </w:rPr>
                <w:t>Full-text PDF</w:t>
              </w:r>
            </w:hyperlink>
          </w:p>
          <w:p>
            <w:pPr>
              <w:pStyle w:val="Normal"/>
              <w:widowControl/>
              <w:spacing w:before="60" w:after="20"/>
            </w:pPr>
            <w:r>
              <w:t xml:space="preserve">Locator: PDF pp 3–5: cohorts, censoring, endpoints and simulation assumptions; p 6 Tables 2–3; p 7 Table 4/Figure 1 and HCC subgroup; pp 8–9 limitations/revision</w:t>
            </w:r>
          </w:p>
          <w:p>
            <w:pPr>
              <w:pStyle w:val="Normal"/>
              <w:widowControl/>
              <w:spacing w:before="60" w:after="20"/>
            </w:pPr>
            <w:r>
              <w:t xml:space="preserve">Review depth: Complete main-paper full text reviewed;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Simulation: observed 2013 allocation had 93 deaths/removals and 4,581 patient-years; benefit-based simulation predicted 48 deaths/removals and 5,262 patient-years. Need-based simulation predicted the same 48 deaths/removals and 5,187 patient-years. Actual six-month death/deterioration removals fell from 118/1,395 (8%) to 66/1,480 (4%). Six-month survival from listing rose from 86% to 91% (P = .0049), but the HCC-specific comparison was not statistically significant. In the first two years, 68% of DBD livers were offered using the score. Safety: The model can disadvantage particular groups; the authors describe concerns that transplant-free survival in HCC was overestimated and report subsequent model revision. DBD median cold ischemia increased from 8.6 to 9.0 hours in descriptive monitoring; this is not an isolated causal score effect.</w:t>
            </w:r>
          </w:p>
          <w:p>
            <w:pPr>
              <w:pStyle w:val="Normal"/>
              <w:widowControl/>
              <w:spacing w:before="60" w:after="20"/>
            </w:pPr>
            <w:r>
              <w:rPr>
                <w:b/>
              </w:rPr>
              <w:t xml:space="preserve">Do not infer: </w:t>
            </w:r>
            <w:r>
              <w:t xml:space="preserve">Simulated patient-years are not observed life-years gained. The implementation was a multifaceted national process change without randomization. Figure 1 labels the post cohort 1,489 whereas Table 4 and the 2,875 total imply 1,480. Model cancer groups included several indications; no validation specifically establishes safety for US expanded HCC, treated PVTT, or an individual living donor decision. HCC-specific survival improvement was nonsignificant. Detailed coefficients and subgroup results reside in an unread supplement.</w:t>
            </w:r>
          </w:p>
        </w:tc>
      </w:tr>
      <w:tr>
        <w:trPr/>
        <w:tc>
          <w:tcPr>
            <w:tcW w:w="3400" w:type="dxa"/>
            <w:tcMar>
              <w:top w:w="90" w:type="dxa"/>
              <w:left w:w="90" w:type="dxa"/>
              <w:bottom w:w="90" w:type="dxa"/>
              <w:right w:w="90" w:type="dxa"/>
            </w:tcMar>
          </w:tcPr>
          <w:p>
            <w:pPr>
              <w:pStyle w:val="Normal"/>
              <w:widowControl/>
              <w:spacing w:before="60" w:after="20"/>
            </w:pPr>
            <w:r>
              <w:rPr>
                <w:b/>
              </w:rPr>
              <w:t xml:space="preserve">Prosepe 2026</w:t>
            </w:r>
            <w:r>
              <w:t xml:space="preserve"> </w:t>
            </w:r>
            <w:r>
              <w:t xml:space="preserve"> </w:t>
            </w:r>
            <w:r>
              <w:fldChar w:fldCharType="begin"/>
            </w:r>
            <w:r>
              <w:instrText xml:space="preserve"> ADDIN EN.CITE </w:instrText>
            </w:r>
            <w:r>
              <w:fldChar w:fldCharType="begin">
                <w:fldData>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</w:fldData>
              </w:fldChar>
            </w:r>
            <w:r>
              <w:instrText xml:space="preserve"> ADDIN EN.CITE.DATA </w:instrText>
            </w:r>
            <w:r>
              <w:fldChar w:fldCharType="end"/>
            </w:r>
            <w:r>
              <w:fldChar w:fldCharType="separate"/>
            </w:r>
            <w:r>
              <w:t xml:space="preserve">[V12-36]</w:t>
            </w:r>
            <w:r>
              <w:fldChar w:fldCharType="end"/>
            </w:r>
          </w:p>
          <w:p>
            <w:pPr>
              <w:pStyle w:val="Normal"/>
              <w:widowControl/>
              <w:spacing w:before="60" w:after="20"/>
            </w:pPr>
            <w:r>
              <w:t xml:space="preserve">Methodological study with 200 simulations of 2,500 patients and an application to 9,868 Eurotransplant chronic-cirrhosis patients followed during 2007–2019. Of the clinical cohort, 4,998 received LT, 3,013 died before LT, and 1,361 died within three years after LT. Detailed selection criteria are in the separate supplement.</w:t>
            </w:r>
          </w:p>
          <w:p>
            <w:pPr>
              <w:pStyle w:val="Normal"/>
              <w:widowControl/>
              <w:spacing w:before="60" w:after="20"/>
            </w:pPr>
            <w:hyperlink r:id="rId140">
              <w:r>
                <w:rPr>
                  <w:color w:val="77230C"/>
                  <w:sz w:val="20"/>
                  <w:u w:val="single"/>
                </w:rPr>
                <w:t>Primary source</w:t>
              </w:r>
            </w:hyperlink>
            <w:r>
              <w:t xml:space="preserve"> | </w:t>
            </w:r>
            <w:hyperlink r:id="rId141">
              <w:r>
                <w:rPr>
                  <w:color w:val="77230C"/>
                  <w:sz w:val="20"/>
                  <w:u w:val="single"/>
                </w:rPr>
                <w:t>Full-text PDF</w:t>
              </w:r>
            </w:hyperlink>
          </w:p>
          <w:p>
            <w:pPr>
              <w:pStyle w:val="Normal"/>
              <w:widowControl/>
              <w:spacing w:before="60" w:after="20"/>
            </w:pPr>
            <w:r>
              <w:t xml:space="preserve">Locator: PDF pp 3–6 estimand and identifiability assumptions; pp 7–9 simulation; pp 9–11 registry application and projected gain; pp 12–13 limitations and missing oncologic variables</w:t>
            </w:r>
          </w:p>
          <w:p>
            <w:pPr>
              <w:pStyle w:val="Normal"/>
              <w:widowControl/>
              <w:spacing w:before="60" w:after="20"/>
            </w:pPr>
            <w:r>
              <w:t xml:space="preserve">Review depth: Complete main-paper full text reviewed; mathematical proof, selection details and model coefficients in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 proposed weighted method reduced simulation bias relative to baseline-only and unweighted cross-section methods. Applying the fitted model back to the same registry data, selecting the highest predicted benefit rather than highest MELD yielded an estimated extra 0.46 life-years per organ over a three-year horizon. The extrapolated approximately 2,300 life-years is a model projection over roughly 5,000 transplants, not observed benefit. Safety: The model does not directly establish the opportunity costs or population dynamics of changing allocation across future dates. Maximizing benefit at each current offer is not necessarily the optimal longitudinal national policy.</w:t>
            </w:r>
          </w:p>
          <w:p>
            <w:pPr>
              <w:pStyle w:val="Normal"/>
              <w:widowControl/>
              <w:spacing w:before="60" w:after="20"/>
            </w:pPr>
            <w:r>
              <w:rPr>
                <w:b/>
              </w:rPr>
              <w:t xml:space="preserve">Do not infer: </w:t>
            </w:r>
            <w:r>
              <w:t xml:space="preserve">Causal interpretation requires consistency, positivity, conditional exchangeability and correct treatment/outcome models. Performance was not externally validated; real-data predictions were applied to the same patients/dates. Oncologic parameters, sodium and albumin were not routinely collected and omitted. There is no demonstrated calibration in HCC-expanded/PVTT or post-ICI candidates. Full application selection and coefficients remain in the unread supplement. Scarcity dynamics, future organ availability and quality-of-life indications need separate modeling.</w:t>
            </w:r>
          </w:p>
        </w:tc>
      </w:tr>
    </w:tbl>
    <w:p>
      <w:pPr>
        <w:pStyle w:val="Heading3"/>
        <w:keepNext/>
        <w:widowControl/>
      </w:pPr>
      <w:r>
        <w:t xml:space="preserve">Synthesis and evidence that challenges the proposal</w:t>
      </w:r>
    </w:p>
    <w:p>
      <w:pPr>
        <w:pStyle w:val="Normal"/>
        <w:widowControl/>
        <w:spacing w:before="60" w:after="20"/>
      </w:pPr>
      <w:r>
        <w:t xml:space="preserve">Benefit estimands differ: Liu reports both restricted-mean months and adjusted survival-probability percentage points; Lai uses MESIAH-imputed no-LT median survival; Goudsmit estimates recipient-conditioned five-year life-years at LT; Prosepe estimates three-year conditional benefit at donor availability. Allen provides real national implementation monitoring but no significant HCC-specific survival improvement and no validation in US expanded HCC/PVTT. These are not interchangeable scores.</w:t>
      </w:r>
      <w:r>
        <w:t xml:space="preserve"> </w:t>
      </w:r>
      <w:r>
        <w:t xml:space="preserve"> </w:t>
      </w:r>
      <w:r>
        <w:fldChar w:fldCharType="begin"/>
      </w:r>
      <w:r>
        <w:instrText xml:space="preserve"> ADDIN EN.CITE </w:instrText>
      </w:r>
      <w:r>
        <w:fldChar w:fldCharType="begin">
          <w:fldData>PEVuZE5vdGU+PENpdGU+PEF1dGhvcj5MaXU8L0F1dGhvcj48WWVhcj4yMDI2PC9ZZWFyPjxSZWNOdW0+MzE8L1JlY051bT48RGlzcGxheVRleHQ+W1YxMi0zMV08L0Rpc3BsYXlUZXh0PjxyZWNvcmQ+PHJlYy1udW1iZXI+MzE8L3JlYy1udW1iZXI+PGZvcmVpZ24ta2V5cz48a2V5IGFwcD0iRU4iIGRiLWlkPSJhM2FhZmRmYy02YzE4LTUyMmMtOGE2OC1mYTBhZDI4ZjUxZDIiIHRpbWVzdGFtcD0iMTc5MjkyMTA4NyI+MzE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[V12-31]</w:t>
      </w:r>
      <w:r>
        <w:fldChar w:fldCharType="end"/>
      </w:r>
      <w:r>
        <w:t xml:space="preserve"> </w:t>
      </w:r>
      <w:r>
        <w:t xml:space="preserve"> </w:t>
      </w:r>
      <w:r>
        <w:fldChar w:fldCharType="begin"/>
      </w:r>
      <w:r>
        <w:instrText xml:space="preserve"> ADDIN EN.CITE </w:instrText>
      </w:r>
      <w:r>
        <w:fldChar w:fldCharType="begin">
          <w:fldData>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r>
        <w:t xml:space="preserve"> </w:t>
      </w:r>
      <w:r>
        <w:t xml:space="preserve"> </w:t>
      </w:r>
      <w:r>
        <w:fldChar w:fldCharType="begin"/>
      </w:r>
      <w:r>
        <w:instrText xml:space="preserve"> ADDIN EN.CITE </w:instrText>
      </w:r>
      <w:r>
        <w:fldChar w:fldCharType="begin">
          <w:fldData>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</w:fldData>
        </w:fldChar>
      </w:r>
      <w:r>
        <w:instrText xml:space="preserve"> ADDIN EN.CITE.DATA </w:instrText>
      </w:r>
      <w:r>
        <w:fldChar w:fldCharType="end"/>
      </w:r>
      <w:r>
        <w:fldChar w:fldCharType="separate"/>
      </w:r>
      <w:r>
        <w:t xml:space="preserve">[V12-33]</w:t>
      </w:r>
      <w:r>
        <w:fldChar w:fldCharType="end"/>
      </w:r>
      <w:r>
        <w:t xml:space="preserve"> </w:t>
      </w:r>
      <w:r>
        <w:t xml:space="preserve"> </w:t>
      </w:r>
      <w:r>
        <w:fldChar w:fldCharType="begin"/>
      </w:r>
      <w:r>
        <w:instrText xml:space="preserve"> ADDIN EN.CITE </w:instrText>
      </w:r>
      <w:r>
        <w:fldChar w:fldCharType="begin">
          <w:fldData>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</w:fldData>
        </w:fldChar>
      </w:r>
      <w:r>
        <w:instrText xml:space="preserve"> ADDIN EN.CITE.DATA </w:instrText>
      </w:r>
      <w:r>
        <w:fldChar w:fldCharType="end"/>
      </w:r>
      <w:r>
        <w:fldChar w:fldCharType="separate"/>
      </w:r>
      <w:r>
        <w:t xml:space="preserve">[V12-34]</w:t>
      </w:r>
      <w:r>
        <w:fldChar w:fldCharType="end"/>
      </w:r>
      <w:r>
        <w:t xml:space="preserve"> </w:t>
      </w:r>
      <w:r>
        <w:t xml:space="preserve"> </w:t>
      </w:r>
      <w:r>
        <w:fldChar w:fldCharType="begin"/>
      </w:r>
      <w:r>
        <w:instrText xml:space="preserve"> ADDIN EN.CITE </w:instrText>
      </w:r>
      <w:r>
        <w:fldChar w:fldCharType="begin">
          <w:fldData>PEVuZE5vdGU+PENpdGU+PEF1dGhvcj5BbGxlbjwvQXV0aG9yPjxZZWFyPjIwMjQ8L1llYXI+PFJlY051bT4zNTwvUmVjTnVtPjxEaXNwbGF5VGV4dD5bVjEyLTM1XTwvRGlzcGxheVRleHQ+PHJlY29yZD48cmVjLW51bWJlcj4zNTwvcmVjLW51bWJlcj48Zm9yZWlnbi1rZXlzPjxrZXkgYXBwPSJFTiIgZGItaWQ9ImEzYWFmZGZjLTZjMTgtNTIyYy04YTY4LWZhMGFkMjhmNTFkMiIgdGltZXN0YW1wPSIxNzkyOTIxMDg3Ij4zNT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[V12-35]</w:t>
      </w:r>
      <w:r>
        <w:fldChar w:fldCharType="end"/>
      </w:r>
      <w:r>
        <w:t xml:space="preserve"> </w:t>
      </w:r>
      <w:r>
        <w:t xml:space="preserve"> </w:t>
      </w:r>
      <w:r>
        <w:fldChar w:fldCharType="begin"/>
      </w:r>
      <w:r>
        <w:instrText xml:space="preserve"> ADDIN EN.CITE </w:instrText>
      </w:r>
      <w:r>
        <w:fldChar w:fldCharType="begin">
          <w:fldData>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</w:fldData>
        </w:fldChar>
      </w:r>
      <w:r>
        <w:instrText xml:space="preserve"> ADDIN EN.CITE.DATA </w:instrText>
      </w:r>
      <w:r>
        <w:fldChar w:fldCharType="end"/>
      </w:r>
      <w:r>
        <w:fldChar w:fldCharType="separate"/>
      </w:r>
      <w:r>
        <w:t xml:space="preserve">[V12-36]</w:t>
      </w:r>
      <w:r>
        <w:fldChar w:fldCharType="end"/>
      </w:r>
    </w:p>
    <w:p>
      <w:pPr>
        <w:pStyle w:val="Normal"/>
        <w:widowControl/>
        <w:numPr>
          <w:ilvl w:val="0"/>
          <w:numId w:val="3"/>
        </w:numPr>
        <w:spacing w:before="60" w:after="20"/>
      </w:pPr>
      <w:r>
        <w:t xml:space="preserve">The UK implementation and longitudinal causal methods show that benefit-based allocation need not remain hypothetical. Favorable internal performance and the larger-benefit signal at higher tumor burden justify further evaluation, not automatic adoption. Conversely, an imputed nontransplant counterfactual, recipient-only scope or overlapping registry sample cannot serve as independent validation. The proper critique is specific to estimand, calibration and transport—not a blanket claim that observational modeling is invalid or that time-dependent LT was never considered.</w:t>
      </w:r>
    </w:p>
    <w:p>
      <w:pPr>
        <w:pStyle w:val="Normal"/>
        <w:widowControl/>
        <w:spacing w:before="60" w:after="20"/>
      </w:pPr>
      <w:r>
        <w:rPr>
          <w:b/>
        </w:rPr>
        <w:t xml:space="preserve">Certainty / applicability: </w:t>
      </w:r>
      <w:r>
        <w:t xml:space="preserve">Moderate that benefit-based allocation is feasible within an established national governance system; low that any particular observational score improves individual HCC decisions; very low for deployment of the 2026 Liu score in expanded-risk/PVTT/LDLT patients. No independent prospective impact or external high-risk calibration study of that exact score was identified in this bounded search.</w:t>
      </w:r>
    </w:p>
    <w:p>
      <w:pPr>
        <w:pStyle w:val="Heading3"/>
        <w:keepNext/>
        <w:widowControl/>
      </w:pPr>
      <w:r>
        <w:t xml:space="preserve">Where each proposed threshold comes from</w:t>
      </w:r>
    </w:p>
    <w:p>
      <w:pPr>
        <w:pStyle w:val="Normal"/>
        <w:widowControl/>
        <w:numPr>
          <w:ilvl w:val="0"/>
          <w:numId w:val="3"/>
        </w:numPr>
        <w:spacing w:before="60" w:after="20"/>
      </w:pPr>
      <w:r>
        <w:t xml:space="preserve">Zero current decision weight is a proposed governance rule, not a published numerical efficacy threshold. No arbitrary calibration/C-index cutoff is endorsed here. Acceptance criteria should be prespecified with biostatistics and allocation stakeholders using clinically meaningful calibration error, decision consequences and equity, then independently tested. Findings in within-Milan DDLT cannot simply be extrapolated to PVTT or LDLT.</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Liu 2026</w:t>
            </w:r>
            <w:r>
              <w:t xml:space="preserve"> </w:t>
            </w:r>
            <w:r>
              <w:t xml:space="preserve"> </w:t>
            </w:r>
            <w:r>
              <w:fldChar w:fldCharType="begin"/>
            </w:r>
            <w:r>
              <w:instrText xml:space="preserve"> ADDIN EN.CITE </w:instrText>
            </w:r>
            <w:r>
              <w:fldChar w:fldCharType="begin">
                <w:fldData>PEVuZE5vdGU+PENpdGU+PEF1dGhvcj5MaXU8L0F1dGhvcj48WWVhcj4yMDI2PC9ZZWFyPjxSZWNOdW0+MzE8L1JlY051bT48RGlzcGxheVRleHQ+W1YxMi0zMV08L0Rpc3BsYXlUZXh0PjxyZWNvcmQ+PHJlYy1udW1iZXI+MzE8L3JlYy1udW1iZXI+PGZvcmVpZ24ta2V5cz48a2V5IGFwcD0iRU4iIGRiLWlkPSJhM2FhZmRmYy02YzE4LTUyMmMtOGE2OC1mYTBhZDI4ZjUxZDIiIHRpbWVzdGFtcD0iMTc5MjkyMTA4NyI+MzE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[V12-31]</w:t>
            </w:r>
            <w:r>
              <w:fldChar w:fldCharType="end"/>
            </w:r>
          </w:p>
          <w:p>
            <w:pPr>
              <w:pStyle w:val="Normal"/>
              <w:widowControl/>
              <w:spacing w:before="60" w:after="20"/>
            </w:pPr>
            <w:r>
              <w:t xml:space="preserve">“developed and internally validated”</w:t>
            </w:r>
          </w:p>
          <w:p>
            <w:pPr>
              <w:pStyle w:val="Normal"/>
              <w:widowControl/>
              <w:spacing w:before="60" w:after="20"/>
            </w:pPr>
            <w:r>
              <w:t xml:space="preserve">Published PDF p2, introduction</w:t>
            </w:r>
          </w:p>
          <w:p>
            <w:pPr>
              <w:pStyle w:val="Normal"/>
              <w:widowControl/>
              <w:spacing w:before="60" w:after="20"/>
            </w:pPr>
            <w:hyperlink r:id="rId142">
              <w:r>
                <w:rPr>
                  <w:color w:val="77230C"/>
                  <w:sz w:val="20"/>
                  <w:u w:val="single"/>
                </w:rPr>
                <w:t>Source</w:t>
              </w:r>
            </w:hyperlink>
            <w:r>
              <w:t xml:space="preserve"> | </w:t>
            </w:r>
            <w:hyperlink r:id="rId143">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 split-sample internal assessment is not independent external validation.</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Liu 2026</w:t>
            </w:r>
            <w:r>
              <w:t xml:space="preserve"> </w:t>
            </w:r>
            <w:r>
              <w:t xml:space="preserve"> </w:t>
            </w:r>
            <w:r>
              <w:fldChar w:fldCharType="begin"/>
            </w:r>
            <w:r>
              <w:instrText xml:space="preserve"> ADDIN EN.CITE </w:instrText>
            </w:r>
            <w:r>
              <w:fldChar w:fldCharType="begin">
                <w:fldData>PEVuZE5vdGU+PENpdGU+PEF1dGhvcj5MaXU8L0F1dGhvcj48WWVhcj4yMDI2PC9ZZWFyPjxSZWNOdW0+MzE8L1JlY051bT48RGlzcGxheVRleHQ+W1YxMi0zMV08L0Rpc3BsYXlUZXh0PjxyZWNvcmQ+PHJlYy1udW1iZXI+MzE8L3JlYy1udW1iZXI+PGZvcmVpZ24ta2V5cz48a2V5IGFwcD0iRU4iIGRiLWlkPSJhM2FhZmRmYy02YzE4LTUyMmMtOGE2OC1mYTBhZDI4ZjUxZDIiIHRpbWVzdGFtcD0iMTc5MjkyMTA4NyI+MzE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[V12-31]</w:t>
            </w:r>
            <w:r>
              <w:fldChar w:fldCharType="end"/>
            </w:r>
          </w:p>
          <w:p>
            <w:pPr>
              <w:pStyle w:val="Normal"/>
              <w:widowControl/>
              <w:spacing w:before="60" w:after="20"/>
            </w:pPr>
            <w:r>
              <w:t xml:space="preserve">“Recipients of living donor liver transplantation (LDLT) were excluded”</w:t>
            </w:r>
          </w:p>
          <w:p>
            <w:pPr>
              <w:pStyle w:val="Normal"/>
              <w:widowControl/>
              <w:spacing w:before="60" w:after="20"/>
            </w:pPr>
            <w:r>
              <w:t xml:space="preserve">Published PDF p2, section 1.3</w:t>
            </w:r>
          </w:p>
          <w:p>
            <w:pPr>
              <w:pStyle w:val="Normal"/>
              <w:widowControl/>
              <w:spacing w:before="60" w:after="20"/>
            </w:pPr>
            <w:hyperlink r:id="rId144">
              <w:r>
                <w:rPr>
                  <w:color w:val="77230C"/>
                  <w:sz w:val="20"/>
                  <w:u w:val="single"/>
                </w:rPr>
                <w:t>Source</w:t>
              </w:r>
            </w:hyperlink>
            <w:r>
              <w:t xml:space="preserve"> | </w:t>
            </w:r>
            <w:hyperlink r:id="rId145">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LDLT decisions are outside this model’s evaluated population.</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Give the survival-benefit score zero clinical or allocation weight now; evaluate it in shadow mode only.</w:t>
      </w:r>
      <w:r>
        <w:t xml:space="preserve"> </w:t>
      </w:r>
      <w:r>
        <w:t xml:space="preserve"> </w:t>
      </w:r>
      <w:r>
        <w:fldChar w:fldCharType="begin"/>
      </w:r>
      <w:r>
        <w:instrText xml:space="preserve"> ADDIN EN.CITE </w:instrText>
      </w:r>
      <w:r>
        <w:fldChar w:fldCharType="begin">
          <w:fldData>PEVuZE5vdGU+PENpdGU+PEF1dGhvcj5MaXU8L0F1dGhvcj48WWVhcj4yMDI2PC9ZZWFyPjxSZWNOdW0+MzE8L1JlY051bT48RGlzcGxheVRleHQ+W1YxMi0zMV08L0Rpc3BsYXlUZXh0PjxyZWNvcmQ+PHJlYy1udW1iZXI+MzE8L3JlYy1udW1iZXI+PGZvcmVpZ24ta2V5cz48a2V5IGFwcD0iRU4iIGRiLWlkPSJhM2FhZmRmYy02YzE4LTUyMmMtOGE2OC1mYTBhZDI4ZjUxZDIiIHRpbWVzdGFtcD0iMTc5MjkyMTA4NyI+MzE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[V12-31]</w:t>
      </w:r>
      <w:r>
        <w:fldChar w:fldCharType="end"/>
      </w:r>
      <w:r>
        <w:t xml:space="preserve"> </w:t>
      </w:r>
      <w:r>
        <w:t xml:space="preserve"> </w:t>
      </w:r>
      <w:r>
        <w:fldChar w:fldCharType="begin"/>
      </w:r>
      <w:r>
        <w:instrText xml:space="preserve"> ADDIN EN.CITE </w:instrText>
      </w:r>
      <w:r>
        <w:fldChar w:fldCharType="begin">
          <w:fldData>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r>
        <w:t xml:space="preserve"> </w:t>
      </w:r>
      <w:r>
        <w:t xml:space="preserve"> </w:t>
      </w:r>
      <w:r>
        <w:fldChar w:fldCharType="begin"/>
      </w:r>
      <w:r>
        <w:instrText xml:space="preserve"> ADDIN EN.CITE </w:instrText>
      </w:r>
      <w:r>
        <w:fldChar w:fldCharType="begin">
          <w:fldData>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</w:fldData>
        </w:fldChar>
      </w:r>
      <w:r>
        <w:instrText xml:space="preserve"> ADDIN EN.CITE.DATA </w:instrText>
      </w:r>
      <w:r>
        <w:fldChar w:fldCharType="end"/>
      </w:r>
      <w:r>
        <w:fldChar w:fldCharType="separate"/>
      </w:r>
      <w:r>
        <w:t xml:space="preserve">[V12-33]</w:t>
      </w:r>
      <w:r>
        <w:fldChar w:fldCharType="end"/>
      </w:r>
      <w:r>
        <w:t xml:space="preserve"> </w:t>
      </w:r>
      <w:r>
        <w:t xml:space="preserve"> </w:t>
      </w:r>
      <w:r>
        <w:fldChar w:fldCharType="begin"/>
      </w:r>
      <w:r>
        <w:instrText xml:space="preserve"> ADDIN EN.CITE </w:instrText>
      </w:r>
      <w:r>
        <w:fldChar w:fldCharType="begin">
          <w:fldData>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</w:fldData>
        </w:fldChar>
      </w:r>
      <w:r>
        <w:instrText xml:space="preserve"> ADDIN EN.CITE.DATA </w:instrText>
      </w:r>
      <w:r>
        <w:fldChar w:fldCharType="end"/>
      </w:r>
      <w:r>
        <w:fldChar w:fldCharType="separate"/>
      </w:r>
      <w:r>
        <w:t xml:space="preserve">[V12-34]</w:t>
      </w:r>
      <w:r>
        <w:fldChar w:fldCharType="end"/>
      </w:r>
      <w:r>
        <w:t xml:space="preserve"> </w:t>
      </w:r>
      <w:r>
        <w:t xml:space="preserve"> </w:t>
      </w:r>
      <w:r>
        <w:fldChar w:fldCharType="begin"/>
      </w:r>
      <w:r>
        <w:instrText xml:space="preserve"> ADDIN EN.CITE </w:instrText>
      </w:r>
      <w:r>
        <w:fldChar w:fldCharType="begin">
          <w:fldData>PEVuZE5vdGU+PENpdGU+PEF1dGhvcj5BbGxlbjwvQXV0aG9yPjxZZWFyPjIwMjQ8L1llYXI+PFJlY051bT4zNTwvUmVjTnVtPjxEaXNwbGF5VGV4dD5bVjEyLTM1XTwvRGlzcGxheVRleHQ+PHJlY29yZD48cmVjLW51bWJlcj4zNTwvcmVjLW51bWJlcj48Zm9yZWlnbi1rZXlzPjxrZXkgYXBwPSJFTiIgZGItaWQ9ImEzYWFmZGZjLTZjMTgtNTIyYy04YTY4LWZhMGFkMjhmNTFkMiIgdGltZXN0YW1wPSIxNzkyOTIxMDg3Ij4zNT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[V12-35]</w:t>
      </w:r>
      <w:r>
        <w:fldChar w:fldCharType="end"/>
      </w:r>
      <w:r>
        <w:t xml:space="preserve"> </w:t>
      </w:r>
      <w:r>
        <w:t xml:space="preserve"> </w:t>
      </w:r>
      <w:r>
        <w:fldChar w:fldCharType="begin"/>
      </w:r>
      <w:r>
        <w:instrText xml:space="preserve"> ADDIN EN.CITE </w:instrText>
      </w:r>
      <w:r>
        <w:fldChar w:fldCharType="begin">
          <w:fldData>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</w:fldData>
        </w:fldChar>
      </w:r>
      <w:r>
        <w:instrText xml:space="preserve"> ADDIN EN.CITE.DATA </w:instrText>
      </w:r>
      <w:r>
        <w:fldChar w:fldCharType="end"/>
      </w:r>
      <w:r>
        <w:fldChar w:fldCharType="separate"/>
      </w:r>
      <w:r>
        <w:t xml:space="preserve">[V12-36]</w:t>
      </w:r>
      <w:r>
        <w:fldChar w:fldCharType="end"/>
      </w:r>
    </w:p>
    <w:p>
      <w:pPr>
        <w:pStyle w:val="Normal"/>
        <w:widowControl/>
        <w:numPr>
          <w:ilvl w:val="0"/>
          <w:numId w:val="3"/>
        </w:numPr>
      </w:pPr>
      <w:r>
        <w:t xml:space="preserve">Proposed decision threshold: no score-driven listing, exclusion, exception priority, organ acceptance, LDLT selection or treatment change before external validation and prospective impact review.</w:t>
      </w:r>
    </w:p>
    <w:p>
      <w:pPr>
        <w:pStyle w:val="Normal"/>
        <w:widowControl/>
        <w:numPr>
          <w:ilvl w:val="0"/>
          <w:numId w:val="3"/>
        </w:numPr>
      </w:pPr>
      <w:r>
        <w:t xml:space="preserve">Require a locked reproducible formula and data dictionary, clarification of the MELD/AFP definitions and time zero, independent external calibration and utility testing against current care, equity assessment, and appropriate policy authorization before deployment.</w:t>
      </w:r>
    </w:p>
    <w:p>
      <w:pPr>
        <w:pStyle w:val="Normal"/>
        <w:widowControl/>
        <w:numPr>
          <w:ilvl w:val="0"/>
          <w:numId w:val="3"/>
        </w:numPr>
      </w:pPr>
      <w:r>
        <w:t xml:space="preserve">Do not extrapolate the within-Milan, non-LDLT model to PVTT, LDLT or other cancers.</w:t>
      </w:r>
    </w:p>
    <w:p>
      <w:pPr>
        <w:pStyle w:val="Normal"/>
        <w:widowControl/>
        <w:numPr>
          <w:ilvl w:val="1"/>
          <w:numId w:val="3"/>
        </w:numPr>
        <w:spacing w:before="60" w:after="20"/>
      </w:pPr>
      <w:r>
        <w:t xml:space="preserve">No numerical score cutoff is proposed because its clinical use is not yet justified.</w:t>
      </w:r>
    </w:p>
    <w:p>
      <w:pPr>
        <w:pStyle w:val="Normal"/>
        <w:widowControl/>
        <w:spacing w:before="60" w:after="20"/>
      </w:pPr>
      <w:r>
        <w:rPr>
          <w:b/>
        </w:rPr>
        <w:t xml:space="preserve">Why retain or change it: </w:t>
      </w:r>
      <w:r>
        <w:t xml:space="preserve">Retain zero direct clinical/allocation weight in a shadow registry. Lock the exact model, units, decision time, donor assumptions and intended population. Before deployment require independent calibration, missing-data handling, decision-utility and equity analyses, prospective monitoring and institutional/allocation approval. No current model result overrides OPTN policy, donor protection or the biological eligibility gates.</w:t>
      </w:r>
    </w:p>
    <w:p>
      <w:pPr>
        <w:pStyle w:val="Heading3"/>
        <w:keepNext/>
        <w:widowControl/>
      </w:pPr>
      <w:r>
        <w:t xml:space="preserve">Information required before the decision</w:t>
      </w:r>
    </w:p>
    <w:p>
      <w:pPr>
        <w:pStyle w:val="Normal"/>
        <w:widowControl/>
        <w:spacing w:before="60" w:after="20"/>
      </w:pPr>
      <w:r>
        <w:t xml:space="preserve">Reproducible model code; independent cohort; time-dependent transplant analysis; competing-event definitions; calibration, utility and subgroup audit.</w:t>
      </w:r>
    </w:p>
    <w:p>
      <w:pPr>
        <w:pStyle w:val="Normal"/>
        <w:widowControl/>
        <w:spacing w:before="60" w:after="20"/>
      </w:pPr>
      <w:r>
        <w:rPr>
          <w:b/>
        </w:rPr>
        <w:t xml:space="preserve">Clinical versus allocation: </w:t>
      </w:r>
      <w:r>
        <w:t xml:space="preserve">Neither a model estimate nor an internal committee can independently rewrite national allocation priority.</w:t>
      </w:r>
    </w:p>
    <w:p>
      <w:pPr>
        <w:pStyle w:val="Normal"/>
        <w:widowControl/>
        <w:spacing w:before="60" w:after="20"/>
      </w:pPr>
      <w:r>
        <w:rPr>
          <w:b/>
        </w:rPr>
        <w:t xml:space="preserve">Roadmap / protocol reconciliation: </w:t>
      </w:r>
      <w:r>
        <w:t xml:space="preserve">Use the score only as a research output; the current clinical roadmap remains the decision authority.</w:t>
      </w:r>
    </w:p>
    <w:p>
      <w:pPr>
        <w:pStyle w:val="Heading3"/>
        <w:keepNext/>
        <w:widowControl/>
      </w:pPr>
      <w:r>
        <w:t xml:space="preserve">Meeting decision — complete only after discussion</w:t>
      </w:r>
    </w:p>
    <w:p>
      <w:pPr>
        <w:pStyle w:val="Normal"/>
        <w:widowControl/>
        <w:spacing w:before="60" w:after="20"/>
      </w:pPr>
      <w:r>
        <w:t xml:space="preserve">Group decision (adopt / amend / defer / decline): __________________________________</w:t>
      </w:r>
    </w:p>
    <w:p>
      <w:pPr>
        <w:pStyle w:val="Normal"/>
        <w:widowControl/>
        <w:spacing w:before="60" w:after="20"/>
      </w:pPr>
      <w:r>
        <w:t xml:space="preserve">Final cutoff / population / exact protocol wording: _________________________________</w:t>
      </w:r>
    </w:p>
    <w:p>
      <w:pPr>
        <w:pStyle w:val="Normal"/>
        <w:widowControl/>
        <w:spacing w:before="60" w:after="20"/>
      </w:pPr>
      <w:r>
        <w:t xml:space="preserve">________________________________________________________________________</w:t>
      </w:r>
    </w:p>
    <w:p>
      <w:pPr>
        <w:pStyle w:val="Normal"/>
        <w:widowControl/>
        <w:spacing w:before="60" w:after="20"/>
      </w:pPr>
      <w:r>
        <w:t xml:space="preserve">Evidence accepted/rejected; denominator/time origin; residual uncertainty: ______________</w:t>
      </w:r>
    </w:p>
    <w:p>
      <w:pPr>
        <w:pStyle w:val="Normal"/>
        <w:widowControl/>
        <w:spacing w:before="60" w:after="20"/>
      </w:pPr>
      <w:r>
        <w:t xml:space="preserve">________________________________________________________________________</w:t>
      </w:r>
    </w:p>
    <w:p>
      <w:pPr>
        <w:pStyle w:val="Normal"/>
        <w:widowControl/>
        <w:spacing w:before="60" w:after="20"/>
      </w:pPr>
      <w:r>
        <w:t xml:space="preserve">Rationale and dissent: ______________________________________________________</w:t>
      </w:r>
    </w:p>
    <w:p>
      <w:pPr>
        <w:pStyle w:val="Normal"/>
        <w:widowControl/>
        <w:spacing w:before="60" w:after="20"/>
      </w:pPr>
      <w:r>
        <w:t xml:space="preserve">Protocol section(s) to change / required source or PDF: _____________________________</w:t>
      </w:r>
    </w:p>
    <w:p>
      <w:pPr>
        <w:pStyle w:val="Normal"/>
        <w:widowControl/>
        <w:spacing w:before="60" w:after="20"/>
      </w:pPr>
      <w:r>
        <w:t xml:space="preserve">Owner / action / due date: ___________________________________________________</w:t>
      </w:r>
    </w:p>
    <w:p>
      <w:pPr>
        <w:pStyle w:val="Normal"/>
        <w:widowControl/>
        <w:spacing w:before="60" w:after="20"/>
      </w:pPr>
      <w:r>
        <w:t xml:space="preserve">Meeting date / decision-maker signatures: ________________________________________</w:t>
      </w:r>
    </w:p>
    <w:p>
      <w:pPr>
        <w:pStyle w:val="Normal"/>
        <w:widowControl/>
        <w:spacing w:before="60" w:after="20"/>
      </w:pPr>
      <w:r>
        <w:t xml:space="preserve">Clinical / allocation / donor / research approvals and effective date: ____________________</w:t>
      </w:r>
    </w:p>
    <w:p>
      <w:pPr>
        <w:pStyle w:val="Normal"/>
        <w:widowControl/>
        <w:spacing w:before="60" w:after="20"/>
      </w:pPr>
      <w:r>
        <w:t xml:space="preserve">Proposed discussion owners: Biostatistics; hepatology; allocation; ethics; transplant leadership.</w:t>
      </w:r>
    </w:p>
    <w:p>
      <w:pPr>
        <w:pStyle w:val="Normal"/>
        <w:widowControl/>
      </w:pPr>
      <w:r>
        <w:t xml:space="preserve">Evidence review record: </w:t>
      </w:r>
      <w:hyperlink r:id="rId146">
        <w:r>
          <w:rPr>
            <w:color w:val="77230C"/>
            <w:sz w:val="20"/>
            <w:u w:val="single"/>
          </w:rPr>
          <w:t>Five analyst comments and reconciliation</w:t>
        </w:r>
      </w:hyperlink>
      <w:r>
        <w:t xml:space="preserve">  |  </w:t>
      </w:r>
      <w:hyperlink r:id="rId147">
        <w:r>
          <w:rPr>
            <w:color w:val="77230C"/>
            <w:sz w:val="20"/>
            <w:u w:val="single"/>
          </w:rPr>
          <w:t>Prospective outcomes dataset</w:t>
        </w:r>
      </w:hyperlink>
    </w:p>
    <w:p>
      <w:pPr>
        <w:pStyle w:val="Heading1"/>
        <w:keepNext/>
        <w:widowControl/>
        <w:keepLines/>
      </w:pPr>
      <w:r>
        <w:t xml:space="preserve">Revision note</w:t>
      </w:r>
    </w:p>
    <w:p>
      <w:pPr>
        <w:pStyle w:val="Normal"/>
        <w:keepNext/>
        <w:widowControl/>
        <w:keepLines/>
      </w:pPr>
      <w:r>
        <w:t xml:space="preserve">Revised 2026-10-24 14:05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Several summaries mixed baseline and ever-beyond-Milan populations, selected-recipient and entry outcomes, or excluded early deaths. </w:t>
      </w:r>
      <w:r>
        <w:rPr>
          <w:b/>
        </w:rPr>
        <w:t xml:space="preserve">Correction and reason: </w:t>
      </w:r>
      <w:r>
        <w:t xml:space="preserve">Corrected VITALITY, ImmunoXXL and PVTT denominators, time origins, rejection/retransplant harms and Soin all-recipient outcomes. Cutoffs remain OPEN local proposals, not validated safety thresholds.</w:t>
      </w:r>
    </w:p>
    <w:p>
      <w:pPr>
        <w:pStyle w:val="Normal"/>
        <w:keepNext/>
        <w:widowControl/>
        <w:keepLines/>
      </w:pPr>
      <w:r>
        <w:rPr>
          <w:b/>
        </w:rPr>
        <w:t xml:space="preserve">Problem: </w:t>
      </w:r>
      <w:r>
        <w:t xml:space="preserve">Sposito 2026 was cited from the abstract and its PDF was listed as missing; death handling, pathway attrition, surgical harms and nonuniform selection were unresolved. </w:t>
      </w:r>
      <w:r>
        <w:rPr>
          <w:b/>
        </w:rPr>
        <w:t xml:space="preserve">Correction and reason: </w:t>
      </w:r>
      <w:r>
        <w:t xml:space="preserve">Added and reviewed the 94457 full PDF. Separated 240 treated, 61 downstaged and 37 transplanted; clarified death-censored RFS, six recurrences, four perioperative deaths and 13 major complications; qualified observation/anatomy thresholds and removed the missing-PDF claim. Standard eligibility is unchanged and HCC-B2 remains OPEN.</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Heading1"/>
        <w:widowControl/>
        <w:keepNext/>
      </w:pPr>
      <w:bookmarkStart w:id="12001" w:name="HCC_B1_1"/>
      <w:r>
        <w:t xml:space="preserve">HCC B1.1 — AFP-only failure / imaging discordance — OPEN</w:t>
      </w:r>
      <w:bookmarkEnd w:id="12001"/>
    </w:p>
    <w:p>
      <w:pPr>
        <w:pStyle w:val="Normal"/>
        <w:widowControl/>
        <w:spacing w:after="120"/>
      </w:pPr>
      <w:r>
        <w:t xml:space="preserve">HCC B1.1 addresses AFP-only failure or discordance between AFP and imaging. It should be a distinct biological-risk question, not an automatic extension of B1 beyond-UNOS-DS enrollment. A patient within Milan may have an AFP problem without having expanded tumor burden. The proposed B1 AFP below 100 ng/mL entry rule must not silently become a universal rule for standard HCC.</w:t>
      </w:r>
    </w:p>
    <w:p>
      <w:pPr>
        <w:pStyle w:val="Normal"/>
        <w:widowControl/>
        <w:spacing w:after="120"/>
      </w:pPr>
      <w:r>
        <w:t xml:space="preserve">Status: OPEN local decision, not activated policy. This entry applies to both standard anatomical candidates and high-risk review. B1 expanded-burden AFP &lt;100 is a separate proposal; it must not become a universal within-Milan requirement.</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3582"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3743"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Allocation threshold failure</w:t>
            </w:r>
          </w:p>
        </w:tc>
        <w:tc>
          <w:tcPr>
            <w:tcW w:w="3582" w:type="dxa"/>
            <w:vAlign w:val="top"/>
            <w:shd w:fill="F1F5F8"/>
          </w:tcPr>
          <w:p>
            <w:pPr>
              <w:pStyle w:val="Normal"/>
              <w:widowControl/>
              <w:spacing w:after="55" w:line="240" w:lineRule="auto"/>
              <w:keepNext w:val="0"/>
              <w:keepLines/>
            </w:pPr>
            <w:r>
              <w:rPr>
                <w:sz w:val="21"/>
                <w:szCs w:val="21"/>
              </w:rPr>
              <w:t xml:space="preserve">Prior AFP greater than 1000 ng/mL, followed by failure to fall below 500 or a return to 500 or above. This changes the standardized exception route even when imaging is controlled.</w:t>
            </w:r>
          </w:p>
        </w:tc>
        <w:tc>
          <w:tcPr>
            <w:tcW w:w="3743" w:type="dxa"/>
            <w:vAlign w:val="top"/>
            <w:shd w:fill="F1F5F8"/>
          </w:tcPr>
          <w:p>
            <w:pPr>
              <w:pStyle w:val="Normal"/>
              <w:widowControl/>
              <w:spacing w:after="55" w:line="240" w:lineRule="auto"/>
              <w:keepNext w:val="0"/>
              <w:keepLines/>
            </w:pPr>
            <w:r>
              <w:rPr>
                <w:sz w:val="21"/>
                <w:szCs w:val="21"/>
              </w:rPr>
              <w:t xml:space="preserve">Current OPTN allocation policy. Nonstandard review and clinical candidacy remain separate; the policy is not a universal prohibition on every LT or LDLT.</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hM2FhZmRmYy02YzE4LTUyMmMtOGE2OC1mYTBhZDI4ZjUxZDIiIHRpbWVzdGFtcD0iMTc5MjkyMTA4N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hM2FhZmRmYy02YzE4LTUyMmMtOGE2OC1mYTBhZDI4ZjUxZDIiIHRpbWVzdGFtcD0iMTc5MjkyMTA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220">
              <w:r>
                <w:rPr>
                  <w:color w:val="0563C1"/>
                  <w:u w:val="single"/>
                </w:rPr>
                <w:t>Source</w:t>
              </w:r>
            </w:hyperlink>
            <w:r>
              <w:t xml:space="preserve"> · </w:t>
            </w:r>
            <w:hyperlink r:id="rId221">
              <w:r>
                <w:rPr>
                  <w:color w:val="0563C1"/>
                  <w:u w:val="single"/>
                </w:rPr>
                <w:t>PDF</w:t>
              </w:r>
            </w:hyperlink>
            <w:r>
              <w:br/>
            </w:r>
            <w:hyperlink r:id="rId222">
              <w:r>
                <w:rPr>
                  <w:color w:val="0563C1"/>
                  <w:u w:val="single"/>
                </w:rPr>
                <w:t>Source</w:t>
              </w:r>
            </w:hyperlink>
            <w:r>
              <w:t xml:space="preserve"> · </w:t>
            </w:r>
            <w:hyperlink r:id="rId223">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Biochemical nonresponse</w:t>
            </w:r>
          </w:p>
        </w:tc>
        <w:tc>
          <w:tcPr>
            <w:tcW w:w="3582" w:type="dxa"/>
            <w:vAlign w:val="top"/>
            <w:shd w:fill="FFFFFF"/>
          </w:tcPr>
          <w:p>
            <w:pPr>
              <w:pStyle w:val="Normal"/>
              <w:widowControl/>
              <w:spacing w:after="55" w:line="240" w:lineRule="auto"/>
              <w:keepNext w:val="0"/>
              <w:keepLines/>
            </w:pPr>
            <w:r>
              <w:rPr>
                <w:sz w:val="21"/>
                <w:szCs w:val="21"/>
              </w:rPr>
              <w:t xml:space="preserve">Persistently high or rising AFP after treatment, interpreted with the pretreatment level, treatment timing, liver inflammation and serial imaging.</w:t>
            </w:r>
          </w:p>
        </w:tc>
        <w:tc>
          <w:tcPr>
            <w:tcW w:w="3743" w:type="dxa"/>
            <w:vAlign w:val="top"/>
            <w:shd w:fill="FFFFFF"/>
          </w:tcPr>
          <w:p>
            <w:pPr>
              <w:pStyle w:val="Normal"/>
              <w:widowControl/>
              <w:spacing w:after="55" w:line="240" w:lineRule="auto"/>
              <w:keepNext w:val="0"/>
              <w:keepLines/>
            </w:pPr>
            <w:r>
              <w:rPr>
                <w:sz w:val="21"/>
                <w:szCs w:val="21"/>
              </w:rPr>
              <w:t xml:space="preserve">An adverse biological signal, not a universally standardized binary definition of treatment failure. A percentage decline alone cannot replace absolute AFP or imaging.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</w:fldData>
              </w:fldChar>
            </w:r>
            <w:r>
              <w:instrText xml:space="preserve"> ADDIN EN.CITE.DATA </w:instrText>
            </w:r>
            <w:r>
              <w:fldChar w:fldCharType="end"/>
            </w:r>
            <w:r>
              <w:fldChar w:fldCharType="separate"/>
            </w:r>
            <w:r>
              <w:t xml:space="preserve">[V12-37]</w:t>
            </w:r>
            <w:r>
              <w:fldChar w:fldCharType="end"/>
            </w:r>
            <w:r>
              <w:t xml:space="preserve"> </w:t>
            </w:r>
            <w:r>
              <w:fldChar w:fldCharType="begin"/>
            </w:r>
            <w:r>
              <w:instrText xml:space="preserve"> ADDIN EN.CITE </w:instrText>
            </w:r>
            <w:r>
              <w:fldChar w:fldCharType="begin">
                <w:fldData>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</w:fldData>
              </w:fldChar>
            </w:r>
            <w:r>
              <w:instrText xml:space="preserve"> ADDIN EN.CITE.DATA </w:instrText>
            </w:r>
            <w:r>
              <w:fldChar w:fldCharType="end"/>
            </w:r>
            <w:r>
              <w:fldChar w:fldCharType="separate"/>
            </w:r>
            <w:r>
              <w:t xml:space="preserve">[V12-38]</w:t>
            </w:r>
            <w:r>
              <w:fldChar w:fldCharType="end"/>
            </w:r>
            <w:r>
              <w:br/>
            </w:r>
            <w:hyperlink r:id="rId224">
              <w:r>
                <w:rPr>
                  <w:color w:val="0563C1"/>
                  <w:u w:val="single"/>
                </w:rPr>
                <w:t>Source</w:t>
              </w:r>
            </w:hyperlink>
            <w:r>
              <w:t xml:space="preserve"> · </w:t>
            </w:r>
            <w:hyperlink r:id="rId225">
              <w:r>
                <w:rPr>
                  <w:color w:val="0563C1"/>
                  <w:u w:val="single"/>
                </w:rPr>
                <w:t>PDF</w:t>
              </w:r>
            </w:hyperlink>
            <w:r>
              <w:br/>
            </w:r>
            <w:hyperlink r:id="rId226">
              <w:r>
                <w:rPr>
                  <w:color w:val="0563C1"/>
                  <w:u w:val="single"/>
                </w:rPr>
                <w:t>Source</w:t>
              </w:r>
            </w:hyperlink>
            <w:r>
              <w:t xml:space="preserve"> · </w:t>
            </w:r>
            <w:hyperlink r:id="rId227">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Isolated AFP rise</w:t>
            </w:r>
          </w:p>
        </w:tc>
        <w:tc>
          <w:tcPr>
            <w:tcW w:w="3582" w:type="dxa"/>
            <w:vAlign w:val="top"/>
            <w:shd w:fill="F1F5F8"/>
          </w:tcPr>
          <w:p>
            <w:pPr>
              <w:pStyle w:val="Normal"/>
              <w:widowControl/>
              <w:spacing w:after="55" w:line="240" w:lineRule="auto"/>
              <w:keepNext w:val="0"/>
              <w:keepLines/>
            </w:pPr>
            <w:r>
              <w:rPr>
                <w:sz w:val="21"/>
                <w:szCs w:val="21"/>
              </w:rPr>
              <w:t xml:space="preserve">Rising AFP without definite viable or progressive tumor on technically adequate imaging.</w:t>
            </w:r>
          </w:p>
        </w:tc>
        <w:tc>
          <w:tcPr>
            <w:tcW w:w="3743" w:type="dxa"/>
            <w:vAlign w:val="top"/>
            <w:shd w:fill="F1F5F8"/>
          </w:tcPr>
          <w:p>
            <w:pPr>
              <w:pStyle w:val="Normal"/>
              <w:widowControl/>
              <w:spacing w:after="55" w:line="240" w:lineRule="auto"/>
              <w:keepNext w:val="0"/>
              <w:keepLines/>
            </w:pPr>
            <w:r>
              <w:rPr>
                <w:sz w:val="21"/>
                <w:szCs w:val="21"/>
              </w:rPr>
              <w:t xml:space="preserve">Requires verification and a search for occult disease or a nonmalignant source. AFP alone does not diagnose HCC progression or create a target for treatment.</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W5nYWw8L0F1dGhvcj48WWVhcj4yMDIzPC9ZZWFyPjxSZWNOdW0+MTE8L1JlY051bT48RGlzcGxheVRleHQ+W1YxMi0xMV08L0Rpc3BsYXlUZXh0PjxyZWNvcmQ+PHJlYy1udW1iZXI+MTE8L3JlYy1udW1iZXI+PGZvcmVpZ24ta2V5cz48a2V5IGFwcD0iRU4iIGRiLWlkPSJhM2FhZmRmYy02YzE4LTUyMmMtOGE2OC1mYTBhZDI4ZjUxZDIiIHRpbWVzdGFtcD0iMTc5MjkyMTA4NyI+MTE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FBU0xEIDIwMjMgSEhTIGF1dGhvciBtYW51c2NyaXB0OyBjb21wbGV0ZSBMVCBzZWN0aW9ucyBQREYgcHAxNiYjODIxMTsyMCwgZ3VpZGFuY2Ugc3RhdGVtZW50cyBwcDU2JiM4MjExOzU3LCBhbGxvY2F0aW9uIGNhcHRpb25zIHBwNzEmIzgyMTE7NzIgYW5kIFRhYmxlcyAzJiM4MjExOzQgcHA3OCYjODIxMTs3OSByZWNoZWNrZWQuIEN1cnJlbnQgYW5kIHByaW9yIGNvcGllcyBoYXZlIGlkZW50aWNhbCB0ZXh0OyBub3QgYSB3aG9sZS1ndWlkZWxpbmUgcmVyZWFk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fldChar w:fldCharType="begin"/>
            </w:r>
            <w:r>
              <w:instrText xml:space="preserve"> ADDIN EN.CITE </w:instrText>
            </w:r>
            <w:r>
              <w:fldChar w:fldCharType="begin">
                <w:fldData>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</w:fldData>
              </w:fldChar>
            </w:r>
            <w:r>
              <w:instrText xml:space="preserve"> ADDIN EN.CITE.DATA </w:instrText>
            </w:r>
            <w:r>
              <w:fldChar w:fldCharType="end"/>
            </w:r>
            <w:r>
              <w:fldChar w:fldCharType="separate"/>
            </w:r>
            <w:r>
              <w:t xml:space="preserve">[V12-39]</w:t>
            </w:r>
            <w:r>
              <w:fldChar w:fldCharType="end"/>
            </w:r>
            <w:r>
              <w:br/>
            </w:r>
            <w:hyperlink r:id="rId228">
              <w:r>
                <w:rPr>
                  <w:color w:val="0563C1"/>
                  <w:u w:val="single"/>
                </w:rPr>
                <w:t>Source</w:t>
              </w:r>
            </w:hyperlink>
            <w:r>
              <w:t xml:space="preserve"> · </w:t>
            </w:r>
            <w:hyperlink r:id="rId229">
              <w:r>
                <w:rPr>
                  <w:color w:val="0563C1"/>
                  <w:u w:val="single"/>
                </w:rPr>
                <w:t>PDF</w:t>
              </w:r>
            </w:hyperlink>
            <w:r>
              <w:br/>
            </w:r>
            <w:hyperlink r:id="rId230">
              <w:r>
                <w:rPr>
                  <w:color w:val="0563C1"/>
                  <w:u w:val="single"/>
                </w:rPr>
                <w:t>Source</w:t>
              </w:r>
            </w:hyperlink>
            <w:r>
              <w:t xml:space="preserve"> · </w:t>
            </w:r>
            <w:hyperlink r:id="rId231">
              <w:r>
                <w:rPr>
                  <w:color w:val="0563C1"/>
                  <w:u w:val="single"/>
                </w:rPr>
                <w:t>PDF</w:t>
              </w:r>
            </w:hyperlink>
          </w:p>
        </w:tc>
      </w:tr>
    </w:tbl>
    <w:p>
      <w:pPr>
        <w:pStyle w:val="Normal"/>
        <w:widowControl/>
        <w:spacing w:after="120"/>
      </w:pPr>
      <w:r>
        <w:t xml:space="preserve">Current allocation rule: after any prior AFP &gt;1000 ng/mL, AFP must fall below 500 and remain below 500 for the standardized exception route. Exactly 500 does not satisfy &lt;500. Failure requires individualized NLRB review, not an automatic prohibition of all clinical LT/LDLT. NLRB guidance is nonbinding and is not an approval guarantee.</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hM2FhZmRmYy02YzE4LTUyMmMtOGE2OC1mYTBhZDI4ZjUxZDIiIHRpbWVzdGFtcD0iMTc5MjkyMTA4N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hM2FhZmRmYy02YzE4LTUyMmMtOGE2OC1mYTBhZDI4ZjUxZDIiIHRpbWVzdGFtcD0iMTc5MjkyMTA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232">
        <w:r>
          <w:rPr>
            <w:color w:val="0563C1"/>
            <w:u w:val="single"/>
          </w:rPr>
          <w:t>Source</w:t>
        </w:r>
      </w:hyperlink>
      <w:r>
        <w:t xml:space="preserve"> · </w:t>
      </w:r>
      <w:hyperlink r:id="rId233">
        <w:r>
          <w:rPr>
            <w:color w:val="0563C1"/>
            <w:u w:val="single"/>
          </w:rPr>
          <w:t>PDF</w:t>
        </w:r>
      </w:hyperlink>
      <w:r>
        <w:br/>
      </w:r>
      <w:hyperlink r:id="rId234">
        <w:r>
          <w:rPr>
            <w:color w:val="0563C1"/>
            <w:u w:val="single"/>
          </w:rPr>
          <w:t>Source</w:t>
        </w:r>
      </w:hyperlink>
      <w:r>
        <w:t xml:space="preserve"> · </w:t>
      </w:r>
      <w:hyperlink r:id="rId235">
        <w:r>
          <w:rPr>
            <w:color w:val="0563C1"/>
            <w:u w:val="single"/>
          </w:rPr>
          <w:t>PDF</w:t>
        </w:r>
      </w:hyperlink>
    </w:p>
    <w:p>
      <w:pPr>
        <w:pStyle w:val="Heading2"/>
        <w:widowControl/>
        <w:keepNext/>
      </w:pPr>
      <w:r>
        <w:t xml:space="preserve">Full-text evidence and its limits</w:t>
      </w:r>
    </w:p>
    <w:p>
      <w:pPr>
        <w:pStyle w:val="Heading2"/>
        <w:widowControl/>
        <w:keepNext/>
      </w:pPr>
      <w:r>
        <w:t xml:space="preserve">Mehta 2019: AFP response</w:t>
      </w:r>
    </w:p>
    <w:p>
      <w:pPr>
        <w:pStyle w:val="Normal"/>
        <w:widowControl/>
        <w:spacing w:after="120"/>
      </w:pPr>
      <w:r>
        <w:t xml:space="preserve">Supports response-based biological review and the existing &gt;1000-to-&lt;500 allocation framework. Does not require AFP &lt;100 for every within-Milan candidate or prove a safe AFP-only exception.</w:t>
      </w:r>
      <w:r>
        <w:t xml:space="preserve"> </w:t>
      </w:r>
      <w:r>
        <w:fldChar w:fldCharType="begin"/>
      </w:r>
      <w:r>
        <w:instrText xml:space="preserve"> ADDIN EN.CITE </w:instrText>
      </w:r>
      <w:r>
        <w:fldChar w:fldCharType="begin">
          <w:fldData>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</w:fldData>
        </w:fldChar>
      </w:r>
      <w:r>
        <w:instrText xml:space="preserve"> ADDIN EN.CITE.DATA </w:instrText>
      </w:r>
      <w:r>
        <w:fldChar w:fldCharType="end"/>
      </w:r>
      <w:r>
        <w:fldChar w:fldCharType="separate"/>
      </w:r>
      <w:r>
        <w:t xml:space="preserve">[V12-37]</w:t>
      </w:r>
      <w:r>
        <w:fldChar w:fldCharType="end"/>
      </w:r>
      <w:r>
        <w:br/>
      </w:r>
      <w:hyperlink r:id="rId236">
        <w:r>
          <w:rPr>
            <w:color w:val="0563C1"/>
            <w:u w:val="single"/>
          </w:rPr>
          <w:t>Source</w:t>
        </w:r>
      </w:hyperlink>
      <w:r>
        <w:t xml:space="preserve"> · </w:t>
      </w:r>
      <w:hyperlink r:id="rId237">
        <w:r>
          <w:rPr>
            <w:color w:val="0563C1"/>
            <w:u w:val="single"/>
          </w:rPr>
          <w:t>PDF</w:t>
        </w:r>
      </w:hyperlink>
    </w:p>
    <w:p>
      <w:pPr>
        <w:pStyle w:val="Normal"/>
        <w:widowControl/>
        <w:spacing w:after="120"/>
      </w:pPr>
      <w:r>
        <w:t xml:space="preserve">Population and design: Retrospective UNOS recipient cohort, 2005–2015; 407 patients with AFP &gt;1000 at least once and final AFP within 90 days of LT. Living-donor and multiorgan recipients excluded; 93.6% initially within Milan.</w:t>
      </w:r>
    </w:p>
    <w:p>
      <w:pPr>
        <w:pStyle w:val="Normal"/>
        <w:widowControl/>
        <w:spacing w:after="120"/>
      </w:pPr>
      <w:r>
        <w:t xml:space="preserve">Results: Five-year post-LT OS: 48.8% with final AFP &gt;1000, 67.0% at 101–499, and 88.4% at ≤100. Corresponding Kaplan–Meier recurrence estimates: 35.0%, 13.3%, and 7.2%. The 500–1000 group had only 17 patients. Differences between ≤100 and 101–499 were not statistically significant.</w:t>
      </w:r>
    </w:p>
    <w:p>
      <w:pPr>
        <w:pStyle w:val="Normal"/>
        <w:widowControl/>
        <w:spacing w:after="120"/>
      </w:pPr>
      <w:r>
        <w:t xml:space="preserve">Limits: Recipient-only, selected historical cohort; treatment and waiting time differed substantially between groups. Non-HCC death was censored for recurrence. No proof that forcing AFP lower causes benefit, no AFP-only/imaging-complete-response subgroup, and no LDLT validation.</w:t>
      </w:r>
    </w:p>
    <w:p>
      <w:pPr>
        <w:pStyle w:val="Heading2"/>
        <w:widowControl/>
        <w:keepNext/>
      </w:pPr>
      <w:r>
        <w:t xml:space="preserve">Goldman 2022: final AFP ≥500</w:t>
      </w:r>
    </w:p>
    <w:p>
      <w:pPr>
        <w:pStyle w:val="Normal"/>
        <w:widowControl/>
        <w:spacing w:after="120"/>
      </w:pPr>
      <w:r>
        <w:t xml:space="preserve">Supports discussing a conservative clinical hold at confirmed AFP ≥500, even without a prior &gt;1000 result. This is an OPEN local proposal, not a universal OPTN contraindication or a proven transplant-benefit cutoff.</w:t>
      </w:r>
      <w:r>
        <w:t xml:space="preserve"> </w:t>
      </w:r>
      <w:r>
        <w:fldChar w:fldCharType="begin"/>
      </w:r>
      <w:r>
        <w:instrText xml:space="preserve"> ADDIN EN.CITE </w:instrText>
      </w:r>
      <w:r>
        <w:fldChar w:fldCharType="begin">
          <w:fldData>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</w:fldData>
        </w:fldChar>
      </w:r>
      <w:r>
        <w:instrText xml:space="preserve"> ADDIN EN.CITE.DATA </w:instrText>
      </w:r>
      <w:r>
        <w:fldChar w:fldCharType="end"/>
      </w:r>
      <w:r>
        <w:fldChar w:fldCharType="separate"/>
      </w:r>
      <w:r>
        <w:t xml:space="preserve">[V12-40]</w:t>
      </w:r>
      <w:r>
        <w:fldChar w:fldCharType="end"/>
      </w:r>
      <w:r>
        <w:br/>
      </w:r>
      <w:hyperlink r:id="rId238">
        <w:r>
          <w:rPr>
            <w:color w:val="0563C1"/>
            <w:u w:val="single"/>
          </w:rPr>
          <w:t>Source</w:t>
        </w:r>
      </w:hyperlink>
      <w:r>
        <w:t xml:space="preserve"> · </w:t>
      </w:r>
      <w:hyperlink r:id="rId239">
        <w:r>
          <w:rPr>
            <w:color w:val="0563C1"/>
            <w:u w:val="single"/>
          </w:rPr>
          <w:t>PDF</w:t>
        </w:r>
      </w:hyperlink>
    </w:p>
    <w:p>
      <w:pPr>
        <w:pStyle w:val="Normal"/>
        <w:widowControl/>
        <w:spacing w:after="120"/>
      </w:pPr>
      <w:r>
        <w:t xml:space="preserve">Population and design: UNOS 2005–2015; 1766 LT recipients with initial AFP 100–999. Only 879 had serial values; final AFP ≥500 subgroup n=109. LDLT excluded.</w:t>
      </w:r>
    </w:p>
    <w:p>
      <w:pPr>
        <w:pStyle w:val="Normal"/>
        <w:widowControl/>
        <w:spacing w:after="120"/>
      </w:pPr>
      <w:r>
        <w:t xml:space="preserve">Results: Five-year OS at final AFP &lt;100 / 100–499 / ≥500: 72.7% / 70.4% / 56.1%; recurrence: 13.1% / 18.7% / 24.2%. Final AFP ≥500: adjusted mortality HR 1.50 (95% CI 1.07–2.10), recurrence HR 1.88 (1.13–3.14).</w:t>
      </w:r>
    </w:p>
    <w:p>
      <w:pPr>
        <w:pStyle w:val="Normal"/>
        <w:widowControl/>
        <w:spacing w:after="120"/>
      </w:pPr>
      <w:r>
        <w:t xml:space="preserve">Limits: Historical recipient-only study, not a comparison of transplant versus no transplant. Many had only one AFP. In the ≥500 subgroup, 40.4% were ≥1000; small subgroups cannot establish equivalence. Recurrence estimates censor competing death.</w:t>
      </w:r>
    </w:p>
    <w:p>
      <w:pPr>
        <w:pStyle w:val="Heading2"/>
        <w:widowControl/>
        <w:keepNext/>
      </w:pPr>
      <w:r>
        <w:t xml:space="preserve">Giard 2018: AFP slope</w:t>
      </w:r>
    </w:p>
    <w:p>
      <w:pPr>
        <w:pStyle w:val="Normal"/>
        <w:widowControl/>
        <w:spacing w:after="120"/>
      </w:pPr>
      <w:r>
        <w:t xml:space="preserve">Use slope as an alert to reassess biology, imaging and inflammation, not a stand-alone absolute stop or permanent delisting rule.</w:t>
      </w:r>
      <w:r>
        <w:t xml:space="preserve"> </w:t>
      </w:r>
      <w:r>
        <w:fldChar w:fldCharType="begin"/>
      </w:r>
      <w:r>
        <w:instrText xml:space="preserve"> ADDIN EN.CITE </w:instrText>
      </w:r>
      <w:r>
        <w:fldChar w:fldCharType="begin">
          <w:fldData>PEVuZE5vdGU+PENpdGU+PEF1dGhvcj5HaWFyZCBKTTwvQXV0aG9yPjxZZWFyPjIwMTg8L1llYXI+PFJlY051bT40MTwvUmVjTnVtPjxEaXNwbGF5VGV4dD5bVjEyLTQxXTwvRGlzcGxheVRleHQ+PHJlY29yZD48cmVjLW51bWJlcj40MTwvcmVjLW51bWJlcj48Zm9yZWlnbi1rZXlzPjxrZXkgYXBwPSJFTiIgZGItaWQ9ImEzYWFmZGZjLTZjMTgtNTIyYy04YTY4LWZhMGFkMjhmNTFkMiIgdGltZXN0YW1wPSIxNzkyOTIxMDg3Ij40MT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[V12-41]</w:t>
      </w:r>
      <w:r>
        <w:fldChar w:fldCharType="end"/>
      </w:r>
      <w:r>
        <w:br/>
      </w:r>
      <w:hyperlink r:id="rId240">
        <w:r>
          <w:rPr>
            <w:color w:val="0563C1"/>
            <w:u w:val="single"/>
          </w:rPr>
          <w:t>Source</w:t>
        </w:r>
      </w:hyperlink>
      <w:r>
        <w:t xml:space="preserve"> · </w:t>
      </w:r>
      <w:hyperlink r:id="rId241">
        <w:r>
          <w:rPr>
            <w:color w:val="0563C1"/>
            <w:u w:val="single"/>
          </w:rPr>
          <w:t>PDF</w:t>
        </w:r>
      </w:hyperlink>
    </w:p>
    <w:p>
      <w:pPr>
        <w:pStyle w:val="Normal"/>
        <w:widowControl/>
        <w:spacing w:after="120"/>
      </w:pPr>
      <w:r>
        <w:t xml:space="preserve">Population and design: Single-center 336 transplanted T2/Milan patients, 2003–2013; 98.2% received LRT. Median five AFP measurements over 9.8 months. Slope fitted to all values; &gt;7.5 subgroup n=23.</w:t>
      </w:r>
    </w:p>
    <w:p>
      <w:pPr>
        <w:pStyle w:val="Normal"/>
        <w:widowControl/>
        <w:spacing w:after="120"/>
      </w:pPr>
      <w:r>
        <w:t xml:space="preserve">Results: AFP slope &gt;7.5 ng/mL/month: adjusted recurrence HR 3.0 (1.1–8.1), microvascular invasion OR 6.8 (1.6–28.7). Five-year recurrence-free probability 69.8% versus 87.4%; survival without recurrence 59.5% versus 75.3%. These are different endpoints, neither pair should be labeled overall survival.</w:t>
      </w:r>
    </w:p>
    <w:p>
      <w:pPr>
        <w:pStyle w:val="Normal"/>
        <w:widowControl/>
        <w:spacing w:after="120"/>
      </w:pPr>
      <w:r>
        <w:t xml:space="preserve">Limits: Small, data-selected cutoff group; no prospective hold/release validation. The long-term fitted slope cannot be inferred reliably from two closely spaced noisy results. Death was censored for recurrence-free probability.</w:t>
      </w:r>
    </w:p>
    <w:p>
      <w:pPr>
        <w:pStyle w:val="Heading2"/>
        <w:widowControl/>
        <w:keepNext/>
      </w:pPr>
      <w:r>
        <w:t xml:space="preserve">Halazun 2021: dynamic AFP/NYCA</w:t>
      </w:r>
    </w:p>
    <w:p>
      <w:pPr>
        <w:pStyle w:val="Normal"/>
        <w:widowControl/>
        <w:spacing w:after="120"/>
      </w:pPr>
      <w:r>
        <w:t xml:space="preserve">Use dynamic AFP as complementary risk information. The NYCA definition of response does not supersede the stricter OPTN requirement to fall below 500 after AFP &gt;1000.</w:t>
      </w:r>
      <w:r>
        <w:t xml:space="preserve"> </w:t>
      </w:r>
      <w:r>
        <w:fldChar w:fldCharType="begin"/>
      </w:r>
      <w:r>
        <w:instrText xml:space="preserve"> ADDIN EN.CITE </w:instrText>
      </w:r>
      <w:r>
        <w:fldChar w:fldCharType="begin">
          <w:fldData>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</w:fldData>
        </w:fldChar>
      </w:r>
      <w:r>
        <w:instrText xml:space="preserve"> ADDIN EN.CITE.DATA </w:instrText>
      </w:r>
      <w:r>
        <w:fldChar w:fldCharType="end"/>
      </w:r>
      <w:r>
        <w:fldChar w:fldCharType="separate"/>
      </w:r>
      <w:r>
        <w:t xml:space="preserve">[V12-38]</w:t>
      </w:r>
      <w:r>
        <w:fldChar w:fldCharType="end"/>
      </w:r>
      <w:r>
        <w:br/>
      </w:r>
      <w:hyperlink r:id="rId242">
        <w:r>
          <w:rPr>
            <w:color w:val="0563C1"/>
            <w:u w:val="single"/>
          </w:rPr>
          <w:t>Source</w:t>
        </w:r>
      </w:hyperlink>
      <w:r>
        <w:t xml:space="preserve"> · </w:t>
      </w:r>
      <w:hyperlink r:id="rId243">
        <w:r>
          <w:rPr>
            <w:color w:val="0563C1"/>
            <w:u w:val="single"/>
          </w:rPr>
          <w:t>PDF</w:t>
        </w:r>
      </w:hyperlink>
    </w:p>
    <w:p>
      <w:pPr>
        <w:pStyle w:val="Normal"/>
        <w:widowControl/>
        <w:spacing w:after="120"/>
      </w:pPr>
      <w:r>
        <w:t xml:space="preserve">Population and design: External retrospective validation in 2236 LT recipients at eight centers, 2001–2013; 545 beyond Milan. Composite score combines tumor size, count and AFP response. Deaths within 90 postoperative days excluded.</w:t>
      </w:r>
    </w:p>
    <w:p>
      <w:pPr>
        <w:pStyle w:val="Normal"/>
        <w:widowControl/>
        <w:spacing w:after="120"/>
      </w:pPr>
      <w:r>
        <w:t xml:space="preserve">Results: Five-year competing-risk cumulative recurrence: 9.5%, 20.5%, 40.5% for low/intermediate/high NYCA categories. Discrimination C statistic 0.66. These are composite-score categories, not isolated AFP ranges.</w:t>
      </w:r>
    </w:p>
    <w:p>
      <w:pPr>
        <w:pStyle w:val="Normal"/>
        <w:widowControl/>
        <w:spacing w:after="120"/>
      </w:pPr>
      <w:r>
        <w:t xml:space="preserve">Limits: Recipient selection, exclusion of early deaths, no waitlist dropout or transplant-benefit comparison. Maximum-to-final AFP can miss a rebound below the original peak. Extreme-AFP response subgroup was tiny.</w:t>
      </w:r>
    </w:p>
    <w:p>
      <w:pPr>
        <w:pStyle w:val="Heading2"/>
        <w:widowControl/>
        <w:keepNext/>
      </w:pPr>
      <w:r>
        <w:t xml:space="preserve">Moriyama 2026: markers before imaging recurrence</w:t>
      </w:r>
    </w:p>
    <w:p>
      <w:pPr>
        <w:pStyle w:val="Normal"/>
        <w:widowControl/>
        <w:spacing w:after="120"/>
      </w:pPr>
      <w:r>
        <w:t xml:space="preserve">Supports prompt repeat markers and high-quality/alternate imaging for an unexplained rise. Does not prove occult recurrence in every individual, justify empiric systemic/LRT treatment without a target, or validate an AFP-only transplant cutoff.</w:t>
      </w:r>
      <w:r>
        <w:t xml:space="preserve"> </w:t>
      </w:r>
      <w:r>
        <w:fldChar w:fldCharType="begin"/>
      </w:r>
      <w:r>
        <w:instrText xml:space="preserve"> ADDIN EN.CITE </w:instrText>
      </w:r>
      <w:r>
        <w:fldChar w:fldCharType="begin">
          <w:fldData>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</w:fldData>
        </w:fldChar>
      </w:r>
      <w:r>
        <w:instrText xml:space="preserve"> ADDIN EN.CITE.DATA </w:instrText>
      </w:r>
      <w:r>
        <w:fldChar w:fldCharType="end"/>
      </w:r>
      <w:r>
        <w:fldChar w:fldCharType="separate"/>
      </w:r>
      <w:r>
        <w:t xml:space="preserve">[V12-39]</w:t>
      </w:r>
      <w:r>
        <w:fldChar w:fldCharType="end"/>
      </w:r>
      <w:r>
        <w:br/>
      </w:r>
      <w:hyperlink r:id="rId244">
        <w:r>
          <w:rPr>
            <w:color w:val="0563C1"/>
            <w:u w:val="single"/>
          </w:rPr>
          <w:t>Source</w:t>
        </w:r>
      </w:hyperlink>
      <w:r>
        <w:t xml:space="preserve"> · </w:t>
      </w:r>
      <w:hyperlink r:id="rId245">
        <w:r>
          <w:rPr>
            <w:color w:val="0563C1"/>
            <w:u w:val="single"/>
          </w:rPr>
          <w:t>PDF</w:t>
        </w:r>
      </w:hyperlink>
    </w:p>
    <w:p>
      <w:pPr>
        <w:pStyle w:val="Normal"/>
        <w:widowControl/>
        <w:spacing w:after="120"/>
      </w:pPr>
      <w:r>
        <w:t xml:space="preserve">Population and design: Retrospective post-RFA, nontransplant cohort. Among 1620 initially treated patients, 907 episodes in 509 patients had elevated AFP, AFP-L3 and/or DCP without imaging evidence. Episodes are not independent patients and this is not AFP alone.</w:t>
      </w:r>
    </w:p>
    <w:p>
      <w:pPr>
        <w:pStyle w:val="Normal"/>
        <w:widowControl/>
        <w:spacing w:after="120"/>
      </w:pPr>
      <w:r>
        <w:t xml:space="preserve">Results: Recurrence was subsequently identified in 886 episodes; median detection interval 89 days. Local curative treatment 83.5% versus 78.8% and post-recurrence OS 3.55 versus 3.31 years for detection ≤180 versus &gt;180 days; differences were not statistically significant.</w:t>
      </w:r>
    </w:p>
    <w:p>
      <w:pPr>
        <w:pStyle w:val="Normal"/>
        <w:widowControl/>
        <w:spacing w:after="120"/>
      </w:pPr>
      <w:r>
        <w:t xml:space="preserve">Limits: RFA-specific, repeated episodes and competing losses; no LT cohort or tested optimal recall interval. Routine imaging is described as every four months in methods versus quarterly in abstract. Case-level AFP discrepancy between Figure 3 and Table 4 is not used.</w:t>
      </w:r>
    </w:p>
    <w:p>
      <w:pPr>
        <w:pStyle w:val="Heading2"/>
        <w:widowControl/>
        <w:keepNext/>
      </w:pPr>
      <w:r>
        <w:t xml:space="preserve">Source wording in context</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3582"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3743"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OPTN policy 9 5 I iv</w:t>
            </w:r>
          </w:p>
        </w:tc>
        <w:tc>
          <w:tcPr>
            <w:tcW w:w="3582" w:type="dxa"/>
            <w:vAlign w:val="top"/>
            <w:shd w:fill="F1F5F8"/>
          </w:tcPr>
          <w:p>
            <w:pPr>
              <w:pStyle w:val="Normal"/>
              <w:widowControl/>
              <w:spacing w:after="55" w:line="240" w:lineRule="auto"/>
              <w:keepNext w:val="0"/>
              <w:keepLines/>
            </w:pPr>
            <w:r>
              <w:rPr>
                <w:sz w:val="21"/>
                <w:szCs w:val="21"/>
              </w:rPr>
              <w:t xml:space="preserve">“as long as the candidate’s AFP level remains below 500 ng/mL”</w:t>
            </w:r>
          </w:p>
        </w:tc>
        <w:tc>
          <w:tcPr>
            <w:tcW w:w="3743" w:type="dxa"/>
            <w:vAlign w:val="top"/>
            <w:shd w:fill="F1F5F8"/>
          </w:tcPr>
          <w:p>
            <w:pPr>
              <w:pStyle w:val="Normal"/>
              <w:widowControl/>
              <w:spacing w:after="55" w:line="240" w:lineRule="auto"/>
              <w:keepNext w:val="0"/>
              <w:keepLines/>
            </w:pPr>
            <w:r>
              <w:rPr>
                <w:sz w:val="21"/>
                <w:szCs w:val="21"/>
              </w:rPr>
              <w:t xml:space="preserve">Allocation rule after prior AFP above 1000. Full paragraph must be read in context; this excerpt is not a universal AFP rule for all HCC.</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hM2FhZmRmYy02YzE4LTUyMmMtOGE2OC1mYTBhZDI4ZjUxZDIiIHRpbWVzdGFtcD0iMTc5MjkyMTA4N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br/>
            </w:r>
            <w:hyperlink r:id="rId246">
              <w:r>
                <w:rPr>
                  <w:color w:val="0563C1"/>
                  <w:u w:val="single"/>
                </w:rPr>
                <w:t>Source</w:t>
              </w:r>
            </w:hyperlink>
            <w:r>
              <w:t xml:space="preserve"> · </w:t>
            </w:r>
            <w:hyperlink r:id="rId247">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NLRB oncology guidance</w:t>
            </w:r>
          </w:p>
        </w:tc>
        <w:tc>
          <w:tcPr>
            <w:tcW w:w="3582" w:type="dxa"/>
            <w:vAlign w:val="top"/>
            <w:shd w:fill="FFFFFF"/>
          </w:tcPr>
          <w:p>
            <w:pPr>
              <w:pStyle w:val="Normal"/>
              <w:widowControl/>
              <w:spacing w:after="55" w:line="240" w:lineRule="auto"/>
              <w:keepNext w:val="0"/>
              <w:keepLines/>
            </w:pPr>
            <w:r>
              <w:rPr>
                <w:sz w:val="21"/>
                <w:szCs w:val="21"/>
              </w:rPr>
              <w:t xml:space="preserve">“In general, these candidates are not suitable for HCC MELD exception but may be appropriate in some cases.”</w:t>
            </w:r>
          </w:p>
        </w:tc>
        <w:tc>
          <w:tcPr>
            <w:tcW w:w="3743" w:type="dxa"/>
            <w:vAlign w:val="top"/>
            <w:shd w:fill="FFFFFF"/>
          </w:tcPr>
          <w:p>
            <w:pPr>
              <w:pStyle w:val="Normal"/>
              <w:widowControl/>
              <w:spacing w:after="55" w:line="240" w:lineRule="auto"/>
              <w:keepNext w:val="0"/>
              <w:keepLines/>
            </w:pPr>
            <w:r>
              <w:rPr>
                <w:sz w:val="21"/>
                <w:szCs w:val="21"/>
              </w:rPr>
              <w:t xml:space="preserve">Refers to AFP above 1000 that does not respond below 500. Nonbinding review guidance, not an approved AFP-only transplant study.</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hM2FhZmRmYy02YzE4LTUyMmMtOGE2OC1mYTBhZDI4ZjUxZDIiIHRpbWVzdGFtcD0iMTc5MjkyMTA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248">
              <w:r>
                <w:rPr>
                  <w:color w:val="0563C1"/>
                  <w:u w:val="single"/>
                </w:rPr>
                <w:t>Source</w:t>
              </w:r>
            </w:hyperlink>
            <w:r>
              <w:t xml:space="preserve"> · </w:t>
            </w:r>
            <w:hyperlink r:id="rId249">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Giard 2018 conclusion</w:t>
            </w:r>
          </w:p>
        </w:tc>
        <w:tc>
          <w:tcPr>
            <w:tcW w:w="3582" w:type="dxa"/>
            <w:vAlign w:val="top"/>
            <w:shd w:fill="F1F5F8"/>
          </w:tcPr>
          <w:p>
            <w:pPr>
              <w:pStyle w:val="Normal"/>
              <w:widowControl/>
              <w:spacing w:after="55" w:line="240" w:lineRule="auto"/>
              <w:keepNext w:val="0"/>
              <w:keepLines/>
            </w:pPr>
            <w:r>
              <w:rPr>
                <w:sz w:val="21"/>
                <w:szCs w:val="21"/>
              </w:rPr>
              <w:t xml:space="preserve">“AFP slope increasing greater than 7.5 ng/mL per month despite locoregional therapy is associated with post-LT HCC recurrence”</w:t>
            </w:r>
          </w:p>
        </w:tc>
        <w:tc>
          <w:tcPr>
            <w:tcW w:w="3743" w:type="dxa"/>
            <w:vAlign w:val="top"/>
            <w:shd w:fill="F1F5F8"/>
          </w:tcPr>
          <w:p>
            <w:pPr>
              <w:pStyle w:val="Normal"/>
              <w:widowControl/>
              <w:spacing w:after="55" w:line="240" w:lineRule="auto"/>
              <w:keepNext w:val="0"/>
              <w:keepLines/>
            </w:pPr>
            <w:r>
              <w:rPr>
                <w:sz w:val="21"/>
                <w:szCs w:val="21"/>
              </w:rPr>
              <w:t xml:space="preserve">Association supports reassessment. The quoted sentence does not establish a validated mandatory delisting rule.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HaWFyZCBKTTwvQXV0aG9yPjxZZWFyPjIwMTg8L1llYXI+PFJlY051bT40MTwvUmVjTnVtPjxEaXNwbGF5VGV4dD5bVjEyLTQxXTwvRGlzcGxheVRleHQ+PHJlY29yZD48cmVjLW51bWJlcj40MTwvcmVjLW51bWJlcj48Zm9yZWlnbi1rZXlzPjxrZXkgYXBwPSJFTiIgZGItaWQ9ImEzYWFmZGZjLTZjMTgtNTIyYy04YTY4LWZhMGFkMjhmNTFkMiIgdGltZXN0YW1wPSIxNzkyOTIxMDg3Ij40MT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[V12-41]</w:t>
            </w:r>
            <w:r>
              <w:fldChar w:fldCharType="end"/>
            </w:r>
            <w:r>
              <w:br/>
            </w:r>
            <w:hyperlink r:id="rId250">
              <w:r>
                <w:rPr>
                  <w:color w:val="0563C1"/>
                  <w:u w:val="single"/>
                </w:rPr>
                <w:t>Source</w:t>
              </w:r>
            </w:hyperlink>
            <w:r>
              <w:t xml:space="preserve"> · </w:t>
            </w:r>
            <w:hyperlink r:id="rId251">
              <w:r>
                <w:rPr>
                  <w:color w:val="0563C1"/>
                  <w:u w:val="single"/>
                </w:rPr>
                <w:t>PDF</w:t>
              </w:r>
            </w:hyperlink>
          </w:p>
        </w:tc>
      </w:tr>
    </w:tbl>
    <w:p>
      <w:pPr>
        <w:pStyle w:val="Heading2"/>
        <w:widowControl/>
        <w:keepNext/>
      </w:pPr>
      <w:r>
        <w:t xml:space="preserve">Order now</w:t>
      </w:r>
    </w:p>
    <w:p>
      <w:pPr>
        <w:pStyle w:val="Normal"/>
        <w:widowControl/>
        <w:spacing w:after="120"/>
        <w:numPr>
          <w:ilvl w:val="0"/>
          <w:numId w:val="4"/>
        </w:numPr>
      </w:pPr>
      <w:r>
        <w:t xml:space="preserve">Confirm the AFP result and trend</w:t>
      </w:r>
    </w:p>
    <w:p>
      <w:pPr>
        <w:pStyle w:val="Normal"/>
        <w:widowControl/>
        <w:spacing w:after="120"/>
        <w:numPr>
          <w:ilvl w:val="1"/>
          <w:numId w:val="4"/>
        </w:numPr>
      </w:pPr>
      <w:r>
        <w:t xml:space="preserve">Repeat AFP using the same laboratory/assay in 2–4 weeks, sooner for a major jump or clinical concern. Review all dated prior values, baseline and peak AFP, treatment dates and the current response scan. The 2–4 week interval is an OPEN local operational proposal.</w:t>
      </w:r>
      <w:r>
        <w:t xml:space="preserve"> </w:t>
      </w:r>
      <w:r>
        <w:fldChar w:fldCharType="begin"/>
      </w:r>
      <w:r>
        <w:instrText xml:space="preserve"> ADDIN EN.CITE </w:instrText>
      </w:r>
      <w:r>
        <w:fldChar w:fldCharType="begin">
          <w:fldData>PEVuZE5vdGU+PENpdGU+PEF1dGhvcj5TaW5nYWw8L0F1dGhvcj48WWVhcj4yMDIzPC9ZZWFyPjxSZWNOdW0+MTE8L1JlY051bT48RGlzcGxheVRleHQ+W1YxMi0xMV08L0Rpc3BsYXlUZXh0PjxyZWNvcmQ+PHJlYy1udW1iZXI+MTE8L3JlYy1udW1iZXI+PGZvcmVpZ24ta2V5cz48a2V5IGFwcD0iRU4iIGRiLWlkPSJhM2FhZmRmYy02YzE4LTUyMmMtOGE2OC1mYTBhZDI4ZjUxZDIiIHRpbWVzdGFtcD0iMTc5MjkyMTA4NyI+MTE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FBU0xEIDIwMjMgSEhTIGF1dGhvciBtYW51c2NyaXB0OyBjb21wbGV0ZSBMVCBzZWN0aW9ucyBQREYgcHAxNiYjODIxMTsyMCwgZ3VpZGFuY2Ugc3RhdGVtZW50cyBwcDU2JiM4MjExOzU3LCBhbGxvY2F0aW9uIGNhcHRpb25zIHBwNzEmIzgyMTE7NzIgYW5kIFRhYmxlcyAzJiM4MjExOzQgcHA3OCYjODIxMTs3OSByZWNoZWNrZWQuIEN1cnJlbnQgYW5kIHByaW9yIGNvcGllcyBoYXZlIGlkZW50aWNhbCB0ZXh0OyBub3QgYSB3aG9sZS1ndWlkZWxpbmUgcmVyZWFk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br/>
      </w:r>
      <w:hyperlink r:id="rId252">
        <w:r>
          <w:rPr>
            <w:color w:val="0563C1"/>
            <w:u w:val="single"/>
          </w:rPr>
          <w:t>Source</w:t>
        </w:r>
      </w:hyperlink>
      <w:r>
        <w:t xml:space="preserve"> · </w:t>
      </w:r>
      <w:hyperlink r:id="rId253">
        <w:r>
          <w:rPr>
            <w:color w:val="0563C1"/>
            <w:u w:val="single"/>
          </w:rPr>
          <w:t>PDF</w:t>
        </w:r>
      </w:hyperlink>
    </w:p>
    <w:p>
      <w:pPr>
        <w:pStyle w:val="Normal"/>
        <w:widowControl/>
        <w:spacing w:after="120"/>
        <w:numPr>
          <w:ilvl w:val="1"/>
          <w:numId w:val="4"/>
        </w:numPr>
      </w:pPr>
      <w:r>
        <w:t xml:space="preserve">Check ALT/AST, bilirubin and active viral hepatitis or other plausible hepatic inflammation. Consider assay interference or an extrahepatic AFP source when clinically indicated; do not order indiscriminate tests without a differential diagnosis.</w:t>
      </w:r>
      <w:r>
        <w:t xml:space="preserve"> </w:t>
      </w:r>
      <w:r>
        <w:fldChar w:fldCharType="begin"/>
      </w:r>
      <w:r>
        <w:instrText xml:space="preserve"> ADDIN EN.CITE </w:instrText>
      </w:r>
      <w:r>
        <w:fldChar w:fldCharType="begin">
          <w:fldData>PEVuZE5vdGU+PENpdGU+PEF1dGhvcj5TaW5nYWw8L0F1dGhvcj48WWVhcj4yMDIzPC9ZZWFyPjxSZWNOdW0+MTE8L1JlY051bT48RGlzcGxheVRleHQ+W1YxMi0xMV08L0Rpc3BsYXlUZXh0PjxyZWNvcmQ+PHJlYy1udW1iZXI+MTE8L3JlYy1udW1iZXI+PGZvcmVpZ24ta2V5cz48a2V5IGFwcD0iRU4iIGRiLWlkPSJhM2FhZmRmYy02YzE4LTUyMmMtOGE2OC1mYTBhZDI4ZjUxZDIiIHRpbWVzdGFtcD0iMTc5MjkyMTA4NyI+MTE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FBU0xEIDIwMjMgSEhTIGF1dGhvciBtYW51c2NyaXB0OyBjb21wbGV0ZSBMVCBzZWN0aW9ucyBQREYgcHAxNiYjODIxMTsyMCwgZ3VpZGFuY2Ugc3RhdGVtZW50cyBwcDU2JiM4MjExOzU3LCBhbGxvY2F0aW9uIGNhcHRpb25zIHBwNzEmIzgyMTE7NzIgYW5kIFRhYmxlcyAzJiM4MjExOzQgcHA3OCYjODIxMTs3OSByZWNoZWNrZWQuIEN1cnJlbnQgYW5kIHByaW9yIGNvcGllcyBoYXZlIGlkZW50aWNhbCB0ZXh0OyBub3QgYSB3aG9sZS1ndWlkZWxpbmUgcmVyZWFk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br/>
      </w:r>
      <w:hyperlink r:id="rId254">
        <w:r>
          <w:rPr>
            <w:color w:val="0563C1"/>
            <w:u w:val="single"/>
          </w:rPr>
          <w:t>Source</w:t>
        </w:r>
      </w:hyperlink>
      <w:r>
        <w:t xml:space="preserve"> · </w:t>
      </w:r>
      <w:hyperlink r:id="rId255">
        <w:r>
          <w:rPr>
            <w:color w:val="0563C1"/>
            <w:u w:val="single"/>
          </w:rPr>
          <w:t>PDF</w:t>
        </w:r>
      </w:hyperlink>
    </w:p>
    <w:p>
      <w:pPr>
        <w:pStyle w:val="Normal"/>
        <w:widowControl/>
        <w:spacing w:after="120"/>
        <w:numPr>
          <w:ilvl w:val="1"/>
          <w:numId w:val="4"/>
        </w:numPr>
      </w:pPr>
      <w:r>
        <w:t xml:space="preserve">Have transplant radiology re-review adequate multiphasic CT/MRI and the treatment-specific response category. With a persistent unexplained rise, consider the alternate contrast modality and chest/pelvic evaluation. PET is selective after unrevealing evaluation, not routine proof of no HCC.</w:t>
      </w:r>
      <w:r>
        <w:t xml:space="preserve"> </w:t>
      </w:r>
      <w:r>
        <w:fldChar w:fldCharType="begin"/>
      </w:r>
      <w:r>
        <w:instrText xml:space="preserve"> ADDIN EN.CITE </w:instrText>
      </w:r>
      <w:r>
        <w:fldChar w:fldCharType="begin">
          <w:fldData>PEVuZE5vdGU+PENpdGU+PEF1dGhvcj5TaW5nYWw8L0F1dGhvcj48WWVhcj4yMDIzPC9ZZWFyPjxSZWNOdW0+MTE8L1JlY051bT48RGlzcGxheVRleHQ+W1YxMi0xMV08L0Rpc3BsYXlUZXh0PjxyZWNvcmQ+PHJlYy1udW1iZXI+MTE8L3JlYy1udW1iZXI+PGZvcmVpZ24ta2V5cz48a2V5IGFwcD0iRU4iIGRiLWlkPSJhM2FhZmRmYy02YzE4LTUyMmMtOGE2OC1mYTBhZDI4ZjUxZDIiIHRpbWVzdGFtcD0iMTc5MjkyMTA4NyI+MTE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FBU0xEIDIwMjMgSEhTIGF1dGhvciBtYW51c2NyaXB0OyBjb21wbGV0ZSBMVCBzZWN0aW9ucyBQREYgcHAxNiYjODIxMTsyMCwgZ3VpZGFuY2Ugc3RhdGVtZW50cyBwcDU2JiM4MjExOzU3LCBhbGxvY2F0aW9uIGNhcHRpb25zIHBwNzEmIzgyMTE7NzIgYW5kIFRhYmxlcyAzJiM4MjExOzQgcHA3OCYjODIxMTs3OSByZWNoZWNrZWQuIEN1cnJlbnQgYW5kIHByaW9yIGNvcGllcyBoYXZlIGlkZW50aWNhbCB0ZXh0OyBub3QgYSB3aG9sZS1ndWlkZWxpbmUgcmVyZWFk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br/>
      </w:r>
      <w:hyperlink r:id="rId256">
        <w:r>
          <w:rPr>
            <w:color w:val="0563C1"/>
            <w:u w:val="single"/>
          </w:rPr>
          <w:t>Source</w:t>
        </w:r>
      </w:hyperlink>
      <w:r>
        <w:t xml:space="preserve"> · </w:t>
      </w:r>
      <w:hyperlink r:id="rId257">
        <w:r>
          <w:rPr>
            <w:color w:val="0563C1"/>
            <w:u w:val="single"/>
          </w:rPr>
          <w:t>PDF</w:t>
        </w:r>
      </w:hyperlink>
    </w:p>
    <w:p>
      <w:pPr>
        <w:pStyle w:val="Heading2"/>
        <w:widowControl/>
        <w:keepNext/>
      </w:pPr>
      <w:r>
        <w:t xml:space="preserve">Advance only when</w:t>
      </w:r>
    </w:p>
    <w:p>
      <w:pPr>
        <w:pStyle w:val="Normal"/>
        <w:widowControl/>
        <w:spacing w:after="120"/>
        <w:numPr>
          <w:ilvl w:val="0"/>
          <w:numId w:val="4"/>
        </w:numPr>
      </w:pPr>
      <w:r>
        <w:t xml:space="preserve">For an AFP-only candidate otherwise inside the accepted anatomical route</w:t>
      </w:r>
    </w:p>
    <w:p>
      <w:pPr>
        <w:pStyle w:val="Normal"/>
        <w:widowControl/>
        <w:spacing w:after="120"/>
        <w:numPr>
          <w:ilvl w:val="1"/>
          <w:numId w:val="4"/>
        </w:numPr>
      </w:pPr>
      <w:r>
        <w:t xml:space="preserve">The governing allocation rule is met, or an individual review outcome is documented; technically adequate imaging shows no exclusionary progression, vascular invasion or extrahepatic disease; no unresolved alternative cause or unexplained accelerating AFP remains.</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hM2FhZmRmYy02YzE4LTUyMmMtOGE2OC1mYTBhZDI4ZjUxZDIiIHRpbWVzdGFtcD0iMTc5MjkyMTA4N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hM2FhZmRmYy02YzE4LTUyMmMtOGE2OC1mYTBhZDI4ZjUxZDIiIHRpbWVzdGFtcD0iMTc5MjkyMTA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258">
        <w:r>
          <w:rPr>
            <w:color w:val="0563C1"/>
            <w:u w:val="single"/>
          </w:rPr>
          <w:t>Source</w:t>
        </w:r>
      </w:hyperlink>
      <w:r>
        <w:t xml:space="preserve"> · </w:t>
      </w:r>
      <w:hyperlink r:id="rId259">
        <w:r>
          <w:rPr>
            <w:color w:val="0563C1"/>
            <w:u w:val="single"/>
          </w:rPr>
          <w:t>PDF</w:t>
        </w:r>
      </w:hyperlink>
      <w:r>
        <w:br/>
      </w:r>
      <w:hyperlink r:id="rId260">
        <w:r>
          <w:rPr>
            <w:color w:val="0563C1"/>
            <w:u w:val="single"/>
          </w:rPr>
          <w:t>Source</w:t>
        </w:r>
      </w:hyperlink>
      <w:r>
        <w:t xml:space="preserve"> · </w:t>
      </w:r>
      <w:hyperlink r:id="rId261">
        <w:r>
          <w:rPr>
            <w:color w:val="0563C1"/>
            <w:u w:val="single"/>
          </w:rPr>
          <w:t>PDF</w:t>
        </w:r>
      </w:hyperlink>
    </w:p>
    <w:p>
      <w:pPr>
        <w:pStyle w:val="Normal"/>
        <w:widowControl/>
        <w:spacing w:after="120"/>
        <w:numPr>
          <w:ilvl w:val="1"/>
          <w:numId w:val="4"/>
        </w:numPr>
      </w:pPr>
      <w:r>
        <w:t xml:space="preserve">OPEN proposal after a biochemical hold: at least two AFP values at least 4 weeks apart showing a stable or falling trajectory below the applicable threshold, with contemporaneous reviewed imaging. Do not require AFP normalization or below 100 for every within-Milan patient. This confirmation interval is not prospectively validated.</w:t>
      </w:r>
    </w:p>
    <w:p>
      <w:pPr>
        <w:pStyle w:val="Normal"/>
        <w:widowControl/>
        <w:spacing w:after="120"/>
        <w:numPr>
          <w:ilvl w:val="1"/>
          <w:numId w:val="4"/>
        </w:numPr>
      </w:pPr>
      <w:r>
        <w:t xml:space="preserve">All other observation requirements remain in force. B1 expanded-burden patients retain the separately proposed AFP below 100 and longer biology observation; satisfying B1.1 does not shorten B1, ICI washout, or OPTN waiting requirements.</w:t>
      </w:r>
    </w:p>
    <w:p>
      <w:pPr>
        <w:pStyle w:val="Heading2"/>
        <w:widowControl/>
        <w:keepNext/>
      </w:pPr>
      <w:r>
        <w:t xml:space="preserve">Hold and reassess</w:t>
      </w:r>
    </w:p>
    <w:p>
      <w:pPr>
        <w:pStyle w:val="Normal"/>
        <w:widowControl/>
        <w:spacing w:after="120"/>
        <w:numPr>
          <w:ilvl w:val="0"/>
          <w:numId w:val="4"/>
        </w:numPr>
      </w:pPr>
      <w:r>
        <w:t xml:space="preserve">Separate the mandatory allocation issue from the proposed clinical hold</w:t>
      </w:r>
    </w:p>
    <w:p>
      <w:pPr>
        <w:pStyle w:val="Normal"/>
        <w:widowControl/>
        <w:spacing w:after="120"/>
        <w:numPr>
          <w:ilvl w:val="1"/>
          <w:numId w:val="4"/>
        </w:numPr>
      </w:pPr>
      <w:r>
        <w:t xml:space="preserve">POLICY: after any prior AFP above 1000, AFP at least 500 after treatment prevents automatic advancement through the standardized exception route and requires NLRB consideration. The team should not promise exception approval.</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hM2FhZmRmYy02YzE4LTUyMmMtOGE2OC1mYTBhZDI4ZjUxZDIiIHRpbWVzdGFtcD0iMTc5MjkyMTA4N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hM2FhZmRmYy02YzE4LTUyMmMtOGE2OC1mYTBhZDI4ZjUxZDIiIHRpbWVzdGFtcD0iMTc5MjkyMTA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262">
        <w:r>
          <w:rPr>
            <w:color w:val="0563C1"/>
            <w:u w:val="single"/>
          </w:rPr>
          <w:t>Source</w:t>
        </w:r>
      </w:hyperlink>
      <w:r>
        <w:t xml:space="preserve"> · </w:t>
      </w:r>
      <w:hyperlink r:id="rId263">
        <w:r>
          <w:rPr>
            <w:color w:val="0563C1"/>
            <w:u w:val="single"/>
          </w:rPr>
          <w:t>PDF</w:t>
        </w:r>
      </w:hyperlink>
      <w:r>
        <w:br/>
      </w:r>
      <w:hyperlink r:id="rId264">
        <w:r>
          <w:rPr>
            <w:color w:val="0563C1"/>
            <w:u w:val="single"/>
          </w:rPr>
          <w:t>Source</w:t>
        </w:r>
      </w:hyperlink>
      <w:r>
        <w:t xml:space="preserve"> · </w:t>
      </w:r>
      <w:hyperlink r:id="rId265">
        <w:r>
          <w:rPr>
            <w:color w:val="0563C1"/>
            <w:u w:val="single"/>
          </w:rPr>
          <w:t>PDF</w:t>
        </w:r>
      </w:hyperlink>
    </w:p>
    <w:p>
      <w:pPr>
        <w:pStyle w:val="Normal"/>
        <w:widowControl/>
        <w:spacing w:after="120"/>
        <w:numPr>
          <w:ilvl w:val="1"/>
          <w:numId w:val="4"/>
        </w:numPr>
      </w:pPr>
      <w:r>
        <w:t xml:space="preserve">OPEN clinical proposal: confirmed AFP at least 500 is a high-risk LT hold pending biological and allocation review even if AFP never exceeded 1000. This deliberately conservative local rule is supported by retrospective outcomes, not mandated by OPTN for every candidate.</w:t>
      </w:r>
      <w:r>
        <w:t xml:space="preserve"> </w:t>
      </w:r>
      <w:r>
        <w:fldChar w:fldCharType="begin"/>
      </w:r>
      <w:r>
        <w:instrText xml:space="preserve"> ADDIN EN.CITE </w:instrText>
      </w:r>
      <w:r>
        <w:fldChar w:fldCharType="begin">
          <w:fldData>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</w:fldData>
        </w:fldChar>
      </w:r>
      <w:r>
        <w:instrText xml:space="preserve"> ADDIN EN.CITE.DATA </w:instrText>
      </w:r>
      <w:r>
        <w:fldChar w:fldCharType="end"/>
      </w:r>
      <w:r>
        <w:fldChar w:fldCharType="separate"/>
      </w:r>
      <w:r>
        <w:t xml:space="preserve">[V12-40]</w:t>
      </w:r>
      <w:r>
        <w:fldChar w:fldCharType="end"/>
      </w:r>
      <w:r>
        <w:br/>
      </w:r>
      <w:hyperlink r:id="rId266">
        <w:r>
          <w:rPr>
            <w:color w:val="0563C1"/>
            <w:u w:val="single"/>
          </w:rPr>
          <w:t>Source</w:t>
        </w:r>
      </w:hyperlink>
      <w:r>
        <w:t xml:space="preserve"> · </w:t>
      </w:r>
      <w:hyperlink r:id="rId267">
        <w:r>
          <w:rPr>
            <w:color w:val="0563C1"/>
            <w:u w:val="single"/>
          </w:rPr>
          <w:t>PDF</w:t>
        </w:r>
      </w:hyperlink>
    </w:p>
    <w:p>
      <w:pPr>
        <w:pStyle w:val="Normal"/>
        <w:widowControl/>
        <w:spacing w:after="120"/>
        <w:numPr>
          <w:ilvl w:val="1"/>
          <w:numId w:val="4"/>
        </w:numPr>
      </w:pPr>
      <w:r>
        <w:t xml:space="preserve">OPEN clinical proposal below 500: AFP at least 200 with two consecutive increases or a confirmed doubling prompts temporary hold and expedited restaging if the rise is unexplained. Lesser rises prompt repeat testing and MDT review, not automatic delisting. These combined thresholds are operational proposals, not a validated prediction rule.</w:t>
      </w:r>
      <w:r>
        <w:t xml:space="preserve"> </w:t>
      </w:r>
      <w:r>
        <w:fldChar w:fldCharType="begin"/>
      </w:r>
      <w:r>
        <w:instrText xml:space="preserve"> ADDIN EN.CITE </w:instrText>
      </w:r>
      <w:r>
        <w:fldChar w:fldCharType="begin">
          <w:fldData>PEVuZE5vdGU+PENpdGU+PEF1dGhvcj5TaW5nYWw8L0F1dGhvcj48WWVhcj4yMDIzPC9ZZWFyPjxSZWNOdW0+MTE8L1JlY051bT48RGlzcGxheVRleHQ+W1YxMi0xMV08L0Rpc3BsYXlUZXh0PjxyZWNvcmQ+PHJlYy1udW1iZXI+MTE8L3JlYy1udW1iZXI+PGZvcmVpZ24ta2V5cz48a2V5IGFwcD0iRU4iIGRiLWlkPSJhM2FhZmRmYy02YzE4LTUyMmMtOGE2OC1mYTBhZDI4ZjUxZDIiIHRpbWVzdGFtcD0iMTc5MjkyMTA4NyI+MTE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FBU0xEIDIwMjMgSEhTIGF1dGhvciBtYW51c2NyaXB0OyBjb21wbGV0ZSBMVCBzZWN0aW9ucyBQREYgcHAxNiYjODIxMTsyMCwgZ3VpZGFuY2Ugc3RhdGVtZW50cyBwcDU2JiM4MjExOzU3LCBhbGxvY2F0aW9uIGNhcHRpb25zIHBwNzEmIzgyMTE7NzIgYW5kIFRhYmxlcyAzJiM4MjExOzQgcHA3OCYjODIxMTs3OSByZWNoZWNrZWQuIEN1cnJlbnQgYW5kIHByaW9yIGNvcGllcyBoYXZlIGlkZW50aWNhbCB0ZXh0OyBub3QgYSB3aG9sZS1ndWlkZWxpbmUgcmVyZWFk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fldChar w:fldCharType="begin"/>
      </w:r>
      <w:r>
        <w:instrText xml:space="preserve"> ADDIN EN.CITE </w:instrText>
      </w:r>
      <w:r>
        <w:fldChar w:fldCharType="begin">
          <w:fldData>PEVuZE5vdGU+PENpdGU+PEF1dGhvcj5HaWFyZCBKTTwvQXV0aG9yPjxZZWFyPjIwMTg8L1llYXI+PFJlY051bT40MTwvUmVjTnVtPjxEaXNwbGF5VGV4dD5bVjEyLTQxXTwvRGlzcGxheVRleHQ+PHJlY29yZD48cmVjLW51bWJlcj40MTwvcmVjLW51bWJlcj48Zm9yZWlnbi1rZXlzPjxrZXkgYXBwPSJFTiIgZGItaWQ9ImEzYWFmZGZjLTZjMTgtNTIyYy04YTY4LWZhMGFkMjhmNTFkMiIgdGltZXN0YW1wPSIxNzkyOTIxMDg3Ij40MT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[V12-41]</w:t>
      </w:r>
      <w:r>
        <w:fldChar w:fldCharType="end"/>
      </w:r>
      <w:r>
        <w:br/>
      </w:r>
      <w:hyperlink r:id="rId268">
        <w:r>
          <w:rPr>
            <w:color w:val="0563C1"/>
            <w:u w:val="single"/>
          </w:rPr>
          <w:t>Source</w:t>
        </w:r>
      </w:hyperlink>
      <w:r>
        <w:t xml:space="preserve"> · </w:t>
      </w:r>
      <w:hyperlink r:id="rId269">
        <w:r>
          <w:rPr>
            <w:color w:val="0563C1"/>
            <w:u w:val="single"/>
          </w:rPr>
          <w:t>PDF</w:t>
        </w:r>
      </w:hyperlink>
      <w:r>
        <w:br/>
      </w:r>
      <w:hyperlink r:id="rId270">
        <w:r>
          <w:rPr>
            <w:color w:val="0563C1"/>
            <w:u w:val="single"/>
          </w:rPr>
          <w:t>Source</w:t>
        </w:r>
      </w:hyperlink>
      <w:r>
        <w:t xml:space="preserve"> · </w:t>
      </w:r>
      <w:hyperlink r:id="rId271">
        <w:r>
          <w:rPr>
            <w:color w:val="0563C1"/>
            <w:u w:val="single"/>
          </w:rPr>
          <w:t>PDF</w:t>
        </w:r>
      </w:hyperlink>
    </w:p>
    <w:p>
      <w:pPr>
        <w:pStyle w:val="Normal"/>
        <w:widowControl/>
        <w:spacing w:after="120"/>
        <w:numPr>
          <w:ilvl w:val="1"/>
          <w:numId w:val="4"/>
        </w:numPr>
      </w:pPr>
      <w:r>
        <w:t xml:space="preserve">A fitted slope above 7.5 ng/mL per month is an additional warning, not a stand-alone stop. Review multiple dated values, timing of LRT and inflammation; do not extrapolate a long-term slope model from two closely spaced noisy measurements.</w:t>
      </w:r>
      <w:r>
        <w:t xml:space="preserve"> </w:t>
      </w:r>
      <w:r>
        <w:fldChar w:fldCharType="begin"/>
      </w:r>
      <w:r>
        <w:instrText xml:space="preserve"> ADDIN EN.CITE </w:instrText>
      </w:r>
      <w:r>
        <w:fldChar w:fldCharType="begin">
          <w:fldData>PEVuZE5vdGU+PENpdGU+PEF1dGhvcj5HaWFyZCBKTTwvQXV0aG9yPjxZZWFyPjIwMTg8L1llYXI+PFJlY051bT40MTwvUmVjTnVtPjxEaXNwbGF5VGV4dD5bVjEyLTQxXTwvRGlzcGxheVRleHQ+PHJlY29yZD48cmVjLW51bWJlcj40MTwvcmVjLW51bWJlcj48Zm9yZWlnbi1rZXlzPjxrZXkgYXBwPSJFTiIgZGItaWQ9ImEzYWFmZGZjLTZjMTgtNTIyYy04YTY4LWZhMGFkMjhmNTFkMiIgdGltZXN0YW1wPSIxNzkyOTIxMDg3Ij40MT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[V12-41]</w:t>
      </w:r>
      <w:r>
        <w:fldChar w:fldCharType="end"/>
      </w:r>
      <w:r>
        <w:br/>
      </w:r>
      <w:hyperlink r:id="rId272">
        <w:r>
          <w:rPr>
            <w:color w:val="0563C1"/>
            <w:u w:val="single"/>
          </w:rPr>
          <w:t>Source</w:t>
        </w:r>
      </w:hyperlink>
      <w:r>
        <w:t xml:space="preserve"> · </w:t>
      </w:r>
      <w:hyperlink r:id="rId273">
        <w:r>
          <w:rPr>
            <w:color w:val="0563C1"/>
            <w:u w:val="single"/>
          </w:rPr>
          <w:t>PDF</w:t>
        </w:r>
      </w:hyperlink>
    </w:p>
    <w:p>
      <w:pPr>
        <w:pStyle w:val="Heading2"/>
        <w:widowControl/>
        <w:keepNext/>
      </w:pPr>
      <w:r>
        <w:t xml:space="preserve">Do not do</w:t>
      </w:r>
    </w:p>
    <w:p>
      <w:pPr>
        <w:pStyle w:val="Normal"/>
        <w:widowControl/>
        <w:spacing w:after="120"/>
        <w:numPr>
          <w:ilvl w:val="0"/>
          <w:numId w:val="4"/>
        </w:numPr>
      </w:pPr>
      <w:r>
        <w:t xml:space="preserve">Avoid irreversible or unproven responses to a biomarker alone</w:t>
      </w:r>
    </w:p>
    <w:p>
      <w:pPr>
        <w:pStyle w:val="Normal"/>
        <w:widowControl/>
        <w:spacing w:after="120"/>
        <w:numPr>
          <w:ilvl w:val="1"/>
          <w:numId w:val="4"/>
        </w:numPr>
      </w:pPr>
      <w:r>
        <w:t xml:space="preserve">Do not permanently exclude for one AFP result. Persistent biochemical nonresponse after adequate evaluation may lead the group to decline the current transplant plan, but the rationale and possibility of reassessment must be documented.</w:t>
      </w:r>
      <w:r>
        <w:t xml:space="preserve"> </w:t>
      </w:r>
      <w:r>
        <w:fldChar w:fldCharType="begin"/>
      </w:r>
      <w:r>
        <w:instrText xml:space="preserve"> ADDIN EN.CITE </w:instrText>
      </w:r>
      <w:r>
        <w:fldChar w:fldCharType="begin">
          <w:fldData>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</w:fldData>
        </w:fldChar>
      </w:r>
      <w:r>
        <w:instrText xml:space="preserve"> ADDIN EN.CITE.DATA </w:instrText>
      </w:r>
      <w:r>
        <w:fldChar w:fldCharType="end"/>
      </w:r>
      <w:r>
        <w:fldChar w:fldCharType="separate"/>
      </w:r>
      <w:r>
        <w:t xml:space="preserve">[V12-37]</w:t>
      </w:r>
      <w:r>
        <w:fldChar w:fldCharType="end"/>
      </w:r>
      <w:r>
        <w:t xml:space="preserve"> </w:t>
      </w:r>
      <w:r>
        <w:fldChar w:fldCharType="begin"/>
      </w:r>
      <w:r>
        <w:instrText xml:space="preserve"> ADDIN EN.CITE </w:instrText>
      </w:r>
      <w:r>
        <w:fldChar w:fldCharType="begin">
          <w:fldData>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</w:fldData>
        </w:fldChar>
      </w:r>
      <w:r>
        <w:instrText xml:space="preserve"> ADDIN EN.CITE.DATA </w:instrText>
      </w:r>
      <w:r>
        <w:fldChar w:fldCharType="end"/>
      </w:r>
      <w:r>
        <w:fldChar w:fldCharType="separate"/>
      </w:r>
      <w:r>
        <w:t xml:space="preserve">[V12-40]</w:t>
      </w:r>
      <w:r>
        <w:fldChar w:fldCharType="end"/>
      </w:r>
      <w:r>
        <w:br/>
      </w:r>
      <w:hyperlink r:id="rId274">
        <w:r>
          <w:rPr>
            <w:color w:val="0563C1"/>
            <w:u w:val="single"/>
          </w:rPr>
          <w:t>Source</w:t>
        </w:r>
      </w:hyperlink>
      <w:r>
        <w:t xml:space="preserve"> · </w:t>
      </w:r>
      <w:hyperlink r:id="rId275">
        <w:r>
          <w:rPr>
            <w:color w:val="0563C1"/>
            <w:u w:val="single"/>
          </w:rPr>
          <w:t>PDF</w:t>
        </w:r>
      </w:hyperlink>
      <w:r>
        <w:br/>
      </w:r>
      <w:hyperlink r:id="rId276">
        <w:r>
          <w:rPr>
            <w:color w:val="0563C1"/>
            <w:u w:val="single"/>
          </w:rPr>
          <w:t>Source</w:t>
        </w:r>
      </w:hyperlink>
      <w:r>
        <w:t xml:space="preserve"> · </w:t>
      </w:r>
      <w:hyperlink r:id="rId277">
        <w:r>
          <w:rPr>
            <w:color w:val="0563C1"/>
            <w:u w:val="single"/>
          </w:rPr>
          <w:t>PDF</w:t>
        </w:r>
      </w:hyperlink>
    </w:p>
    <w:p>
      <w:pPr>
        <w:pStyle w:val="Normal"/>
        <w:widowControl/>
        <w:spacing w:after="120"/>
        <w:numPr>
          <w:ilvl w:val="1"/>
          <w:numId w:val="4"/>
        </w:numPr>
      </w:pPr>
      <w:r>
        <w:t xml:space="preserve">Do not call AFP-only rise RECIST or LI-RADS treatment progression. Do not give empiric LRT without an identified target, or add systemic therapy solely to make the AFP cross an allocation threshold without a justified oncologic indication.</w:t>
      </w:r>
      <w:r>
        <w:t xml:space="preserve"> </w:t>
      </w:r>
      <w:r>
        <w:fldChar w:fldCharType="begin"/>
      </w:r>
      <w:r>
        <w:instrText xml:space="preserve"> ADDIN EN.CITE </w:instrText>
      </w:r>
      <w:r>
        <w:fldChar w:fldCharType="begin">
          <w:fldData>PEVuZE5vdGU+PENpdGU+PEF1dGhvcj5TaW5nYWw8L0F1dGhvcj48WWVhcj4yMDIzPC9ZZWFyPjxSZWNOdW0+MTE8L1JlY051bT48RGlzcGxheVRleHQ+W1YxMi0xMV08L0Rpc3BsYXlUZXh0PjxyZWNvcmQ+PHJlYy1udW1iZXI+MTE8L3JlYy1udW1iZXI+PGZvcmVpZ24ta2V5cz48a2V5IGFwcD0iRU4iIGRiLWlkPSJhM2FhZmRmYy02YzE4LTUyMmMtOGE2OC1mYTBhZDI4ZjUxZDIiIHRpbWVzdGFtcD0iMTc5MjkyMTA4NyI+MTE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FBU0xEIDIwMjMgSEhTIGF1dGhvciBtYW51c2NyaXB0OyBjb21wbGV0ZSBMVCBzZWN0aW9ucyBQREYgcHAxNiYjODIxMTsyMCwgZ3VpZGFuY2Ugc3RhdGVtZW50cyBwcDU2JiM4MjExOzU3LCBhbGxvY2F0aW9uIGNhcHRpb25zIHBwNzEmIzgyMTE7NzIgYW5kIFRhYmxlcyAzJiM4MjExOzQgcHA3OCYjODIxMTs3OSByZWNoZWNrZWQuIEN1cnJlbnQgYW5kIHByaW9yIGNvcGllcyBoYXZlIGlkZW50aWNhbCB0ZXh0OyBub3QgYSB3aG9sZS1ndWlkZWxpbmUgcmVyZWFk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br/>
      </w:r>
      <w:hyperlink r:id="rId278">
        <w:r>
          <w:rPr>
            <w:color w:val="0563C1"/>
            <w:u w:val="single"/>
          </w:rPr>
          <w:t>Source</w:t>
        </w:r>
      </w:hyperlink>
      <w:r>
        <w:t xml:space="preserve"> · </w:t>
      </w:r>
      <w:hyperlink r:id="rId279">
        <w:r>
          <w:rPr>
            <w:color w:val="0563C1"/>
            <w:u w:val="single"/>
          </w:rPr>
          <w:t>PDF</w:t>
        </w:r>
      </w:hyperlink>
    </w:p>
    <w:p>
      <w:pPr>
        <w:pStyle w:val="Normal"/>
        <w:widowControl/>
        <w:spacing w:after="120"/>
        <w:numPr>
          <w:ilvl w:val="1"/>
          <w:numId w:val="4"/>
        </w:numPr>
      </w:pPr>
      <w:r>
        <w:t xml:space="preserve">Do not treat LDLT as an automatic escape from unfavorable tumor biology. Donor risk, recipient benefit and recurrence must be reviewed independently. New ICI use requires the separate B3 transplant safety decision.</w:t>
      </w:r>
    </w:p>
    <w:p>
      <w:pPr>
        <w:pStyle w:val="Heading1"/>
        <w:widowControl/>
        <w:keepNext/>
      </w:pPr>
      <w:r>
        <w:t xml:space="preserve">Meeting decisions — complete each field</w:t>
      </w:r>
    </w:p>
    <w:p>
      <w:pPr>
        <w:pStyle w:val="Heading2"/>
        <w:widowControl/>
        <w:keepNext/>
      </w:pPr>
      <w:bookmarkStart w:id="12065" w:name="HCC_B1_1a"/>
      <w:r>
        <w:t xml:space="preserve">B1.1a — Should AFP-only failure have a distinct high-risk review entry even when tumor burden is within Milan?</w:t>
      </w:r>
      <w:bookmarkEnd w:id="12065"/>
    </w:p>
    <w:p>
      <w:pPr>
        <w:pStyle w:val="Normal"/>
        <w:widowControl/>
        <w:spacing w:after="120"/>
      </w:pPr>
      <w:r>
        <w:t xml:space="preserve">Proposed position (OPEN): Propose yes; cross-reference the standard AFP gate. Do not require beyond-UNOS burden or inherit its AFP below 100 rule.</w:t>
      </w:r>
    </w:p>
    <w:p>
      <w:pPr>
        <w:pStyle w:val="Normal"/>
        <w:widowControl/>
        <w:spacing w:after="120"/>
      </w:pPr>
      <w:r>
        <w:t xml:space="preserve">Group decision / accepted threshold: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2"/>
        <w:widowControl/>
        <w:keepNext/>
      </w:pPr>
      <w:bookmarkStart w:id="12070" w:name="HCC_B1_1b"/>
      <w:r>
        <w:t xml:space="preserve">B1.1b — Should confirmed AFP at least 500 trigger a clinical hold even without a prior AFP above 1000?</w:t>
      </w:r>
      <w:bookmarkEnd w:id="12070"/>
    </w:p>
    <w:p>
      <w:pPr>
        <w:pStyle w:val="Normal"/>
        <w:widowControl/>
        <w:spacing w:after="120"/>
      </w:pPr>
      <w:r>
        <w:t xml:space="preserve">Proposed position (OPEN): Propose yes for the high-risk LT review, with documented MDT reassessment. State clearly that this is stricter than the automatic exception rule for some patients.</w:t>
      </w:r>
    </w:p>
    <w:p>
      <w:pPr>
        <w:pStyle w:val="Normal"/>
        <w:widowControl/>
        <w:spacing w:after="120"/>
      </w:pPr>
      <w:r>
        <w:t xml:space="preserve">Group decision / accepted threshold: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2"/>
        <w:widowControl/>
        <w:keepNext/>
      </w:pPr>
      <w:bookmarkStart w:id="12075" w:name="HCC_B1_1c"/>
      <w:r>
        <w:t xml:space="preserve">B1.1c — How should rising AFP below 500 with controlled imaging be handled?</w:t>
      </w:r>
      <w:bookmarkEnd w:id="12075"/>
    </w:p>
    <w:p>
      <w:pPr>
        <w:pStyle w:val="Normal"/>
        <w:widowControl/>
        <w:spacing w:after="120"/>
      </w:pPr>
      <w:r>
        <w:t xml:space="preserve">Proposed position (OPEN): Propose repeat in 2–4 weeks and expedited restaging. AFP at least 200 plus serial rise or confirmed doubling triggers a temporary hold; slope alone is an alert, not a permanent exclusion.</w:t>
      </w:r>
    </w:p>
    <w:p>
      <w:pPr>
        <w:pStyle w:val="Normal"/>
        <w:widowControl/>
        <w:spacing w:after="120"/>
      </w:pPr>
      <w:r>
        <w:t xml:space="preserve">Group decision / accepted threshold: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2"/>
        <w:widowControl/>
        <w:keepNext/>
      </w:pPr>
      <w:bookmarkStart w:id="12080" w:name="HCC_B1_1d"/>
      <w:r>
        <w:t xml:space="preserve">B1.1d — What permits release from a biochemical hold?</w:t>
      </w:r>
      <w:bookmarkEnd w:id="12080"/>
    </w:p>
    <w:p>
      <w:pPr>
        <w:pStyle w:val="Normal"/>
        <w:widowControl/>
        <w:spacing w:after="120"/>
      </w:pPr>
      <w:r>
        <w:t xml:space="preserve">Proposed position (OPEN): Propose two stable/falling AFP measurements at least 4 weeks apart below the applicable threshold, reviewed imaging and documented allocation plan. Preserve every longer route-specific observation interval.</w:t>
      </w:r>
    </w:p>
    <w:p>
      <w:pPr>
        <w:pStyle w:val="Normal"/>
        <w:widowControl/>
        <w:spacing w:after="120"/>
      </w:pPr>
      <w:r>
        <w:t xml:space="preserve">Group decision / accepted threshold: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2"/>
        <w:widowControl/>
        <w:keepNext/>
      </w:pPr>
      <w:bookmarkStart w:id="12085" w:name="HCC_B1_1e"/>
      <w:r>
        <w:t xml:space="preserve">B1.1e — Can persistent AFP failure ever proceed to LT or LDLT?</w:t>
      </w:r>
      <w:bookmarkEnd w:id="12085"/>
    </w:p>
    <w:p>
      <w:pPr>
        <w:pStyle w:val="Normal"/>
        <w:widowControl/>
        <w:spacing w:after="120"/>
      </w:pPr>
      <w:r>
        <w:t xml:space="preserve">Proposed position (OPEN): No routine bypass. Require individual oncology/transplant review, expected-benefit justification, donor-risk review for LDLT and the appropriate allocation route. Whether to establish a prospective AFP-only study remains OPEN.</w:t>
      </w:r>
    </w:p>
    <w:p>
      <w:pPr>
        <w:pStyle w:val="Normal"/>
        <w:widowControl/>
        <w:spacing w:after="120"/>
      </w:pPr>
      <w:r>
        <w:t xml:space="preserve">Group decision / accepted threshold: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2"/>
        <w:widowControl/>
        <w:keepNext/>
      </w:pPr>
      <w:bookmarkStart w:id="12090" w:name="HCC_B1_1f"/>
      <w:r>
        <w:t xml:space="preserve">B1.1f — What must be audited?</w:t>
      </w:r>
      <w:bookmarkEnd w:id="12090"/>
    </w:p>
    <w:p>
      <w:pPr>
        <w:pStyle w:val="Normal"/>
        <w:widowControl/>
        <w:spacing w:after="120"/>
      </w:pPr>
      <w:r>
        <w:t xml:space="preserve">Proposed position (OPEN): Peak and serial AFP with dates; liver inflammation; imaging viability; treatment exposure; reason and duration of hold; exception decision; waitlist dropout; explant viability/MVI; recurrence and post-LT survival. Include all evaluated patients, not only those transplanted.</w:t>
      </w:r>
    </w:p>
    <w:p>
      <w:pPr>
        <w:pStyle w:val="Normal"/>
        <w:widowControl/>
        <w:spacing w:after="120"/>
      </w:pPr>
      <w:r>
        <w:t xml:space="preserve">Group decision / accepted threshold: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Organ Procurement and Transplantation Network. OPTN Policies: liver allocation and living donation. HRSA/OPTN. 2026. </w:t>
      </w:r>
      <w:hyperlink r:id="rId280">
        <w:r>
          <w:rPr>
            <w:color w:val="0563C1"/>
            <w:u w:val="single"/>
          </w:rPr>
          <w:t>Source</w:t>
        </w:r>
      </w:hyperlink>
      <w:r>
        <w:t xml:space="preserve"> | </w:t>
      </w:r>
      <w:hyperlink r:id="rId281">
        <w:r>
          <w:rPr>
            <w:color w:val="0563C1"/>
            <w:u w:val="single"/>
          </w:rPr>
          <w:t>Full-text access</w:t>
        </w:r>
      </w:hyperlink>
    </w:p>
    <w:p>
      <w:pPr>
        <w:pStyle w:val="Normal"/>
        <w:widowControl/>
        <w:spacing w:after="120"/>
      </w:pPr>
      <w:r>
        <w:t xml:space="preserve"/>
      </w:r>
      <w:r>
        <w:t xml:space="preserve">[V12-2] Organ Procurement and Transplantation Network. Adult MELD Exceptions for Transplant Oncology. HRSA/OPTN. 2025. </w:t>
      </w:r>
      <w:hyperlink r:id="rId282">
        <w:r>
          <w:rPr>
            <w:color w:val="0563C1"/>
            <w:u w:val="single"/>
          </w:rPr>
          <w:t>Source</w:t>
        </w:r>
      </w:hyperlink>
      <w:r>
        <w:t xml:space="preserve"> | </w:t>
      </w:r>
      <w:hyperlink r:id="rId283">
        <w:r>
          <w:rPr>
            <w:color w:val="0563C1"/>
            <w:u w:val="single"/>
          </w:rPr>
          <w:t>Full-text access</w:t>
        </w:r>
      </w:hyperlink>
    </w:p>
    <w:p>
      <w:pPr>
        <w:pStyle w:val="Normal"/>
        <w:widowControl/>
        <w:spacing w:after="120"/>
      </w:pPr>
      <w:r>
        <w:t xml:space="preserve"/>
      </w:r>
      <w:r>
        <w:t xml:space="preserve">[V12-3] Yao, Francis Y.; Mehta, Neil; Flemming, Jennifer; et al. Downstaging of hepatocellular cancer before liver transplant: Long‐term outcome compared to tumors within Milan criteria. Hepatology. 2015; 61(6):1968-1977. </w:t>
      </w:r>
      <w:hyperlink r:id="rId284">
        <w:r>
          <w:rPr>
            <w:color w:val="0563C1"/>
            <w:u w:val="single"/>
          </w:rPr>
          <w:t>Source</w:t>
        </w:r>
      </w:hyperlink>
      <w:r>
        <w:t xml:space="preserve"> | </w:t>
      </w:r>
      <w:hyperlink r:id="rId285">
        <w:r>
          <w:rPr>
            <w:color w:val="0563C1"/>
            <w:u w:val="single"/>
          </w:rPr>
          <w:t>Full-text access</w:t>
        </w:r>
      </w:hyperlink>
    </w:p>
    <w:p>
      <w:pPr>
        <w:pStyle w:val="Normal"/>
        <w:widowControl/>
        <w:spacing w:after="120"/>
      </w:pPr>
      <w:r>
        <w:t xml:space="preserve"/>
      </w:r>
      <w:r>
        <w:t xml:space="preserve">[V12-4] Mehta, Neil; Frenette, Catherine; Tabrizian, Parissa; et al. Downstaging Outcomes for Hepatocellular Carcinoma: Results From the Multicenter Evaluation of Reduction in Tumor Size before Liver Transplantation (MERITS-LT) Consortium. Gastroenterology. 2021; 161(5):1502-1512. </w:t>
      </w:r>
      <w:hyperlink r:id="rId286">
        <w:r>
          <w:rPr>
            <w:color w:val="0563C1"/>
            <w:u w:val="single"/>
          </w:rPr>
          <w:t>Source</w:t>
        </w:r>
      </w:hyperlink>
      <w:r>
        <w:t xml:space="preserve"> | </w:t>
      </w:r>
      <w:hyperlink r:id="rId287">
        <w:r>
          <w:rPr>
            <w:color w:val="0563C1"/>
            <w:u w:val="single"/>
          </w:rPr>
          <w:t>Full-text access</w:t>
        </w:r>
      </w:hyperlink>
    </w:p>
    <w:p>
      <w:pPr>
        <w:pStyle w:val="Normal"/>
        <w:widowControl/>
        <w:spacing w:after="120"/>
      </w:pPr>
      <w:r>
        <w:t xml:space="preserve"/>
      </w:r>
      <w:r>
        <w:t xml:space="preserve">[V12-5] Sinha, Jasmine; Mehta, Neil; Dodge, Jennifer L.; et al. Are There Upper Limits in Tumor Burden for Down‐Staging of Hepatocellular Carcinoma to Liver Transplant? Analysis of the All‐Comers Protocol. Hepatology. 2019; 70(4):1185-1196. </w:t>
      </w:r>
      <w:hyperlink r:id="rId288">
        <w:r>
          <w:rPr>
            <w:color w:val="0563C1"/>
            <w:u w:val="single"/>
          </w:rPr>
          <w:t>Source</w:t>
        </w:r>
      </w:hyperlink>
      <w:r>
        <w:t xml:space="preserve"> | </w:t>
      </w:r>
      <w:hyperlink r:id="rId289">
        <w:r>
          <w:rPr>
            <w:color w:val="0563C1"/>
            <w:u w:val="single"/>
          </w:rPr>
          <w:t>Full-text access</w:t>
        </w:r>
      </w:hyperlink>
    </w:p>
    <w:p>
      <w:pPr>
        <w:pStyle w:val="Normal"/>
        <w:widowControl/>
        <w:spacing w:after="120"/>
      </w:pPr>
      <w:r>
        <w:t xml:space="preserve"/>
      </w:r>
      <w:r>
        <w:t xml:space="preserve">[V12-6] Natarajan, Brahma; Tabrizian, Parissa; Hoteit, Maarouf; et al. Downstaging hepatocellular carcinoma before liver transplantation: A multicenter analysis of the “all-comers” protocol in the Multicenter Evaluation of Reduction in Tumor Size before Liver Transplantation (MERITS-LT) consortium. American Journal of Transplantation. 2023; 23(11):1771-1780. </w:t>
      </w:r>
      <w:hyperlink r:id="rId290">
        <w:r>
          <w:rPr>
            <w:color w:val="0563C1"/>
            <w:u w:val="single"/>
          </w:rPr>
          <w:t>Source</w:t>
        </w:r>
      </w:hyperlink>
      <w:r>
        <w:t xml:space="preserve"> | </w:t>
      </w:r>
      <w:hyperlink r:id="rId291">
        <w:r>
          <w:rPr>
            <w:color w:val="0563C1"/>
            <w:u w:val="single"/>
          </w:rPr>
          <w:t>Full-text access</w:t>
        </w:r>
      </w:hyperlink>
    </w:p>
    <w:p>
      <w:pPr>
        <w:pStyle w:val="Normal"/>
        <w:widowControl/>
        <w:spacing w:after="120"/>
      </w:pPr>
      <w:r>
        <w:t xml:space="preserve"/>
      </w:r>
      <w:r>
        <w:t xml:space="preserve">[V12-7] Xu, Edison; Tabrizian, Parissa; Gutierrez, Julio; et al. Downstaging of hepatocellular carcinoma before liver transplantation: Results from a national multicenter prospective cohort study. Hepatology (Baltimore, Md.). 2025; 82(3):612-625. </w:t>
      </w:r>
      <w:hyperlink r:id="rId292">
        <w:r>
          <w:rPr>
            <w:color w:val="0563C1"/>
            <w:u w:val="single"/>
          </w:rPr>
          <w:t>Source</w:t>
        </w:r>
      </w:hyperlink>
      <w:r>
        <w:t xml:space="preserve"> | </w:t>
      </w:r>
      <w:hyperlink r:id="rId293">
        <w:r>
          <w:rPr>
            <w:color w:val="0563C1"/>
            <w:u w:val="single"/>
          </w:rPr>
          <w:t>Full-text access</w:t>
        </w:r>
      </w:hyperlink>
    </w:p>
    <w:p>
      <w:pPr>
        <w:pStyle w:val="Normal"/>
        <w:widowControl/>
        <w:spacing w:after="120"/>
      </w:pPr>
      <w:r>
        <w:t xml:space="preserve"/>
      </w:r>
      <w:r>
        <w:t xml:space="preserve">[V12-8] Mazzaferro, Vincenzo; Citterio, Davide; Bhoori, Sherrie; et al. Liver transplantation in hepatocellular carcinoma after tumour downstaging (XXL): a randomised, controlled, phase 2b/3 trial. The Lancet Oncology. 2020; 21(7):947-956. </w:t>
      </w:r>
      <w:hyperlink r:id="rId294">
        <w:r>
          <w:rPr>
            <w:color w:val="0563C1"/>
            <w:u w:val="single"/>
          </w:rPr>
          <w:t>Source</w:t>
        </w:r>
      </w:hyperlink>
      <w:r>
        <w:t xml:space="preserve"> | </w:t>
      </w:r>
      <w:hyperlink r:id="rId295">
        <w:r>
          <w:rPr>
            <w:color w:val="0563C1"/>
            <w:u w:val="single"/>
          </w:rPr>
          <w:t>Full-text access</w:t>
        </w:r>
      </w:hyperlink>
    </w:p>
    <w:p>
      <w:pPr>
        <w:pStyle w:val="Normal"/>
        <w:widowControl/>
        <w:spacing w:after="120"/>
      </w:pPr>
      <w:r>
        <w:t xml:space="preserve"/>
      </w:r>
      <w:r>
        <w:t xml:space="preserve">[V12-9] Huang, Annsa C.; Dodge, Jennifer L.; Yao, Francis Y.; et al. National Experience on Waitlist Outcomes for Down-Staging of Hepatocellular Carcinoma: High Dropout Rate in All-Comers. Clinical Gastroenterology and Hepatology. 2023; 21(6):1581-1589. </w:t>
      </w:r>
      <w:hyperlink r:id="rId296">
        <w:r>
          <w:rPr>
            <w:color w:val="0563C1"/>
            <w:u w:val="single"/>
          </w:rPr>
          <w:t>Source</w:t>
        </w:r>
      </w:hyperlink>
      <w:r>
        <w:t xml:space="preserve"> | </w:t>
      </w:r>
      <w:hyperlink r:id="rId297">
        <w:r>
          <w:rPr>
            <w:color w:val="0563C1"/>
            <w:u w:val="single"/>
          </w:rPr>
          <w:t>Full-text access</w:t>
        </w:r>
      </w:hyperlink>
    </w:p>
    <w:p>
      <w:pPr>
        <w:pStyle w:val="Normal"/>
        <w:widowControl/>
        <w:spacing w:after="120"/>
      </w:pPr>
      <w:r>
        <w:t xml:space="preserve"/>
      </w:r>
      <w:r>
        <w:t xml:space="preserve">[V12-10] Tabrizian, Parissa; Holzner, Matthew L.; Mehta, Neil; et al. Ten-Year Outcomes of Liver Transplant and Downstaging for Hepatocellular Carcinoma. JAMA Surgery. 2022; 157(9):779-788. </w:t>
      </w:r>
      <w:hyperlink r:id="rId298">
        <w:r>
          <w:rPr>
            <w:color w:val="0563C1"/>
            <w:u w:val="single"/>
          </w:rPr>
          <w:t>Source</w:t>
        </w:r>
      </w:hyperlink>
      <w:r>
        <w:t xml:space="preserve"> | </w:t>
      </w:r>
      <w:hyperlink r:id="rId299">
        <w:r>
          <w:rPr>
            <w:color w:val="0563C1"/>
            <w:u w:val="single"/>
          </w:rPr>
          <w:t>Full-text access</w:t>
        </w:r>
      </w:hyperlink>
    </w:p>
    <w:p>
      <w:pPr>
        <w:pStyle w:val="Normal"/>
        <w:widowControl/>
        <w:spacing w:after="120"/>
      </w:pPr>
      <w:r>
        <w:t xml:space="preserve"/>
      </w:r>
      <w:r>
        <w:t xml:space="preserve">[V12-11] Singal, Amit G; Llovet, Josep M; Yarchoan, Mark; et al. AASLD Practice Guidance on prevention, diagnosis, and treatment of hepatocellular carcinoma. Hepatology (Baltimore, Md.). 2023; 78(6):1922-1965. </w:t>
      </w:r>
      <w:hyperlink r:id="rId300">
        <w:r>
          <w:rPr>
            <w:color w:val="0563C1"/>
            <w:u w:val="single"/>
          </w:rPr>
          <w:t>Source</w:t>
        </w:r>
      </w:hyperlink>
      <w:r>
        <w:t xml:space="preserve"> | </w:t>
      </w:r>
      <w:hyperlink r:id="rId301">
        <w:r>
          <w:rPr>
            <w:color w:val="0563C1"/>
            <w:u w:val="single"/>
          </w:rPr>
          <w:t>Full-text access</w:t>
        </w:r>
      </w:hyperlink>
    </w:p>
    <w:p>
      <w:pPr>
        <w:pStyle w:val="Normal"/>
        <w:widowControl/>
        <w:spacing w:after="120"/>
      </w:pPr>
      <w:r>
        <w:t xml:space="preserve"/>
      </w:r>
      <w:r>
        <w:t xml:space="preserve">[V12-12] Llovet, Josep M; Mauro, Ezequiel; Rimassa, Lorenza; et al. Trial design and end points in hepatocellular carcinoma: an EASL-AASLD-ILCA consensus statement. Nature reviews. Clinical oncology. 2026; 23(8):619-647. </w:t>
      </w:r>
      <w:hyperlink r:id="rId302">
        <w:r>
          <w:rPr>
            <w:color w:val="0563C1"/>
            <w:u w:val="single"/>
          </w:rPr>
          <w:t>Source</w:t>
        </w:r>
      </w:hyperlink>
      <w:r>
        <w:t xml:space="preserve"> | </w:t>
      </w:r>
      <w:hyperlink r:id="rId303">
        <w:r>
          <w:rPr>
            <w:color w:val="0563C1"/>
            <w:u w:val="single"/>
          </w:rPr>
          <w:t>Full-text access</w:t>
        </w:r>
      </w:hyperlink>
    </w:p>
    <w:p>
      <w:pPr>
        <w:pStyle w:val="Normal"/>
        <w:widowControl/>
        <w:spacing w:after="120"/>
      </w:pPr>
      <w:r>
        <w:t xml:space="preserve"/>
      </w:r>
      <w:r>
        <w:t xml:space="preserve">[V12-13] Yoon, Young-In; Moon, Deok-Bog; Lee, Sung-Gyu; et al. Living-donor liver transplantation in hepatocellular carcinoma with portal-vein tumor thrombosis. International Journal of Surgery. 2026; 112(3):7259-7270. </w:t>
      </w:r>
      <w:hyperlink r:id="rId304">
        <w:r>
          <w:rPr>
            <w:color w:val="0563C1"/>
            <w:u w:val="single"/>
          </w:rPr>
          <w:t>Source</w:t>
        </w:r>
      </w:hyperlink>
      <w:r>
        <w:t xml:space="preserve"> | </w:t>
      </w:r>
      <w:hyperlink r:id="rId305">
        <w:r>
          <w:rPr>
            <w:color w:val="0563C1"/>
            <w:u w:val="single"/>
          </w:rPr>
          <w:t>Full-text access</w:t>
        </w:r>
      </w:hyperlink>
    </w:p>
    <w:p>
      <w:pPr>
        <w:pStyle w:val="Normal"/>
        <w:widowControl/>
        <w:spacing w:after="120"/>
      </w:pPr>
      <w:r>
        <w:t xml:space="preserve"/>
      </w:r>
      <w:r>
        <w:t xml:space="preserve">[V12-14] Choi, Ho Joong; Kim, Dong Goo; Na, Gun Hyung; et al. The clinical outcomes of patients with portal vein tumor thrombi after living donor liver transplantation. Liver Transplantation. 2017; 23(8):1023-1031. </w:t>
      </w:r>
      <w:hyperlink r:id="rId306">
        <w:r>
          <w:rPr>
            <w:color w:val="0563C1"/>
            <w:u w:val="single"/>
          </w:rPr>
          <w:t>Source</w:t>
        </w:r>
      </w:hyperlink>
      <w:r>
        <w:t xml:space="preserve"> | </w:t>
      </w:r>
      <w:hyperlink r:id="rId307">
        <w:r>
          <w:rPr>
            <w:color w:val="0563C1"/>
            <w:u w:val="single"/>
          </w:rPr>
          <w:t>Full-text access</w:t>
        </w:r>
      </w:hyperlink>
    </w:p>
    <w:p>
      <w:pPr>
        <w:pStyle w:val="Normal"/>
        <w:widowControl/>
        <w:spacing w:after="120"/>
      </w:pPr>
      <w:r>
        <w:t xml:space="preserve"/>
      </w:r>
      <w:r>
        <w:t xml:space="preserve">[V12-15] Yang, Z; Luo, FZ; Wang, S; et al. Alpha-fetoprotein and 18F-FDG standard uptake value predict tumor recurrence after liver transplantation for hepatocellular carcinoma with portal vein tumor thrombosis: Preliminary experience. Hepatobiliary &amp; Pancreatic Diseases International. 2020; 19(3):229-234. </w:t>
      </w:r>
      <w:hyperlink r:id="rId308">
        <w:r>
          <w:rPr>
            <w:color w:val="0563C1"/>
            <w:u w:val="single"/>
          </w:rPr>
          <w:t>Source</w:t>
        </w:r>
      </w:hyperlink>
      <w:r>
        <w:t xml:space="preserve"> | </w:t>
      </w:r>
      <w:hyperlink r:id="rId309">
        <w:r>
          <w:rPr>
            <w:color w:val="0563C1"/>
            <w:u w:val="single"/>
          </w:rPr>
          <w:t>Full-text access</w:t>
        </w:r>
      </w:hyperlink>
    </w:p>
    <w:p>
      <w:pPr>
        <w:pStyle w:val="Normal"/>
        <w:widowControl/>
        <w:spacing w:after="120"/>
      </w:pPr>
      <w:r>
        <w:t xml:space="preserve"/>
      </w:r>
      <w:r>
        <w:t xml:space="preserve">[V12-16] Ye, Zhaodan; Zhuang, Li; Liu, Xiangyan; et al. The clinical outcomes of patients with vascular invasion after deceased donor liver transplantation. Journal of Gastrointestinal Oncology. 2024; 15(4). </w:t>
      </w:r>
      <w:hyperlink r:id="rId310">
        <w:r>
          <w:rPr>
            <w:color w:val="0563C1"/>
            <w:u w:val="single"/>
          </w:rPr>
          <w:t>Source</w:t>
        </w:r>
      </w:hyperlink>
      <w:r>
        <w:t xml:space="preserve"> | </w:t>
      </w:r>
      <w:hyperlink r:id="rId311">
        <w:r>
          <w:rPr>
            <w:color w:val="0563C1"/>
            <w:u w:val="single"/>
          </w:rPr>
          <w:t>Full-text access</w:t>
        </w:r>
      </w:hyperlink>
    </w:p>
    <w:p>
      <w:pPr>
        <w:pStyle w:val="Normal"/>
        <w:widowControl/>
        <w:spacing w:after="120"/>
      </w:pPr>
      <w:r>
        <w:t xml:space="preserve"/>
      </w:r>
      <w:r>
        <w:t xml:space="preserve">[V12-17] Soin, Arvinder S; Bhangui, Prashant; Kataria, Tejinder; et al. Experience With LDLT in Patients With Hepatocellular Carcinoma and Portal Vein Tumor Thrombosis Postdownstaging. Transplantation. 2020; 104(11):2334-2345. </w:t>
      </w:r>
      <w:hyperlink r:id="rId312">
        <w:r>
          <w:rPr>
            <w:color w:val="0563C1"/>
            <w:u w:val="single"/>
          </w:rPr>
          <w:t>Source</w:t>
        </w:r>
      </w:hyperlink>
      <w:r>
        <w:t xml:space="preserve"> | </w:t>
      </w:r>
      <w:hyperlink r:id="rId313">
        <w:r>
          <w:rPr>
            <w:color w:val="0563C1"/>
            <w:u w:val="single"/>
          </w:rPr>
          <w:t>Full-text access</w:t>
        </w:r>
      </w:hyperlink>
    </w:p>
    <w:p>
      <w:pPr>
        <w:pStyle w:val="Normal"/>
        <w:widowControl/>
        <w:spacing w:after="120"/>
      </w:pPr>
      <w:r>
        <w:t xml:space="preserve"/>
      </w:r>
      <w:r>
        <w:t xml:space="preserve">[V12-18] Assalino, Michela; Terraz, Sylvain; Grat, Michal; et al. Liver transplantation for hepatocellular carcinoma after successful treatment of macrovascular invasion – a multi‐center retrospective cohort study. Transplant International. 2020; 33(5):567-575. </w:t>
      </w:r>
      <w:hyperlink r:id="rId314">
        <w:r>
          <w:rPr>
            <w:color w:val="0563C1"/>
            <w:u w:val="single"/>
          </w:rPr>
          <w:t>Source</w:t>
        </w:r>
      </w:hyperlink>
      <w:r>
        <w:t xml:space="preserve"> | </w:t>
      </w:r>
      <w:hyperlink r:id="rId315">
        <w:r>
          <w:rPr>
            <w:color w:val="0563C1"/>
            <w:u w:val="single"/>
          </w:rPr>
          <w:t>Full-text access</w:t>
        </w:r>
      </w:hyperlink>
    </w:p>
    <w:p>
      <w:pPr>
        <w:pStyle w:val="Normal"/>
        <w:widowControl/>
        <w:spacing w:after="120"/>
      </w:pPr>
      <w:r>
        <w:t xml:space="preserve"/>
      </w:r>
      <w:r>
        <w:t xml:space="preserve">[V12-19] Sposito, Carlo; Berardi, Giammauro; Viganò, Mauro; et al. Outcomes of Y90-radioembolization as downstaging to liver transplantation in patients with hepatocellular carcinoma and tumoral portal vein thrombosis. Hepatology. 2026. </w:t>
      </w:r>
      <w:hyperlink r:id="rId316">
        <w:r>
          <w:rPr>
            <w:color w:val="0563C1"/>
            <w:u w:val="single"/>
          </w:rPr>
          <w:t>Source</w:t>
        </w:r>
      </w:hyperlink>
      <w:r>
        <w:t xml:space="preserve"> | </w:t>
      </w:r>
      <w:hyperlink r:id="rId317">
        <w:r>
          <w:rPr>
            <w:color w:val="0563C1"/>
            <w:u w:val="single"/>
          </w:rPr>
          <w:t>Full-text access</w:t>
        </w:r>
      </w:hyperlink>
    </w:p>
    <w:p>
      <w:pPr>
        <w:pStyle w:val="Normal"/>
        <w:widowControl/>
        <w:spacing w:after="120"/>
      </w:pPr>
      <w:r>
        <w:t xml:space="preserve"/>
      </w:r>
      <w:r>
        <w:t xml:space="preserve">[V12-20] Kodali, Sudha; Kulik, Laura; D'Allessio, Antonio; et al. The 2024 ILTS-ILCA consensus recommendations for liver transplantation for HCC and intrahepatic cholangiocarcinoma. Liver transplantation : official publication of the American Association for the Study of Liver Diseases and the International Liver Transplantation Society. 2025; 31(6):815-831. </w:t>
      </w:r>
      <w:hyperlink r:id="rId318">
        <w:r>
          <w:rPr>
            <w:color w:val="0563C1"/>
            <w:u w:val="single"/>
          </w:rPr>
          <w:t>Source</w:t>
        </w:r>
      </w:hyperlink>
      <w:r>
        <w:t xml:space="preserve"> | </w:t>
      </w:r>
      <w:hyperlink r:id="rId319">
        <w:r>
          <w:rPr>
            <w:color w:val="0563C1"/>
            <w:u w:val="single"/>
          </w:rPr>
          <w:t>Full-text access</w:t>
        </w:r>
      </w:hyperlink>
    </w:p>
    <w:p>
      <w:pPr>
        <w:pStyle w:val="Normal"/>
        <w:widowControl/>
        <w:spacing w:after="120"/>
      </w:pPr>
      <w:r>
        <w:t xml:space="preserve"/>
      </w:r>
      <w:r>
        <w:t xml:space="preserve">[V12-21] Tabrizian, Parissa; Holzner, Matthew L.; Ajmera, Veeral; et al. Intention-to-treat outcomes of patients with hepatocellular carcinoma receiving immunotherapy before liver transplant: The multicenter VITALITY study. Journal of Hepatology. 2025; 82(3):512-522. </w:t>
      </w:r>
      <w:hyperlink r:id="rId320">
        <w:r>
          <w:rPr>
            <w:color w:val="0563C1"/>
            <w:u w:val="single"/>
          </w:rPr>
          <w:t>Source</w:t>
        </w:r>
      </w:hyperlink>
      <w:r>
        <w:t xml:space="preserve"> | </w:t>
      </w:r>
      <w:hyperlink r:id="rId321">
        <w:r>
          <w:rPr>
            <w:color w:val="0563C1"/>
            <w:u w:val="single"/>
          </w:rPr>
          <w:t>Full-text access</w:t>
        </w:r>
      </w:hyperlink>
    </w:p>
    <w:p>
      <w:pPr>
        <w:pStyle w:val="Normal"/>
        <w:widowControl/>
        <w:spacing w:after="120"/>
      </w:pPr>
      <w:r>
        <w:t xml:space="preserve"/>
      </w:r>
      <w:r>
        <w:t xml:space="preserve">[V12-22] Bhoori, Sherrie; Rivoltini, Licia; Pinato, David J.; et al. Efficacy of liver transplantation after response to atezolizumab-bevacizumab downstaging of intermediate and advanced hepatocellular carcinoma (ImmunoXXL). Journal of Hepatology. 2026; 85(1):117-129. </w:t>
      </w:r>
      <w:hyperlink r:id="rId322">
        <w:r>
          <w:rPr>
            <w:color w:val="0563C1"/>
            <w:u w:val="single"/>
          </w:rPr>
          <w:t>Source</w:t>
        </w:r>
      </w:hyperlink>
      <w:r>
        <w:t xml:space="preserve"> | </w:t>
      </w:r>
      <w:hyperlink r:id="rId323">
        <w:r>
          <w:rPr>
            <w:color w:val="0563C1"/>
            <w:u w:val="single"/>
          </w:rPr>
          <w:t>Full-text access</w:t>
        </w:r>
      </w:hyperlink>
    </w:p>
    <w:p>
      <w:pPr>
        <w:pStyle w:val="Normal"/>
        <w:widowControl/>
        <w:spacing w:after="120"/>
      </w:pPr>
      <w:r>
        <w:t xml:space="preserve"/>
      </w:r>
      <w:r>
        <w:t xml:space="preserve">[V12-23] Moeckli, Beat; Wassmer, Charles-Henri; El Hajji, Sofia; et al. Determining safe washout period for immune checkpoint inhibitors prior to liver transplantation: An international retrospective cohort study. Hepatology. 2025; 82(5):1122-1137. </w:t>
      </w:r>
      <w:hyperlink r:id="rId324">
        <w:r>
          <w:rPr>
            <w:color w:val="0563C1"/>
            <w:u w:val="single"/>
          </w:rPr>
          <w:t>Source</w:t>
        </w:r>
      </w:hyperlink>
      <w:r>
        <w:t xml:space="preserve"> | </w:t>
      </w:r>
      <w:hyperlink r:id="rId325">
        <w:r>
          <w:rPr>
            <w:color w:val="0563C1"/>
            <w:u w:val="single"/>
          </w:rPr>
          <w:t>Full-text access</w:t>
        </w:r>
      </w:hyperlink>
    </w:p>
    <w:p>
      <w:pPr>
        <w:pStyle w:val="Normal"/>
        <w:widowControl/>
        <w:spacing w:after="120"/>
      </w:pPr>
      <w:r>
        <w:t xml:space="preserve"/>
      </w:r>
      <w:r>
        <w:t xml:space="preserve">[V12-24] Rezaee-Zavareh, Mohammad Saeid; Yeo, Yee Hui; Wang, Tielong; et al. Impact of pre-transplant immune checkpoint inhibitor use on post-transplant outcomes in HCC: A systematic review and individual patient data meta-analysis. Journal of Hepatology. 2025; 82(1):107-119. </w:t>
      </w:r>
      <w:hyperlink r:id="rId326">
        <w:r>
          <w:rPr>
            <w:color w:val="0563C1"/>
            <w:u w:val="single"/>
          </w:rPr>
          <w:t>Source</w:t>
        </w:r>
      </w:hyperlink>
      <w:r>
        <w:t xml:space="preserve"> | </w:t>
      </w:r>
      <w:hyperlink r:id="rId327">
        <w:r>
          <w:rPr>
            <w:color w:val="0563C1"/>
            <w:u w:val="single"/>
          </w:rPr>
          <w:t>Full-text access</w:t>
        </w:r>
      </w:hyperlink>
    </w:p>
    <w:p>
      <w:pPr>
        <w:pStyle w:val="Normal"/>
        <w:widowControl/>
        <w:spacing w:after="120"/>
      </w:pPr>
      <w:r>
        <w:t xml:space="preserve"/>
      </w:r>
      <w:r>
        <w:t xml:space="preserve">[V12-25] Fang, Jun; Zhong, Siyi; Wang, Tielong; et al. Immune-related adverse events are a potent predictor of post-transplant rejection in HCC: a multicentre retrospective cohort study. Gut. 2026; 75(6):1201-1210. </w:t>
      </w:r>
      <w:hyperlink r:id="rId328">
        <w:r>
          <w:rPr>
            <w:color w:val="0563C1"/>
            <w:u w:val="single"/>
          </w:rPr>
          <w:t>Source</w:t>
        </w:r>
      </w:hyperlink>
      <w:r>
        <w:t xml:space="preserve"> | </w:t>
      </w:r>
      <w:hyperlink r:id="rId329">
        <w:r>
          <w:rPr>
            <w:color w:val="0563C1"/>
            <w:u w:val="single"/>
          </w:rPr>
          <w:t>Full-text access</w:t>
        </w:r>
      </w:hyperlink>
    </w:p>
    <w:p>
      <w:pPr>
        <w:pStyle w:val="Normal"/>
        <w:widowControl/>
        <w:spacing w:after="120"/>
      </w:pPr>
      <w:r>
        <w:t xml:space="preserve"/>
      </w:r>
      <w:r>
        <w:t xml:space="preserve">[V12-26] Aceituno, L.; Magyar, C.; Tabrizian, P.; et al. Safety of Immune Checkpoint Inhibitors Prior to Liver Transplantation in Hepatocellular Carcinoma. Alimentary Pharmacology &amp; Therapeutics. 2026; 63(10):1369-1379. </w:t>
      </w:r>
      <w:hyperlink r:id="rId330">
        <w:r>
          <w:rPr>
            <w:color w:val="0563C1"/>
            <w:u w:val="single"/>
          </w:rPr>
          <w:t>Source</w:t>
        </w:r>
      </w:hyperlink>
      <w:r>
        <w:t xml:space="preserve"> | </w:t>
      </w:r>
      <w:hyperlink r:id="rId331">
        <w:r>
          <w:rPr>
            <w:color w:val="0563C1"/>
            <w:u w:val="single"/>
          </w:rPr>
          <w:t>Full-text access</w:t>
        </w:r>
      </w:hyperlink>
    </w:p>
    <w:p>
      <w:pPr>
        <w:pStyle w:val="Normal"/>
        <w:widowControl/>
        <w:spacing w:after="120"/>
      </w:pPr>
      <w:r>
        <w:t xml:space="preserve"/>
      </w:r>
      <w:r>
        <w:t xml:space="preserve">[V12-27] Bauer, Ulrike; Troppmair, Maria R; Khaled, Najib Ben; et al. Liver Transplantation After Immune Checkpoint Inhibition in Hepatocellular Carcinoma-Data From the Multinational LITCHI Registry. Liver international : official journal of the International Association for the Study of the Liver. 2026; 46(6):e70692. </w:t>
      </w:r>
      <w:hyperlink r:id="rId332">
        <w:r>
          <w:rPr>
            <w:color w:val="0563C1"/>
            <w:u w:val="single"/>
          </w:rPr>
          <w:t>Source</w:t>
        </w:r>
      </w:hyperlink>
      <w:r>
        <w:t xml:space="preserve"> | </w:t>
      </w:r>
      <w:hyperlink r:id="rId333">
        <w:r>
          <w:rPr>
            <w:color w:val="0563C1"/>
            <w:u w:val="single"/>
          </w:rPr>
          <w:t>Full-text access</w:t>
        </w:r>
      </w:hyperlink>
    </w:p>
    <w:p>
      <w:pPr>
        <w:pStyle w:val="Normal"/>
        <w:widowControl/>
        <w:spacing w:after="120"/>
      </w:pPr>
      <w:r>
        <w:t xml:space="preserve"/>
      </w:r>
      <w:r>
        <w:t xml:space="preserve">[V12-28] Ong, Meiching; He, Kang; Wang, Feng; et al. Immune Checkpoint Inhibitor–Based Downstaging Therapy for Hepatocellular Carcinoma. JAMA Oncology. 2026. </w:t>
      </w:r>
      <w:hyperlink r:id="rId334">
        <w:r>
          <w:rPr>
            <w:color w:val="0563C1"/>
            <w:u w:val="single"/>
          </w:rPr>
          <w:t>Source</w:t>
        </w:r>
      </w:hyperlink>
      <w:r>
        <w:t xml:space="preserve"> | </w:t>
      </w:r>
      <w:hyperlink r:id="rId335">
        <w:r>
          <w:rPr>
            <w:color w:val="0563C1"/>
            <w:u w:val="single"/>
          </w:rPr>
          <w:t>Full-text access</w:t>
        </w:r>
      </w:hyperlink>
    </w:p>
    <w:p>
      <w:pPr>
        <w:pStyle w:val="Normal"/>
        <w:widowControl/>
        <w:spacing w:after="120"/>
      </w:pPr>
      <w:r>
        <w:t xml:space="preserve"/>
      </w:r>
      <w:r>
        <w:t xml:space="preserve">[V12-29] Kulkarni, Anand V.; Singal, Amit G.; Reddy, K. Rajender. Review Article: Liver Transplantation for Hepatocellular Carcinoma in the Era of Immune Checkpoint Inhibitors. Alimentary Pharmacology &amp; Therapeutics. 2025; 62(6):585-601. </w:t>
      </w:r>
      <w:hyperlink r:id="rId336">
        <w:r>
          <w:rPr>
            <w:color w:val="0563C1"/>
            <w:u w:val="single"/>
          </w:rPr>
          <w:t>Source</w:t>
        </w:r>
      </w:hyperlink>
      <w:r>
        <w:t xml:space="preserve"> | </w:t>
      </w:r>
      <w:hyperlink r:id="rId337">
        <w:r>
          <w:rPr>
            <w:color w:val="0563C1"/>
            <w:u w:val="single"/>
          </w:rPr>
          <w:t>Full-text access</w:t>
        </w:r>
      </w:hyperlink>
    </w:p>
    <w:p>
      <w:pPr>
        <w:pStyle w:val="Normal"/>
        <w:widowControl/>
        <w:spacing w:after="120"/>
      </w:pPr>
      <w:r>
        <w:t xml:space="preserve"/>
      </w:r>
      <w:r>
        <w:t xml:space="preserve">[V12-30] Demirors, Berkay; Lin, Matthew Yu-Sheng; Spitz, Francis J.; et al. Balancing Tumor Response and Rejection Risk After Pre-Transplant Immunotherapy: A Scoping Review. Cancers. 2026; 18(8):1284. </w:t>
      </w:r>
      <w:hyperlink r:id="rId338">
        <w:r>
          <w:rPr>
            <w:color w:val="0563C1"/>
            <w:u w:val="single"/>
          </w:rPr>
          <w:t>Source</w:t>
        </w:r>
      </w:hyperlink>
      <w:r>
        <w:t xml:space="preserve"> | </w:t>
      </w:r>
      <w:hyperlink r:id="rId339">
        <w:r>
          <w:rPr>
            <w:color w:val="0563C1"/>
            <w:u w:val="single"/>
          </w:rPr>
          <w:t>Full-text access</w:t>
        </w:r>
      </w:hyperlink>
    </w:p>
    <w:p>
      <w:pPr>
        <w:pStyle w:val="Normal"/>
        <w:widowControl/>
        <w:spacing w:after="120"/>
      </w:pPr>
      <w:r>
        <w:t xml:space="preserve"/>
      </w:r>
      <w:r>
        <w:t xml:space="preserve">[V12-31] Liu, Hao; Neckermann, Isabel; Mial‐Anthony, Jason; et al. Optimizing Liver Transplant Allocation for Hepatocellular Carcinoma: Development and Validation of a Survival Benefit‐Based Model. Clinical Transplantation. 2026; 40(3):e70488. </w:t>
      </w:r>
      <w:hyperlink r:id="rId340">
        <w:r>
          <w:rPr>
            <w:color w:val="0563C1"/>
            <w:u w:val="single"/>
          </w:rPr>
          <w:t>Source</w:t>
        </w:r>
      </w:hyperlink>
      <w:r>
        <w:t xml:space="preserve"> | </w:t>
      </w:r>
      <w:hyperlink r:id="rId341">
        <w:r>
          <w:rPr>
            <w:color w:val="0563C1"/>
            <w:u w:val="single"/>
          </w:rPr>
          <w:t>Full-text access</w:t>
        </w:r>
      </w:hyperlink>
    </w:p>
    <w:p>
      <w:pPr>
        <w:pStyle w:val="Normal"/>
        <w:widowControl/>
        <w:spacing w:after="120"/>
      </w:pPr>
      <w:r>
        <w:t xml:space="preserve"/>
      </w:r>
      <w:r>
        <w:t xml:space="preserve">[V12-32] Liu, Hao; Zhang, Wei; Di, Mengyang; et al. Survival benefit associated with liver transplantation for hepatocellular carcinoma based on tumor burden scores at listing. Hepatology Communications. 2025; 9(1):e0619. </w:t>
      </w:r>
      <w:hyperlink r:id="rId342">
        <w:r>
          <w:rPr>
            <w:color w:val="0563C1"/>
            <w:u w:val="single"/>
          </w:rPr>
          <w:t>Source</w:t>
        </w:r>
      </w:hyperlink>
      <w:r>
        <w:t xml:space="preserve"> | </w:t>
      </w:r>
      <w:hyperlink r:id="rId343">
        <w:r>
          <w:rPr>
            <w:color w:val="0563C1"/>
            <w:u w:val="single"/>
          </w:rPr>
          <w:t>Full-text access</w:t>
        </w:r>
      </w:hyperlink>
    </w:p>
    <w:p>
      <w:pPr>
        <w:pStyle w:val="Normal"/>
        <w:widowControl/>
        <w:spacing w:after="120"/>
      </w:pPr>
      <w:r>
        <w:t xml:space="preserve"/>
      </w:r>
      <w:r>
        <w:t xml:space="preserve">[V12-33] Lai, Quirino; Vitale, Alessandro; Iesari, Samuele; et al. Intention-to-Treat Survival Benefit of Liver Transplantation in Patients With Hepatocellular Cancer. Hepatology. 2017; 66(6):1910-1919. </w:t>
      </w:r>
      <w:hyperlink r:id="rId344">
        <w:r>
          <w:rPr>
            <w:color w:val="0563C1"/>
            <w:u w:val="single"/>
          </w:rPr>
          <w:t>Source</w:t>
        </w:r>
      </w:hyperlink>
      <w:r>
        <w:t xml:space="preserve"> | </w:t>
      </w:r>
      <w:hyperlink r:id="rId345">
        <w:r>
          <w:rPr>
            <w:color w:val="0563C1"/>
            <w:u w:val="single"/>
          </w:rPr>
          <w:t>Full-text access</w:t>
        </w:r>
      </w:hyperlink>
    </w:p>
    <w:p>
      <w:pPr>
        <w:pStyle w:val="Normal"/>
        <w:widowControl/>
        <w:spacing w:after="120"/>
      </w:pPr>
      <w:r>
        <w:t xml:space="preserve"/>
      </w:r>
      <w:r>
        <w:t xml:space="preserve">[V12-34] Goudsmit, Ben F.J.; Ilaria Prosepe, ; Tushuizen, Maarten E.; et al. Survival benefit from liver transplantation for patients with and without hepatocellular carcinoma. JHEP Reports. 2023; 5(12):100907. </w:t>
      </w:r>
      <w:hyperlink r:id="rId346">
        <w:r>
          <w:rPr>
            <w:color w:val="0563C1"/>
            <w:u w:val="single"/>
          </w:rPr>
          <w:t>Source</w:t>
        </w:r>
      </w:hyperlink>
      <w:r>
        <w:t xml:space="preserve"> | </w:t>
      </w:r>
      <w:hyperlink r:id="rId347">
        <w:r>
          <w:rPr>
            <w:color w:val="0563C1"/>
            <w:u w:val="single"/>
          </w:rPr>
          <w:t>Full-text access</w:t>
        </w:r>
      </w:hyperlink>
    </w:p>
    <w:p>
      <w:pPr>
        <w:pStyle w:val="Normal"/>
        <w:widowControl/>
        <w:spacing w:after="120"/>
      </w:pPr>
      <w:r>
        <w:t xml:space="preserve"/>
      </w:r>
      <w:r>
        <w:t xml:space="preserve">[V12-35] Allen, Elisa; Taylor, Rhiannon; Gimson, Alexander; et al. Transplant benefit-based offering of deceased donor livers in the United Kingdom. Journal of Hepatology. 2024; 81(3):471-478. </w:t>
      </w:r>
      <w:hyperlink r:id="rId348">
        <w:r>
          <w:rPr>
            <w:color w:val="0563C1"/>
            <w:u w:val="single"/>
          </w:rPr>
          <w:t>Source</w:t>
        </w:r>
      </w:hyperlink>
      <w:r>
        <w:t xml:space="preserve"> | </w:t>
      </w:r>
      <w:hyperlink r:id="rId349">
        <w:r>
          <w:rPr>
            <w:color w:val="0563C1"/>
            <w:u w:val="single"/>
          </w:rPr>
          <w:t>Full-text access</w:t>
        </w:r>
      </w:hyperlink>
    </w:p>
    <w:p>
      <w:pPr>
        <w:pStyle w:val="Normal"/>
        <w:widowControl/>
        <w:spacing w:after="120"/>
      </w:pPr>
      <w:r>
        <w:t xml:space="preserve"/>
      </w:r>
      <w:r>
        <w:t xml:space="preserve">[V12-36] Prosepe, Ilaria; van Geloven, Nan; de Ferrante, Hans; et al. Estimating conditional survival benefit for the allocation of scarce resources. Statistical Methods in Medical Research. 2026; 35(4):812-826. </w:t>
      </w:r>
      <w:hyperlink r:id="rId350">
        <w:r>
          <w:rPr>
            <w:color w:val="0563C1"/>
            <w:u w:val="single"/>
          </w:rPr>
          <w:t>Source</w:t>
        </w:r>
      </w:hyperlink>
      <w:r>
        <w:t xml:space="preserve"> | </w:t>
      </w:r>
      <w:hyperlink r:id="rId351">
        <w:r>
          <w:rPr>
            <w:color w:val="0563C1"/>
            <w:u w:val="single"/>
          </w:rPr>
          <w:t>Full-text access</w:t>
        </w:r>
      </w:hyperlink>
    </w:p>
    <w:p>
      <w:pPr>
        <w:pStyle w:val="Normal"/>
        <w:widowControl/>
        <w:spacing w:after="120"/>
      </w:pPr>
      <w:r>
        <w:t xml:space="preserve"/>
      </w:r>
      <w:r>
        <w:t xml:space="preserve">[V12-37] Mehta N; Dodge JL; Roberts JP; et al. Alpha-Fetoprotein Decrease from &gt; 1,000 to &lt; 500 ng/mL in Patients with Hepatocellular Carcinoma Leads to Improved Posttransplant Outcomes.. Hepatology (Baltimore, Md.). 2019; 69(3):1193-1205. </w:t>
      </w:r>
      <w:hyperlink r:id="rId352">
        <w:r>
          <w:rPr>
            <w:color w:val="0563C1"/>
            <w:u w:val="single"/>
          </w:rPr>
          <w:t>Source</w:t>
        </w:r>
      </w:hyperlink>
      <w:r>
        <w:t xml:space="preserve"> | </w:t>
      </w:r>
      <w:hyperlink r:id="rId353">
        <w:r>
          <w:rPr>
            <w:color w:val="0563C1"/>
            <w:u w:val="single"/>
          </w:rPr>
          <w:t>Full-text access</w:t>
        </w:r>
      </w:hyperlink>
    </w:p>
    <w:p>
      <w:pPr>
        <w:pStyle w:val="Normal"/>
        <w:widowControl/>
        <w:spacing w:after="120"/>
      </w:pPr>
      <w:r>
        <w:t xml:space="preserve"/>
      </w:r>
      <w:r>
        <w:t xml:space="preserve">[V12-38] Halazun KJ; Rosenblatt RE; Mehta N; et al. Dynamic α-Fetoprotein Response and Outcomes After Liver Transplant for Hepatocellular Carcinoma.. JAMA surgery. 2021; 156(6):559-567. </w:t>
      </w:r>
      <w:hyperlink r:id="rId354">
        <w:r>
          <w:rPr>
            <w:color w:val="0563C1"/>
            <w:u w:val="single"/>
          </w:rPr>
          <w:t>Source</w:t>
        </w:r>
      </w:hyperlink>
      <w:r>
        <w:t xml:space="preserve"> | </w:t>
      </w:r>
      <w:hyperlink r:id="rId355">
        <w:r>
          <w:rPr>
            <w:color w:val="0563C1"/>
            <w:u w:val="single"/>
          </w:rPr>
          <w:t>Full-text access</w:t>
        </w:r>
      </w:hyperlink>
    </w:p>
    <w:p>
      <w:pPr>
        <w:pStyle w:val="Normal"/>
        <w:widowControl/>
        <w:spacing w:after="120"/>
      </w:pPr>
      <w:r>
        <w:t xml:space="preserve"/>
      </w:r>
      <w:r>
        <w:t xml:space="preserve">[V12-39] Moriyama M; Tateishi R; Matsushita Y; et al. Management and Prognosis of HCC Patients With Elevated Tumor Markers but no Imaging Recurrence After Radiofrequency Ablation.. Cancer medicine. 2026; 15(4):e71812. </w:t>
      </w:r>
      <w:hyperlink r:id="rId356">
        <w:r>
          <w:rPr>
            <w:color w:val="0563C1"/>
            <w:u w:val="single"/>
          </w:rPr>
          <w:t>Source</w:t>
        </w:r>
      </w:hyperlink>
      <w:r>
        <w:t xml:space="preserve"> | </w:t>
      </w:r>
      <w:hyperlink r:id="rId357">
        <w:r>
          <w:rPr>
            <w:color w:val="0563C1"/>
            <w:u w:val="single"/>
          </w:rPr>
          <w:t>Full-text access</w:t>
        </w:r>
      </w:hyperlink>
    </w:p>
    <w:p>
      <w:pPr>
        <w:pStyle w:val="Normal"/>
        <w:widowControl/>
        <w:spacing w:after="120"/>
      </w:pPr>
      <w:r>
        <w:t xml:space="preserve"/>
      </w:r>
      <w:r>
        <w:t xml:space="preserve">[V12-40] Goldman ML; Zhou K; Dodge JL; et al. Lower Alpha-Fetoprotein Threshold of 500 ng/mL for Liver Transplantation May Improve Posttransplant Outcomes in Patients With Hepatocellular Carcinoma.. Liver transplantation : official publication of the American Association for the Study of Liver Diseases and the International Liver Transplantation Society. 2022; 28(5):763-773. </w:t>
      </w:r>
      <w:hyperlink r:id="rId358">
        <w:r>
          <w:rPr>
            <w:color w:val="0563C1"/>
            <w:u w:val="single"/>
          </w:rPr>
          <w:t>Source</w:t>
        </w:r>
      </w:hyperlink>
      <w:r>
        <w:t xml:space="preserve"> | </w:t>
      </w:r>
      <w:hyperlink r:id="rId359">
        <w:r>
          <w:rPr>
            <w:color w:val="0563C1"/>
            <w:u w:val="single"/>
          </w:rPr>
          <w:t>Full-text access</w:t>
        </w:r>
      </w:hyperlink>
    </w:p>
    <w:p>
      <w:pPr>
        <w:pStyle w:val="Normal"/>
        <w:widowControl/>
        <w:spacing w:after="120"/>
      </w:pPr>
      <w:r>
        <w:t xml:space="preserve"/>
      </w:r>
      <w:r>
        <w:t xml:space="preserve">[V12-41] Giard JM; Mehta N; Dodge JL; et al. Alpha-Fetoprotein Slope &gt;7.5 ng/mL per Month Predicts Microvascular Invasion and Tumor Recurrence After Liver Transplantation for Hepatocellular Carcinoma.. Transplantation. 2018; 102(5):816-822. </w:t>
      </w:r>
      <w:hyperlink r:id="rId360">
        <w:r>
          <w:rPr>
            <w:color w:val="0563C1"/>
            <w:u w:val="single"/>
          </w:rPr>
          <w:t>Source</w:t>
        </w:r>
      </w:hyperlink>
      <w:r>
        <w:t xml:space="preserve"> | </w:t>
      </w:r>
      <w:hyperlink r:id="rId361">
        <w:r>
          <w:rPr>
            <w:color w:val="0563C1"/>
            <w:u w:val="single"/>
          </w:rPr>
          <w:t>Full-text access</w:t>
        </w:r>
      </w:hyperlink>
      <w:r>
        <w:fldChar w:fldCharType="end"/>
      </w:r>
    </w:p>
    <w:p>
      <w:pPr>
        <w:pStyle w:val="Heading1"/>
        <w:widowControl/>
        <w:keepNext/>
      </w:pPr>
      <w:r>
        <w:t xml:space="preserve">V12 revision note</w:t>
      </w:r>
    </w:p>
    <w:p>
      <w:pPr>
        <w:pStyle w:val="Normal"/>
        <w:widowControl/>
        <w:spacing w:after="120"/>
      </w:pPr>
      <w:r>
        <w:t xml:space="preserve">2026-10-25 04:38 CDT. Problem and correction: The meeting packet lacked a dedicated AFP-only question. Add B1.1a–f with outcome evidence, source wording, proposed positions and blank decision fields. These questions span standard-route AFP discordance and high-risk review; other B decisions remain unchanged.</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FB"/>
    <w:rPr>
      <w:sz w:val="20"/>
      <w:szCs w:val="20"/>
    </w:rPr>
  </w:style>
  <w:style w:type="paragraph" w:styleId="Heading1">
    <w:name w:val="heading 1"/>
    <w:basedOn w:val="Normal"/>
    <w:next w:val="Normal"/>
    <w:link w:val="Heading1Char"/>
    <w:uiPriority w:val="9"/>
    <w:qFormat/>
    <w:rsid w:val="008C56FB"/>
    <w:pPr>
      <w:pBdr>
        <w:top w:val="single" w:sz="24" w:space="0" w:color="E84C22" w:themeColor="accent1"/>
        <w:left w:val="single" w:sz="24" w:space="0" w:color="E84C22" w:themeColor="accent1"/>
        <w:bottom w:val="single" w:sz="24" w:space="0" w:color="E84C22" w:themeColor="accent1"/>
        <w:right w:val="single" w:sz="24" w:space="0" w:color="E84C22" w:themeColor="accent1"/>
      </w:pBdr>
      <w:shd w:val="clear" w:color="auto" w:fill="E84C2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8C56FB"/>
    <w:pPr>
      <w:pBdr>
        <w:top w:val="single" w:sz="24" w:space="0" w:color="FADAD2" w:themeColor="accent1" w:themeTint="33"/>
        <w:left w:val="single" w:sz="24" w:space="0" w:color="FADAD2" w:themeColor="accent1" w:themeTint="33"/>
        <w:bottom w:val="single" w:sz="24" w:space="0" w:color="FADAD2" w:themeColor="accent1" w:themeTint="33"/>
        <w:right w:val="single" w:sz="24" w:space="0" w:color="FADAD2" w:themeColor="accent1" w:themeTint="33"/>
      </w:pBdr>
      <w:shd w:val="clear" w:color="auto" w:fill="FADAD2"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8C56FB"/>
    <w:pPr>
      <w:pBdr>
        <w:top w:val="single" w:sz="6" w:space="2" w:color="E84C22" w:themeColor="accent1"/>
        <w:left w:val="single" w:sz="6" w:space="2" w:color="E84C22" w:themeColor="accent1"/>
      </w:pBdr>
      <w:spacing w:before="300" w:after="0"/>
      <w:outlineLvl w:val="2"/>
    </w:pPr>
    <w:rPr>
      <w:caps/>
      <w:color w:val="77230C" w:themeColor="accent1" w:themeShade="7F"/>
      <w:spacing w:val="15"/>
      <w:sz w:val="22"/>
      <w:szCs w:val="22"/>
    </w:rPr>
  </w:style>
  <w:style w:type="paragraph" w:styleId="Heading4">
    <w:name w:val="heading 4"/>
    <w:basedOn w:val="Normal"/>
    <w:next w:val="Normal"/>
    <w:link w:val="Heading4Char"/>
    <w:uiPriority w:val="9"/>
    <w:semiHidden/>
    <w:unhideWhenUsed/>
    <w:qFormat/>
    <w:rsid w:val="008C56FB"/>
    <w:pPr>
      <w:pBdr>
        <w:top w:val="dotted" w:sz="6" w:space="2" w:color="E84C22" w:themeColor="accent1"/>
        <w:left w:val="dotted" w:sz="6" w:space="2" w:color="E84C22" w:themeColor="accent1"/>
      </w:pBdr>
      <w:spacing w:before="300" w:after="0"/>
      <w:outlineLvl w:val="3"/>
    </w:pPr>
    <w:rPr>
      <w:caps/>
      <w:color w:val="B43412" w:themeColor="accent1" w:themeShade="BF"/>
      <w:spacing w:val="10"/>
      <w:sz w:val="22"/>
      <w:szCs w:val="22"/>
    </w:rPr>
  </w:style>
  <w:style w:type="paragraph" w:styleId="Heading5">
    <w:name w:val="heading 5"/>
    <w:basedOn w:val="Normal"/>
    <w:next w:val="Normal"/>
    <w:link w:val="Heading5Char"/>
    <w:uiPriority w:val="9"/>
    <w:semiHidden/>
    <w:unhideWhenUsed/>
    <w:qFormat/>
    <w:rsid w:val="008C56FB"/>
    <w:pPr>
      <w:pBdr>
        <w:bottom w:val="single" w:sz="6" w:space="1" w:color="E84C22" w:themeColor="accent1"/>
      </w:pBdr>
      <w:spacing w:before="300" w:after="0"/>
      <w:outlineLvl w:val="4"/>
    </w:pPr>
    <w:rPr>
      <w:caps/>
      <w:color w:val="B43412" w:themeColor="accent1" w:themeShade="BF"/>
      <w:spacing w:val="10"/>
      <w:sz w:val="22"/>
      <w:szCs w:val="22"/>
    </w:rPr>
  </w:style>
  <w:style w:type="paragraph" w:styleId="Heading6">
    <w:name w:val="heading 6"/>
    <w:basedOn w:val="Normal"/>
    <w:next w:val="Normal"/>
    <w:link w:val="Heading6Char"/>
    <w:uiPriority w:val="9"/>
    <w:semiHidden/>
    <w:unhideWhenUsed/>
    <w:qFormat/>
    <w:rsid w:val="008C56FB"/>
    <w:pPr>
      <w:pBdr>
        <w:bottom w:val="dotted" w:sz="6" w:space="1" w:color="E84C22" w:themeColor="accent1"/>
      </w:pBdr>
      <w:spacing w:before="300" w:after="0"/>
      <w:outlineLvl w:val="5"/>
    </w:pPr>
    <w:rPr>
      <w:caps/>
      <w:color w:val="B43412" w:themeColor="accent1" w:themeShade="BF"/>
      <w:spacing w:val="10"/>
      <w:sz w:val="22"/>
      <w:szCs w:val="22"/>
    </w:rPr>
  </w:style>
  <w:style w:type="paragraph" w:styleId="Heading7">
    <w:name w:val="heading 7"/>
    <w:basedOn w:val="Normal"/>
    <w:next w:val="Normal"/>
    <w:link w:val="Heading7Char"/>
    <w:uiPriority w:val="9"/>
    <w:semiHidden/>
    <w:unhideWhenUsed/>
    <w:qFormat/>
    <w:rsid w:val="008C56FB"/>
    <w:pPr>
      <w:spacing w:before="300" w:after="0"/>
      <w:outlineLvl w:val="6"/>
    </w:pPr>
    <w:rPr>
      <w:caps/>
      <w:color w:val="B43412" w:themeColor="accent1" w:themeShade="BF"/>
      <w:spacing w:val="10"/>
      <w:sz w:val="22"/>
      <w:szCs w:val="22"/>
    </w:rPr>
  </w:style>
  <w:style w:type="paragraph" w:styleId="Heading8">
    <w:name w:val="heading 8"/>
    <w:basedOn w:val="Normal"/>
    <w:next w:val="Normal"/>
    <w:link w:val="Heading8Char"/>
    <w:uiPriority w:val="9"/>
    <w:semiHidden/>
    <w:unhideWhenUsed/>
    <w:qFormat/>
    <w:rsid w:val="008C56FB"/>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C56FB"/>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56FB"/>
    <w:pPr>
      <w:spacing w:before="720"/>
    </w:pPr>
    <w:rPr>
      <w:caps/>
      <w:color w:val="E84C22" w:themeColor="accent1"/>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8C56FB"/>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8C56FB"/>
    <w:rPr>
      <w:b/>
      <w:bCs/>
      <w:caps/>
      <w:color w:val="FFFFFF" w:themeColor="background1"/>
      <w:spacing w:val="15"/>
      <w:shd w:val="clear" w:color="auto" w:fill="E84C22" w:themeFill="accent1"/>
    </w:rPr>
  </w:style>
  <w:style w:type="character" w:customStyle="1" w:styleId="Heading2Char">
    <w:name w:val="Heading 2 Char"/>
    <w:basedOn w:val="DefaultParagraphFont"/>
    <w:link w:val="Heading2"/>
    <w:uiPriority w:val="9"/>
    <w:rsid w:val="008C56FB"/>
    <w:rPr>
      <w:caps/>
      <w:spacing w:val="15"/>
      <w:shd w:val="clear" w:color="auto" w:fill="FADAD2" w:themeFill="accent1" w:themeFillTint="33"/>
    </w:rPr>
  </w:style>
  <w:style w:type="character" w:customStyle="1" w:styleId="Heading3Char">
    <w:name w:val="Heading 3 Char"/>
    <w:basedOn w:val="DefaultParagraphFont"/>
    <w:link w:val="Heading3"/>
    <w:uiPriority w:val="9"/>
    <w:rsid w:val="008C56FB"/>
    <w:rPr>
      <w:caps/>
      <w:color w:val="77230C" w:themeColor="accent1" w:themeShade="7F"/>
      <w:spacing w:val="15"/>
    </w:rPr>
  </w:style>
  <w:style w:type="character" w:customStyle="1" w:styleId="Heading4Char">
    <w:name w:val="Heading 4 Char"/>
    <w:basedOn w:val="DefaultParagraphFont"/>
    <w:link w:val="Heading4"/>
    <w:uiPriority w:val="9"/>
    <w:semiHidden/>
    <w:rsid w:val="008C56FB"/>
    <w:rPr>
      <w:caps/>
      <w:color w:val="B43412" w:themeColor="accent1" w:themeShade="BF"/>
      <w:spacing w:val="10"/>
    </w:rPr>
  </w:style>
  <w:style w:type="character" w:customStyle="1" w:styleId="Heading5Char">
    <w:name w:val="Heading 5 Char"/>
    <w:basedOn w:val="DefaultParagraphFont"/>
    <w:link w:val="Heading5"/>
    <w:uiPriority w:val="9"/>
    <w:semiHidden/>
    <w:rsid w:val="008C56FB"/>
    <w:rPr>
      <w:caps/>
      <w:color w:val="B43412" w:themeColor="accent1" w:themeShade="BF"/>
      <w:spacing w:val="10"/>
    </w:rPr>
  </w:style>
  <w:style w:type="character" w:customStyle="1" w:styleId="Heading6Char">
    <w:name w:val="Heading 6 Char"/>
    <w:basedOn w:val="DefaultParagraphFont"/>
    <w:link w:val="Heading6"/>
    <w:uiPriority w:val="9"/>
    <w:semiHidden/>
    <w:rsid w:val="008C56FB"/>
    <w:rPr>
      <w:caps/>
      <w:color w:val="B43412" w:themeColor="accent1" w:themeShade="BF"/>
      <w:spacing w:val="10"/>
    </w:rPr>
  </w:style>
  <w:style w:type="character" w:customStyle="1" w:styleId="Heading7Char">
    <w:name w:val="Heading 7 Char"/>
    <w:basedOn w:val="DefaultParagraphFont"/>
    <w:link w:val="Heading7"/>
    <w:uiPriority w:val="9"/>
    <w:semiHidden/>
    <w:rsid w:val="008C56FB"/>
    <w:rPr>
      <w:caps/>
      <w:color w:val="B43412" w:themeColor="accent1" w:themeShade="BF"/>
      <w:spacing w:val="10"/>
    </w:rPr>
  </w:style>
  <w:style w:type="character" w:customStyle="1" w:styleId="Heading8Char">
    <w:name w:val="Heading 8 Char"/>
    <w:basedOn w:val="DefaultParagraphFont"/>
    <w:link w:val="Heading8"/>
    <w:uiPriority w:val="9"/>
    <w:semiHidden/>
    <w:rsid w:val="008C56FB"/>
    <w:rPr>
      <w:caps/>
      <w:spacing w:val="10"/>
      <w:sz w:val="18"/>
      <w:szCs w:val="18"/>
    </w:rPr>
  </w:style>
  <w:style w:type="character" w:customStyle="1" w:styleId="Heading9Char">
    <w:name w:val="Heading 9 Char"/>
    <w:basedOn w:val="DefaultParagraphFont"/>
    <w:link w:val="Heading9"/>
    <w:uiPriority w:val="9"/>
    <w:semiHidden/>
    <w:rsid w:val="008C56FB"/>
    <w:rPr>
      <w:i/>
      <w:caps/>
      <w:spacing w:val="10"/>
      <w:sz w:val="18"/>
      <w:szCs w:val="18"/>
    </w:rPr>
  </w:style>
  <w:style w:type="paragraph" w:styleId="Caption">
    <w:name w:val="caption"/>
    <w:basedOn w:val="Normal"/>
    <w:next w:val="Normal"/>
    <w:uiPriority w:val="35"/>
    <w:semiHidden/>
    <w:unhideWhenUsed/>
    <w:qFormat/>
    <w:rsid w:val="008C56FB"/>
    <w:rPr>
      <w:b/>
      <w:bCs/>
      <w:color w:val="B43412" w:themeColor="accent1" w:themeShade="BF"/>
      <w:sz w:val="16"/>
      <w:szCs w:val="16"/>
    </w:rPr>
  </w:style>
  <w:style w:type="character" w:customStyle="1" w:styleId="TitleChar">
    <w:name w:val="Title Char"/>
    <w:basedOn w:val="DefaultParagraphFont"/>
    <w:link w:val="Title"/>
    <w:uiPriority w:val="10"/>
    <w:rsid w:val="008C56FB"/>
    <w:rPr>
      <w:caps/>
      <w:color w:val="E84C22" w:themeColor="accent1"/>
      <w:spacing w:val="10"/>
      <w:kern w:val="28"/>
      <w:sz w:val="52"/>
      <w:szCs w:val="52"/>
    </w:rPr>
  </w:style>
  <w:style w:type="paragraph" w:styleId="Subtitle">
    <w:name w:val="Subtitle"/>
    <w:basedOn w:val="Normal"/>
    <w:next w:val="Normal"/>
    <w:link w:val="SubtitleChar"/>
    <w:uiPriority w:val="11"/>
    <w:qFormat/>
    <w:rsid w:val="008C56FB"/>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8C56FB"/>
    <w:rPr>
      <w:caps/>
      <w:color w:val="595959" w:themeColor="text1" w:themeTint="A6"/>
      <w:spacing w:val="10"/>
      <w:sz w:val="24"/>
      <w:szCs w:val="24"/>
    </w:rPr>
  </w:style>
  <w:style w:type="character" w:styleId="Strong">
    <w:name w:val="Strong"/>
    <w:uiPriority w:val="22"/>
    <w:qFormat/>
    <w:rsid w:val="008C56FB"/>
    <w:rPr>
      <w:b/>
      <w:bCs/>
    </w:rPr>
  </w:style>
  <w:style w:type="character" w:styleId="Emphasis">
    <w:name w:val="Emphasis"/>
    <w:uiPriority w:val="20"/>
    <w:qFormat/>
    <w:rsid w:val="008C56FB"/>
    <w:rPr>
      <w:caps/>
      <w:color w:val="77230C" w:themeColor="accent1" w:themeShade="7F"/>
      <w:spacing w:val="5"/>
    </w:rPr>
  </w:style>
  <w:style w:type="paragraph" w:styleId="NoSpacing">
    <w:name w:val="No Spacing"/>
    <w:basedOn w:val="Normal"/>
    <w:link w:val="NoSpacingChar"/>
    <w:uiPriority w:val="1"/>
    <w:qFormat/>
    <w:rsid w:val="008C56FB"/>
    <w:pPr>
      <w:spacing w:before="0" w:after="0" w:line="240" w:lineRule="auto"/>
    </w:pPr>
  </w:style>
  <w:style w:type="character" w:customStyle="1" w:styleId="NoSpacingChar">
    <w:name w:val="No Spacing Char"/>
    <w:basedOn w:val="DefaultParagraphFont"/>
    <w:link w:val="NoSpacing"/>
    <w:uiPriority w:val="1"/>
    <w:rsid w:val="008C56FB"/>
    <w:rPr>
      <w:sz w:val="20"/>
      <w:szCs w:val="20"/>
    </w:rPr>
  </w:style>
  <w:style w:type="paragraph" w:styleId="Quote">
    <w:name w:val="Quote"/>
    <w:basedOn w:val="Normal"/>
    <w:next w:val="Normal"/>
    <w:link w:val="QuoteChar"/>
    <w:uiPriority w:val="29"/>
    <w:qFormat/>
    <w:rsid w:val="008C56FB"/>
    <w:rPr>
      <w:i/>
      <w:iCs/>
    </w:rPr>
  </w:style>
  <w:style w:type="character" w:customStyle="1" w:styleId="QuoteChar">
    <w:name w:val="Quote Char"/>
    <w:basedOn w:val="DefaultParagraphFont"/>
    <w:link w:val="Quote"/>
    <w:uiPriority w:val="29"/>
    <w:rsid w:val="008C56FB"/>
    <w:rPr>
      <w:i/>
      <w:iCs/>
      <w:sz w:val="20"/>
      <w:szCs w:val="20"/>
    </w:rPr>
  </w:style>
  <w:style w:type="paragraph" w:styleId="IntenseQuote">
    <w:name w:val="Intense Quote"/>
    <w:basedOn w:val="Normal"/>
    <w:next w:val="Normal"/>
    <w:link w:val="IntenseQuoteChar"/>
    <w:uiPriority w:val="30"/>
    <w:qFormat/>
    <w:rsid w:val="008C56FB"/>
    <w:pPr>
      <w:pBdr>
        <w:top w:val="single" w:sz="4" w:space="10" w:color="E84C22" w:themeColor="accent1"/>
        <w:left w:val="single" w:sz="4" w:space="10" w:color="E84C22" w:themeColor="accent1"/>
      </w:pBdr>
      <w:spacing w:after="0"/>
      <w:ind w:left="1296" w:right="1152"/>
      <w:jc w:val="both"/>
    </w:pPr>
    <w:rPr>
      <w:i/>
      <w:iCs/>
      <w:color w:val="E84C22" w:themeColor="accent1"/>
    </w:rPr>
  </w:style>
  <w:style w:type="character" w:customStyle="1" w:styleId="IntenseQuoteChar">
    <w:name w:val="Intense Quote Char"/>
    <w:basedOn w:val="DefaultParagraphFont"/>
    <w:link w:val="IntenseQuote"/>
    <w:uiPriority w:val="30"/>
    <w:rsid w:val="008C56FB"/>
    <w:rPr>
      <w:i/>
      <w:iCs/>
      <w:color w:val="E84C22" w:themeColor="accent1"/>
      <w:sz w:val="20"/>
      <w:szCs w:val="20"/>
    </w:rPr>
  </w:style>
  <w:style w:type="character" w:styleId="SubtleEmphasis">
    <w:name w:val="Subtle Emphasis"/>
    <w:uiPriority w:val="19"/>
    <w:qFormat/>
    <w:rsid w:val="008C56FB"/>
    <w:rPr>
      <w:i/>
      <w:iCs/>
      <w:color w:val="77230C" w:themeColor="accent1" w:themeShade="7F"/>
    </w:rPr>
  </w:style>
  <w:style w:type="character" w:styleId="IntenseEmphasis">
    <w:name w:val="Intense Emphasis"/>
    <w:uiPriority w:val="21"/>
    <w:qFormat/>
    <w:rsid w:val="008C56FB"/>
    <w:rPr>
      <w:b/>
      <w:bCs/>
      <w:caps/>
      <w:color w:val="77230C" w:themeColor="accent1" w:themeShade="7F"/>
      <w:spacing w:val="10"/>
    </w:rPr>
  </w:style>
  <w:style w:type="character" w:styleId="SubtleReference">
    <w:name w:val="Subtle Reference"/>
    <w:uiPriority w:val="31"/>
    <w:qFormat/>
    <w:rsid w:val="008C56FB"/>
    <w:rPr>
      <w:b/>
      <w:bCs/>
      <w:color w:val="E84C22" w:themeColor="accent1"/>
    </w:rPr>
  </w:style>
  <w:style w:type="character" w:styleId="IntenseReference">
    <w:name w:val="Intense Reference"/>
    <w:uiPriority w:val="32"/>
    <w:qFormat/>
    <w:rsid w:val="008C56FB"/>
    <w:rPr>
      <w:b/>
      <w:bCs/>
      <w:i/>
      <w:iCs/>
      <w:caps/>
      <w:color w:val="E84C22" w:themeColor="accent1"/>
    </w:rPr>
  </w:style>
  <w:style w:type="character" w:styleId="BookTitle">
    <w:name w:val="Book Title"/>
    <w:uiPriority w:val="33"/>
    <w:qFormat/>
    <w:rsid w:val="008C56FB"/>
    <w:rPr>
      <w:b/>
      <w:bCs/>
      <w:i/>
      <w:iCs/>
      <w:spacing w:val="9"/>
    </w:rPr>
  </w:style>
  <w:style w:type="paragraph" w:styleId="TOCHeading">
    <w:name w:val="TOC Heading"/>
    <w:basedOn w:val="Heading1"/>
    <w:next w:val="Normal"/>
    <w:uiPriority w:val="39"/>
    <w:semiHidden/>
    <w:unhideWhenUsed/>
    <w:qFormat/>
    <w:rsid w:val="008C56FB"/>
    <w:pPr>
      <w:outlineLvl w:val="9"/>
    </w:pPr>
  </w:style>
  <w:style w:type="paragraph" w:styleId="Header">
    <w:name w:val="header"/>
    <w:basedOn w:val="Normal"/>
    <w:link w:val="HeaderChar"/>
    <w:uiPriority w:val="99"/>
    <w:unhideWhenUsed/>
    <w:rsid w:val="008C56F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C56FB"/>
    <w:rPr>
      <w:sz w:val="20"/>
      <w:szCs w:val="20"/>
    </w:rPr>
  </w:style>
  <w:style w:type="paragraph" w:styleId="Footer">
    <w:name w:val="footer"/>
    <w:basedOn w:val="Normal"/>
    <w:link w:val="FooterChar"/>
    <w:uiPriority w:val="99"/>
    <w:unhideWhenUsed/>
    <w:rsid w:val="008C56F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C56FB"/>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ybgbdklqbwdpu6srlaphp" Type="http://schemas.openxmlformats.org/officeDocument/2006/relationships/hyperlink" Target="https://pubmed.ncbi.nlm.nih.gov/38831488" TargetMode="External"/><Relationship Id="rIdvqiopdj-dlpf_wuew6sma" Type="http://schemas.openxmlformats.org/officeDocument/2006/relationships/hyperlink" Target="https://onlinelibrary.wiley.com/doi/10.1111/apt.70333" TargetMode="External"/><Relationship Id="rIdsgvtca97b5xentfxnbxwg" Type="http://schemas.openxmlformats.org/officeDocument/2006/relationships/hyperlink" Target="https://pubmed.ncbi.nlm.nih.gov/39808828" TargetMode="External"/><Relationship Id="rId51_v2-vvx5blwv4riwy4l" Type="http://schemas.openxmlformats.org/officeDocument/2006/relationships/hyperlink" Target="https://pubmed.ncbi.nlm.nih.gov/42294332" TargetMode="External"/><Relationship Id="rIduzsxgw8kypuxhw6yrny6c" Type="http://schemas.openxmlformats.org/officeDocument/2006/relationships/hyperlink" Target="https://www.ncbi.nlm.nih.gov/pmc/articles/PMC10663390/" TargetMode="External"/><Relationship Id="rIdjqh792dqvekp8tfse981a" Type="http://schemas.openxmlformats.org/officeDocument/2006/relationships/hyperlink" Target="https://pubmed.ncbi.nlm.nih.gov/39993401" TargetMode="External"/><Relationship Id="rIdqikuaj7ic8ydl5r_ltc8h" Type="http://schemas.openxmlformats.org/officeDocument/2006/relationships/hyperlink" Target="https://doi.org/10.1097/HEP.0000000000001644" TargetMode="External"/><Relationship Id="rId7kp3ps1xdujb6act9y8nu" Type="http://schemas.openxmlformats.org/officeDocument/2006/relationships/hyperlink" Target="https://www.nccn.org/professionals/physician_gls/pdf/hcc.pdf#page=23" TargetMode="External"/><Relationship Id="rId_xaxgzxuvccejmhbxwmdn" Type="http://schemas.openxmlformats.org/officeDocument/2006/relationships/hyperlink" Target="https://pubmed.ncbi.nlm.nih.gov/41490475" TargetMode="External"/><Relationship Id="rId23b4a3igkc_5hbkr63vol" Type="http://schemas.openxmlformats.org/officeDocument/2006/relationships/hyperlink" Target="https://meetings.asco.org/abstracts-presentations/249709" TargetMode="External"/><Relationship Id="rIdmg_eyoyiojukfxknuoio9" Type="http://schemas.openxmlformats.org/officeDocument/2006/relationships/hyperlink" Target="https://pubmed.ncbi.nlm.nih.gov/42073607" TargetMode="External"/><Relationship Id="rIdhr5wllefnif2_6by1e6j2" Type="http://schemas.openxmlformats.org/officeDocument/2006/relationships/hyperlink" Target="https://www.fda.gov/drugs/drug-approvals-and-databases/approved-drug-products-therapeutic-equivalence-evaluations-orange-book" TargetMode="External"/><Relationship Id="rIdzkqorrjwgzr4cgmfgq3j7" Type="http://schemas.openxmlformats.org/officeDocument/2006/relationships/hyperlink" Target="https://pubmed.ncbi.nlm.nih.gov/38996924" TargetMode="External"/><Relationship Id="rIdsje1ai0t758rlttuqqcgv" Type="http://schemas.openxmlformats.org/officeDocument/2006/relationships/hyperlink" Target="https://pubmed.ncbi.nlm.nih.gov/41855385" TargetMode="External"/><Relationship Id="rIdrer_whzoq7ihici8g5kja" Type="http://schemas.openxmlformats.org/officeDocument/2006/relationships/hyperlink" Target="https://pubmed.ncbi.nlm.nih.gov/41193174" TargetMode="External"/><Relationship Id="rIddbrlhyagrkgmbfflldyuc" Type="http://schemas.openxmlformats.org/officeDocument/2006/relationships/hyperlink" Target="https://pubmed.ncbi.nlm.nih.gov/38253289" TargetMode="External"/><Relationship Id="rIdxl57ukzeuicog554_kmok" Type="http://schemas.openxmlformats.org/officeDocument/2006/relationships/hyperlink" Target="https://onlinelibrary.wiley.com/doi/10.1111/apt.70528" TargetMode="External"/><Relationship Id="rIdernyecji2ykbls1cfotvh" Type="http://schemas.openxmlformats.org/officeDocument/2006/relationships/hyperlink" Target="https://doi.org/10.1097/LVT.0000000000000715" TargetMode="External"/><Relationship Id="rIdfblbaisctpslptrrqxqoi" Type="http://schemas.openxmlformats.org/officeDocument/2006/relationships/hyperlink" Target="https://pubmed.ncbi.nlm.nih.gov/41622628" TargetMode="External"/><Relationship Id="rIdpetrdyo4wmnge9u_ch6jo" Type="http://schemas.openxmlformats.org/officeDocument/2006/relationships/hyperlink" Target="https://pubmed.ncbi.nlm.nih.gov/30568386" TargetMode="External"/><Relationship Id="rIdcodunqyocaipzgbzse7i8" Type="http://schemas.openxmlformats.org/officeDocument/2006/relationships/hyperlink" Target="https://pubmed.ncbi.nlm.nih.gov/36160651" TargetMode="External"/><Relationship Id="rIdvtp-3y5ihff9zrxhzwnil" Type="http://schemas.openxmlformats.org/officeDocument/2006/relationships/hyperlink" Target="https://pubmed.ncbi.nlm.nih.gov/42073605" TargetMode="External"/><Relationship Id="rIdkex91tmzz_vlvwq1bv-7u" Type="http://schemas.openxmlformats.org/officeDocument/2006/relationships/hyperlink" Target="https://pubmed.ncbi.nlm.nih.gov/22047762" TargetMode="External"/><Relationship Id="rId29" Type="http://schemas.openxmlformats.org/officeDocument/2006/relationships/fontTable" Target="fontTable.xml"/><Relationship Id="rId30" Type="http://schemas.openxmlformats.org/officeDocument/2006/relationships/hyperlink" Target="https://drliuhao.github.io/mh-liver-pathways/evidence/2026-10-25/docs/01_HCC_High_Risk_Protocol_v12.docx" TargetMode="External"/><Relationship Id="rId31" Type="http://schemas.openxmlformats.org/officeDocument/2006/relationships/hyperlink" Target="https://doi.org/10.1002/hep.27752" TargetMode="External"/><Relationship Id="rId32" Type="http://schemas.openxmlformats.org/officeDocument/2006/relationships/hyperlink" Target="https://libkey.io/libraries/480/10.1002/hep.27752" TargetMode="External"/><Relationship Id="rId33" Type="http://schemas.openxmlformats.org/officeDocument/2006/relationships/hyperlink" Target="https://doi.org/10.1053/j.gastro.2021.07.033" TargetMode="External"/><Relationship Id="rId34" Type="http://schemas.openxmlformats.org/officeDocument/2006/relationships/hyperlink" Target="https://libkey.io/libraries/480/10.1053/j.gastro.2021.07.033" TargetMode="External"/><Relationship Id="rId35" Type="http://schemas.openxmlformats.org/officeDocument/2006/relationships/hyperlink" Target="https://doi.org/10.1002/hep.30570" TargetMode="External"/><Relationship Id="rId36" Type="http://schemas.openxmlformats.org/officeDocument/2006/relationships/hyperlink" Target="https://libkey.io/libraries/480/10.1002/hep.30570" TargetMode="External"/><Relationship Id="rId37" Type="http://schemas.openxmlformats.org/officeDocument/2006/relationships/hyperlink" Target="https://doi.org/10.1016/j.ajt.2023.07.021" TargetMode="External"/><Relationship Id="rId38" Type="http://schemas.openxmlformats.org/officeDocument/2006/relationships/hyperlink" Target="https://libkey.io/libraries/480/10.1016/j.ajt.2023.07.021" TargetMode="External"/><Relationship Id="rId39" Type="http://schemas.openxmlformats.org/officeDocument/2006/relationships/hyperlink" Target="https://doi.org/10.1097/HEP.0000000000001231" TargetMode="External"/><Relationship Id="rId40" Type="http://schemas.openxmlformats.org/officeDocument/2006/relationships/hyperlink" Target="https://libkey.io/libraries/480/10.1097/HEP.0000000000001231" TargetMode="External"/><Relationship Id="rId41" Type="http://schemas.openxmlformats.org/officeDocument/2006/relationships/hyperlink" Target="https://doi.org/10.1016/S1470-2045(20)30224-2" TargetMode="External"/><Relationship Id="rId42" Type="http://schemas.openxmlformats.org/officeDocument/2006/relationships/hyperlink" Target="https://libkey.io/libraries/480/10.1016/S1470-2045(20)30224-2" TargetMode="External"/><Relationship Id="rId43" Type="http://schemas.openxmlformats.org/officeDocument/2006/relationships/hyperlink" Target="https://doi.org/10.1016/j.cgh.2022.08.023" TargetMode="External"/><Relationship Id="rId44" Type="http://schemas.openxmlformats.org/officeDocument/2006/relationships/hyperlink" Target="https://libkey.io/libraries/480/10.1016/j.cgh.2022.08.023" TargetMode="External"/><Relationship Id="rId45" Type="http://schemas.openxmlformats.org/officeDocument/2006/relationships/hyperlink" Target="https://doi.org/10.1001/jamasurg.2022.2800" TargetMode="External"/><Relationship Id="rId46" Type="http://schemas.openxmlformats.org/officeDocument/2006/relationships/hyperlink" Target="https://libkey.io/libraries/480/10.1001/jamasurg.2022.2800" TargetMode="External"/><Relationship Id="rId47" Type="http://schemas.openxmlformats.org/officeDocument/2006/relationships/hyperlink" Target="https://doi.org/10.1097/HEP.0000000000001231" TargetMode="External"/><Relationship Id="rId48" Type="http://schemas.openxmlformats.org/officeDocument/2006/relationships/hyperlink" Target="https://libkey.io/libraries/480/10.1097/HEP.0000000000001231" TargetMode="External"/><Relationship Id="rId49" Type="http://schemas.openxmlformats.org/officeDocument/2006/relationships/hyperlink" Target="https://doi.org/10.1097/HEP.0000000000001231" TargetMode="External"/><Relationship Id="rId50" Type="http://schemas.openxmlformats.org/officeDocument/2006/relationships/hyperlink" Target="https://libkey.io/libraries/480/10.1097/HEP.0000000000001231" TargetMode="External"/><Relationship Id="rId51" Type="http://schemas.openxmlformats.org/officeDocument/2006/relationships/hyperlink" Target="https://doi.org/10.1097/HEP.0000000000000466" TargetMode="External"/><Relationship Id="rId52" Type="http://schemas.openxmlformats.org/officeDocument/2006/relationships/hyperlink" Target="https://libkey.io/libraries/480/10.1097/HEP.0000000000000466" TargetMode="External"/><Relationship Id="rId53" Type="http://schemas.openxmlformats.org/officeDocument/2006/relationships/hyperlink" Target="https://drliuhao.github.io/mh-liver-pathways/evidence/2026-10-25/docs/01_HCC_High_Risk_Protocol_v12.docx" TargetMode="External"/><Relationship Id="rId54" Type="http://schemas.openxmlformats.org/officeDocument/2006/relationships/hyperlink" Target="https://doi.org/10.1097/JS9.0000000000004077" TargetMode="External"/><Relationship Id="rId55" Type="http://schemas.openxmlformats.org/officeDocument/2006/relationships/hyperlink" Target="https://libkey.io/libraries/480/10.1097/JS9.0000000000004077" TargetMode="External"/><Relationship Id="rId56" Type="http://schemas.openxmlformats.org/officeDocument/2006/relationships/hyperlink" Target="https://doi.org/10.1002/lt.24782" TargetMode="External"/><Relationship Id="rId57" Type="http://schemas.openxmlformats.org/officeDocument/2006/relationships/hyperlink" Target="https://libkey.io/libraries/480/10.1002/lt.24782" TargetMode="External"/><Relationship Id="rId58" Type="http://schemas.openxmlformats.org/officeDocument/2006/relationships/hyperlink" Target="https://doi.org/10.1016/j.hbpd.2020.03.009" TargetMode="External"/><Relationship Id="rId59" Type="http://schemas.openxmlformats.org/officeDocument/2006/relationships/hyperlink" Target="https://libkey.io/libraries/480/10.1016/j.hbpd.2020.03.009" TargetMode="External"/><Relationship Id="rId60" Type="http://schemas.openxmlformats.org/officeDocument/2006/relationships/hyperlink" Target="https://doi.org/10.21037/jgo-24-328" TargetMode="External"/><Relationship Id="rId61" Type="http://schemas.openxmlformats.org/officeDocument/2006/relationships/hyperlink" Target="https://libkey.io/libraries/480/10.21037/jgo-24-328" TargetMode="External"/><Relationship Id="rId62" Type="http://schemas.openxmlformats.org/officeDocument/2006/relationships/hyperlink" Target="https://doi.org/10.1097/TP.0000000000003162" TargetMode="External"/><Relationship Id="rId63" Type="http://schemas.openxmlformats.org/officeDocument/2006/relationships/hyperlink" Target="https://libkey.io/libraries/480/10.1097/TP.0000000000003162" TargetMode="External"/><Relationship Id="rId64" Type="http://schemas.openxmlformats.org/officeDocument/2006/relationships/hyperlink" Target="https://doi.org/10.1111/tri.13586" TargetMode="External"/><Relationship Id="rId65" Type="http://schemas.openxmlformats.org/officeDocument/2006/relationships/hyperlink" Target="https://libkey.io/libraries/480/10.1111/tri.13586" TargetMode="External"/><Relationship Id="rId66" Type="http://schemas.openxmlformats.org/officeDocument/2006/relationships/hyperlink" Target="https://doi.org/10.1097/HEP.0000000000001801" TargetMode="External"/><Relationship Id="rId67" Type="http://schemas.openxmlformats.org/officeDocument/2006/relationships/hyperlink" Target="https://libkey.io/libraries/480/10.1097/HEP.0000000000001801" TargetMode="External"/><Relationship Id="rId68" Type="http://schemas.openxmlformats.org/officeDocument/2006/relationships/hyperlink" Target="https://doi.org/10.1097/JS9.0000000000004077" TargetMode="External"/><Relationship Id="rId69" Type="http://schemas.openxmlformats.org/officeDocument/2006/relationships/hyperlink" Target="https://libkey.io/libraries/480/10.1097/JS9.0000000000004077" TargetMode="External"/><Relationship Id="rId70" Type="http://schemas.openxmlformats.org/officeDocument/2006/relationships/hyperlink" Target="https://doi.org/10.1002/lt.24782" TargetMode="External"/><Relationship Id="rId71" Type="http://schemas.openxmlformats.org/officeDocument/2006/relationships/hyperlink" Target="https://libkey.io/libraries/480/10.1002/lt.24782" TargetMode="External"/><Relationship Id="rId72" Type="http://schemas.openxmlformats.org/officeDocument/2006/relationships/hyperlink" Target="https://doi.org/10.1016/j.hbpd.2020.03.009" TargetMode="External"/><Relationship Id="rId73" Type="http://schemas.openxmlformats.org/officeDocument/2006/relationships/hyperlink" Target="https://libkey.io/libraries/480/10.1016/j.hbpd.2020.03.009" TargetMode="External"/><Relationship Id="rId74" Type="http://schemas.openxmlformats.org/officeDocument/2006/relationships/hyperlink" Target="https://doi.org/10.21037/jgo-24-328" TargetMode="External"/><Relationship Id="rId75" Type="http://schemas.openxmlformats.org/officeDocument/2006/relationships/hyperlink" Target="https://libkey.io/libraries/480/10.21037/jgo-24-328" TargetMode="External"/><Relationship Id="rId76" Type="http://schemas.openxmlformats.org/officeDocument/2006/relationships/hyperlink" Target="https://doi.org/10.1097/TP.0000000000003162" TargetMode="External"/><Relationship Id="rId77" Type="http://schemas.openxmlformats.org/officeDocument/2006/relationships/hyperlink" Target="https://libkey.io/libraries/480/10.1097/TP.0000000000003162" TargetMode="External"/><Relationship Id="rId78" Type="http://schemas.openxmlformats.org/officeDocument/2006/relationships/hyperlink" Target="https://doi.org/10.1097/JS9.0000000000004077" TargetMode="External"/><Relationship Id="rId79" Type="http://schemas.openxmlformats.org/officeDocument/2006/relationships/hyperlink" Target="https://libkey.io/libraries/480/10.1097/JS9.0000000000004077" TargetMode="External"/><Relationship Id="rId80" Type="http://schemas.openxmlformats.org/officeDocument/2006/relationships/hyperlink" Target="https://doi.org/10.1097/JS9.0000000000004077" TargetMode="External"/><Relationship Id="rId81" Type="http://schemas.openxmlformats.org/officeDocument/2006/relationships/hyperlink" Target="https://libkey.io/libraries/480/10.1097/JS9.0000000000004077" TargetMode="External"/><Relationship Id="rId82" Type="http://schemas.openxmlformats.org/officeDocument/2006/relationships/hyperlink" Target="https://doi.org/10.21037/jgo-24-328" TargetMode="External"/><Relationship Id="rId83" Type="http://schemas.openxmlformats.org/officeDocument/2006/relationships/hyperlink" Target="https://libkey.io/libraries/480/10.21037/jgo-24-328" TargetMode="External"/><Relationship Id="rId84" Type="http://schemas.openxmlformats.org/officeDocument/2006/relationships/hyperlink" Target="https://doi.org/10.1002/lt.24782" TargetMode="External"/><Relationship Id="rId85" Type="http://schemas.openxmlformats.org/officeDocument/2006/relationships/hyperlink" Target="https://libkey.io/libraries/480/10.1002/lt.24782" TargetMode="External"/><Relationship Id="rId86" Type="http://schemas.openxmlformats.org/officeDocument/2006/relationships/hyperlink" Target="https://doi.org/10.1016/j.hbpd.2020.03.009" TargetMode="External"/><Relationship Id="rId87" Type="http://schemas.openxmlformats.org/officeDocument/2006/relationships/hyperlink" Target="https://libkey.io/libraries/480/10.1016/j.hbpd.2020.03.009" TargetMode="External"/><Relationship Id="rId88" Type="http://schemas.openxmlformats.org/officeDocument/2006/relationships/hyperlink" Target="https://doi.org/10.1097/TP.0000000000003162" TargetMode="External"/><Relationship Id="rId89" Type="http://schemas.openxmlformats.org/officeDocument/2006/relationships/hyperlink" Target="https://libkey.io/libraries/480/10.1097/TP.0000000000003162" TargetMode="External"/><Relationship Id="rId90" Type="http://schemas.openxmlformats.org/officeDocument/2006/relationships/hyperlink" Target="https://doi.org/10.1097/HEP.0000000000001801" TargetMode="External"/><Relationship Id="rId91" Type="http://schemas.openxmlformats.org/officeDocument/2006/relationships/hyperlink" Target="https://libkey.io/libraries/480/10.1097/HEP.0000000000001801" TargetMode="External"/><Relationship Id="rId92" Type="http://schemas.openxmlformats.org/officeDocument/2006/relationships/hyperlink" Target="https://doi.org/10.1097/JS9.0000000000004077" TargetMode="External"/><Relationship Id="rId93" Type="http://schemas.openxmlformats.org/officeDocument/2006/relationships/hyperlink" Target="https://libkey.io/libraries/480/10.1097/JS9.0000000000004077" TargetMode="External"/><Relationship Id="rId94" Type="http://schemas.openxmlformats.org/officeDocument/2006/relationships/hyperlink" Target="https://doi.org/10.1097/JS9.0000000000004077" TargetMode="External"/><Relationship Id="rId95" Type="http://schemas.openxmlformats.org/officeDocument/2006/relationships/hyperlink" Target="https://libkey.io/libraries/480/10.1097/JS9.0000000000004077" TargetMode="External"/><Relationship Id="rId96" Type="http://schemas.openxmlformats.org/officeDocument/2006/relationships/hyperlink" Target="https://doi.org/10.21037/jgo-24-328" TargetMode="External"/><Relationship Id="rId97" Type="http://schemas.openxmlformats.org/officeDocument/2006/relationships/hyperlink" Target="https://libkey.io/libraries/480/10.21037/jgo-24-328" TargetMode="External"/><Relationship Id="rId98" Type="http://schemas.openxmlformats.org/officeDocument/2006/relationships/hyperlink" Target="https://www.hrsa.gov/sites/default/files/hrsa/optn/adult-meld-exception-transplant-oncology-review-guidance.pdf" TargetMode="External"/><Relationship Id="rId99" Type="http://schemas.openxmlformats.org/officeDocument/2006/relationships/hyperlink" Target="https://drliuhao.github.io/mh-liver-pathways/evidence/2026-10-25/" TargetMode="External"/><Relationship Id="rId100" Type="http://schemas.openxmlformats.org/officeDocument/2006/relationships/hyperlink" Target="https://doi.org/10.1097/HEP.0000000000001801" TargetMode="External"/><Relationship Id="rId101" Type="http://schemas.openxmlformats.org/officeDocument/2006/relationships/hyperlink" Target="https://libkey.io/libraries/480/10.1097/HEP.0000000000001801" TargetMode="External"/><Relationship Id="rId102" Type="http://schemas.openxmlformats.org/officeDocument/2006/relationships/hyperlink" Target="https://doi.org/10.1097/HEP.0000000000001801" TargetMode="External"/><Relationship Id="rId103" Type="http://schemas.openxmlformats.org/officeDocument/2006/relationships/hyperlink" Target="https://libkey.io/libraries/480/10.1097/HEP.0000000000001801" TargetMode="External"/><Relationship Id="rId104" Type="http://schemas.openxmlformats.org/officeDocument/2006/relationships/hyperlink" Target="https://drliuhao.github.io/mh-liver-pathways/evidence/2026-10-25/docs/01_HCC_High_Risk_Protocol_v12.docx" TargetMode="External"/><Relationship Id="rId105" Type="http://schemas.openxmlformats.org/officeDocument/2006/relationships/hyperlink" Target="https://doi.org/10.1016/j.jhep.2024.09.003" TargetMode="External"/><Relationship Id="rId106" Type="http://schemas.openxmlformats.org/officeDocument/2006/relationships/hyperlink" Target="https://libkey.io/libraries/480/10.1016/j.jhep.2024.09.003" TargetMode="External"/><Relationship Id="rId107" Type="http://schemas.openxmlformats.org/officeDocument/2006/relationships/hyperlink" Target="https://doi.org/10.1016/j.jhep.2026.02.019" TargetMode="External"/><Relationship Id="rId108" Type="http://schemas.openxmlformats.org/officeDocument/2006/relationships/hyperlink" Target="https://libkey.io/libraries/480/10.1016/j.jhep.2026.02.019" TargetMode="External"/><Relationship Id="rId109" Type="http://schemas.openxmlformats.org/officeDocument/2006/relationships/hyperlink" Target="https://doi.org/10.1097/HEP.0000000000001289" TargetMode="External"/><Relationship Id="rId110" Type="http://schemas.openxmlformats.org/officeDocument/2006/relationships/hyperlink" Target="https://libkey.io/libraries/480/10.1097/HEP.0000000000001289" TargetMode="External"/><Relationship Id="rId111" Type="http://schemas.openxmlformats.org/officeDocument/2006/relationships/hyperlink" Target="https://doi.org/10.1016/j.jhep.2024.06.042" TargetMode="External"/><Relationship Id="rId112" Type="http://schemas.openxmlformats.org/officeDocument/2006/relationships/hyperlink" Target="https://libkey.io/libraries/480/10.1016/j.jhep.2024.06.042" TargetMode="External"/><Relationship Id="rId113" Type="http://schemas.openxmlformats.org/officeDocument/2006/relationships/hyperlink" Target="https://doi.org/10.1136/gutjnl-2025-336719" TargetMode="External"/><Relationship Id="rId114" Type="http://schemas.openxmlformats.org/officeDocument/2006/relationships/hyperlink" Target="https://libkey.io/libraries/480/10.1136/gutjnl-2025-336719" TargetMode="External"/><Relationship Id="rId115" Type="http://schemas.openxmlformats.org/officeDocument/2006/relationships/hyperlink" Target="https://doi.org/10.1111/apt.70528" TargetMode="External"/><Relationship Id="rId116" Type="http://schemas.openxmlformats.org/officeDocument/2006/relationships/hyperlink" Target="https://libkey.io/libraries/480/10.1111/apt.70528" TargetMode="External"/><Relationship Id="rId117" Type="http://schemas.openxmlformats.org/officeDocument/2006/relationships/hyperlink" Target="https://doi.org/10.1111/liv.70692" TargetMode="External"/><Relationship Id="rId118" Type="http://schemas.openxmlformats.org/officeDocument/2006/relationships/hyperlink" Target="https://libkey.io/libraries/480/10.1111/liv.70692" TargetMode="External"/><Relationship Id="rId119" Type="http://schemas.openxmlformats.org/officeDocument/2006/relationships/hyperlink" Target="https://doi.org/10.1001/jamaoncol.2026.3901" TargetMode="External"/><Relationship Id="rId120" Type="http://schemas.openxmlformats.org/officeDocument/2006/relationships/hyperlink" Target="https://libkey.io/libraries/480/10.1001/jamaoncol.2026.3901" TargetMode="External"/><Relationship Id="rId121" Type="http://schemas.openxmlformats.org/officeDocument/2006/relationships/hyperlink" Target="https://onlinelibrary.wiley.com/doi/10.1111/apt.70333" TargetMode="External"/><Relationship Id="rId122" Type="http://schemas.openxmlformats.org/officeDocument/2006/relationships/hyperlink" Target="https://libkey.io/libraries/480/10.1111/apt.70333" TargetMode="External"/><Relationship Id="rId123" Type="http://schemas.openxmlformats.org/officeDocument/2006/relationships/hyperlink" Target="https://pubmed.ncbi.nlm.nih.gov/42073607" TargetMode="External"/><Relationship Id="rId124" Type="http://schemas.openxmlformats.org/officeDocument/2006/relationships/hyperlink" Target="https://libkey.io/libraries/480/10.3390/cancers18081284" TargetMode="External"/><Relationship Id="rId125" Type="http://schemas.openxmlformats.org/officeDocument/2006/relationships/hyperlink" Target="https://doi.org/10.1016/j.jhep.2024.06.042" TargetMode="External"/><Relationship Id="rId126" Type="http://schemas.openxmlformats.org/officeDocument/2006/relationships/hyperlink" Target="https://libkey.io/libraries/480/10.1016/j.jhep.2024.06.042" TargetMode="External"/><Relationship Id="rId127" Type="http://schemas.openxmlformats.org/officeDocument/2006/relationships/hyperlink" Target="https://doi.org/10.1136/gutjnl-2025-336719" TargetMode="External"/><Relationship Id="rId128" Type="http://schemas.openxmlformats.org/officeDocument/2006/relationships/hyperlink" Target="https://libkey.io/libraries/480/10.1136/gutjnl-2025-336719" TargetMode="External"/><Relationship Id="rId129" Type="http://schemas.openxmlformats.org/officeDocument/2006/relationships/hyperlink" Target="https://drliuhao.github.io/mh-liver-pathways/evidence/2026-10-25/docs/01_HCC_High_Risk_Protocol_v12.docx" TargetMode="External"/><Relationship Id="rId130" Type="http://schemas.openxmlformats.org/officeDocument/2006/relationships/hyperlink" Target="https://doi.org/10.1111/ctr.70488" TargetMode="External"/><Relationship Id="rId131" Type="http://schemas.openxmlformats.org/officeDocument/2006/relationships/hyperlink" Target="https://libkey.io/libraries/480/10.1111/ctr.70488" TargetMode="External"/><Relationship Id="rId132" Type="http://schemas.openxmlformats.org/officeDocument/2006/relationships/hyperlink" Target="https://doi.org/10.1097/HC9.0000000000000619" TargetMode="External"/><Relationship Id="rId133" Type="http://schemas.openxmlformats.org/officeDocument/2006/relationships/hyperlink" Target="https://libkey.io/libraries/480/10.1097/HC9.0000000000000619" TargetMode="External"/><Relationship Id="rId134" Type="http://schemas.openxmlformats.org/officeDocument/2006/relationships/hyperlink" Target="https://doi.org/10.1002/hep.29342" TargetMode="External"/><Relationship Id="rId135" Type="http://schemas.openxmlformats.org/officeDocument/2006/relationships/hyperlink" Target="https://libkey.io/libraries/480/10.1002/hep.29342" TargetMode="External"/><Relationship Id="rId136" Type="http://schemas.openxmlformats.org/officeDocument/2006/relationships/hyperlink" Target="https://doi.org/10.1016/j.jhepr.2023.100907" TargetMode="External"/><Relationship Id="rId137" Type="http://schemas.openxmlformats.org/officeDocument/2006/relationships/hyperlink" Target="https://libkey.io/libraries/480/10.1016/j.jhepr.2023.100907" TargetMode="External"/><Relationship Id="rId138" Type="http://schemas.openxmlformats.org/officeDocument/2006/relationships/hyperlink" Target="https://doi.org/10.1016/j.jhep.2024.03.020" TargetMode="External"/><Relationship Id="rId139" Type="http://schemas.openxmlformats.org/officeDocument/2006/relationships/hyperlink" Target="https://libkey.io/libraries/480/10.1016/j.jhep.2024.03.020" TargetMode="External"/><Relationship Id="rId140" Type="http://schemas.openxmlformats.org/officeDocument/2006/relationships/hyperlink" Target="https://doi.org/10.1177/09622802261420699" TargetMode="External"/><Relationship Id="rId141" Type="http://schemas.openxmlformats.org/officeDocument/2006/relationships/hyperlink" Target="https://libkey.io/libraries/480/10.1177/09622802261420699" TargetMode="External"/><Relationship Id="rId142" Type="http://schemas.openxmlformats.org/officeDocument/2006/relationships/hyperlink" Target="https://doi.org/10.1111/ctr.70488" TargetMode="External"/><Relationship Id="rId143" Type="http://schemas.openxmlformats.org/officeDocument/2006/relationships/hyperlink" Target="https://libkey.io/libraries/480/10.1111/ctr.70488" TargetMode="External"/><Relationship Id="rId144" Type="http://schemas.openxmlformats.org/officeDocument/2006/relationships/hyperlink" Target="https://doi.org/10.1111/ctr.70488" TargetMode="External"/><Relationship Id="rId145" Type="http://schemas.openxmlformats.org/officeDocument/2006/relationships/hyperlink" Target="https://libkey.io/libraries/480/10.1111/ctr.70488" TargetMode="External"/><Relationship Id="rId146" Type="http://schemas.openxmlformats.org/officeDocument/2006/relationships/hyperlink" Target="https://drliuhao.github.io/mh-liver-pathways/evidence/2026-10-25/" TargetMode="External"/><Relationship Id="rId147" Type="http://schemas.openxmlformats.org/officeDocument/2006/relationships/hyperlink" Target="https://drliuhao.github.io/mh-liver-pathways/evidence/2026-10-25/" TargetMode="External"/><Relationship Id="rId148" Type="http://schemas.openxmlformats.org/officeDocument/2006/relationships/hyperlink" Target="https://www.hrsa.gov/sites/default/files/hrsa/optn/optn_policies.pdf" TargetMode="External"/><Relationship Id="rId149" Type="http://schemas.openxmlformats.org/officeDocument/2006/relationships/hyperlink" Target="https://drliuhao.github.io/mh-liver-pathways/evidence/2026-10-25/" TargetMode="External"/><Relationship Id="rId150" Type="http://schemas.openxmlformats.org/officeDocument/2006/relationships/hyperlink" Target="https://www.hrsa.gov/sites/default/files/hrsa/optn/adult-meld-exception-transplant-oncology-review-guidance.pdf" TargetMode="External"/><Relationship Id="rId151" Type="http://schemas.openxmlformats.org/officeDocument/2006/relationships/hyperlink" Target="https://drliuhao.github.io/mh-liver-pathways/evidence/2026-10-25/" TargetMode="External"/><Relationship Id="rId152" Type="http://schemas.openxmlformats.org/officeDocument/2006/relationships/hyperlink" Target="https://doi.org/10.1002/hep.27752" TargetMode="External"/><Relationship Id="rId153" Type="http://schemas.openxmlformats.org/officeDocument/2006/relationships/hyperlink" Target="https://libkey.io/libraries/480/10.1002/hep.27752" TargetMode="External"/><Relationship Id="rId154" Type="http://schemas.openxmlformats.org/officeDocument/2006/relationships/hyperlink" Target="https://doi.org/10.1053/j.gastro.2021.07.033" TargetMode="External"/><Relationship Id="rId155" Type="http://schemas.openxmlformats.org/officeDocument/2006/relationships/hyperlink" Target="https://libkey.io/libraries/480/10.1053/j.gastro.2021.07.033" TargetMode="External"/><Relationship Id="rId156" Type="http://schemas.openxmlformats.org/officeDocument/2006/relationships/hyperlink" Target="https://doi.org/10.1002/hep.30570" TargetMode="External"/><Relationship Id="rId157" Type="http://schemas.openxmlformats.org/officeDocument/2006/relationships/hyperlink" Target="https://libkey.io/libraries/480/10.1002/hep.30570" TargetMode="External"/><Relationship Id="rId158" Type="http://schemas.openxmlformats.org/officeDocument/2006/relationships/hyperlink" Target="https://doi.org/10.1016/j.ajt.2023.07.021" TargetMode="External"/><Relationship Id="rId159" Type="http://schemas.openxmlformats.org/officeDocument/2006/relationships/hyperlink" Target="https://libkey.io/libraries/480/10.1016/j.ajt.2023.07.021" TargetMode="External"/><Relationship Id="rId160" Type="http://schemas.openxmlformats.org/officeDocument/2006/relationships/hyperlink" Target="https://doi.org/10.1097/HEP.0000000000001231" TargetMode="External"/><Relationship Id="rId161" Type="http://schemas.openxmlformats.org/officeDocument/2006/relationships/hyperlink" Target="https://libkey.io/libraries/480/10.1097/HEP.0000000000001231" TargetMode="External"/><Relationship Id="rId162" Type="http://schemas.openxmlformats.org/officeDocument/2006/relationships/hyperlink" Target="https://doi.org/10.1016/S1470-2045(20)30224-2" TargetMode="External"/><Relationship Id="rId163" Type="http://schemas.openxmlformats.org/officeDocument/2006/relationships/hyperlink" Target="https://libkey.io/libraries/480/10.1016/S1470-2045(20)30224-2" TargetMode="External"/><Relationship Id="rId164" Type="http://schemas.openxmlformats.org/officeDocument/2006/relationships/hyperlink" Target="https://doi.org/10.1016/j.cgh.2022.08.023" TargetMode="External"/><Relationship Id="rId165" Type="http://schemas.openxmlformats.org/officeDocument/2006/relationships/hyperlink" Target="https://libkey.io/libraries/480/10.1016/j.cgh.2022.08.023" TargetMode="External"/><Relationship Id="rId166" Type="http://schemas.openxmlformats.org/officeDocument/2006/relationships/hyperlink" Target="https://doi.org/10.1001/jamasurg.2022.2800" TargetMode="External"/><Relationship Id="rId167" Type="http://schemas.openxmlformats.org/officeDocument/2006/relationships/hyperlink" Target="https://libkey.io/libraries/480/10.1001/jamasurg.2022.2800" TargetMode="External"/><Relationship Id="rId168" Type="http://schemas.openxmlformats.org/officeDocument/2006/relationships/hyperlink" Target="https://doi.org/10.1097/HEP.0000000000000466" TargetMode="External"/><Relationship Id="rId169" Type="http://schemas.openxmlformats.org/officeDocument/2006/relationships/hyperlink" Target="https://libkey.io/libraries/480/10.1097/HEP.0000000000000466" TargetMode="External"/><Relationship Id="rId170" Type="http://schemas.openxmlformats.org/officeDocument/2006/relationships/hyperlink" Target="https://doi.org/10.1038/s41571-026-01160-z" TargetMode="External"/><Relationship Id="rId171" Type="http://schemas.openxmlformats.org/officeDocument/2006/relationships/hyperlink" Target="https://libkey.io/libraries/480/10.1038/s41571-026-01160-z" TargetMode="External"/><Relationship Id="rId172" Type="http://schemas.openxmlformats.org/officeDocument/2006/relationships/hyperlink" Target="https://doi.org/10.1097/JS9.0000000000004077" TargetMode="External"/><Relationship Id="rId173" Type="http://schemas.openxmlformats.org/officeDocument/2006/relationships/hyperlink" Target="https://libkey.io/libraries/480/10.1097/JS9.0000000000004077" TargetMode="External"/><Relationship Id="rId174" Type="http://schemas.openxmlformats.org/officeDocument/2006/relationships/hyperlink" Target="https://doi.org/10.1002/lt.24782" TargetMode="External"/><Relationship Id="rId175" Type="http://schemas.openxmlformats.org/officeDocument/2006/relationships/hyperlink" Target="https://libkey.io/libraries/480/10.1002/lt.24782" TargetMode="External"/><Relationship Id="rId176" Type="http://schemas.openxmlformats.org/officeDocument/2006/relationships/hyperlink" Target="https://doi.org/10.1016/j.hbpd.2020.03.009" TargetMode="External"/><Relationship Id="rId177" Type="http://schemas.openxmlformats.org/officeDocument/2006/relationships/hyperlink" Target="https://libkey.io/libraries/480/10.1016/j.hbpd.2020.03.009" TargetMode="External"/><Relationship Id="rId178" Type="http://schemas.openxmlformats.org/officeDocument/2006/relationships/hyperlink" Target="https://doi.org/10.21037/jgo-24-328" TargetMode="External"/><Relationship Id="rId179" Type="http://schemas.openxmlformats.org/officeDocument/2006/relationships/hyperlink" Target="https://libkey.io/libraries/480/10.21037/jgo-24-328" TargetMode="External"/><Relationship Id="rId180" Type="http://schemas.openxmlformats.org/officeDocument/2006/relationships/hyperlink" Target="https://doi.org/10.1097/TP.0000000000003162" TargetMode="External"/><Relationship Id="rId181" Type="http://schemas.openxmlformats.org/officeDocument/2006/relationships/hyperlink" Target="https://libkey.io/libraries/480/10.1097/TP.0000000000003162" TargetMode="External"/><Relationship Id="rId182" Type="http://schemas.openxmlformats.org/officeDocument/2006/relationships/hyperlink" Target="https://doi.org/10.1111/tri.13586" TargetMode="External"/><Relationship Id="rId183" Type="http://schemas.openxmlformats.org/officeDocument/2006/relationships/hyperlink" Target="https://libkey.io/libraries/480/10.1111/tri.13586" TargetMode="External"/><Relationship Id="rId184" Type="http://schemas.openxmlformats.org/officeDocument/2006/relationships/hyperlink" Target="https://doi.org/10.1097/HEP.0000000000001801" TargetMode="External"/><Relationship Id="rId185" Type="http://schemas.openxmlformats.org/officeDocument/2006/relationships/hyperlink" Target="https://libkey.io/libraries/480/10.1097/HEP.0000000000001801" TargetMode="External"/><Relationship Id="rId186" Type="http://schemas.openxmlformats.org/officeDocument/2006/relationships/hyperlink" Target="https://doi.org/10.1097/LVT.0000000000000589" TargetMode="External"/><Relationship Id="rId187" Type="http://schemas.openxmlformats.org/officeDocument/2006/relationships/hyperlink" Target="https://libkey.io/libraries/480/10.1097/LVT.0000000000000589" TargetMode="External"/><Relationship Id="rId188" Type="http://schemas.openxmlformats.org/officeDocument/2006/relationships/hyperlink" Target="https://doi.org/10.1016/j.jhep.2024.09.003" TargetMode="External"/><Relationship Id="rId189" Type="http://schemas.openxmlformats.org/officeDocument/2006/relationships/hyperlink" Target="https://libkey.io/libraries/480/10.1016/j.jhep.2024.09.003" TargetMode="External"/><Relationship Id="rId190" Type="http://schemas.openxmlformats.org/officeDocument/2006/relationships/hyperlink" Target="https://doi.org/10.1016/j.jhep.2026.02.019" TargetMode="External"/><Relationship Id="rId191" Type="http://schemas.openxmlformats.org/officeDocument/2006/relationships/hyperlink" Target="https://libkey.io/libraries/480/10.1016/j.jhep.2026.02.019" TargetMode="External"/><Relationship Id="rId192" Type="http://schemas.openxmlformats.org/officeDocument/2006/relationships/hyperlink" Target="https://doi.org/10.1097/HEP.0000000000001289" TargetMode="External"/><Relationship Id="rId193" Type="http://schemas.openxmlformats.org/officeDocument/2006/relationships/hyperlink" Target="https://libkey.io/libraries/480/10.1097/HEP.0000000000001289" TargetMode="External"/><Relationship Id="rId194" Type="http://schemas.openxmlformats.org/officeDocument/2006/relationships/hyperlink" Target="https://doi.org/10.1016/j.jhep.2024.06.042" TargetMode="External"/><Relationship Id="rId195" Type="http://schemas.openxmlformats.org/officeDocument/2006/relationships/hyperlink" Target="https://libkey.io/libraries/480/10.1016/j.jhep.2024.06.042" TargetMode="External"/><Relationship Id="rId196" Type="http://schemas.openxmlformats.org/officeDocument/2006/relationships/hyperlink" Target="https://doi.org/10.1136/gutjnl-2025-336719" TargetMode="External"/><Relationship Id="rId197" Type="http://schemas.openxmlformats.org/officeDocument/2006/relationships/hyperlink" Target="https://libkey.io/libraries/480/10.1136/gutjnl-2025-336719" TargetMode="External"/><Relationship Id="rId198" Type="http://schemas.openxmlformats.org/officeDocument/2006/relationships/hyperlink" Target="https://doi.org/10.1111/apt.70528" TargetMode="External"/><Relationship Id="rId199" Type="http://schemas.openxmlformats.org/officeDocument/2006/relationships/hyperlink" Target="https://libkey.io/libraries/480/10.1111/apt.70528" TargetMode="External"/><Relationship Id="rId200" Type="http://schemas.openxmlformats.org/officeDocument/2006/relationships/hyperlink" Target="https://doi.org/10.1111/liv.70692" TargetMode="External"/><Relationship Id="rId201" Type="http://schemas.openxmlformats.org/officeDocument/2006/relationships/hyperlink" Target="https://libkey.io/libraries/480/10.1111/liv.70692" TargetMode="External"/><Relationship Id="rId202" Type="http://schemas.openxmlformats.org/officeDocument/2006/relationships/hyperlink" Target="https://doi.org/10.1001/jamaoncol.2026.3901" TargetMode="External"/><Relationship Id="rId203" Type="http://schemas.openxmlformats.org/officeDocument/2006/relationships/hyperlink" Target="https://libkey.io/libraries/480/10.1001/jamaoncol.2026.3901" TargetMode="External"/><Relationship Id="rId204" Type="http://schemas.openxmlformats.org/officeDocument/2006/relationships/hyperlink" Target="https://onlinelibrary.wiley.com/doi/10.1111/apt.70333" TargetMode="External"/><Relationship Id="rId205" Type="http://schemas.openxmlformats.org/officeDocument/2006/relationships/hyperlink" Target="https://libkey.io/libraries/480/10.1111/apt.70333" TargetMode="External"/><Relationship Id="rId206" Type="http://schemas.openxmlformats.org/officeDocument/2006/relationships/hyperlink" Target="https://pubmed.ncbi.nlm.nih.gov/42073607" TargetMode="External"/><Relationship Id="rId207" Type="http://schemas.openxmlformats.org/officeDocument/2006/relationships/hyperlink" Target="https://libkey.io/libraries/480/10.3390/cancers18081284" TargetMode="External"/><Relationship Id="rId208" Type="http://schemas.openxmlformats.org/officeDocument/2006/relationships/hyperlink" Target="https://doi.org/10.1111/ctr.70488" TargetMode="External"/><Relationship Id="rId209" Type="http://schemas.openxmlformats.org/officeDocument/2006/relationships/hyperlink" Target="https://libkey.io/libraries/480/10.1111/ctr.70488" TargetMode="External"/><Relationship Id="rId210" Type="http://schemas.openxmlformats.org/officeDocument/2006/relationships/hyperlink" Target="https://doi.org/10.1097/HC9.0000000000000619" TargetMode="External"/><Relationship Id="rId211" Type="http://schemas.openxmlformats.org/officeDocument/2006/relationships/hyperlink" Target="https://libkey.io/libraries/480/10.1097/HC9.0000000000000619" TargetMode="External"/><Relationship Id="rId212" Type="http://schemas.openxmlformats.org/officeDocument/2006/relationships/hyperlink" Target="https://doi.org/10.1002/hep.29342" TargetMode="External"/><Relationship Id="rId213" Type="http://schemas.openxmlformats.org/officeDocument/2006/relationships/hyperlink" Target="https://libkey.io/libraries/480/10.1002/hep.29342" TargetMode="External"/><Relationship Id="rId214" Type="http://schemas.openxmlformats.org/officeDocument/2006/relationships/hyperlink" Target="https://doi.org/10.1016/j.jhepr.2023.100907" TargetMode="External"/><Relationship Id="rId215" Type="http://schemas.openxmlformats.org/officeDocument/2006/relationships/hyperlink" Target="https://libkey.io/libraries/480/10.1016/j.jhepr.2023.100907" TargetMode="External"/><Relationship Id="rId216" Type="http://schemas.openxmlformats.org/officeDocument/2006/relationships/hyperlink" Target="https://doi.org/10.1016/j.jhep.2024.03.020" TargetMode="External"/><Relationship Id="rId217" Type="http://schemas.openxmlformats.org/officeDocument/2006/relationships/hyperlink" Target="https://libkey.io/libraries/480/10.1016/j.jhep.2024.03.020" TargetMode="External"/><Relationship Id="rId218" Type="http://schemas.openxmlformats.org/officeDocument/2006/relationships/hyperlink" Target="https://doi.org/10.1177/09622802261420699" TargetMode="External"/><Relationship Id="rId219" Type="http://schemas.openxmlformats.org/officeDocument/2006/relationships/hyperlink" Target="https://libkey.io/libraries/480/10.1177/09622802261420699" TargetMode="External"/><Relationship Id="rId220" Type="http://schemas.openxmlformats.org/officeDocument/2006/relationships/hyperlink" Target="https://www.hrsa.gov/sites/default/files/hrsa/optn/optn_policies.pdf" TargetMode="External"/><Relationship Id="rId221" Type="http://schemas.openxmlformats.org/officeDocument/2006/relationships/hyperlink" Target="https://drliuhao.github.io/mh-liver-pathways/evidence/2026-10-25/" TargetMode="External"/><Relationship Id="rId222" Type="http://schemas.openxmlformats.org/officeDocument/2006/relationships/hyperlink" Target="https://www.hrsa.gov/sites/default/files/hrsa/optn/adult-meld-exception-transplant-oncology-review-guidance.pdf" TargetMode="External"/><Relationship Id="rId223" Type="http://schemas.openxmlformats.org/officeDocument/2006/relationships/hyperlink" Target="https://drliuhao.github.io/mh-liver-pathways/evidence/2026-10-25/" TargetMode="External"/><Relationship Id="rId224" Type="http://schemas.openxmlformats.org/officeDocument/2006/relationships/hyperlink" Target="https://doi.org/10.1002/hep.30413" TargetMode="External"/><Relationship Id="rId225" Type="http://schemas.openxmlformats.org/officeDocument/2006/relationships/hyperlink" Target="https://libkey.io/libraries/480/10.1002/hep.30413" TargetMode="External"/><Relationship Id="rId226" Type="http://schemas.openxmlformats.org/officeDocument/2006/relationships/hyperlink" Target="https://doi.org/10.1001/jamasurg.2021.0954" TargetMode="External"/><Relationship Id="rId227" Type="http://schemas.openxmlformats.org/officeDocument/2006/relationships/hyperlink" Target="https://libkey.io/libraries/480/10.1001/jamasurg.2021.0954" TargetMode="External"/><Relationship Id="rId228" Type="http://schemas.openxmlformats.org/officeDocument/2006/relationships/hyperlink" Target="https://doi.org/10.1097/HEP.0000000000000466" TargetMode="External"/><Relationship Id="rId229" Type="http://schemas.openxmlformats.org/officeDocument/2006/relationships/hyperlink" Target="https://libkey.io/libraries/480/10.1097/HEP.0000000000000466" TargetMode="External"/><Relationship Id="rId230" Type="http://schemas.openxmlformats.org/officeDocument/2006/relationships/hyperlink" Target="https://doi.org/10.1002/cam4.71812" TargetMode="External"/><Relationship Id="rId231" Type="http://schemas.openxmlformats.org/officeDocument/2006/relationships/hyperlink" Target="https://libkey.io/libraries/480/10.1002/cam4.71812" TargetMode="External"/><Relationship Id="rId232" Type="http://schemas.openxmlformats.org/officeDocument/2006/relationships/hyperlink" Target="https://www.hrsa.gov/sites/default/files/hrsa/optn/optn_policies.pdf" TargetMode="External"/><Relationship Id="rId233" Type="http://schemas.openxmlformats.org/officeDocument/2006/relationships/hyperlink" Target="https://drliuhao.github.io/mh-liver-pathways/evidence/2026-10-25/" TargetMode="External"/><Relationship Id="rId234" Type="http://schemas.openxmlformats.org/officeDocument/2006/relationships/hyperlink" Target="https://www.hrsa.gov/sites/default/files/hrsa/optn/adult-meld-exception-transplant-oncology-review-guidance.pdf" TargetMode="External"/><Relationship Id="rId235" Type="http://schemas.openxmlformats.org/officeDocument/2006/relationships/hyperlink" Target="https://drliuhao.github.io/mh-liver-pathways/evidence/2026-10-25/" TargetMode="External"/><Relationship Id="rId236" Type="http://schemas.openxmlformats.org/officeDocument/2006/relationships/hyperlink" Target="https://doi.org/10.1002/hep.30413" TargetMode="External"/><Relationship Id="rId237" Type="http://schemas.openxmlformats.org/officeDocument/2006/relationships/hyperlink" Target="https://libkey.io/libraries/480/10.1002/hep.30413" TargetMode="External"/><Relationship Id="rId238" Type="http://schemas.openxmlformats.org/officeDocument/2006/relationships/hyperlink" Target="https://doi.org/10.1002/lt.26392" TargetMode="External"/><Relationship Id="rId239" Type="http://schemas.openxmlformats.org/officeDocument/2006/relationships/hyperlink" Target="https://libkey.io/libraries/480/10.1002/lt.26392" TargetMode="External"/><Relationship Id="rId240" Type="http://schemas.openxmlformats.org/officeDocument/2006/relationships/hyperlink" Target="https://doi.org/10.1097/TP.0000000000002094" TargetMode="External"/><Relationship Id="rId241" Type="http://schemas.openxmlformats.org/officeDocument/2006/relationships/hyperlink" Target="https://libkey.io/libraries/480/10.1097/TP.0000000000002094" TargetMode="External"/><Relationship Id="rId242" Type="http://schemas.openxmlformats.org/officeDocument/2006/relationships/hyperlink" Target="https://doi.org/10.1001/jamasurg.2021.0954" TargetMode="External"/><Relationship Id="rId243" Type="http://schemas.openxmlformats.org/officeDocument/2006/relationships/hyperlink" Target="https://libkey.io/libraries/480/10.1001/jamasurg.2021.0954" TargetMode="External"/><Relationship Id="rId244" Type="http://schemas.openxmlformats.org/officeDocument/2006/relationships/hyperlink" Target="https://doi.org/10.1002/cam4.71812" TargetMode="External"/><Relationship Id="rId245" Type="http://schemas.openxmlformats.org/officeDocument/2006/relationships/hyperlink" Target="https://libkey.io/libraries/480/10.1002/cam4.71812" TargetMode="External"/><Relationship Id="rId246" Type="http://schemas.openxmlformats.org/officeDocument/2006/relationships/hyperlink" Target="https://www.hrsa.gov/sites/default/files/hrsa/optn/optn_policies.pdf" TargetMode="External"/><Relationship Id="rId247" Type="http://schemas.openxmlformats.org/officeDocument/2006/relationships/hyperlink" Target="https://drliuhao.github.io/mh-liver-pathways/evidence/2026-10-25/" TargetMode="External"/><Relationship Id="rId248" Type="http://schemas.openxmlformats.org/officeDocument/2006/relationships/hyperlink" Target="https://www.hrsa.gov/sites/default/files/hrsa/optn/adult-meld-exception-transplant-oncology-review-guidance.pdf" TargetMode="External"/><Relationship Id="rId249" Type="http://schemas.openxmlformats.org/officeDocument/2006/relationships/hyperlink" Target="https://drliuhao.github.io/mh-liver-pathways/evidence/2026-10-25/" TargetMode="External"/><Relationship Id="rId250" Type="http://schemas.openxmlformats.org/officeDocument/2006/relationships/hyperlink" Target="https://doi.org/10.1097/TP.0000000000002094" TargetMode="External"/><Relationship Id="rId251" Type="http://schemas.openxmlformats.org/officeDocument/2006/relationships/hyperlink" Target="https://libkey.io/libraries/480/10.1097/TP.0000000000002094" TargetMode="External"/><Relationship Id="rId252" Type="http://schemas.openxmlformats.org/officeDocument/2006/relationships/hyperlink" Target="https://doi.org/10.1097/HEP.0000000000000466" TargetMode="External"/><Relationship Id="rId253" Type="http://schemas.openxmlformats.org/officeDocument/2006/relationships/hyperlink" Target="https://libkey.io/libraries/480/10.1097/HEP.0000000000000466" TargetMode="External"/><Relationship Id="rId254" Type="http://schemas.openxmlformats.org/officeDocument/2006/relationships/hyperlink" Target="https://doi.org/10.1097/HEP.0000000000000466" TargetMode="External"/><Relationship Id="rId255" Type="http://schemas.openxmlformats.org/officeDocument/2006/relationships/hyperlink" Target="https://libkey.io/libraries/480/10.1097/HEP.0000000000000466" TargetMode="External"/><Relationship Id="rId256" Type="http://schemas.openxmlformats.org/officeDocument/2006/relationships/hyperlink" Target="https://doi.org/10.1097/HEP.0000000000000466" TargetMode="External"/><Relationship Id="rId257" Type="http://schemas.openxmlformats.org/officeDocument/2006/relationships/hyperlink" Target="https://libkey.io/libraries/480/10.1097/HEP.0000000000000466" TargetMode="External"/><Relationship Id="rId258" Type="http://schemas.openxmlformats.org/officeDocument/2006/relationships/hyperlink" Target="https://www.hrsa.gov/sites/default/files/hrsa/optn/optn_policies.pdf" TargetMode="External"/><Relationship Id="rId259" Type="http://schemas.openxmlformats.org/officeDocument/2006/relationships/hyperlink" Target="https://drliuhao.github.io/mh-liver-pathways/evidence/2026-10-25/" TargetMode="External"/><Relationship Id="rId260" Type="http://schemas.openxmlformats.org/officeDocument/2006/relationships/hyperlink" Target="https://www.hrsa.gov/sites/default/files/hrsa/optn/adult-meld-exception-transplant-oncology-review-guidance.pdf" TargetMode="External"/><Relationship Id="rId261" Type="http://schemas.openxmlformats.org/officeDocument/2006/relationships/hyperlink" Target="https://drliuhao.github.io/mh-liver-pathways/evidence/2026-10-25/" TargetMode="External"/><Relationship Id="rId262" Type="http://schemas.openxmlformats.org/officeDocument/2006/relationships/hyperlink" Target="https://www.hrsa.gov/sites/default/files/hrsa/optn/optn_policies.pdf" TargetMode="External"/><Relationship Id="rId263" Type="http://schemas.openxmlformats.org/officeDocument/2006/relationships/hyperlink" Target="https://drliuhao.github.io/mh-liver-pathways/evidence/2026-10-25/" TargetMode="External"/><Relationship Id="rId264" Type="http://schemas.openxmlformats.org/officeDocument/2006/relationships/hyperlink" Target="https://www.hrsa.gov/sites/default/files/hrsa/optn/adult-meld-exception-transplant-oncology-review-guidance.pdf" TargetMode="External"/><Relationship Id="rId265" Type="http://schemas.openxmlformats.org/officeDocument/2006/relationships/hyperlink" Target="https://drliuhao.github.io/mh-liver-pathways/evidence/2026-10-25/" TargetMode="External"/><Relationship Id="rId266" Type="http://schemas.openxmlformats.org/officeDocument/2006/relationships/hyperlink" Target="https://doi.org/10.1002/lt.26392" TargetMode="External"/><Relationship Id="rId267" Type="http://schemas.openxmlformats.org/officeDocument/2006/relationships/hyperlink" Target="https://libkey.io/libraries/480/10.1002/lt.26392" TargetMode="External"/><Relationship Id="rId268" Type="http://schemas.openxmlformats.org/officeDocument/2006/relationships/hyperlink" Target="https://doi.org/10.1097/HEP.0000000000000466" TargetMode="External"/><Relationship Id="rId269" Type="http://schemas.openxmlformats.org/officeDocument/2006/relationships/hyperlink" Target="https://libkey.io/libraries/480/10.1097/HEP.0000000000000466" TargetMode="External"/><Relationship Id="rId270" Type="http://schemas.openxmlformats.org/officeDocument/2006/relationships/hyperlink" Target="https://doi.org/10.1097/TP.0000000000002094" TargetMode="External"/><Relationship Id="rId271" Type="http://schemas.openxmlformats.org/officeDocument/2006/relationships/hyperlink" Target="https://libkey.io/libraries/480/10.1097/TP.0000000000002094" TargetMode="External"/><Relationship Id="rId272" Type="http://schemas.openxmlformats.org/officeDocument/2006/relationships/hyperlink" Target="https://doi.org/10.1097/TP.0000000000002094" TargetMode="External"/><Relationship Id="rId273" Type="http://schemas.openxmlformats.org/officeDocument/2006/relationships/hyperlink" Target="https://libkey.io/libraries/480/10.1097/TP.0000000000002094" TargetMode="External"/><Relationship Id="rId274" Type="http://schemas.openxmlformats.org/officeDocument/2006/relationships/hyperlink" Target="https://doi.org/10.1002/hep.30413" TargetMode="External"/><Relationship Id="rId275" Type="http://schemas.openxmlformats.org/officeDocument/2006/relationships/hyperlink" Target="https://libkey.io/libraries/480/10.1002/hep.30413" TargetMode="External"/><Relationship Id="rId276" Type="http://schemas.openxmlformats.org/officeDocument/2006/relationships/hyperlink" Target="https://doi.org/10.1002/lt.26392" TargetMode="External"/><Relationship Id="rId277" Type="http://schemas.openxmlformats.org/officeDocument/2006/relationships/hyperlink" Target="https://libkey.io/libraries/480/10.1002/lt.26392" TargetMode="External"/><Relationship Id="rId278" Type="http://schemas.openxmlformats.org/officeDocument/2006/relationships/hyperlink" Target="https://doi.org/10.1097/HEP.0000000000000466" TargetMode="External"/><Relationship Id="rId279" Type="http://schemas.openxmlformats.org/officeDocument/2006/relationships/hyperlink" Target="https://libkey.io/libraries/480/10.1097/HEP.0000000000000466" TargetMode="External"/><Relationship Id="rId280" Type="http://schemas.openxmlformats.org/officeDocument/2006/relationships/hyperlink" Target="https://www.hrsa.gov/sites/default/files/hrsa/optn/optn_policies.pdf" TargetMode="External"/><Relationship Id="rId281" Type="http://schemas.openxmlformats.org/officeDocument/2006/relationships/hyperlink" Target="https://drliuhao.github.io/mh-liver-pathways/evidence/2026-10-25/" TargetMode="External"/><Relationship Id="rId282" Type="http://schemas.openxmlformats.org/officeDocument/2006/relationships/hyperlink" Target="https://www.hrsa.gov/sites/default/files/hrsa/optn/adult-meld-exception-transplant-oncology-review-guidance.pdf" TargetMode="External"/><Relationship Id="rId283" Type="http://schemas.openxmlformats.org/officeDocument/2006/relationships/hyperlink" Target="https://drliuhao.github.io/mh-liver-pathways/evidence/2026-10-25/" TargetMode="External"/><Relationship Id="rId284" Type="http://schemas.openxmlformats.org/officeDocument/2006/relationships/hyperlink" Target="https://doi.org/10.1002/hep.27752" TargetMode="External"/><Relationship Id="rId285" Type="http://schemas.openxmlformats.org/officeDocument/2006/relationships/hyperlink" Target="https://libkey.io/libraries/480/10.1002/hep.27752" TargetMode="External"/><Relationship Id="rId286" Type="http://schemas.openxmlformats.org/officeDocument/2006/relationships/hyperlink" Target="https://doi.org/10.1053/j.gastro.2021.07.033" TargetMode="External"/><Relationship Id="rId287" Type="http://schemas.openxmlformats.org/officeDocument/2006/relationships/hyperlink" Target="https://libkey.io/libraries/480/10.1053/j.gastro.2021.07.033" TargetMode="External"/><Relationship Id="rId288" Type="http://schemas.openxmlformats.org/officeDocument/2006/relationships/hyperlink" Target="https://doi.org/10.1002/hep.30570" TargetMode="External"/><Relationship Id="rId289" Type="http://schemas.openxmlformats.org/officeDocument/2006/relationships/hyperlink" Target="https://libkey.io/libraries/480/10.1002/hep.30570" TargetMode="External"/><Relationship Id="rId290" Type="http://schemas.openxmlformats.org/officeDocument/2006/relationships/hyperlink" Target="https://doi.org/10.1016/j.ajt.2023.07.021" TargetMode="External"/><Relationship Id="rId291" Type="http://schemas.openxmlformats.org/officeDocument/2006/relationships/hyperlink" Target="https://libkey.io/libraries/480/10.1016/j.ajt.2023.07.021" TargetMode="External"/><Relationship Id="rId292" Type="http://schemas.openxmlformats.org/officeDocument/2006/relationships/hyperlink" Target="https://doi.org/10.1097/HEP.0000000000001231" TargetMode="External"/><Relationship Id="rId293" Type="http://schemas.openxmlformats.org/officeDocument/2006/relationships/hyperlink" Target="https://libkey.io/libraries/480/10.1097/HEP.0000000000001231" TargetMode="External"/><Relationship Id="rId294" Type="http://schemas.openxmlformats.org/officeDocument/2006/relationships/hyperlink" Target="https://doi.org/10.1016/S1470-2045(20)30224-2" TargetMode="External"/><Relationship Id="rId295" Type="http://schemas.openxmlformats.org/officeDocument/2006/relationships/hyperlink" Target="https://libkey.io/libraries/480/10.1016/S1470-2045(20)30224-2" TargetMode="External"/><Relationship Id="rId296" Type="http://schemas.openxmlformats.org/officeDocument/2006/relationships/hyperlink" Target="https://doi.org/10.1016/j.cgh.2022.08.023" TargetMode="External"/><Relationship Id="rId297" Type="http://schemas.openxmlformats.org/officeDocument/2006/relationships/hyperlink" Target="https://libkey.io/libraries/480/10.1016/j.cgh.2022.08.023" TargetMode="External"/><Relationship Id="rId298" Type="http://schemas.openxmlformats.org/officeDocument/2006/relationships/hyperlink" Target="https://doi.org/10.1001/jamasurg.2022.2800" TargetMode="External"/><Relationship Id="rId299" Type="http://schemas.openxmlformats.org/officeDocument/2006/relationships/hyperlink" Target="https://libkey.io/libraries/480/10.1001/jamasurg.2022.2800" TargetMode="External"/><Relationship Id="rId300" Type="http://schemas.openxmlformats.org/officeDocument/2006/relationships/hyperlink" Target="https://doi.org/10.1097/HEP.0000000000000466" TargetMode="External"/><Relationship Id="rId301" Type="http://schemas.openxmlformats.org/officeDocument/2006/relationships/hyperlink" Target="https://libkey.io/libraries/480/10.1097/HEP.0000000000000466" TargetMode="External"/><Relationship Id="rId302" Type="http://schemas.openxmlformats.org/officeDocument/2006/relationships/hyperlink" Target="https://doi.org/10.1038/s41571-026-01160-z" TargetMode="External"/><Relationship Id="rId303" Type="http://schemas.openxmlformats.org/officeDocument/2006/relationships/hyperlink" Target="https://libkey.io/libraries/480/10.1038/s41571-026-01160-z" TargetMode="External"/><Relationship Id="rId304" Type="http://schemas.openxmlformats.org/officeDocument/2006/relationships/hyperlink" Target="https://doi.org/10.1097/JS9.0000000000004077" TargetMode="External"/><Relationship Id="rId305" Type="http://schemas.openxmlformats.org/officeDocument/2006/relationships/hyperlink" Target="https://libkey.io/libraries/480/10.1097/JS9.0000000000004077" TargetMode="External"/><Relationship Id="rId306" Type="http://schemas.openxmlformats.org/officeDocument/2006/relationships/hyperlink" Target="https://doi.org/10.1002/lt.24782" TargetMode="External"/><Relationship Id="rId307" Type="http://schemas.openxmlformats.org/officeDocument/2006/relationships/hyperlink" Target="https://libkey.io/libraries/480/10.1002/lt.24782" TargetMode="External"/><Relationship Id="rId308" Type="http://schemas.openxmlformats.org/officeDocument/2006/relationships/hyperlink" Target="https://doi.org/10.1016/j.hbpd.2020.03.009" TargetMode="External"/><Relationship Id="rId309" Type="http://schemas.openxmlformats.org/officeDocument/2006/relationships/hyperlink" Target="https://libkey.io/libraries/480/10.1016/j.hbpd.2020.03.009" TargetMode="External"/><Relationship Id="rId310" Type="http://schemas.openxmlformats.org/officeDocument/2006/relationships/hyperlink" Target="https://doi.org/10.21037/jgo-24-328" TargetMode="External"/><Relationship Id="rId311" Type="http://schemas.openxmlformats.org/officeDocument/2006/relationships/hyperlink" Target="https://libkey.io/libraries/480/10.21037/jgo-24-328" TargetMode="External"/><Relationship Id="rId312" Type="http://schemas.openxmlformats.org/officeDocument/2006/relationships/hyperlink" Target="https://doi.org/10.1097/TP.0000000000003162" TargetMode="External"/><Relationship Id="rId313" Type="http://schemas.openxmlformats.org/officeDocument/2006/relationships/hyperlink" Target="https://libkey.io/libraries/480/10.1097/TP.0000000000003162" TargetMode="External"/><Relationship Id="rId314" Type="http://schemas.openxmlformats.org/officeDocument/2006/relationships/hyperlink" Target="https://doi.org/10.1111/tri.13586" TargetMode="External"/><Relationship Id="rId315" Type="http://schemas.openxmlformats.org/officeDocument/2006/relationships/hyperlink" Target="https://libkey.io/libraries/480/10.1111/tri.13586" TargetMode="External"/><Relationship Id="rId316" Type="http://schemas.openxmlformats.org/officeDocument/2006/relationships/hyperlink" Target="https://doi.org/10.1097/HEP.0000000000001801" TargetMode="External"/><Relationship Id="rId317" Type="http://schemas.openxmlformats.org/officeDocument/2006/relationships/hyperlink" Target="https://libkey.io/libraries/480/10.1097/HEP.0000000000001801" TargetMode="External"/><Relationship Id="rId318" Type="http://schemas.openxmlformats.org/officeDocument/2006/relationships/hyperlink" Target="https://doi.org/10.1097/LVT.0000000000000589" TargetMode="External"/><Relationship Id="rId319" Type="http://schemas.openxmlformats.org/officeDocument/2006/relationships/hyperlink" Target="https://libkey.io/libraries/480/10.1097/LVT.0000000000000589" TargetMode="External"/><Relationship Id="rId320" Type="http://schemas.openxmlformats.org/officeDocument/2006/relationships/hyperlink" Target="https://doi.org/10.1016/j.jhep.2024.09.003" TargetMode="External"/><Relationship Id="rId321" Type="http://schemas.openxmlformats.org/officeDocument/2006/relationships/hyperlink" Target="https://libkey.io/libraries/480/10.1016/j.jhep.2024.09.003" TargetMode="External"/><Relationship Id="rId322" Type="http://schemas.openxmlformats.org/officeDocument/2006/relationships/hyperlink" Target="https://doi.org/10.1016/j.jhep.2026.02.019" TargetMode="External"/><Relationship Id="rId323" Type="http://schemas.openxmlformats.org/officeDocument/2006/relationships/hyperlink" Target="https://libkey.io/libraries/480/10.1016/j.jhep.2026.02.019" TargetMode="External"/><Relationship Id="rId324" Type="http://schemas.openxmlformats.org/officeDocument/2006/relationships/hyperlink" Target="https://doi.org/10.1097/HEP.0000000000001289" TargetMode="External"/><Relationship Id="rId325" Type="http://schemas.openxmlformats.org/officeDocument/2006/relationships/hyperlink" Target="https://libkey.io/libraries/480/10.1097/HEP.0000000000001289" TargetMode="External"/><Relationship Id="rId326" Type="http://schemas.openxmlformats.org/officeDocument/2006/relationships/hyperlink" Target="https://doi.org/10.1016/j.jhep.2024.06.042" TargetMode="External"/><Relationship Id="rId327" Type="http://schemas.openxmlformats.org/officeDocument/2006/relationships/hyperlink" Target="https://libkey.io/libraries/480/10.1016/j.jhep.2024.06.042" TargetMode="External"/><Relationship Id="rId328" Type="http://schemas.openxmlformats.org/officeDocument/2006/relationships/hyperlink" Target="https://doi.org/10.1136/gutjnl-2025-336719" TargetMode="External"/><Relationship Id="rId329" Type="http://schemas.openxmlformats.org/officeDocument/2006/relationships/hyperlink" Target="https://libkey.io/libraries/480/10.1136/gutjnl-2025-336719" TargetMode="External"/><Relationship Id="rId330" Type="http://schemas.openxmlformats.org/officeDocument/2006/relationships/hyperlink" Target="https://doi.org/10.1111/apt.70528" TargetMode="External"/><Relationship Id="rId331" Type="http://schemas.openxmlformats.org/officeDocument/2006/relationships/hyperlink" Target="https://libkey.io/libraries/480/10.1111/apt.70528" TargetMode="External"/><Relationship Id="rId332" Type="http://schemas.openxmlformats.org/officeDocument/2006/relationships/hyperlink" Target="https://doi.org/10.1111/liv.70692" TargetMode="External"/><Relationship Id="rId333" Type="http://schemas.openxmlformats.org/officeDocument/2006/relationships/hyperlink" Target="https://libkey.io/libraries/480/10.1111/liv.70692" TargetMode="External"/><Relationship Id="rId334" Type="http://schemas.openxmlformats.org/officeDocument/2006/relationships/hyperlink" Target="https://doi.org/10.1001/jamaoncol.2026.3901" TargetMode="External"/><Relationship Id="rId335" Type="http://schemas.openxmlformats.org/officeDocument/2006/relationships/hyperlink" Target="https://libkey.io/libraries/480/10.1001/jamaoncol.2026.3901" TargetMode="External"/><Relationship Id="rId336" Type="http://schemas.openxmlformats.org/officeDocument/2006/relationships/hyperlink" Target="https://onlinelibrary.wiley.com/doi/10.1111/apt.70333" TargetMode="External"/><Relationship Id="rId337" Type="http://schemas.openxmlformats.org/officeDocument/2006/relationships/hyperlink" Target="https://libkey.io/libraries/480/10.1111/apt.70333" TargetMode="External"/><Relationship Id="rId338" Type="http://schemas.openxmlformats.org/officeDocument/2006/relationships/hyperlink" Target="https://pubmed.ncbi.nlm.nih.gov/42073607" TargetMode="External"/><Relationship Id="rId339" Type="http://schemas.openxmlformats.org/officeDocument/2006/relationships/hyperlink" Target="https://libkey.io/libraries/480/10.3390/cancers18081284" TargetMode="External"/><Relationship Id="rId340" Type="http://schemas.openxmlformats.org/officeDocument/2006/relationships/hyperlink" Target="https://doi.org/10.1111/ctr.70488" TargetMode="External"/><Relationship Id="rId341" Type="http://schemas.openxmlformats.org/officeDocument/2006/relationships/hyperlink" Target="https://libkey.io/libraries/480/10.1111/ctr.70488" TargetMode="External"/><Relationship Id="rId342" Type="http://schemas.openxmlformats.org/officeDocument/2006/relationships/hyperlink" Target="https://doi.org/10.1097/HC9.0000000000000619" TargetMode="External"/><Relationship Id="rId343" Type="http://schemas.openxmlformats.org/officeDocument/2006/relationships/hyperlink" Target="https://libkey.io/libraries/480/10.1097/HC9.0000000000000619" TargetMode="External"/><Relationship Id="rId344" Type="http://schemas.openxmlformats.org/officeDocument/2006/relationships/hyperlink" Target="https://doi.org/10.1002/hep.29342" TargetMode="External"/><Relationship Id="rId345" Type="http://schemas.openxmlformats.org/officeDocument/2006/relationships/hyperlink" Target="https://libkey.io/libraries/480/10.1002/hep.29342" TargetMode="External"/><Relationship Id="rId346" Type="http://schemas.openxmlformats.org/officeDocument/2006/relationships/hyperlink" Target="https://doi.org/10.1016/j.jhepr.2023.100907" TargetMode="External"/><Relationship Id="rId347" Type="http://schemas.openxmlformats.org/officeDocument/2006/relationships/hyperlink" Target="https://libkey.io/libraries/480/10.1016/j.jhepr.2023.100907" TargetMode="External"/><Relationship Id="rId348" Type="http://schemas.openxmlformats.org/officeDocument/2006/relationships/hyperlink" Target="https://doi.org/10.1016/j.jhep.2024.03.020" TargetMode="External"/><Relationship Id="rId349" Type="http://schemas.openxmlformats.org/officeDocument/2006/relationships/hyperlink" Target="https://libkey.io/libraries/480/10.1016/j.jhep.2024.03.020" TargetMode="External"/><Relationship Id="rId350" Type="http://schemas.openxmlformats.org/officeDocument/2006/relationships/hyperlink" Target="https://doi.org/10.1177/09622802261420699" TargetMode="External"/><Relationship Id="rId351" Type="http://schemas.openxmlformats.org/officeDocument/2006/relationships/hyperlink" Target="https://libkey.io/libraries/480/10.1177/09622802261420699" TargetMode="External"/><Relationship Id="rId352" Type="http://schemas.openxmlformats.org/officeDocument/2006/relationships/hyperlink" Target="https://doi.org/10.1002/hep.30413" TargetMode="External"/><Relationship Id="rId353" Type="http://schemas.openxmlformats.org/officeDocument/2006/relationships/hyperlink" Target="https://libkey.io/libraries/480/10.1002/hep.30413" TargetMode="External"/><Relationship Id="rId354" Type="http://schemas.openxmlformats.org/officeDocument/2006/relationships/hyperlink" Target="https://doi.org/10.1001/jamasurg.2021.0954" TargetMode="External"/><Relationship Id="rId355" Type="http://schemas.openxmlformats.org/officeDocument/2006/relationships/hyperlink" Target="https://libkey.io/libraries/480/10.1001/jamasurg.2021.0954" TargetMode="External"/><Relationship Id="rId356" Type="http://schemas.openxmlformats.org/officeDocument/2006/relationships/hyperlink" Target="https://doi.org/10.1002/cam4.71812" TargetMode="External"/><Relationship Id="rId357" Type="http://schemas.openxmlformats.org/officeDocument/2006/relationships/hyperlink" Target="https://libkey.io/libraries/480/10.1002/cam4.71812" TargetMode="External"/><Relationship Id="rId358" Type="http://schemas.openxmlformats.org/officeDocument/2006/relationships/hyperlink" Target="https://doi.org/10.1002/lt.26392" TargetMode="External"/><Relationship Id="rId359" Type="http://schemas.openxmlformats.org/officeDocument/2006/relationships/hyperlink" Target="https://libkey.io/libraries/480/10.1002/lt.26392" TargetMode="External"/><Relationship Id="rId360" Type="http://schemas.openxmlformats.org/officeDocument/2006/relationships/hyperlink" Target="https://doi.org/10.1097/TP.0000000000002094" TargetMode="External"/><Relationship Id="rId361" Type="http://schemas.openxmlformats.org/officeDocument/2006/relationships/hyperlink" Target="https://libkey.io/libraries/480/10.1097/TP.0000000000002094"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2026-07-15T23:23:12.542Z</dcterms:created>
  <dcterms:modified xsi:type="dcterms:W3CDTF">2026-10-25T09:38:07Z</dcterms:modified>
  <dc:title>HCC — Evidence, Alignment and Meeting Decisions V8</dc:title>
  <dc:subject>Investigational HCC pathway outside standardized criteria</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