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and Memorial Hermann High Risk Liver Transplant Protocol for Hepatocellular Carcinoma V12</w:t>
      </w:r>
    </w:p>
    <w:p>
      <w:pPr>
        <w:pStyle w:val="Normal"/>
        <w:widowControl/>
      </w:pPr>
      <w:r>
        <w:t xml:space="preserve">Expanded tumor burden, treated vascular invasion and prior immune checkpoint exposure require different assessments. Use this protocol to classify the patient, direct treatment and reassessment, and determine whether the next action is standard-pathway care, further evaluation, a defined study or no transplant.</w:t>
      </w:r>
    </w:p>
    <w:p>
      <w:pPr>
        <w:pStyle w:val="Normal"/>
        <w:widowControl/>
      </w:pPr>
      <w:r>
        <w:t xml:space="preserve">Version 12 | Focused treatment-to-transplant interface | Revised 2026-10-25 04:54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scope</w:t>
      </w:r>
    </w:p>
    <w:p>
      <w:pPr>
        <w:pStyle w:val="Normal"/>
        <w:widowControl/>
      </w:pPr>
      <w:r>
        <w:t xml:space="preserve">Patients who satisfy current standard HCC criteria should remain on the standard pathway. Prior immune checkpoint inhibitor (ICI) exposure does not by itself preclude an HCC exception. Planned investigational ICI downstaging, burden beyond standard downstaging limits and treated portal-vein tumor thrombus (PVTT) must not be merged into a single permissive expanded category.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A transplanting expansion requires a defined entry population and prospective oversight. Screening or tumor response is not permission to transplant. Preserve all pretreatment measurements after response; a favorable score predicts prognosis within its derivation population, not treatment benefit or allocation entitlement.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Heading2"/>
        <w:keepNext/>
        <w:widowControl/>
      </w:pPr>
      <w:r>
        <w:t xml:space="preserve">2 Multidisciplinary team</w:t>
      </w:r>
    </w:p>
    <w:p>
      <w:pPr>
        <w:pStyle w:val="Normal"/>
        <w:widowControl/>
        <w:numPr>
          <w:ilvl w:val="0"/>
          <w:numId w:val="3"/>
        </w:numPr>
      </w:pPr>
      <w:r>
        <w:t xml:space="preserve">Transplant surgery and hepatology coordinate decisions with HPB surgery, medical oncology, interventional and diagnostic radiology, radiation oncology, pathology, transplant pharmacy, nutrition and psychosocial services.</w:t>
      </w:r>
    </w:p>
    <w:p>
      <w:pPr>
        <w:pStyle w:val="Normal"/>
        <w:widowControl/>
        <w:numPr>
          <w:ilvl w:val="0"/>
          <w:numId w:val="3"/>
        </w:numPr>
      </w:pPr>
      <w:r>
        <w:t xml:space="preserve">For a study, add the research coordinator, biostatistician and independent safety board. For prior ICI, document hepatology, oncology and pharmacy review of immune toxicity and graft risk. Donor assessment remains independent.</w:t>
      </w:r>
    </w:p>
    <w:p>
      <w:pPr>
        <w:pStyle w:val="Heading2"/>
        <w:keepNext/>
        <w:widowControl/>
      </w:pPr>
      <w:r>
        <w:t xml:space="preserve">3 Patient selection and baseline workup</w:t>
      </w:r>
    </w:p>
    <w:p>
      <w:pPr>
        <w:pStyle w:val="Heading3"/>
        <w:keepNext/>
        <w:widowControl/>
      </w:pPr>
      <w:r>
        <w:t xml:space="preserve">3.1 Confirm diagnosis and map the original disease</w:t>
      </w:r>
    </w:p>
    <w:p>
      <w:pPr>
        <w:pStyle w:val="Normal"/>
        <w:widowControl/>
        <w:numPr>
          <w:ilvl w:val="0"/>
          <w:numId w:val="3"/>
        </w:numPr>
      </w:pPr>
      <w:r>
        <w:t xml:space="preserve">Order or obtain high-quality multiphasic liver CT or MRI, chest CT, AFP, CBC, bilirubin, albumin, INR, creatinine and sodium. Document Child-Pugh class, calculated MELD, ECOG performance status, portal hypertension, frailty and surgical fitness.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N2RiY2RkYmUtNmYwNy01Njk4LWJkMGMtYjAzOTUzOGI0Yzg1IiB0aW1lc3RhbXA9IjE3OTI5MjEw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Radiology must list each lesion with baseline segment, diameter and diagnostic category; distinguish viable tumor from treated nonviable tissue. Resolve atypical or discordant lesions through repeat appropriate imaging or MDT-directed biopsy when the result will change management. Do not count an indeterminate or LR-4 lesion as definite HCC solely to meet a transplant threshold.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numPr>
          <w:ilvl w:val="0"/>
          <w:numId w:val="3"/>
        </w:numPr>
      </w:pPr>
      <w:r>
        <w:t xml:space="preserve">Obtain a written resection/ablation assessment and classify vascular findings as bland thrombus, tumor thrombus or unresolved. PET is not a substitute for liver imaging or a mandatory negative test for all HCC candidates.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pPr>
      <w:r>
        <w:t xml:space="preserve">Advance only when the diagnosis, baseline burden, liver reserve, absence or presence of extrahepatic disease, and curative alternatives have been adjudicated. Hold for uncertain vascular invasion, discordant imaging or unexplained marker rise. Confirmed extrahepatic metastases or uncontrolled progression stops this proposed transplant route.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Heading3"/>
        <w:keepNext/>
        <w:widowControl/>
      </w:pPr>
      <w:r>
        <w:t xml:space="preserve">3.2 Expanded burden and biomarkers</w:t>
      </w:r>
    </w:p>
    <w:p>
      <w:pPr>
        <w:pStyle w:val="Normal"/>
        <w:widowControl/>
        <w:numPr>
          <w:ilvl w:val="0"/>
          <w:numId w:val="3"/>
        </w:numPr>
      </w:pPr>
      <w:r>
        <w:t xml:space="preserve">Record whether baseline disease met Policy 9.5.I downstaging entry criteria. Beyond-UNOS downstaging requires an individually justified nonstandard request if exception priority is sought; reaching T2 does not retrospectively confer standardized entry eligibility.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Track AFP as a dated series. For standardized eligibility, a history of AFP above 1000 ng/mL requires treatment response below 500 ng/mL and maintenance below that level. Do not substitute a percentage fall for the applicable threshold. A guidance-ineligible AFP course requires separate review, not automatic enrollment.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XXL enrolled 74 patients and randomized 45 after downstaging selection; five-year OS from randomization was 77.5% with LT versus 31.2% with control treatment. The main report excludes macrovascular invasion, but the protocol appendix allowed uncertain bland-versus-neoplastic segmental/type-I portal thrombosis under additional response conditions. No separately reported proven-PVTT subgroup establishes efficacy for that phenotype. In the prospective MERITS-LT cohort, 76/190 beyond-UNOS candidates and 155/326 UNOS-DS candidates reached LT. Five-year entry-pathway OS was 45.0% versus 58.8%, despite recipient OS of approximately 72% versus 74%; recipient recurrence was approximately 30% versus 14%. These are different denominators, and five-year estimates require their small late risk sets and 27-month median follow-up to be considered.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Heading3"/>
        <w:keepNext/>
        <w:widowControl/>
      </w:pPr>
      <w:bookmarkStart w:id="1" w:name="HCC_B1"/>
      <w:r>
        <w:t xml:space="preserve">HCC-B1 — How far beyond UNOS-DS should the program attempt downstaging?</w:t>
      </w:r>
      <w:bookmarkEnd w:id="1"/>
    </w:p>
    <w:p>
      <w:pPr>
        <w:pStyle w:val="Heading3"/>
        <w:keepNext/>
        <w:widowControl/>
      </w:pPr>
      <w:r>
        <w:t xml:space="preserve">Question and comparison</w:t>
      </w:r>
    </w:p>
    <w:p>
      <w:pPr>
        <w:pStyle w:val="Normal"/>
        <w:widowControl/>
        <w:spacing w:before="60" w:after="20"/>
      </w:pPr>
      <w:r>
        <w:t xml:space="preserve">Adults with initially unresectable HCC outside UNOS downstaging entry limits, without extrahepatic disease or viable macrovascular invasion; compare a bounded downstaging-to-transplant strategy with standard UNOS-DS and nontransplant management. Evaluate treatment-entry survival, dropout, probability of transplant, recipient survival and recurrence separately.</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Yao 2015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yLTddPC9EaXNwbGF5VGV4dD48cmVjb3JkPjxyZWMtbnVtYmVyPjc8L3JlYy1udW1iZXI+PGZvcmVpZ24ta2V5cz48a2V5IGFwcD0iRU4iIGRiLWlkPSI3ZGJjZGRiZS02ZjA3LTU2OTgtYmQwYy1iMDM5NTM4YjRjODUiIHRpbWVzdGFtcD0iMTc5MjkyMTA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p>
          <w:p>
            <w:pPr>
              <w:pStyle w:val="Normal"/>
              <w:widowControl/>
              <w:spacing w:before="60" w:after="20"/>
            </w:pPr>
            <w:r>
              <w:t xml:space="preserve">UCSF downstaging cohort: 122 entered; three LDLT cases and one with &lt;3-month follow-up excluded, leaving 118, compared with 488 patients listed within T2. Entry burden was bounded; major vascular invasion and extrahepatic spread excluded.</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PDF pp 2–3/j 1969–1970: imaging, DS criteria, observation. | PDF p 4/j 1971: 122 → 118 flow, time origins, 77 success/64 LT. | PDF pp 5–6/j 1972–1973: survival/recurrence. | PDF pp 7–9/j 1974–1976: dropout models, harms, limitations.</w:t>
            </w:r>
          </w:p>
          <w:p>
            <w:pPr>
              <w:pStyle w:val="Normal"/>
              <w:widowControl/>
              <w:spacing w:before="60" w:after="20"/>
            </w:pPr>
            <w:r>
              <w:t xml:space="preserve">Review depth: Complete 10-page publisher paper identity verified; all main methods/results/tables/discussion read; supporting figures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ITT survival 56.1% for downstaging versus 63.3% for T2; two-year dropout 34.2% versus 25.6%. Five-year recipient OS 77.8% versus 81.0%; recurrence-free probability 90.8% versus 88.0%. Five recurrences among 64 downstaged recipients (7.8% calculated; article prints 7.5%). Safety: Three deaths from liver decompensation were reported during downstaging. Good recipient outcomes coexist with appreciable entry-cohort attrition.</w:t>
            </w:r>
          </w:p>
          <w:p>
            <w:pPr>
              <w:pStyle w:val="Normal"/>
              <w:widowControl/>
              <w:spacing w:before="60" w:after="20"/>
            </w:pPr>
            <w:r>
              <w:rPr>
                <w:b/>
              </w:rPr>
              <w:t xml:space="preserve">Do not infer: </w:t>
            </w:r>
            <w:r>
              <w:t xml:space="preserve">Nonrandom single-center comparison with different ITT origins and early exclusions; overlap with later UCSF series. Recurrence-free probability should not be treated as death-inclusive RFS. Three months was a protocol selection rule, not a randomized optimal duration.</w:t>
            </w:r>
          </w:p>
        </w:tc>
      </w:tr>
      <w:tr>
        <w:trPr/>
        <w:tc>
          <w:tcPr>
            <w:tcW w:w="3400" w:type="dxa"/>
            <w:tcMar>
              <w:top w:w="90" w:type="dxa"/>
              <w:left w:w="90" w:type="dxa"/>
              <w:bottom w:w="90" w:type="dxa"/>
              <w:right w:w="90" w:type="dxa"/>
            </w:tcMar>
          </w:tcPr>
          <w:p>
            <w:pPr>
              <w:pStyle w:val="Normal"/>
              <w:widowControl/>
              <w:spacing w:before="60" w:after="20"/>
            </w:pPr>
            <w:r>
              <w:rPr>
                <w:b/>
              </w:rPr>
              <w:t xml:space="preserve">Mehta 2021</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ItOF08L0Rpc3BsYXlUZXh0PjxyZWNvcmQ+PHJlYy1udW1iZXI+ODwvcmVjLW51bWJlcj48Zm9yZWlnbi1rZXlzPjxrZXkgYXBwPSJFTiIgZGItaWQ9IjdkYmNkZGJlLTZmMDctNTY5OC1iZDBjLWIwMzk1MzhiNGM4NSIgdGltZXN0YW1wPSIxNzkyOTIxMD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p>
          <w:p>
            <w:pPr>
              <w:pStyle w:val="Normal"/>
              <w:widowControl/>
              <w:spacing w:before="60" w:after="20"/>
            </w:pPr>
            <w:r>
              <w:t xml:space="preserve">Prospective seven-center MERITS-LT UNOS-DS cohort: 324 screened, 115 excluded and 209 enrolled. Initial treatment was TACE in 132 and Y90 in 62; modalities were not randomized.</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 3/j 1504: protocol, viable measurement, observation. | PDF p 4/j 1505: 324 screened, 115 excluded, time zero. | PDF pp 5–7/j 1506–1508: Tables 3, flow, DS/dropout/transplant/explant/outcomes. | PDF pp 8–9/j 1509–1510: selection, biomarker limits, modality/extra LRT interpretation.</w:t>
            </w:r>
          </w:p>
          <w:p>
            <w:pPr>
              <w:pStyle w:val="Normal"/>
              <w:widowControl/>
              <w:spacing w:before="60" w:after="20"/>
            </w:pPr>
            <w:r>
              <w:t xml:space="preserve">Review depth: Complete 11-page publisher paper identity verified; all main methods/results/tables/discussion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Successful downstaging 174/209 (83.3%); estimated two-year success 87.7%. Dropouts: 51 progression, nine liver-related deaths and 15 other reasons; primary two-year dropout estimate 37.3%. Estimated three-year LT probability 46.6% and ITT survival 73%. Recipient two-year OS 95%, three-year OS 83.1%, with five recurrences. Explants were beyond Milan in 42.8%, with microvascular invasion in 17.5%. Safety: Nine liver-related deaths among dropouts; substantial explant understaging despite imaging downstaging.</w:t>
            </w:r>
          </w:p>
          <w:p>
            <w:pPr>
              <w:pStyle w:val="Normal"/>
              <w:widowControl/>
              <w:spacing w:before="60" w:after="20"/>
            </w:pPr>
            <w:r>
              <w:rPr>
                <w:b/>
              </w:rPr>
              <w:t xml:space="preserve">Do not infer: </w:t>
            </w:r>
            <w:r>
              <w:t xml:space="preserve">Nonrandom modality choice; nonsignificant TACE/Y90 differences do not establish equivalence. Recipient follow-up is immature. AFP-L3 was available in only 83 patients; it is not a validated mandatory gate. This cohort overlaps later MERITS publications.</w:t>
            </w:r>
          </w:p>
        </w:tc>
      </w:tr>
      <w:tr>
        <w:trPr/>
        <w:tc>
          <w:tcPr>
            <w:tcW w:w="3400" w:type="dxa"/>
            <w:tcMar>
              <w:top w:w="90" w:type="dxa"/>
              <w:left w:w="90" w:type="dxa"/>
              <w:bottom w:w="90" w:type="dxa"/>
              <w:right w:w="90" w:type="dxa"/>
            </w:tcMar>
          </w:tcPr>
          <w:p>
            <w:pPr>
              <w:pStyle w:val="Normal"/>
              <w:widowControl/>
              <w:spacing w:before="60" w:after="20"/>
            </w:pPr>
            <w:r>
              <w:rPr>
                <w:b/>
              </w:rPr>
              <w:t xml:space="preserve">Sinha 2019</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ItOV08L0Rpc3BsYXlUZXh0PjxyZWNvcmQ+PHJlYy1udW1iZXI+OTwvcmVjLW51bWJlcj48Zm9yZWlnbi1rZXlzPjxrZXkgYXBwPSJFTiIgZGItaWQ9IjdkYmNkZGJlLTZmMDctNTY5OC1iZDBjLWIwMzk1MzhiNGM4NSIgdGltZXN0YW1wPSIxNzkyOTIxMD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p>
          <w:p>
            <w:pPr>
              <w:pStyle w:val="Normal"/>
              <w:widowControl/>
              <w:spacing w:before="60" w:after="20"/>
            </w:pPr>
            <w:r>
              <w:t xml:space="preserve">UCSF all-comers cohort of 74 patients beyond bounded UCSF downstaging entry criteria, compared with 133 bounded-entry patients. All-comers required six months and three scans without a new lesion after response; the bounded protocol used three months and allowed certain new lesions.</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PDF pp 2–4/j 1186–1188: entry and different protocols, time origins. | PDF pp 5–7/j 1189–1191: flow, ITT, burden model, complications. | PDF p 8/j 1192: all 10 recipient outcomes. | PDF pp 9–11/j 1193–1195: limits and &lt;12 conclusion.</w:t>
            </w:r>
          </w:p>
          <w:p>
            <w:pPr>
              <w:pStyle w:val="Normal"/>
              <w:widowControl/>
              <w:spacing w:before="60" w:after="20"/>
            </w:pPr>
            <w:r>
              <w:t xml:space="preserve">Review depth: Complete 12-page paper identity verified; all main methods/results/tables/discussion read; Supplement S1/S2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Three-year dropout 80% in all-comers versus 36.1% in bounded-entry patients; five-year ITT OS 21.1% versus 56.0%. Among ten all-comer recipients, five-year OS 50% and recurrence-free probability 40%; three recurrences and eight explants beyond Milan. Largest diameter plus lesion count of 12 corresponded to an estimated 47% one-year downstaging probability; the authors' concluding proposed boundary was &lt;12. Safety: Eight of 74 had treatment-associated decompensation: one of 40 Child-Pugh A, five of 27 B and two of six C patients. Favorable response did not prevent later dropout.</w:t>
            </w:r>
          </w:p>
          <w:p>
            <w:pPr>
              <w:pStyle w:val="Normal"/>
              <w:widowControl/>
              <w:spacing w:before="60" w:after="20"/>
            </w:pPr>
            <w:r>
              <w:rPr>
                <w:b/>
              </w:rPr>
              <w:t xml:space="preserve">Do not infer: </w:t>
            </w:r>
            <w:r>
              <w:t xml:space="preserve">Small single-center series with era/selection differences and overlap with Yao/UCSF cohorts. The burden threshold was exploratory; a local ≤12 boundary is not the same as the paper's &lt;12 proposal. Recurrence-free probability is not death-inclusive RFS. Dropout-reason narrative sums do not perfectly reconcile with 62.</w:t>
            </w:r>
          </w:p>
        </w:tc>
      </w:tr>
      <w:tr>
        <w:trPr/>
        <w:tc>
          <w:tcPr>
            <w:tcW w:w="3400" w:type="dxa"/>
            <w:tcMar>
              <w:top w:w="90" w:type="dxa"/>
              <w:left w:w="90" w:type="dxa"/>
              <w:bottom w:w="90" w:type="dxa"/>
              <w:right w:w="90" w:type="dxa"/>
            </w:tcMar>
          </w:tcPr>
          <w:p>
            <w:pPr>
              <w:pStyle w:val="Normal"/>
              <w:widowControl/>
              <w:spacing w:before="60" w:after="20"/>
            </w:pPr>
            <w:r>
              <w:rPr>
                <w:b/>
              </w:rPr>
              <w:t xml:space="preserve">Natarajan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Mi0xMF08L0Rpc3BsYXlUZXh0PjxyZWNvcmQ+PHJlYy1udW1iZXI+MTA8L3JlYy1udW1iZXI+PGZvcmVpZ24ta2V5cz48a2V5IGFwcD0iRU4iIGRiLWlkPSI3ZGJjZGRiZS02ZjA3LTU2OTgtYmQwYy1iMDM5NTM4YjRjODUiIHRpbWVzdGFtcD0iMTc5MjkyMTA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p>
          <w:p>
            <w:pPr>
              <w:pStyle w:val="Normal"/>
              <w:widowControl/>
              <w:spacing w:before="60" w:after="20"/>
            </w:pPr>
            <w:r>
              <w:t xml:space="preserve">Prospective MERITS-LT expansion: 82 all-comers beyond UNOS-DS versus 229 UNOS-DS patients, 2015–2020. Overlaps the earlier MERITS cohort.</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 2–3/j 1772–1773: population, protocol and time origins. | PDF pp 4–6/j 1774–1776: Tables 2–4, flow, outcomes and follow-up. | PDF pp 7–9/j 1777–1779: survival figure, Table 5, limitations.</w:t>
            </w:r>
          </w:p>
          <w:p>
            <w:pPr>
              <w:pStyle w:val="Normal"/>
              <w:widowControl/>
              <w:spacing w:before="60" w:after="20"/>
            </w:pPr>
            <w:r>
              <w:t xml:space="preserve">Review depth: Complete ten-page main paper read, including methods, results, all tables, discussion and reference list.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One-year downstaging probability 67.3% in all-comers versus 82.6% in UNOS-DS. Three-year ITT OS 58.1% versus 69.4%. All-comers with Child-Pugh B/C or AFP ≥500 had three-year ITT OS 29.9% versus 67.7% without those features; Child-Pugh B/C alone had 23.2%. Recipient three-year OS 90.9% versus 80.6%; recurrence 1/20 versus 7/85. Eight of 20 all-comer explants remained beyond Milan and four had microvascular invasion. Safety: Poor liver reserve/high AFP identified a high-attrition group; favorable recipient survival is heavily conditioned on reaching transplantation.</w:t>
            </w:r>
          </w:p>
          <w:p>
            <w:pPr>
              <w:pStyle w:val="Normal"/>
              <w:widowControl/>
              <w:spacing w:before="60" w:after="20"/>
            </w:pPr>
            <w:r>
              <w:rPr>
                <w:b/>
              </w:rPr>
              <w:t xml:space="preserve">Do not infer: </w:t>
            </w:r>
            <w:r>
              <w:t xml:space="preserve">Nonrandom selected enrollment; few all-comer recipients, immature long-term follow-up and overlap with prior MERITS reports. Does not validate a combined ≤12/AFP &lt;100/Child-Pugh A rule. Kaplan–Meier dropout or LT probabilities should not be described as competing-risk cumulative incidence.</w:t>
            </w:r>
          </w:p>
        </w:tc>
      </w:tr>
      <w:tr>
        <w:trPr/>
        <w:tc>
          <w:tcPr>
            <w:tcW w:w="34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National prospective cohort, nine centers, 2015–2023: 190 all-comers and 326 UNOS-DS patients; intention-to-treat clock starts at first locoregional treatment.</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Complete local PDF, Results pp6–9, Tables 3–4; proposed refinements in Discussion pp9–11.</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downstaging: 66% versus 82%. Among all-comers, number plus largest diameter &lt;10, 10–12 and &gt;12 had success of 72%, 51% and 39%. Five-year treatment-entry survival: 45.0% versus 58.8%. LT occurred in 76/190 versus 155/326; median downstaging-to-LT 10.6 months. Five-year recipient survival: 71.5% versus 73.6%; recurrence: 29.8% versus 13.7%, with median post-LT follow-up 27.4 months. AFP ≥100 and Child-Pugh B predicted worse entry survival.</w:t>
            </w:r>
          </w:p>
          <w:p>
            <w:pPr>
              <w:pStyle w:val="Normal"/>
              <w:widowControl/>
              <w:spacing w:before="60" w:after="20"/>
            </w:pPr>
            <w:r>
              <w:rPr>
                <w:b/>
              </w:rPr>
              <w:t xml:space="preserve">Do not infer: </w:t>
            </w:r>
            <w:r>
              <w:t xml:space="preserve">Selected-recipient success cannot replace entry survival; five-year tails are immature. Y90/TACE comparisons were observational. The proposed number-plus-diameter ≤12, AFP &lt;100 and Child-Pugh A combination remains unvalidated.</w:t>
            </w:r>
          </w:p>
        </w:tc>
      </w:tr>
      <w:tr>
        <w:trPr/>
        <w:tc>
          <w:tcPr>
            <w:tcW w:w="3400" w:type="dxa"/>
            <w:tcMar>
              <w:top w:w="90" w:type="dxa"/>
              <w:left w:w="90" w:type="dxa"/>
              <w:bottom w:w="90" w:type="dxa"/>
              <w:right w:w="90" w:type="dxa"/>
            </w:tcMar>
          </w:tcPr>
          <w:p>
            <w:pPr>
              <w:pStyle w:val="Normal"/>
              <w:widowControl/>
              <w:spacing w:before="60" w:after="20"/>
            </w:pPr>
            <w:r>
              <w:rPr>
                <w:b/>
              </w:rPr>
              <w:t xml:space="preserve">XXL 2020</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p>
          <w:p>
            <w:pPr>
              <w:pStyle w:val="Normal"/>
              <w:widowControl/>
              <w:spacing w:before="60" w:after="20"/>
            </w:pPr>
            <w:r>
              <w:t xml:space="preserve">Multicenter randomized phase 2b/3 trial: 74 entered downstaging; 29 dropped out before randomization; 45 responders were randomized, 23 to LT and 22 to nontransplant treatment.</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Complete accepted manuscript and protocol appendix; final published abstract for survival estimates. Avoid mixing accepted-manuscript and final-publication hazard ratios.</w:t>
            </w:r>
          </w:p>
          <w:p>
            <w:pPr>
              <w:pStyle w:val="Normal"/>
              <w:widowControl/>
              <w:spacing w:before="60" w:after="20"/>
            </w:pPr>
            <w:r>
              <w:t xml:space="preserve">Review depth: Complete accepted manuscript including protocol appendix plus final published abstract; version-dependent hazard ratios not merged.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five-year overall survival was 77.5% with LT versus 31.2% without LT; tumor-event-free survival 76.8% versus 18.3%; median follow-up 71 months.</w:t>
            </w:r>
          </w:p>
          <w:p>
            <w:pPr>
              <w:pStyle w:val="Normal"/>
              <w:widowControl/>
              <w:spacing w:before="60" w:after="20"/>
            </w:pPr>
            <w:r>
              <w:rPr>
                <w:b/>
              </w:rPr>
              <w:t xml:space="preserve">Do not infer: </w:t>
            </w:r>
            <w:r>
              <w:t xml:space="preserve">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tc>
      </w:tr>
      <w:tr>
        <w:trPr/>
        <w:tc>
          <w:tcPr>
            <w:tcW w:w="3400" w:type="dxa"/>
            <w:tcMar>
              <w:top w:w="90" w:type="dxa"/>
              <w:left w:w="90" w:type="dxa"/>
              <w:bottom w:w="90" w:type="dxa"/>
              <w:right w:w="90" w:type="dxa"/>
            </w:tcMar>
          </w:tcPr>
          <w:p>
            <w:pPr>
              <w:pStyle w:val="Normal"/>
              <w:widowControl/>
              <w:spacing w:before="60" w:after="20"/>
            </w:pPr>
            <w:r>
              <w:rPr>
                <w:b/>
              </w:rPr>
              <w:t xml:space="preserve">Huang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yLTExXTwvRGlzcGxheVRleHQ+PHJlY29yZD48cmVjLW51bWJlcj4xMTwvcmVjLW51bWJlcj48Zm9yZWlnbi1rZXlzPjxrZXkgYXBwPSJFTiIgZGItaWQ9IjdkYmNkZGJlLTZmMDctNTY5OC1iZDBjLWIwMzk1MzhiNGM4NSIgdGltZXN0YW1wPSIxNzkyOTIxMD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p>
          <w:p>
            <w:pPr>
              <w:pStyle w:val="Normal"/>
              <w:widowControl/>
              <w:spacing w:before="60" w:after="20"/>
            </w:pPr>
            <w:r>
              <w:t xml:space="preserve">UNOS registry study of 23,398 HCC exception applicants: 20,579 always within Milan, 2,151 UNOS-DS and 668 all-comers. Initial AFP refers to the time of entry into the highest tumor-burden category, not necessarily current post-treatment AFP.</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2–3/j 1582–1583: cohort definition, time zero, AFP measurement. | PDF p 4/j 1584: Table 1 including initial-application beyond Milan. | PDF pp 5–6/j 1585–1586: comparators, dropout, ITT and recipient OS. | PDF pp 7–8/j 1587–1588: clinical interpretation and limits.</w:t>
            </w:r>
          </w:p>
          <w:p>
            <w:pPr>
              <w:pStyle w:val="Normal"/>
              <w:widowControl/>
              <w:spacing w:before="60" w:after="20"/>
            </w:pPr>
            <w:r>
              <w:t xml:space="preserve">Review depth: Complete nine-page main paper read, all methods/results/tables/discussion.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dropout: Milan 19.3%, UNOS-DS 25.3%, all-comers 29.7%; all-comers versus UNOS-DS P = .07. Five-year ITT OS: 64.9%, 56.6%, 51.8%; recipient OS: 78.7%, 73.2%, 68.6%. All-comers with initial AFP &gt;100 (n = 82 derived from Table 1) had two-year dropout 52.3% versus 25.6% among all other beyond-Milan patients. Safety: Highest entry burden/high AFP are associated with substantial attrition even after selection for exception application.</w:t>
            </w:r>
          </w:p>
          <w:p>
            <w:pPr>
              <w:pStyle w:val="Normal"/>
              <w:widowControl/>
              <w:spacing w:before="60" w:after="20"/>
            </w:pPr>
            <w:r>
              <w:rPr>
                <w:b/>
              </w:rPr>
              <w:t xml:space="preserve">Do not infer: </w:t>
            </w:r>
            <w:r>
              <w:t xml:space="preserve">Registry selection excludes preapplication treatment failures and cannot represent all-comer treatment-entry survival. AFP &gt;100 comparison is against all other beyond-Milan applicants, not simply all-comers with AFP ≤100. Observational associations do not validate an AFP &lt;100 eligibility cutoff or a composite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Tabrizian 2022</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Mi0xMl08L0Rpc3BsYXlUZXh0PjxyZWNvcmQ+PHJlYy1udW1iZXI+MTI8L3JlYy1udW1iZXI+PGZvcmVpZ24ta2V5cz48a2V5IGFwcD0iRU4iIGRiLWlkPSI3ZGJjZGRiZS02ZjA3LTU2OTgtYmQwYy1iMDM5NTM4YjRjODUiIHRpbWVzdGFtcD0iMTc5MjkyMTA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p>
          <w:p>
            <w:pPr>
              <w:pStyle w:val="Normal"/>
              <w:widowControl/>
              <w:spacing w:before="60" w:after="20"/>
            </w:pPr>
            <w:r>
              <w:t xml:space="preserve">Retrospective five-US-center cohort of 2,645 HCC recipients transplanted during 2001–2015: 2,122 always within Milan, 341 downstaged to Milan, and 182 beyond Milan at LT. Only 168 of 341 downstaged recipients met UNOS-DS entry criteria.</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PDF pp 1–2: cohort, methods and time origins; pp 3–6: Tables 1–2 and Figures 1–2; pp 7–9: recurrence treatment, limitations and conclusions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Five-/ten-year post-LT OS: always Milan 73.6%/61.5%; downstaged 67.9%/52.1%; beyond Milan 52.9%/43.3%. Observed recurrences: 212/2,122, 54/341, and 64/182. Five-/ten-year Kaplan–Meier recurrence estimates: 11.3%/13.3%, 19.1%/20.6%, and 38.9%/approximately 41%. The beyond-Milan 10-year estimate is 41.1% in the abstract versus 41.4% in the main results/figure. Downstaged versus beyond-Milan OS difference was not statistically significant (P = .34). Safety: There were 853 deaths overall, including 116 within 90 days (4.4% of all recipients). Recurrence after LT remained substantial outside Milan.</w:t>
            </w:r>
          </w:p>
          <w:p>
            <w:pPr>
              <w:pStyle w:val="Normal"/>
              <w:widowControl/>
              <w:spacing w:before="60" w:after="20"/>
            </w:pPr>
            <w:r>
              <w:rPr>
                <w:b/>
              </w:rPr>
              <w:t xml:space="preserve">Do not infer: </w:t>
            </w:r>
            <w:r>
              <w:t xml:space="preserve">Recipient-only selection excludes pretreatment failures and waiting-list deaths. Does not estimate intent-to-treat benefit, all-comer downstaging success, or comparative causal treatment effects. Ten-year tails have small risk sets. Recurrence is not interchangeable with death-inclusive RFS or competing-risk cumulative incidence. The paper contains an internal 41.1% versus 41.4% discrepancy and a transposed recurrence sentence. Surgical treatment of recurrence was selected for favorable disease; its survival association is not proof of benefit.</w:t>
            </w:r>
          </w:p>
        </w:tc>
      </w:tr>
    </w:tbl>
    <w:p>
      <w:pPr>
        <w:pStyle w:val="Heading3"/>
        <w:keepNext/>
        <w:widowControl/>
      </w:pPr>
      <w:r>
        <w:t xml:space="preserve">Synthesis and evidence that challenges the proposal</w:t>
      </w:r>
    </w:p>
    <w:p>
      <w:pPr>
        <w:pStyle w:val="Normal"/>
        <w:widowControl/>
        <w:spacing w:before="60" w:after="20"/>
      </w:pPr>
      <w:r>
        <w:t xml:space="preserve">Bounded downstaging has reproducible favorable recipient outcomes but substantial pretreatment attrition. Unrestricted all-comer outcomes vary sharply across cohorts: Sinha reported only 10/74 recipients and five-year ITT OS 21.1%; later MERITS all-comers had 20/82 LT and three-year ITT OS 58.1%, with poor outcomes in Child-Pugh B/C or AFP ≥500. Huang begins at exception application and omits earlier downstaging failures. Tabrizian is recipient-only. ImmunoXXL selected 16 from 61 treated, not an unselected 16-person conversion trial.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yLTddPC9EaXNwbGF5VGV4dD48cmVjb3JkPjxyZWMtbnVtYmVyPjc8L3JlYy1udW1iZXI+PGZvcmVpZ24ta2V5cz48a2V5IGFwcD0iRU4iIGRiLWlkPSI3ZGJjZGRiZS02ZjA3LTU2OTgtYmQwYy1iMDM5NTM4YjRjODUiIHRpbWVzdGFtcD0iMTc5MjkyMTA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ItOF08L0Rpc3BsYXlUZXh0PjxyZWNvcmQ+PHJlYy1udW1iZXI+ODwvcmVjLW51bWJlcj48Zm9yZWlnbi1rZXlzPjxrZXkgYXBwPSJFTiIgZGItaWQ9IjdkYmNkZGJlLTZmMDctNTY5OC1iZDBjLWIwMzk1MzhiNGM4NSIgdGltZXN0YW1wPSIxNzkyOTIxMD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ItOV08L0Rpc3BsYXlUZXh0PjxyZWNvcmQ+PHJlYy1udW1iZXI+OTwvcmVjLW51bWJlcj48Zm9yZWlnbi1rZXlzPjxrZXkgYXBwPSJFTiIgZGItaWQ9IjdkYmNkZGJlLTZmMDctNTY5OC1iZDBjLWIwMzk1MzhiNGM4NSIgdGltZXN0YW1wPSIxNzkyOTIxMD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Mi0xMF08L0Rpc3BsYXlUZXh0PjxyZWNvcmQ+PHJlYy1udW1iZXI+MTA8L3JlYy1udW1iZXI+PGZvcmVpZ24ta2V5cz48a2V5IGFwcD0iRU4iIGRiLWlkPSI3ZGJjZGRiZS02ZjA3LTU2OTgtYmQwYy1iMDM5NTM4YjRjODUiIHRpbWVzdGFtcD0iMTc5MjkyMTA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yLTExXTwvRGlzcGxheVRleHQ+PHJlY29yZD48cmVjLW51bWJlcj4xMTwvcmVjLW51bWJlcj48Zm9yZWlnbi1rZXlzPjxrZXkgYXBwPSJFTiIgZGItaWQ9IjdkYmNkZGJlLTZmMDctNTY5OC1iZDBjLWIwMzk1MzhiNGM4NSIgdGltZXN0YW1wPSIxNzkyOTIxMD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Mi0xMl08L0Rpc3BsYXlUZXh0PjxyZWNvcmQ+PHJlYy1udW1iZXI+MTI8L3JlYy1udW1iZXI+PGZvcmVpZ24ta2V5cz48a2V5IGFwcD0iRU4iIGRiLWlkPSI3ZGJjZGRiZS02ZjA3LTU2OTgtYmQwYy1iMDM5NTM4YjRjODUiIHRpbWVzdGFtcD0iMTc5MjkyMTA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p>
    <w:p>
      <w:pPr>
        <w:pStyle w:val="Normal"/>
        <w:widowControl/>
        <w:numPr>
          <w:ilvl w:val="0"/>
          <w:numId w:val="3"/>
        </w:numPr>
        <w:spacing w:before="60" w:after="20"/>
      </w:pPr>
      <w:r>
        <w:t xml:space="preserve">Favorable MERITS recipient survival and the randomized responder benefit argue against declaring all beyond-UNOS disease futile. Conversely, high dropout in historical all-comers, worse entry survival, increased long-term recurrence and explant understaging argue against accepting a radiographic Milan endpoint alone. Child-Pugh B/C patients may need transplantation most, yet poorer downstaging tolerance makes an initial Child-Pugh-A-only pilot a local safety restriction rather than a universal oncologic exclusion.</w:t>
      </w:r>
    </w:p>
    <w:p>
      <w:pPr>
        <w:pStyle w:val="Normal"/>
        <w:widowControl/>
        <w:spacing w:before="60" w:after="20"/>
      </w:pPr>
      <w:r>
        <w:rPr>
          <w:b/>
        </w:rPr>
        <w:t xml:space="preserve">Certainty / applicability: </w:t>
      </w:r>
      <w:r>
        <w:t xml:space="preserve">Moderate for a benefit of LT in carefully selected sustained responders, limited by one small responder-randomized trial; low for the exact expanded-entry limits; very low for a jointly validated ≤12/AFP &lt;100/Child-Pugh A/six-month rule. This is an informal certainty assessment, not a formal GRADE exercise.</w:t>
      </w:r>
    </w:p>
    <w:p>
      <w:pPr>
        <w:pStyle w:val="Heading3"/>
        <w:keepNext/>
        <w:widowControl/>
      </w:pPr>
      <w:r>
        <w:t xml:space="preserve">Where each proposed threshold comes from</w:t>
      </w:r>
    </w:p>
    <w:p>
      <w:pPr>
        <w:pStyle w:val="Normal"/>
        <w:widowControl/>
        <w:numPr>
          <w:ilvl w:val="0"/>
          <w:numId w:val="3"/>
        </w:numPr>
        <w:spacing w:before="60" w:after="20"/>
      </w:pPr>
      <w:r>
        <w:t xml:space="preserve">Number-plus-largest-diameter ≤12 and AFP &lt;100/Child-Pugh A: cohort-derived risk refinement, not validated cutoff. Six months: proposed conservative operational observation period; studies used differing clocks and intervals. Imaging/AFP every three months: proposed monitoring cadence. A five-year ≥60% intention-to-treat target is a research-design benchmark, not an achieved or validated eligibility estimate for this pilot. The clinical stability clock must remain separate from OPTN/NLRB exception timing.</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“sum of tumor number and largest tumor diameter ≤12”</w:t>
            </w:r>
          </w:p>
          <w:p>
            <w:pPr>
              <w:pStyle w:val="Normal"/>
              <w:widowControl/>
              <w:spacing w:before="60" w:after="20"/>
            </w:pPr>
            <w:r>
              <w:t xml:space="preserve">Author-manuscript PDF p11, conclusion</w:t>
            </w:r>
          </w:p>
          <w:p>
            <w:pPr>
              <w:pStyle w:val="Normal"/>
              <w:widowControl/>
              <w:spacing w:before="60" w:after="20"/>
            </w:pPr>
            <w:hyperlink r:id="rId46">
              <w:r>
                <w:rPr>
                  <w:color w:val="77230C"/>
                  <w:sz w:val="20"/>
                  <w:u w:val="single"/>
                </w:rPr>
                <w:t>Source</w:t>
              </w:r>
            </w:hyperlink>
            <w:r>
              <w:t xml:space="preserve"> | </w:t>
            </w:r>
            <w:hyperlink r:id="rId4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Observationally proposed upper burden boundary, not an externally validated treatment-benefit rule.</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p>
          <w:p>
            <w:pPr>
              <w:pStyle w:val="Normal"/>
              <w:widowControl/>
              <w:spacing w:before="60" w:after="20"/>
            </w:pPr>
            <w:r>
              <w:t xml:space="preserve">“exclusion criteria of AFP ≥100 and Child Pugh B/C”</w:t>
            </w:r>
          </w:p>
          <w:p>
            <w:pPr>
              <w:pStyle w:val="Normal"/>
              <w:widowControl/>
              <w:spacing w:before="60" w:after="20"/>
            </w:pPr>
            <w:r>
              <w:t xml:space="preserve">Author-manuscript PDF p11, conclusion</w:t>
            </w:r>
          </w:p>
          <w:p>
            <w:pPr>
              <w:pStyle w:val="Normal"/>
              <w:widowControl/>
              <w:spacing w:before="60" w:after="20"/>
            </w:pPr>
            <w:hyperlink r:id="rId48">
              <w:r>
                <w:rPr>
                  <w:color w:val="77230C"/>
                  <w:sz w:val="20"/>
                  <w:u w:val="single"/>
                </w:rPr>
                <w:t>Source</w:t>
              </w:r>
            </w:hyperlink>
            <w:r>
              <w:t xml:space="preserve"> | </w:t>
            </w:r>
            <w:hyperlink r:id="rId4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Supports a narrower initial cohort; does not establish that all excluded patients cannot benefit.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AASLD HCC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before="60" w:after="20"/>
            </w:pPr>
            <w:r>
              <w:t xml:space="preserve">“3-to-6-month period of observation”</w:t>
            </w:r>
          </w:p>
          <w:p>
            <w:pPr>
              <w:pStyle w:val="Normal"/>
              <w:widowControl/>
              <w:spacing w:before="60" w:after="20"/>
            </w:pPr>
            <w:r>
              <w:t xml:space="preserve">Author-manuscript PDF p56, guidance statement 36</w:t>
            </w:r>
          </w:p>
          <w:p>
            <w:pPr>
              <w:pStyle w:val="Normal"/>
              <w:widowControl/>
              <w:spacing w:before="60" w:after="20"/>
            </w:pPr>
            <w:hyperlink r:id="rId50">
              <w:r>
                <w:rPr>
                  <w:color w:val="77230C"/>
                  <w:sz w:val="20"/>
                  <w:u w:val="single"/>
                </w:rPr>
                <w:t>Source</w:t>
              </w:r>
            </w:hyperlink>
            <w:r>
              <w:t xml:space="preserve"> | </w:t>
            </w:r>
            <w:hyperlink r:id="rId5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Six months selects the conservative end of this guidance range; it is not a guarantee of favorable biology.</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Open a bounded prospective beyond-UNOS downstaging cohort, not an unrestricted all-comers pathway.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ItNF08L0Rpc3BsYXlUZXh0PjxyZWNvcmQ+PHJlYy1udW1iZXI+NDwvcmVjLW51bWJlcj48Zm9yZWlnbi1rZXlzPjxrZXkgYXBwPSJFTiIgZGItaWQ9IjdkYmNkZGJlLTZmMDctNTY5OC1iZDBjLWIwMzk1MzhiNGM4NSIgdGltZXN0YW1wPSIxNzkyOTIxMD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[V12-4]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yLTddPC9EaXNwbGF5VGV4dD48cmVjb3JkPjxyZWMtbnVtYmVyPjc8L3JlYy1udW1iZXI+PGZvcmVpZ24ta2V5cz48a2V5IGFwcD0iRU4iIGRiLWlkPSI3ZGJjZGRiZS02ZjA3LTU2OTgtYmQwYy1iMDM5NTM4YjRjODUiIHRpbWVzdGFtcD0iMTc5MjkyMTA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[V12-7]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ItOF08L0Rpc3BsYXlUZXh0PjxyZWNvcmQ+PHJlYy1udW1iZXI+ODwvcmVjLW51bWJlcj48Zm9yZWlnbi1rZXlzPjxrZXkgYXBwPSJFTiIgZGItaWQ9IjdkYmNkZGJlLTZmMDctNTY5OC1iZDBjLWIwMzk1MzhiNGM4NSIgdGltZXN0YW1wPSIxNzkyOTIxMD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[V12-8]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ItOV08L0Rpc3BsYXlUZXh0PjxyZWNvcmQ+PHJlYy1udW1iZXI+OTwvcmVjLW51bWJlcj48Zm9yZWlnbi1rZXlzPjxrZXkgYXBwPSJFTiIgZGItaWQ9IjdkYmNkZGJlLTZmMDctNTY5OC1iZDBjLWIwMzk1MzhiNGM4NSIgdGltZXN0YW1wPSIxNzkyOTIxMD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[V12-9]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Mi0xMF08L0Rpc3BsYXlUZXh0PjxyZWNvcmQ+PHJlYy1udW1iZXI+MTA8L3JlYy1udW1iZXI+PGZvcmVpZ24ta2V5cz48a2V5IGFwcD0iRU4iIGRiLWlkPSI3ZGJjZGRiZS02ZjA3LTU2OTgtYmQwYy1iMDM5NTM4YjRjODUiIHRpbWVzdGFtcD0iMTc5MjkyMTA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[V12-10]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yLTExXTwvRGlzcGxheVRleHQ+PHJlY29yZD48cmVjLW51bWJlcj4xMTwvcmVjLW51bWJlcj48Zm9yZWlnbi1rZXlzPjxrZXkgYXBwPSJFTiIgZGItaWQ9IjdkYmNkZGJlLTZmMDctNTY5OC1iZDBjLWIwMzk1MzhiNGM4NSIgdGltZXN0YW1wPSIxNzkyOTIxMD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Mi0xMl08L0Rpc3BsYXlUZXh0PjxyZWNvcmQ+PHJlYy1udW1iZXI+MTI8L3JlYy1udW1iZXI+PGZvcmVpZ24ta2V5cz48a2V5IGFwcD0iRU4iIGRiLWlkPSI3ZGJjZGRiZS02ZjA3LTU2OTgtYmQwYy1iMDM5NTM4YjRjODUiIHRpbWVzdGFtcD0iMTc5MjkyMTA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[V12-12]</w:t>
      </w:r>
      <w:r>
        <w:fldChar w:fldCharType="end"/>
      </w:r>
    </w:p>
    <w:p>
      <w:pPr>
        <w:pStyle w:val="Normal"/>
        <w:widowControl/>
        <w:numPr>
          <w:ilvl w:val="0"/>
          <w:numId w:val="3"/>
        </w:numPr>
      </w:pPr>
      <w:r>
        <w:t xml:space="preserve">Proposed entry ceiling: original pretreatment tumor count plus largest tumor diameter in cm ≤12; AFP &lt;100 ng/mL; Child-Pugh A; no macrovascular invasion, extrahepatic disease or unmeasurable infiltrative tumor.</w:t>
      </w:r>
    </w:p>
    <w:p>
      <w:pPr>
        <w:pStyle w:val="Normal"/>
        <w:widowControl/>
        <w:numPr>
          <w:ilvl w:val="1"/>
          <w:numId w:val="3"/>
        </w:numPr>
        <w:spacing w:before="60" w:after="20"/>
      </w:pPr>
      <w:r>
        <w:t xml:space="preserve">These restrictions apply to the expanded arm, not to otherwise standard-eligible HCC.</w:t>
      </w:r>
    </w:p>
    <w:p>
      <w:pPr>
        <w:pStyle w:val="Normal"/>
        <w:widowControl/>
        <w:numPr>
          <w:ilvl w:val="0"/>
          <w:numId w:val="3"/>
        </w:numPr>
      </w:pPr>
      <w:r>
        <w:t xml:space="preserve">Before LT: viable tumor burden within Milan, or complete nonviability, with at least six months of documented stability from the first assessment meeting that target.</w:t>
      </w:r>
    </w:p>
    <w:p>
      <w:pPr>
        <w:pStyle w:val="Normal"/>
        <w:widowControl/>
        <w:numPr>
          <w:ilvl w:val="1"/>
          <w:numId w:val="3"/>
        </w:numPr>
        <w:spacing w:before="60" w:after="20"/>
      </w:pPr>
      <w:r>
        <w:t xml:space="preserve">Repeat liver CT/MRI and AFP at least every three months; confirmed progression holds the route and resets the study control clock after new successful downstaging.</w:t>
      </w:r>
    </w:p>
    <w:p>
      <w:pPr>
        <w:pStyle w:val="Normal"/>
        <w:widowControl/>
        <w:numPr>
          <w:ilvl w:val="0"/>
          <w:numId w:val="3"/>
        </w:numPr>
      </w:pPr>
      <w:r>
        <w:t xml:space="preserve">Preserve baseline measurements and AFP.</w:t>
      </w:r>
    </w:p>
    <w:p>
      <w:pPr>
        <w:pStyle w:val="Normal"/>
        <w:widowControl/>
        <w:numPr>
          <w:ilvl w:val="1"/>
          <w:numId w:val="3"/>
        </w:numPr>
        <w:spacing w:before="60" w:after="20"/>
      </w:pPr>
      <w:r>
        <w:t xml:space="preserve">A prior AFP ≥100 or Child-Pugh B/C at expanded-arm entry belongs to a separately approved stratum; do not erase that history after response.</w:t>
      </w:r>
    </w:p>
    <w:p>
      <w:pPr>
        <w:pStyle w:val="Normal"/>
        <w:widowControl/>
        <w:numPr>
          <w:ilvl w:val="1"/>
          <w:numId w:val="3"/>
        </w:numPr>
        <w:spacing w:before="60" w:after="20"/>
      </w:pPr>
      <w:r>
        <w:t xml:space="preserve">No initial stacking with the PVTT arm.</w:t>
      </w:r>
    </w:p>
    <w:p>
      <w:pPr>
        <w:pStyle w:val="Normal"/>
        <w:widowControl/>
        <w:spacing w:before="60" w:after="20"/>
      </w:pPr>
      <w:r>
        <w:rPr>
          <w:b/>
        </w:rPr>
        <w:t xml:space="preserve">Why retain or change it: </w:t>
      </w:r>
      <w:r>
        <w:t xml:space="preserve">Retain a restricted, prospectively governed pilot with largest diameter plus count ≤12, current AFP &lt;100, Child-Pugh A, no active macrovascular/extrahepatic/infiltrative disease, and Milan/nonviable status sustained for six months with interval imaging. Explicitly label the complete package and inclusive ≤12 boundary as local judgment, not a validated composite criterion. Do not stack a prior-PVTT indication into this simple expansion cohort. Audit every referred/treated patient, not only those listed or transplanted.</w:t>
      </w:r>
    </w:p>
    <w:p>
      <w:pPr>
        <w:pStyle w:val="Heading3"/>
        <w:keepNext/>
        <w:widowControl/>
      </w:pPr>
      <w:r>
        <w:t xml:space="preserve">Information required before the decision</w:t>
      </w:r>
    </w:p>
    <w:p>
      <w:pPr>
        <w:pStyle w:val="Normal"/>
        <w:widowControl/>
        <w:spacing w:before="60" w:after="20"/>
      </w:pPr>
      <w:r>
        <w:t xml:space="preserve">Central review of pretreatment and current multiphasic CT/MRI; chest CT; dated AFP series; Child-Pugh components; resection/ablation assessment; dated response and progression record. Record first treatment, first successful downstaging, latest progression, listing, first exception request and LT dates separately; report all-entry, waitlist and recipient outcomes with their own time origins.</w:t>
      </w:r>
    </w:p>
    <w:p>
      <w:pPr>
        <w:pStyle w:val="Normal"/>
        <w:widowControl/>
        <w:spacing w:before="60" w:after="20"/>
      </w:pPr>
      <w:r>
        <w:rPr>
          <w:b/>
        </w:rPr>
        <w:t xml:space="preserve">Clinical versus allocation: </w:t>
      </w:r>
      <w:r>
        <w:t xml:space="preserve">Reaching Milan/T2 does not retrospectively create standardized downstaging entry eligibility. A nonstandard exception request, calculated-MELD route or LDLT review remains separate; apply the actual allocation clock.</w:t>
      </w:r>
    </w:p>
    <w:p>
      <w:pPr>
        <w:pStyle w:val="Normal"/>
        <w:widowControl/>
        <w:spacing w:before="60" w:after="20"/>
      </w:pPr>
      <w:r>
        <w:rPr>
          <w:b/>
        </w:rPr>
        <w:t xml:space="preserve">Roadmap / protocol reconciliation: </w:t>
      </w:r>
      <w:r>
        <w:t xml:space="preserve">Retain the HCC roadmap’s resection/ablation assessment and treatment selection. This proposal changes transplant entry boundaries, not the standard cancer-treatment algorithm.</w:t>
      </w:r>
    </w:p>
    <w:p>
      <w:pPr>
        <w:pStyle w:val="Normal"/>
        <w:widowControl/>
        <w:spacing w:before="60" w:after="20"/>
      </w:pPr>
      <w:hyperlink r:id="rId52">
        <w:r>
          <w:rPr>
            <w:color w:val="77230C"/>
            <w:sz w:val="20"/>
            <w:u w:val="single"/>
          </w:rPr>
          <w:t>Meeting record: HCC-B1</w:t>
        </w:r>
      </w:hyperlink>
      <w:r>
        <w:t xml:space="preserve">  |  </w:t>
      </w:r>
      <w:hyperlink r:id="rId5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r>
        <w:t xml:space="preserve">3.3 Prior portal vein tumor thrombus</w:t>
      </w:r>
    </w:p>
    <w:p>
      <w:pPr>
        <w:pStyle w:val="Normal"/>
        <w:widowControl/>
        <w:numPr>
          <w:ilvl w:val="0"/>
          <w:numId w:val="3"/>
        </w:numPr>
      </w:pPr>
      <w:r>
        <w:t xml:space="preserve">Record the actual involved vessel and original Vp grade: Vp1 distal to second-order branches; Vp2 second-order; Vp3 first-order right or left portal branch; Vp4 main trunk or contralateral branch. Record hepatic-vein involvement separately. Do not equate Vp3 with main-portal invasion or bland thrombosis with cancer invasion.</w:t>
      </w:r>
    </w:p>
    <w:p>
      <w:pPr>
        <w:pStyle w:val="Normal"/>
        <w:widowControl/>
        <w:numPr>
          <w:ilvl w:val="0"/>
          <w:numId w:val="3"/>
        </w:numPr>
      </w:pPr>
      <w:r>
        <w:t xml:space="preserve">Assess parenchymal and vascular response separately on serial contrast imaging, with expert radiology adjudication. Current NLRB guidance identifies main portal or hepatic-vein invasion as an HCC-exception contraindication; some treated primary-branch invasion or rupture cases may be considered only after at least 12 months of stability. A six-month study interval cannot replace this allocation interval.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pPr>
      <w:r>
        <w:t xml:space="preserve">Yoon et al. reported 137 selected PVTT LDLT recipients, not all assessed PVTT patients. Five-year OS was 66.6% in 83 radiographic responders versus 35.1% in 54 nonresponders. Sixty-five of 83 responders still had viable PVTT on explant. Only 14 recipients had Vp4 disease. This recipient-only, nonrandomized experience cannot establish a routine Vp4 pathway, a causal LT benefit, or equivalence between vascular grades.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Heading3"/>
        <w:keepNext/>
        <w:widowControl/>
      </w:pPr>
      <w:bookmarkStart w:id="2" w:name="HCC_B2"/>
      <w:r>
        <w:t xml:space="preserve">HCC-B2 — Which PVTT anatomy could enter a transplanting study?</w:t>
      </w:r>
      <w:bookmarkEnd w:id="2"/>
    </w:p>
    <w:p>
      <w:pPr>
        <w:pStyle w:val="Heading3"/>
        <w:keepNext/>
        <w:widowControl/>
      </w:pPr>
      <w:r>
        <w:t xml:space="preserve">Question and comparison</w:t>
      </w:r>
    </w:p>
    <w:p>
      <w:pPr>
        <w:pStyle w:val="Normal"/>
        <w:widowControl/>
        <w:spacing w:before="60" w:after="20"/>
      </w:pPr>
      <w:r>
        <w:t xml:space="preserve">HCC with previously documented portal-vein tumor thrombus, after antitumor treatment; compare original segmental/second-order versus first-order/main-trunk extent and response strata. Outcomes are treatment-entry access and survival, recipient survival, recurrence and graft-related harm—not anatomy alone.</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Retrospective Asan LDLT cohort, 1997–2022, 137 selected PVTT recipients; median follow-up 38.3 months.</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Complete PDF: Table 1; Results p7261; Table 2 p7264; Figure 1 p7265; Discussion p7268. Preserve source/pvtt_outcomes.py values.</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Vp1 five-year OS 69.5%, DFS 56.2%; Vp4 OS 50.0%, DFS 34.3%. Exact Vp2/Vp3 five-year values were not tabulated. Vp4 recurrence was 9/14 (64.3%) by Table 2 count, not a five-year risk. Responders: 83 patients, five-year OS 66.6%, DFS 64.7%, recurrence 28/83; nonresponders: 54, OS 35.1%, DFS 19.7%, recurrence 42/54. Viable PVTT remained in 65/83 responder explants.</w:t>
            </w:r>
          </w:p>
          <w:p>
            <w:pPr>
              <w:pStyle w:val="Normal"/>
              <w:widowControl/>
              <w:spacing w:before="60" w:after="20"/>
            </w:pPr>
            <w:r>
              <w:rPr>
                <w:b/>
              </w:rPr>
              <w:t xml:space="preserve">Do not infer: </w:t>
            </w:r>
            <w:r>
              <w:t xml:space="preserve">Recipient-only, heterogeneous treatment eras and small grade subgroups. Nonsignificant grade comparisons do not prove equivalence. Discussion/conclusion transpose responder OS and DFS; retain Results/Figure 1 values.</w:t>
            </w:r>
          </w:p>
        </w:tc>
      </w:tr>
      <w:tr>
        <w:trPr/>
        <w:tc>
          <w:tcPr>
            <w:tcW w:w="3400" w:type="dxa"/>
            <w:tcMar>
              <w:top w:w="90" w:type="dxa"/>
              <w:left w:w="90" w:type="dxa"/>
              <w:bottom w:w="90" w:type="dxa"/>
              <w:right w:w="90" w:type="dxa"/>
            </w:tcMar>
          </w:tcPr>
          <w:p>
            <w:pPr>
              <w:pStyle w:val="Normal"/>
              <w:widowControl/>
              <w:spacing w:before="60" w:after="20"/>
            </w:pPr>
            <w:r>
              <w:rPr>
                <w:b/>
              </w:rPr>
              <w:t xml:space="preserve">Choi 2017</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p>
          <w:p>
            <w:pPr>
              <w:pStyle w:val="Normal"/>
              <w:widowControl/>
              <w:spacing w:before="60" w:after="20"/>
            </w:pPr>
            <w:r>
              <w:t xml:space="preserve">Single-center Korean LDLT cohort, 2005–2015. Of 253 adult HCC LDLTs, four deaths within one month, five lost to follow-up and two mixed HCC/CCA cases were excluded, leaving 242. PVTT: 27 segmental (at/below second-order branches) and seven first-order/lobar; main-portal disease, nodes and distant spread excluded. Eleven of 27 segmental thrombi were unsuspected before LT and discovered on explant. Prior treatment in 22/34 was not a standardized downstaging protocol.</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PDF p 2/j 1024: exclusions, pretreatment, anatomy definition. | PDF p 3/j 1025: 16/27 preoperative segmental diagnoses. | PDF pp 5–6/j 1027–1028: Tables 2–3 and explicit lobar DFS 14.3%. | PDF p 7/j 1029 Table 4: AFP subgroup counts. | PDF p 8/j 1030: subgroup survival and limitations.</w:t>
            </w:r>
          </w:p>
          <w:p>
            <w:pPr>
              <w:pStyle w:val="Normal"/>
              <w:widowControl/>
              <w:spacing w:before="60" w:after="20"/>
            </w:pPr>
            <w:r>
              <w:t xml:space="preserve">Review depth: Complete main text/tables/figures/discussion of nine-page article read; last-page bibliography only not material to extraction.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n = 27: recurrence 9/27 (33.3%), five-year OS 50.3%, author-labelled DFS 63.9%. Lobar n = 7: recurrence 6/7 (85.7%), three-/five-year OS 14.3%/14.3%, DFS 14.3%/14.3%. Segmental AFP &lt;100 subgroup: five-year OS 71.3%, DFS 90.9%. Overall PVTT recurrence 15/34 (44.1%); mean time to recurrence 6.8±4.33 months. Safety: Four early postoperative deaths were excluded across the parent HCC cohort; their PVTT status is not reported. Lobar recurrence was 6/7. Donor harms are not quantified.</w:t>
            </w:r>
          </w:p>
          <w:p>
            <w:pPr>
              <w:pStyle w:val="Normal"/>
              <w:widowControl/>
              <w:spacing w:before="60" w:after="20"/>
            </w:pPr>
            <w:r>
              <w:rPr>
                <w:b/>
              </w:rPr>
              <w:t xml:space="preserve">Do not infer: </w:t>
            </w:r>
            <w:r>
              <w:t xml:space="preserve">Tiny retrospective recipient subgroups; early-death exclusion and occult segmental thrombi favor outcomes. No entry-cohort ITT estimate, standardized response duration or validated AFP cutoff. Do not call author-labelled DFS death-inclusive RFS.</w:t>
            </w:r>
          </w:p>
        </w:tc>
      </w:tr>
      <w:tr>
        <w:trPr/>
        <w:tc>
          <w:tcPr>
            <w:tcW w:w="3400" w:type="dxa"/>
            <w:tcMar>
              <w:top w:w="90" w:type="dxa"/>
              <w:left w:w="90" w:type="dxa"/>
              <w:bottom w:w="90" w:type="dxa"/>
              <w:right w:w="90" w:type="dxa"/>
            </w:tcMar>
          </w:tcPr>
          <w:p>
            <w:pPr>
              <w:pStyle w:val="Normal"/>
              <w:widowControl/>
              <w:spacing w:before="60" w:after="20"/>
            </w:pPr>
            <w:r>
              <w:rPr>
                <w:b/>
              </w:rPr>
              <w:t xml:space="preserve">Yang 2020</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r>
              <w:t xml:space="preserve">Retrospective Chinese recipient cohort of 75 HCC/PVTT transplants: 47 with Vp2–3 combined and 28 with Vp4. The Vp2–3 group was entirely HBV-associated; Child-Pugh A/B/C counts were 1/22/24 and median MELD 30. Not a standardized downstaging-response cohort.</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PDF p 2/j 230: Methods, endpoint definitions, 47/28 groups, Table 1. | PDF p 3/j 231: grade outcomes and 22/17/8 risk groups. | PDF p 4/j 232: Tables 2–3. | PDF p 5/j 233: limitations.</w:t>
            </w:r>
          </w:p>
          <w:p>
            <w:pPr>
              <w:pStyle w:val="Normal"/>
              <w:widowControl/>
              <w:spacing w:before="60" w:after="20"/>
            </w:pPr>
            <w:r>
              <w:t xml:space="preserve">Review depth: Complete six-page article read, all main methods/results/tables/figures/discussion/references.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Vp2–3 n = 47: three-year OS 65.4%, recurrence-only RFS 40.0%. Vp4 n = 28: three-year OS 30.6%, recurrence-only RFS 21.4%. A derived low-risk subgroup of 22/47 had three-year OS 95.2% and recurrence-only RFS 67.6%; its rule was total tumor diameter ≤8 cm, OR if &gt;8 cm, AFP &lt;1,000 ng/mL AND SUVmax &lt;5. Safety: Three-year recurrence-only RFS was low in both anatomical groups. Short median follow-up limits three-year precision; no donor-harm estimate.</w:t>
            </w:r>
          </w:p>
          <w:p>
            <w:pPr>
              <w:pStyle w:val="Normal"/>
              <w:widowControl/>
              <w:spacing w:before="60" w:after="20"/>
            </w:pPr>
            <w:r>
              <w:rPr>
                <w:b/>
              </w:rPr>
              <w:t xml:space="preserve">Do not infer: </w:t>
            </w:r>
            <w:r>
              <w:t xml:space="preserve">The low-risk rule was derived in the same 47 recipients and lacks external validation. It is not a Vp3-specific outcome or proof of safe active PVTT transplantation. No entry-denominator survival or validated observation interval.</w:t>
            </w:r>
          </w:p>
        </w:tc>
      </w:tr>
      <w:tr>
        <w:trPr/>
        <w:tc>
          <w:tcPr>
            <w:tcW w:w="3400" w:type="dxa"/>
            <w:tcMar>
              <w:top w:w="90" w:type="dxa"/>
              <w:left w:w="90" w:type="dxa"/>
              <w:bottom w:w="90" w:type="dxa"/>
              <w:right w:w="90" w:type="dxa"/>
            </w:tcMar>
          </w:tcPr>
          <w:p>
            <w:pPr>
              <w:pStyle w:val="Normal"/>
              <w:widowControl/>
              <w:spacing w:before="60" w:after="20"/>
            </w:pPr>
            <w:r>
              <w:rPr>
                <w:b/>
              </w:rPr>
              <w:t xml:space="preserve">Ye 2024</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r>
              <w:t xml:space="preserve">Retrospective DDLT cohort of 141 vascular-invasion recipients: 13 segmental PVTT, 68 lobar PVTT, 60 microvascular invasion.</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Complete 12-page PDF: Methods p3, Tables 1–2 p6, Figure 4 p7.</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three-year OS 75.0%, RFS 58.3%, crude recurrence 4/13. Lobar three-year OS 45.9%, RFS 9.1%, crude recurrence 60/68.</w:t>
            </w:r>
          </w:p>
          <w:p>
            <w:pPr>
              <w:pStyle w:val="Normal"/>
              <w:widowControl/>
              <w:spacing w:before="60" w:after="20"/>
            </w:pPr>
            <w:r>
              <w:rPr>
                <w:b/>
              </w:rPr>
              <w:t xml:space="preserve">Do not infer: </w:t>
            </w:r>
            <w:r>
              <w:t xml:space="preserve">Exclusion of early deaths biases recipient survival upward. Lobar is not an isolated Vp3 group. Crude recurrence and RFS are distinct measures; the cohort is not directly transportable to Western mixed-etiology candidates.</w:t>
            </w:r>
          </w:p>
        </w:tc>
      </w:tr>
      <w:tr>
        <w:trPr/>
        <w:tc>
          <w:tcPr>
            <w:tcW w:w="3400" w:type="dxa"/>
            <w:tcMar>
              <w:top w:w="90" w:type="dxa"/>
              <w:left w:w="90" w:type="dxa"/>
              <w:bottom w:w="90" w:type="dxa"/>
              <w:right w:w="90" w:type="dxa"/>
            </w:tcMar>
          </w:tcPr>
          <w:p>
            <w:pPr>
              <w:pStyle w:val="Normal"/>
              <w:widowControl/>
              <w:spacing w:before="60" w:after="20"/>
            </w:pPr>
            <w:r>
              <w:rPr>
                <w:b/>
              </w:rPr>
              <w:t xml:space="preserve">Soin 2020</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r>
              <w:t xml:space="preserve">Single-center prospective downstaging pathway: 43 patients with macrovascular invasion, comprising 38 PVTT and five hepatic-vein/IVC cases; 27 responded and 25 underwent LDLT. Recipient original Vp1/Vp2/Vp3/Vp4 counts: 1/12/11/1.</w:t>
            </w:r>
          </w:p>
          <w:p>
            <w:pPr>
              <w:pStyle w:val="Normal"/>
              <w:widowControl/>
              <w:spacing w:before="60" w:after="20"/>
            </w:pPr>
            <w:hyperlink r:id="rId62">
              <w:r>
                <w:rPr>
                  <w:color w:val="77230C"/>
                  <w:sz w:val="20"/>
                  <w:u w:val="single"/>
                </w:rPr>
                <w:t>Primary source</w:t>
              </w:r>
            </w:hyperlink>
            <w:r>
              <w:t xml:space="preserve"> | </w:t>
            </w:r>
            <w:hyperlink r:id="rId63">
              <w:r>
                <w:rPr>
                  <w:color w:val="77230C"/>
                  <w:sz w:val="20"/>
                  <w:u w:val="single"/>
                </w:rPr>
                <w:t>Full-text PDF</w:t>
              </w:r>
            </w:hyperlink>
          </w:p>
          <w:p>
            <w:pPr>
              <w:pStyle w:val="Normal"/>
              <w:widowControl/>
              <w:spacing w:before="60" w:after="20"/>
            </w:pPr>
            <w:r>
              <w:t xml:space="preserve">Locator: PDF pp 2–4/j 2335–2337: protocol, 43 entry flow, endpoint definitions, 18 vs 7 response. | PDF p 5/j 2338: all 25 survival 53/52 and timing Table 1. | PDF p 6/j 2339: Table 2, 17/25 viable PVTT, early death-excluded 57/51. | PDF p 7/j 2340: Fig 3. | PDF pp 9–11/j 2342–2344: models, variable wait protocol, limitations.</w:t>
            </w:r>
          </w:p>
          <w:p>
            <w:pPr>
              <w:pStyle w:val="Normal"/>
              <w:widowControl/>
              <w:spacing w:before="60" w:after="20"/>
            </w:pPr>
            <w:r>
              <w:t xml:space="preserve">Review depth: Complete 12-page main paper read; supplemental Tables S1–S2/Figures S1–S5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25 recipients: five-year OS 53% and author-labelled RFS 52%. After excluding two early postoperative deaths (n = 23): five-year OS 57%, RFS 51%. Recurrence 6/25 (24%), median five months. Eighteen had complete vascular enhancement loss; seven retained minimal/absent enhancement in Vp1–2 disease. Explants still showed viable PVTT in 17/25 and microvascular invasion in 21/25. Safety: Nine recipient deaths: two early sepsis deaths, four later non-cancer deaths and three cancer deaths. Six recurrences occurred despite downstaging selection. Radiographic response did not reliably imply pathological vascular sterilization.</w:t>
            </w:r>
          </w:p>
          <w:p>
            <w:pPr>
              <w:pStyle w:val="Normal"/>
              <w:widowControl/>
              <w:spacing w:before="60" w:after="20"/>
            </w:pPr>
            <w:r>
              <w:rPr>
                <w:b/>
              </w:rPr>
              <w:t xml:space="preserve">Do not infer: </w:t>
            </w:r>
            <w:r>
              <w:t xml:space="preserve">No randomized comparator, limited recipient number and no grade-specific survival estimates. The 43-entry denominator includes nonportal macrovascular invasion. Five-year 57% OS excludes early deaths; it is neither all-recipient nor ITT survival. Small poor-grade/AFP-change subgroups do not validate new cutoffs or a 12-month control rule.</w:t>
            </w:r>
          </w:p>
        </w:tc>
      </w:tr>
      <w:tr>
        <w:trPr/>
        <w:tc>
          <w:tcPr>
            <w:tcW w:w="3400" w:type="dxa"/>
            <w:tcMar>
              <w:top w:w="90" w:type="dxa"/>
              <w:left w:w="90" w:type="dxa"/>
              <w:bottom w:w="90" w:type="dxa"/>
              <w:right w:w="90" w:type="dxa"/>
            </w:tcMar>
          </w:tcPr>
          <w:p>
            <w:pPr>
              <w:pStyle w:val="Normal"/>
              <w:widowControl/>
              <w:spacing w:before="60" w:after="20"/>
            </w:pPr>
            <w:r>
              <w:rPr>
                <w:b/>
              </w:rPr>
              <w:t xml:space="preserve">Assalino 2020 · vascular invasion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xOTwvUmVjTnVtPjxEaXNwbGF5VGV4dD5bVjEyLTE5XTwvRGlzcGxheVRleHQ+PHJlY29yZD48cmVjLW51bWJlcj4xOTwvcmVjLW51bWJlcj48Zm9yZWlnbi1rZXlzPjxrZXkgYXBwPSJFTiIgZGItaWQ9IjdkYmNkZGJlLTZmMDctNTY5OC1iZDBjLWIwMzk1MzhiNGM4NSIgdGltZXN0YW1wPSIxNzkyOTIxMDgzIj4xOT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p>
          <w:p>
            <w:pPr>
              <w:pStyle w:val="Normal"/>
              <w:widowControl/>
              <w:spacing w:before="60" w:after="20"/>
            </w:pPr>
            <w:r>
              <w:t xml:space="preserve">Multicenter recipient-only series: 45 records identified, 29 with centrally confirmed pretreatment vascular invasion plus one pathologically confirmed case accepted (n = 30). Excluded records are not downstaging failures. There were 24 portal cases (seven Vp1, 12 Vp2, five study-defined Vp3) and six hepatic/caval cases; the paper's Vp3 category includes main-trunk disease.</w:t>
            </w:r>
          </w:p>
          <w:p>
            <w:pPr>
              <w:pStyle w:val="Normal"/>
              <w:widowControl/>
              <w:spacing w:before="60" w:after="20"/>
            </w:pPr>
            <w:hyperlink r:id="rId64">
              <w:r>
                <w:rPr>
                  <w:color w:val="77230C"/>
                  <w:sz w:val="20"/>
                  <w:u w:val="single"/>
                </w:rPr>
                <w:t>Primary source</w:t>
              </w:r>
            </w:hyperlink>
            <w:r>
              <w:t xml:space="preserve"> | </w:t>
            </w:r>
            <w:hyperlink r:id="rId65">
              <w:r>
                <w:rPr>
                  <w:color w:val="77230C"/>
                  <w:sz w:val="20"/>
                  <w:u w:val="single"/>
                </w:rPr>
                <w:t>Full-text PDF</w:t>
              </w:r>
            </w:hyperlink>
          </w:p>
          <w:p>
            <w:pPr>
              <w:pStyle w:val="Normal"/>
              <w:widowControl/>
              <w:spacing w:before="60" w:after="20"/>
            </w:pPr>
            <w:r>
              <w:t xml:space="preserve">Locator: PDF pp 2–3/j 568–569: cohort, definitions, endpoint death handling. | PDF p 4/j 570: flow, outcomes, AFP ROC. | PDF p 5/j 571: Table 1 and subgroup outcomes. | PDF pp 6–8/j 572–574: explant, limitations, Table 2.</w:t>
            </w:r>
          </w:p>
          <w:p>
            <w:pPr>
              <w:pStyle w:val="Normal"/>
              <w:widowControl/>
              <w:spacing w:before="60" w:after="20"/>
            </w:pPr>
            <w:r>
              <w:t xml:space="preserve">Review depth: Complete nine-page primary paper (same study reviewed in V7) verified against newly downloaded copy; all main methods/results/tables/discussion read; supplementary Table S1 not available.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59.6% and death-inclusive DFS 56.3%; recurrence 8/30, median 6.5 months. Three explants retained major vascular invasion and 11 had complete necrosis. Exploratory AFP &lt;10 ng/mL subgroup: recurrence 11.1% versus 50%, five-year OS 83.3% versus 27.8%, DFS 71.8% versus 33.3%; cutoff AUC 0.78. Safety: Eight recurrences among 30 highly selected recipients; residual vascular invasion despite radiographic control.</w:t>
            </w:r>
          </w:p>
          <w:p>
            <w:pPr>
              <w:pStyle w:val="Normal"/>
              <w:widowControl/>
              <w:spacing w:before="60" w:after="20"/>
            </w:pPr>
            <w:r>
              <w:rPr>
                <w:b/>
              </w:rPr>
              <w:t xml:space="preserve">Do not infer: </w:t>
            </w:r>
            <w:r>
              <w:t xml:space="preserve">Small selected mixed-anatomy cohort; AFP cutoff derived post hoc, with subgroup denominators not clearly stated in the main text. Local Vp labels do not map cleanly onto usual Vp1–4. A median 11.4-month interval is not a validated minimum observation period.</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Retrospective analysis of prospectively collected databases at five Italian centers, 2010–2023: 240 consecutive Y90-TARE-treated HCC/PVTT patients; 61 achieved sustained downstaging and 37 underwent deceased-donor LT.</w:t>
            </w:r>
          </w:p>
          <w:p>
            <w:pPr>
              <w:pStyle w:val="Normal"/>
              <w:widowControl/>
              <w:spacing w:before="60" w:after="20"/>
            </w:pPr>
            <w:hyperlink r:id="rId66">
              <w:r>
                <w:rPr>
                  <w:color w:val="77230C"/>
                  <w:sz w:val="20"/>
                  <w:u w:val="single"/>
                </w:rPr>
                <w:t>Primary source</w:t>
              </w:r>
            </w:hyperlink>
            <w:r>
              <w:t xml:space="preserve"> | </w:t>
            </w:r>
            <w:hyperlink r:id="rId67">
              <w:r>
                <w:rPr>
                  <w:color w:val="77230C"/>
                  <w:sz w:val="20"/>
                  <w:u w:val="single"/>
                </w:rPr>
                <w:t>Full-text PDF</w:t>
              </w:r>
            </w:hyperlink>
          </w:p>
          <w:p>
            <w:pPr>
              <w:pStyle w:val="Normal"/>
              <w:widowControl/>
              <w:spacing w:before="60" w:after="20"/>
            </w:pPr>
            <w:r>
              <w:t xml:space="preserve">Locator: Complete 12-page PDF including visual abstract. Methods/selection p4; endpoint definitions and all-240 outcomes p5; flow, central review and recipient results p6/Figure 1; baseline anatomy p7/Table 1; harms/explant p8/Table 2; survival and at-risk counts p9/Figure 3; exploratory subgroups p10/Table 3; response uncertainty and limitations p11.</w:t>
            </w:r>
          </w:p>
          <w:p>
            <w:pPr>
              <w:pStyle w:val="Normal"/>
              <w:widowControl/>
              <w:spacing w:before="60" w:after="20"/>
            </w:pPr>
            <w:r>
              <w:t xml:space="preserve">Review depth: Complete 12-page main PDF read and figures/tables visually checked; title and DOI matched. External supplementary tables S1/S2 and STROBE checklist not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Pathway: 118/240 had CR/PR within six months; 61/240 (25.4%) had sustained downstaging, 37/240 (15.4%) reached LT. Of 61 downstaged, 24 were not listed: nine age/comorbidity, six conversion to resection, nine refusal/noncompliance. No dropout among the 37 actually listed does not mean no pathway attrition. All-240 survival from TARE: median OS 14.1 months (reported interval 11.1–17.1); one/three/five-year OS 53.7%/27.2%/18.9%, with 184 deaths and median follow-up 65.2 months. Among all 37 recipients, including four perioperative deaths: three/five-year OS 67.2%/61.6%; six recurrences (16.2% crude count); author RFS 79.3% at three and five years, censoring death without recurrence. Median recipient follow-up 56.7 months; only eight patients at risk at five years in Figure 3A. Complete pathological necrosis 21/37 (56.7%); persistent pathological macrovascular invasion 11/37, including viable vascular thrombus in 8/37 (21.6%). Among the 61 downstaged, cancer-related death at 60 months from successful downstaging was 15.8% with LT versus 45.2% without LT (sHR 0.221, 95% CI 0.071–0.683; p=0.0087); this is an observational association. No grade-specific recipient survival/recurrence estimates are reported in the main paper. Harms: Post-TARE liver decompensation occurred in 56/240 (23.3%); symptomatic radiation-induced lung toxicity in 3/240 (1.2%), not classified as treatment-related mortality. LT major Dindo–Clavien grade ≥3 complications occurred in 13/37 (35.1%); four perioperative deaths among 37 recipients (10.8%, calculated). The paper does not specify a 30- or 90-day definition for those four deaths.</w:t>
            </w:r>
          </w:p>
          <w:p>
            <w:pPr>
              <w:pStyle w:val="Normal"/>
              <w:widowControl/>
              <w:spacing w:before="60" w:after="20"/>
            </w:pPr>
            <w:r>
              <w:rPr>
                <w:b/>
              </w:rPr>
              <w:t xml:space="preserve">Do not infer: </w:t>
            </w:r>
            <w:r>
              <w:t xml:space="preserve">Selected-recipient outcomes cannot be applied to all 240 entrants. No randomized comparator against contemporary systemic therapy; heterogeneous treatment/selection, calendar-era effects, comorbidity and response differences, and timing/selection bias remain. Non-LT downstaged patients had fewer complete responses (29.2% vs 62.2%); a time-dependent LT/immortal-time correction is not explicitly described. Radiological extent changed on central review in 16/31 available cases (four upgrades, twelve downgrades). Post-radiation enhancement may complicate vascular-response interpretation, and response did not exclude viable PVTT. Table 3 univariable age &gt;65 (n=4), AFP &gt;100 (n=3), size &gt;50 mm (n=6), and partial best response (n=14) associations do not validate hard eligibility cutoffs; no variable significantly predicted RFS. Figure 1's ineffective-downstaging subcounts 18+27+14 sum to 59, not the stated 57; the 14-death label is printed as 6.3%. Use the coherent main cohort totals without inventing a correction. Possible overlap with earlier Italian reports must not be pooled as independent evidence. External tables S1/S2 and STROBE supplement were not available for this review. Endpoint/time origin: Three distinct origins: TARE for all-240 OS; date of successful downstaging for the 61-patient cancer-death comparison; LT for recipient OS/RFS. RFS treats recurrence as the event and censors death without recurrence: 79.3% is neither alive-and-recurrence-free survival nor a competing-risk estimate. Six recurrences/37 is a crude follow-up count, not five-year recurrence risk. Do not calculate recurrence incidence as 1 minus RFS. The recipient-only competing-risk cancer-death estimate at five years is 17%, not the 15.8% comparison starting at downstaging.</w:t>
            </w:r>
          </w:p>
        </w:tc>
      </w:tr>
    </w:tbl>
    <w:p>
      <w:pPr>
        <w:pStyle w:val="Heading3"/>
        <w:keepNext/>
        <w:widowControl/>
      </w:pPr>
      <w:r>
        <w:t xml:space="preserve">PVTT outcomes underlying the open anatomy boundary</w:t>
      </w:r>
    </w:p>
    <w:p>
      <w:pPr>
        <w:pStyle w:val="Normal"/>
        <w:widowControl/>
      </w:pPr>
      <w:r>
        <w:t xml:space="preserve">The evidence supports studying carefully selected patients, but does not validate a universal Vp2/Vp3 cutoff. The following are outcomes after transplantation in selected recipients, not the chance of benefit from the start of downstaging. OS means overall survival; DFS/RFS retain each paper’s terminology. Observed recurrence is a crude count over available follow-up, not a fixed-time cumulative incidence.</w:t>
      </w:r>
    </w:p>
    <w:p>
      <w:pPr>
        <w:pStyle w:val="Heading3"/>
        <w:keepNext/>
        <w:widowControl/>
      </w:pPr>
      <w:r>
        <w:t xml:space="preserve">Individual Vp grades in the largest LDLT cohort reviewed</w:t>
      </w:r>
    </w:p>
    <w:p>
      <w:pPr>
        <w:pStyle w:val="Normal"/>
        <w:keepNext/>
        <w:widowControl/>
      </w:pPr>
      <w:r>
        <w:t xml:space="preserve">Yoon 2026: 137 recipients, Asan, 1997–2022; median follow-up 38.3 months. Record original highest Vp extent and current viable extent separately; do not re-label historical Vp4 as Vp1 after response.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tbl>
      <w:tblPr>
        <w:tblW w:w="90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650"/>
        <w:gridCol w:w="500"/>
        <w:gridCol w:w="1150"/>
        <w:gridCol w:w="1150"/>
        <w:gridCol w:w="3550"/>
      </w:tblGrid>
      <w:tr>
        <w:trPr>
          <w:cantSplit/>
          <w:tblHeader/>
        </w:trPr>
        <w:tc>
          <w:tcPr>
            <w:tcW w:w="2650" w:type="dxa"/>
            <w:vAlign w:val="center"/>
            <w:tcMar>
              <w:top w:w="90" w:type="dxa"/>
              <w:left w:w="90" w:type="dxa"/>
              <w:bottom w:w="90" w:type="dxa"/>
              <w:right w:w="90" w:type="dxa"/>
            </w:tcMar>
            <w:shd w:fill="DCE6F1"/>
          </w:tcPr>
          <w:p>
            <w:pPr>
              <w:pStyle w:val="Normal"/>
              <w:widowControl/>
              <w:spacing w:before="60" w:after="20"/>
            </w:pPr>
            <w:r>
              <w:rPr>
                <w:b/>
              </w:rPr>
              <w:t xml:space="preserve">Vp grade and vessel</w:t>
            </w:r>
          </w:p>
        </w:tc>
        <w:tc>
          <w:tcPr>
            <w:tcW w:w="500" w:type="dxa"/>
            <w:vAlign w:val="center"/>
            <w:tcMar>
              <w:top w:w="90" w:type="dxa"/>
              <w:left w:w="90" w:type="dxa"/>
              <w:bottom w:w="90" w:type="dxa"/>
              <w:right w:w="90" w:type="dxa"/>
            </w:tcMar>
            <w:shd w:fill="DCE6F1"/>
          </w:tcPr>
          <w:p>
            <w:pPr>
              <w:pStyle w:val="Normal"/>
              <w:widowControl/>
              <w:spacing w:before="60" w:after="20"/>
              <w:jc w:val="center"/>
            </w:pPr>
            <w:r>
              <w:rPr>
                <w:b/>
              </w:rPr>
              <w:t xml:space="preserve">n</w:t>
            </w:r>
          </w:p>
        </w:tc>
        <w:tc>
          <w:tcPr>
            <w:tcW w:w="1150" w:type="dxa"/>
            <w:vAlign w:val="center"/>
            <w:tcMar>
              <w:top w:w="90" w:type="dxa"/>
              <w:left w:w="90" w:type="dxa"/>
              <w:bottom w:w="90" w:type="dxa"/>
              <w:right w:w="90" w:type="dxa"/>
            </w:tcMar>
            <w:shd w:fill="DCE6F1"/>
          </w:tcPr>
          <w:p>
            <w:pPr>
              <w:pStyle w:val="Normal"/>
              <w:widowControl/>
              <w:spacing w:before="60" w:after="20"/>
              <w:jc w:val="center"/>
            </w:pPr>
            <w:r>
              <w:rPr>
                <w:b/>
              </w:rPr>
              <w:t xml:space="preserve">5-year OS</w:t>
            </w:r>
          </w:p>
        </w:tc>
        <w:tc>
          <w:tcPr>
            <w:tcW w:w="1150" w:type="dxa"/>
            <w:vAlign w:val="center"/>
            <w:tcMar>
              <w:top w:w="90" w:type="dxa"/>
              <w:left w:w="90" w:type="dxa"/>
              <w:bottom w:w="90" w:type="dxa"/>
              <w:right w:w="90" w:type="dxa"/>
            </w:tcMar>
            <w:shd w:fill="DCE6F1"/>
          </w:tcPr>
          <w:p>
            <w:pPr>
              <w:pStyle w:val="Normal"/>
              <w:widowControl/>
              <w:spacing w:before="60" w:after="20"/>
              <w:jc w:val="center"/>
            </w:pPr>
            <w:r>
              <w:rPr>
                <w:b/>
              </w:rPr>
              <w:t xml:space="preserve">5-year DFS</w:t>
            </w:r>
          </w:p>
        </w:tc>
        <w:tc>
          <w:tcPr>
            <w:tcW w:w="35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2650" w:type="dxa"/>
            <w:vAlign w:val="center"/>
            <w:tcMar>
              <w:top w:w="90" w:type="dxa"/>
              <w:left w:w="90" w:type="dxa"/>
              <w:bottom w:w="90" w:type="dxa"/>
              <w:right w:w="90" w:type="dxa"/>
            </w:tcMar>
            <w:shd w:fill="FFFFFF"/>
          </w:tcPr>
          <w:p>
            <w:pPr>
              <w:pStyle w:val="Normal"/>
              <w:widowControl/>
              <w:spacing w:before="60" w:after="20"/>
            </w:pPr>
            <w:r>
              <w:t xml:space="preserve">Vp1</w:t>
            </w:r>
            <w:r>
              <w:br/>
            </w:r>
            <w:r>
              <w:t xml:space="preserve">Peripheral to second-order branches</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51</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69.5%</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56.2%</w:t>
            </w:r>
          </w:p>
        </w:tc>
        <w:tc>
          <w:tcPr>
            <w:tcW w:w="3550" w:type="dxa"/>
            <w:vAlign w:val="center"/>
            <w:tcMar>
              <w:top w:w="90" w:type="dxa"/>
              <w:left w:w="90" w:type="dxa"/>
              <w:bottom w:w="90" w:type="dxa"/>
              <w:right w:w="90" w:type="dxa"/>
            </w:tcMar>
            <w:shd w:fill="FFFFFF"/>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5F7F9"/>
          </w:tcPr>
          <w:p>
            <w:pPr>
              <w:pStyle w:val="Normal"/>
              <w:widowControl/>
              <w:spacing w:before="60" w:after="20"/>
            </w:pPr>
            <w:r>
              <w:t xml:space="preserve">Vp2</w:t>
            </w:r>
            <w:r>
              <w:br/>
            </w:r>
            <w:r>
              <w:t xml:space="preserve">Second-order branches</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36</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Not tabulated</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Not tabulated</w:t>
            </w:r>
          </w:p>
        </w:tc>
        <w:tc>
          <w:tcPr>
            <w:tcW w:w="3550" w:type="dxa"/>
            <w:vAlign w:val="center"/>
            <w:tcMar>
              <w:top w:w="90" w:type="dxa"/>
              <w:left w:w="90" w:type="dxa"/>
              <w:bottom w:w="90" w:type="dxa"/>
              <w:right w:w="90" w:type="dxa"/>
            </w:tcMar>
            <w:shd w:fill="F5F7F9"/>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FFFFF"/>
          </w:tcPr>
          <w:p>
            <w:pPr>
              <w:pStyle w:val="Normal"/>
              <w:widowControl/>
              <w:spacing w:before="60" w:after="20"/>
            </w:pPr>
            <w:r>
              <w:t xml:space="preserve">Vp3</w:t>
            </w:r>
            <w:r>
              <w:br/>
            </w:r>
            <w:r>
              <w:t xml:space="preserve">First-order right or left branch</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36</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Not tabulated</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Not tabulated</w:t>
            </w:r>
          </w:p>
        </w:tc>
        <w:tc>
          <w:tcPr>
            <w:tcW w:w="3550" w:type="dxa"/>
            <w:vAlign w:val="center"/>
            <w:tcMar>
              <w:top w:w="90" w:type="dxa"/>
              <w:left w:w="90" w:type="dxa"/>
              <w:bottom w:w="90" w:type="dxa"/>
              <w:right w:w="90" w:type="dxa"/>
            </w:tcMar>
            <w:shd w:fill="FFFFFF"/>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5F7F9"/>
          </w:tcPr>
          <w:p>
            <w:pPr>
              <w:pStyle w:val="Normal"/>
              <w:widowControl/>
              <w:spacing w:before="60" w:after="20"/>
            </w:pPr>
            <w:r>
              <w:t xml:space="preserve">Vp4</w:t>
            </w:r>
            <w:r>
              <w:br/>
            </w:r>
            <w:r>
              <w:t xml:space="preserve">Main trunk and/or contralateral branch</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14</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50.0%</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34.3%</w:t>
            </w:r>
          </w:p>
        </w:tc>
        <w:tc>
          <w:tcPr>
            <w:tcW w:w="3550" w:type="dxa"/>
            <w:vAlign w:val="center"/>
            <w:tcMar>
              <w:top w:w="90" w:type="dxa"/>
              <w:left w:w="90" w:type="dxa"/>
              <w:bottom w:w="90" w:type="dxa"/>
              <w:right w:w="90" w:type="dxa"/>
            </w:tcMar>
            <w:shd w:fill="F5F7F9"/>
          </w:tcPr>
          <w:p>
            <w:pPr>
              <w:pStyle w:val="Normal"/>
              <w:widowControl/>
              <w:spacing w:before="60" w:after="20"/>
              <w:jc w:val="center"/>
            </w:pPr>
            <w:r>
              <w:t xml:space="preserve">9/14 (64.3%), counted from Table 2; not a five-year risk</w:t>
            </w:r>
          </w:p>
        </w:tc>
      </w:tr>
    </w:tbl>
    <w:p>
      <w:pPr>
        <w:pStyle w:val="Normal"/>
        <w:widowControl/>
        <w:spacing w:before="60" w:after="20"/>
      </w:pPr>
      <w:r>
        <w:t xml:space="preserve">Source locators: Table 1, Results p7261, Table 2 p7264 and Figure 1 p7265. The Vp2/Vp3 survival curves are shown, but exact five-year estimates are not supplied numerically; no values have been guessed from the graph.</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hyperlink r:id="rId68">
        <w:r>
          <w:rPr>
            <w:color w:val="77230C"/>
            <w:sz w:val="20"/>
            <w:u w:val="single"/>
          </w:rPr>
          <w:t>Yoon 2026</w:t>
        </w:r>
      </w:hyperlink>
      <w:r>
        <w:t xml:space="preserve"> — </w:t>
      </w:r>
      <w:hyperlink r:id="rId69">
        <w:r>
          <w:rPr>
            <w:color w:val="77230C"/>
            <w:sz w:val="20"/>
            <w:u w:val="single"/>
          </w:rPr>
          <w:t>Full-text PDF</w:t>
        </w:r>
      </w:hyperlink>
    </w:p>
    <w:p>
      <w:pPr>
        <w:pStyle w:val="Normal"/>
        <w:widowControl/>
        <w:spacing w:before="60" w:after="20"/>
      </w:pPr>
      <w:r>
        <w:t xml:space="preserve">Vp4 recurrence was independently counted from the 14 Table 2 rows. Grade-specific recurrence counts for Vp1–3 were not separately reported. Neither 100 minus DFS nor 100 minus RFS is relabeled as recurrence. Different event definitions, death handling and follow-up preclude that substitution.</w:t>
      </w:r>
    </w:p>
    <w:p>
      <w:pPr>
        <w:pStyle w:val="Heading3"/>
        <w:keepNext/>
        <w:widowControl/>
      </w:pPr>
      <w:r>
        <w:t xml:space="preserve">Anatomy comparisons in other transplant cohorts</w:t>
      </w:r>
    </w:p>
    <w:tbl>
      <w:tblPr>
        <w:tblW w:w="91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350"/>
        <w:gridCol w:w="1350"/>
        <w:gridCol w:w="1550"/>
        <w:gridCol w:w="2850"/>
      </w:tblGrid>
      <w:tr>
        <w:trPr>
          <w:cantSplit/>
          <w:tblHeader/>
        </w:trPr>
        <w:tc>
          <w:tcPr>
            <w:tcW w:w="3350" w:type="dxa"/>
            <w:vAlign w:val="center"/>
            <w:tcMar>
              <w:top w:w="90" w:type="dxa"/>
              <w:left w:w="90" w:type="dxa"/>
              <w:bottom w:w="90" w:type="dxa"/>
              <w:right w:w="90" w:type="dxa"/>
            </w:tcMar>
            <w:shd w:fill="DCE6F1"/>
          </w:tcPr>
          <w:p>
            <w:pPr>
              <w:pStyle w:val="Normal"/>
              <w:widowControl/>
              <w:spacing w:before="60" w:after="20"/>
            </w:pPr>
            <w:r>
              <w:rPr>
                <w:b/>
              </w:rPr>
              <w:t xml:space="preserve">Study and reported group</w:t>
            </w:r>
          </w:p>
        </w:tc>
        <w:tc>
          <w:tcPr>
            <w:tcW w:w="1350" w:type="dxa"/>
            <w:vAlign w:val="center"/>
            <w:tcMar>
              <w:top w:w="90" w:type="dxa"/>
              <w:left w:w="90" w:type="dxa"/>
              <w:bottom w:w="90" w:type="dxa"/>
              <w:right w:w="90" w:type="dxa"/>
            </w:tcMar>
            <w:shd w:fill="DCE6F1"/>
          </w:tcPr>
          <w:p>
            <w:pPr>
              <w:pStyle w:val="Normal"/>
              <w:widowControl/>
              <w:spacing w:before="60" w:after="20"/>
              <w:jc w:val="center"/>
            </w:pPr>
            <w:r>
              <w:rPr>
                <w:b/>
              </w:rPr>
              <w:t xml:space="preserve">OS</w:t>
            </w:r>
          </w:p>
        </w:tc>
        <w:tc>
          <w:tcPr>
            <w:tcW w:w="1550" w:type="dxa"/>
            <w:vAlign w:val="center"/>
            <w:tcMar>
              <w:top w:w="90" w:type="dxa"/>
              <w:left w:w="90" w:type="dxa"/>
              <w:bottom w:w="90" w:type="dxa"/>
              <w:right w:w="90" w:type="dxa"/>
            </w:tcMar>
            <w:shd w:fill="DCE6F1"/>
          </w:tcPr>
          <w:p>
            <w:pPr>
              <w:pStyle w:val="Normal"/>
              <w:widowControl/>
              <w:spacing w:before="60" w:after="20"/>
              <w:jc w:val="center"/>
            </w:pPr>
            <w:r>
              <w:rPr>
                <w:b/>
              </w:rPr>
              <w:t xml:space="preserve">DFS or RFS</w:t>
            </w:r>
          </w:p>
        </w:tc>
        <w:tc>
          <w:tcPr>
            <w:tcW w:w="28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Choi 2017</w:t>
            </w:r>
            <w:r>
              <w:br/>
            </w:r>
            <w:r>
              <w:t xml:space="preserve">Segmental n=27; Vp1–2-type anatomy</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50.3% at 5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DFS 63.9% at 5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9/27; 11/27 occult PVTT until explant</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Choi 2017</w:t>
            </w:r>
            <w:r>
              <w:br/>
            </w:r>
            <w:r>
              <w:t xml:space="preserve">First-order/lobar n=7; Vp3-type anatomy</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14.3% at 5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DFS 14.3% at 3 and 5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6/7; four early deaths excluded from study</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Yang 2020</w:t>
            </w:r>
            <w:r>
              <w:br/>
            </w:r>
            <w:r>
              <w:t xml:space="preserve">Vp2–3 combined, n=47</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65.4% at 3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40.0% at 3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RFS recurrence-only; not a death composite</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Yang 2020</w:t>
            </w:r>
            <w:r>
              <w:br/>
            </w:r>
            <w:r>
              <w:t xml:space="preserve">Vp4, n=28</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30.6% at 3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RFS 21.4% at 3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Separate crude count not used here</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Ye 2024</w:t>
            </w:r>
            <w:r>
              <w:br/>
            </w:r>
            <w:r>
              <w:t xml:space="preserve">Segmental, n=13</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75.0% at 3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58.3% at 3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4/13 (30.8%)</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Ye 2024</w:t>
            </w:r>
            <w:r>
              <w:br/>
            </w:r>
            <w:r>
              <w:t xml:space="preserve">Lobar including main portal vein, n=68; NOT isolated Vp3</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45.9% at 3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RFS 9.1% at 3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60/68 (88.2%)</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Soin 2020</w:t>
            </w:r>
            <w:r>
              <w:br/>
            </w:r>
            <w:r>
              <w:t xml:space="preserve">All 25 LDLT; 43 initial entries included portal and hepatic/IVC invasion</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53% at 5 y; 57% excluding 2 early deaths</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52% at 5 y; 51% excluding 2 early deaths</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6/25 (24%); viable PVTT 17/25 on Table 2</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Sposito 2026</w:t>
            </w:r>
            <w:r>
              <w:br/>
            </w:r>
            <w:r>
              <w:t xml:space="preserve">37 DBD/DCD LT after Y90; branch PVTT, no grade-specific LT estimates</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67.2% at 3 y; 61.6% at 5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79.3% at 3 and 5 y; nonrecurrence deaths censored</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6/37 (16.2%) crude; 4 perioperative deaths included in OS</w:t>
            </w:r>
          </w:p>
        </w:tc>
      </w:tr>
    </w:tbl>
    <w:p>
      <w:pPr>
        <w:pStyle w:val="Normal"/>
        <w:widowControl/>
        <w:spacing w:before="60" w:after="20"/>
      </w:pPr>
      <w:r>
        <w:t xml:space="preserve">Choi and Yang full PDFs reviewed. Choi excluded four deaths within one month and included occult explant PVTT; Yang groups Vp2–3 (n=47) against Vp4 (n=28). Their results do not provide independent estimates for each grade or a validated anatomy cutoff.</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p>
    <w:p>
      <w:pPr>
        <w:pStyle w:val="Normal"/>
        <w:widowControl/>
        <w:spacing w:before="60" w:after="20"/>
      </w:pPr>
      <w:hyperlink r:id="rId70">
        <w:r>
          <w:rPr>
            <w:color w:val="77230C"/>
            <w:sz w:val="20"/>
            <w:u w:val="single"/>
          </w:rPr>
          <w:t>Choi 2017</w:t>
        </w:r>
      </w:hyperlink>
      <w:r>
        <w:t xml:space="preserve"> — </w:t>
      </w:r>
      <w:hyperlink r:id="rId71">
        <w:r>
          <w:rPr>
            <w:color w:val="77230C"/>
            <w:sz w:val="20"/>
            <w:u w:val="single"/>
          </w:rPr>
          <w:t>Full-text PDF</w:t>
        </w:r>
      </w:hyperlink>
      <w:r>
        <w:t xml:space="preserve">  |  </w:t>
      </w:r>
      <w:hyperlink r:id="rId72">
        <w:r>
          <w:rPr>
            <w:color w:val="77230C"/>
            <w:sz w:val="20"/>
            <w:u w:val="single"/>
          </w:rPr>
          <w:t>Yang 2020</w:t>
        </w:r>
      </w:hyperlink>
      <w:r>
        <w:t xml:space="preserve"> — </w:t>
      </w:r>
      <w:hyperlink r:id="rId73">
        <w:r>
          <w:rPr>
            <w:color w:val="77230C"/>
            <w:sz w:val="20"/>
            <w:u w:val="single"/>
          </w:rPr>
          <w:t>Full-text PDF</w:t>
        </w:r>
      </w:hyperlink>
    </w:p>
    <w:p>
      <w:pPr>
        <w:pStyle w:val="Normal"/>
        <w:widowControl/>
        <w:spacing w:before="60" w:after="20"/>
      </w:pPr>
      <w:r>
        <w:t xml:space="preserve">Ye: Table 2, PDF p6; Results and Figure 4, p7. Its “lobar” definition includes the main trunk (Methods p3), so these results cannot be assigned to Vp3 alone. Perioperative deaths and follow-up losses within one year were excluded; all patients had HBV.</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hyperlink r:id="rId74">
        <w:r>
          <w:rPr>
            <w:color w:val="77230C"/>
            <w:sz w:val="20"/>
            <w:u w:val="single"/>
          </w:rPr>
          <w:t>Ye 2024</w:t>
        </w:r>
      </w:hyperlink>
      <w:r>
        <w:t xml:space="preserve"> — </w:t>
      </w:r>
      <w:hyperlink r:id="rId75">
        <w:r>
          <w:rPr>
            <w:color w:val="77230C"/>
            <w:sz w:val="20"/>
            <w:u w:val="single"/>
          </w:rPr>
          <w:t>Full-text PDF</w:t>
        </w:r>
      </w:hyperlink>
    </w:p>
    <w:p>
      <w:pPr>
        <w:pStyle w:val="Normal"/>
        <w:widowControl/>
        <w:spacing w:before="60" w:after="20"/>
      </w:pPr>
      <w:r>
        <w:t xml:space="preserve">Soin full PDF: all 25 recipients had five-year OS 53% and author RFS 52%; 57%/51% excludes two early deaths. Only 18/25 had complete loss of PVTT enhancement; seven Vp1/2 cases had minimal enhancement or no repeat imaging. Table 2 reports viable PVTT in 17/25. No complete 43-entry ITT survival comparison.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hyperlink r:id="rId76">
        <w:r>
          <w:rPr>
            <w:color w:val="77230C"/>
            <w:sz w:val="20"/>
            <w:u w:val="single"/>
          </w:rPr>
          <w:t>Soin 2020</w:t>
        </w:r>
      </w:hyperlink>
      <w:r>
        <w:t xml:space="preserve"> — </w:t>
      </w:r>
      <w:hyperlink r:id="rId77">
        <w:r>
          <w:rPr>
            <w:color w:val="77230C"/>
            <w:sz w:val="20"/>
            <w:u w:val="single"/>
          </w:rPr>
          <w:t>Full-text PDF</w:t>
        </w:r>
      </w:hyperlink>
    </w:p>
    <w:p>
      <w:pPr>
        <w:pStyle w:val="Heading3"/>
        <w:keepNext/>
        <w:widowControl/>
      </w:pPr>
      <w:r>
        <w:t xml:space="preserve">Response matters and does not erase the anatomical uncertainty</w:t>
      </w:r>
    </w:p>
    <w:tbl>
      <w:tblPr>
        <w:tblW w:w="90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850"/>
        <w:gridCol w:w="500"/>
        <w:gridCol w:w="1200"/>
        <w:gridCol w:w="1200"/>
        <w:gridCol w:w="3250"/>
      </w:tblGrid>
      <w:tr>
        <w:trPr>
          <w:cantSplit/>
          <w:tblHeader/>
        </w:trPr>
        <w:tc>
          <w:tcPr>
            <w:tcW w:w="2850" w:type="dxa"/>
            <w:vAlign w:val="center"/>
            <w:tcMar>
              <w:top w:w="90" w:type="dxa"/>
              <w:left w:w="90" w:type="dxa"/>
              <w:bottom w:w="90" w:type="dxa"/>
              <w:right w:w="90" w:type="dxa"/>
            </w:tcMar>
            <w:shd w:fill="DCE6F1"/>
          </w:tcPr>
          <w:p>
            <w:pPr>
              <w:pStyle w:val="Normal"/>
              <w:widowControl/>
              <w:spacing w:before="60" w:after="20"/>
            </w:pPr>
            <w:r>
              <w:rPr>
                <w:b/>
              </w:rPr>
              <w:t xml:space="preserve">Yoon response stratum</w:t>
            </w:r>
          </w:p>
        </w:tc>
        <w:tc>
          <w:tcPr>
            <w:tcW w:w="500" w:type="dxa"/>
            <w:vAlign w:val="center"/>
            <w:tcMar>
              <w:top w:w="90" w:type="dxa"/>
              <w:left w:w="90" w:type="dxa"/>
              <w:bottom w:w="90" w:type="dxa"/>
              <w:right w:w="90" w:type="dxa"/>
            </w:tcMar>
            <w:shd w:fill="DCE6F1"/>
          </w:tcPr>
          <w:p>
            <w:pPr>
              <w:pStyle w:val="Normal"/>
              <w:widowControl/>
              <w:spacing w:before="60" w:after="20"/>
              <w:jc w:val="center"/>
            </w:pPr>
            <w:r>
              <w:rPr>
                <w:b/>
              </w:rPr>
              <w:t xml:space="preserve">n</w:t>
            </w:r>
          </w:p>
        </w:tc>
        <w:tc>
          <w:tcPr>
            <w:tcW w:w="1200" w:type="dxa"/>
            <w:vAlign w:val="center"/>
            <w:tcMar>
              <w:top w:w="90" w:type="dxa"/>
              <w:left w:w="90" w:type="dxa"/>
              <w:bottom w:w="90" w:type="dxa"/>
              <w:right w:w="90" w:type="dxa"/>
            </w:tcMar>
            <w:shd w:fill="DCE6F1"/>
          </w:tcPr>
          <w:p>
            <w:pPr>
              <w:pStyle w:val="Normal"/>
              <w:widowControl/>
              <w:spacing w:before="60" w:after="20"/>
              <w:jc w:val="center"/>
            </w:pPr>
            <w:r>
              <w:rPr>
                <w:b/>
              </w:rPr>
              <w:t xml:space="preserve">5-year OS</w:t>
            </w:r>
          </w:p>
        </w:tc>
        <w:tc>
          <w:tcPr>
            <w:tcW w:w="1200" w:type="dxa"/>
            <w:vAlign w:val="center"/>
            <w:tcMar>
              <w:top w:w="90" w:type="dxa"/>
              <w:left w:w="90" w:type="dxa"/>
              <w:bottom w:w="90" w:type="dxa"/>
              <w:right w:w="90" w:type="dxa"/>
            </w:tcMar>
            <w:shd w:fill="DCE6F1"/>
          </w:tcPr>
          <w:p>
            <w:pPr>
              <w:pStyle w:val="Normal"/>
              <w:widowControl/>
              <w:spacing w:before="60" w:after="20"/>
              <w:jc w:val="center"/>
            </w:pPr>
            <w:r>
              <w:rPr>
                <w:b/>
              </w:rPr>
              <w:t xml:space="preserve">5-year DFS</w:t>
            </w:r>
          </w:p>
        </w:tc>
        <w:tc>
          <w:tcPr>
            <w:tcW w:w="32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2850" w:type="dxa"/>
            <w:vAlign w:val="center"/>
            <w:tcMar>
              <w:top w:w="90" w:type="dxa"/>
              <w:left w:w="90" w:type="dxa"/>
              <w:bottom w:w="90" w:type="dxa"/>
              <w:right w:w="90" w:type="dxa"/>
            </w:tcMar>
            <w:shd w:fill="FFFFFF"/>
          </w:tcPr>
          <w:p>
            <w:pPr>
              <w:pStyle w:val="Normal"/>
              <w:widowControl/>
              <w:spacing w:before="60" w:after="20"/>
            </w:pPr>
            <w:r>
              <w:t xml:space="preserve">CR or PR by overall mRECIST</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83</w:t>
            </w:r>
          </w:p>
        </w:tc>
        <w:tc>
          <w:tcPr>
            <w:tcW w:w="1200" w:type="dxa"/>
            <w:vAlign w:val="center"/>
            <w:tcMar>
              <w:top w:w="90" w:type="dxa"/>
              <w:left w:w="90" w:type="dxa"/>
              <w:bottom w:w="90" w:type="dxa"/>
              <w:right w:w="90" w:type="dxa"/>
            </w:tcMar>
            <w:shd w:fill="FFFFFF"/>
          </w:tcPr>
          <w:p>
            <w:pPr>
              <w:pStyle w:val="Normal"/>
              <w:widowControl/>
              <w:spacing w:before="60" w:after="20"/>
              <w:jc w:val="center"/>
            </w:pPr>
            <w:r>
              <w:t xml:space="preserve">66.6%</w:t>
            </w:r>
          </w:p>
        </w:tc>
        <w:tc>
          <w:tcPr>
            <w:tcW w:w="1200" w:type="dxa"/>
            <w:vAlign w:val="center"/>
            <w:tcMar>
              <w:top w:w="90" w:type="dxa"/>
              <w:left w:w="90" w:type="dxa"/>
              <w:bottom w:w="90" w:type="dxa"/>
              <w:right w:w="90" w:type="dxa"/>
            </w:tcMar>
            <w:shd w:fill="FFFFFF"/>
          </w:tcPr>
          <w:p>
            <w:pPr>
              <w:pStyle w:val="Normal"/>
              <w:widowControl/>
              <w:spacing w:before="60" w:after="20"/>
              <w:jc w:val="center"/>
            </w:pPr>
            <w:r>
              <w:t xml:space="preserve">64.7%</w:t>
            </w:r>
          </w:p>
        </w:tc>
        <w:tc>
          <w:tcPr>
            <w:tcW w:w="3250" w:type="dxa"/>
            <w:vAlign w:val="center"/>
            <w:tcMar>
              <w:top w:w="90" w:type="dxa"/>
              <w:left w:w="90" w:type="dxa"/>
              <w:bottom w:w="90" w:type="dxa"/>
              <w:right w:w="90" w:type="dxa"/>
            </w:tcMar>
            <w:shd w:fill="FFFFFF"/>
          </w:tcPr>
          <w:p>
            <w:pPr>
              <w:pStyle w:val="Normal"/>
              <w:widowControl/>
              <w:spacing w:before="60" w:after="20"/>
              <w:jc w:val="center"/>
            </w:pPr>
            <w:r>
              <w:t xml:space="preserve">28/83 (33.7%)</w:t>
            </w:r>
          </w:p>
        </w:tc>
      </w:tr>
      <w:tr>
        <w:trPr>
          <w:cantSplit/>
        </w:trPr>
        <w:tc>
          <w:tcPr>
            <w:tcW w:w="2850" w:type="dxa"/>
            <w:vAlign w:val="center"/>
            <w:tcMar>
              <w:top w:w="90" w:type="dxa"/>
              <w:left w:w="90" w:type="dxa"/>
              <w:bottom w:w="90" w:type="dxa"/>
              <w:right w:w="90" w:type="dxa"/>
            </w:tcMar>
            <w:shd w:fill="F5F7F9"/>
          </w:tcPr>
          <w:p>
            <w:pPr>
              <w:pStyle w:val="Normal"/>
              <w:widowControl/>
              <w:spacing w:before="60" w:after="20"/>
            </w:pPr>
            <w:r>
              <w:t xml:space="preserve">Stable or progressive disease</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54</w:t>
            </w:r>
          </w:p>
        </w:tc>
        <w:tc>
          <w:tcPr>
            <w:tcW w:w="1200" w:type="dxa"/>
            <w:vAlign w:val="center"/>
            <w:tcMar>
              <w:top w:w="90" w:type="dxa"/>
              <w:left w:w="90" w:type="dxa"/>
              <w:bottom w:w="90" w:type="dxa"/>
              <w:right w:w="90" w:type="dxa"/>
            </w:tcMar>
            <w:shd w:fill="F5F7F9"/>
          </w:tcPr>
          <w:p>
            <w:pPr>
              <w:pStyle w:val="Normal"/>
              <w:widowControl/>
              <w:spacing w:before="60" w:after="20"/>
              <w:jc w:val="center"/>
            </w:pPr>
            <w:r>
              <w:t xml:space="preserve">35.1%</w:t>
            </w:r>
          </w:p>
        </w:tc>
        <w:tc>
          <w:tcPr>
            <w:tcW w:w="1200" w:type="dxa"/>
            <w:vAlign w:val="center"/>
            <w:tcMar>
              <w:top w:w="90" w:type="dxa"/>
              <w:left w:w="90" w:type="dxa"/>
              <w:bottom w:w="90" w:type="dxa"/>
              <w:right w:w="90" w:type="dxa"/>
            </w:tcMar>
            <w:shd w:fill="F5F7F9"/>
          </w:tcPr>
          <w:p>
            <w:pPr>
              <w:pStyle w:val="Normal"/>
              <w:widowControl/>
              <w:spacing w:before="60" w:after="20"/>
              <w:jc w:val="center"/>
            </w:pPr>
            <w:r>
              <w:t xml:space="preserve">19.7%</w:t>
            </w:r>
          </w:p>
        </w:tc>
        <w:tc>
          <w:tcPr>
            <w:tcW w:w="3250" w:type="dxa"/>
            <w:vAlign w:val="center"/>
            <w:tcMar>
              <w:top w:w="90" w:type="dxa"/>
              <w:left w:w="90" w:type="dxa"/>
              <w:bottom w:w="90" w:type="dxa"/>
              <w:right w:w="90" w:type="dxa"/>
            </w:tcMar>
            <w:shd w:fill="F5F7F9"/>
          </w:tcPr>
          <w:p>
            <w:pPr>
              <w:pStyle w:val="Normal"/>
              <w:widowControl/>
              <w:spacing w:before="60" w:after="20"/>
              <w:jc w:val="center"/>
            </w:pPr>
            <w:r>
              <w:t xml:space="preserve">42/54 (77.8%)</w:t>
            </w:r>
          </w:p>
        </w:tc>
      </w:tr>
    </w:tbl>
    <w:p>
      <w:pPr>
        <w:pStyle w:val="Normal"/>
        <w:widowControl/>
        <w:spacing w:before="60" w:after="20"/>
      </w:pPr>
      <w:r>
        <w:t xml:space="preserve">Yoon: Results p7261, Figure 1 and Table 4. CR/PR is overall mRECIST response, not mandatory complete disappearance of viable vascular tumor; 65/83 responders still had viable PVTT on explant.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hyperlink r:id="rId78">
        <w:r>
          <w:rPr>
            <w:color w:val="77230C"/>
            <w:sz w:val="20"/>
            <w:u w:val="single"/>
          </w:rPr>
          <w:t>Yoon 2026</w:t>
        </w:r>
      </w:hyperlink>
      <w:r>
        <w:t xml:space="preserve"> — </w:t>
      </w:r>
      <w:hyperlink r:id="rId79">
        <w:r>
          <w:rPr>
            <w:color w:val="77230C"/>
            <w:sz w:val="20"/>
            <w:u w:val="single"/>
          </w:rPr>
          <w:t>Full-text PDF</w:t>
        </w:r>
      </w:hyperlink>
    </w:p>
    <w:p>
      <w:pPr>
        <w:pStyle w:val="Heading3"/>
        <w:keepNext/>
        <w:widowControl/>
      </w:pPr>
      <w:r>
        <w:t xml:space="preserve">Interpretation for HCC B2</w:t>
      </w:r>
    </w:p>
    <w:p>
      <w:pPr>
        <w:pStyle w:val="Normal"/>
        <w:widowControl/>
        <w:numPr>
          <w:ilvl w:val="0"/>
          <w:numId w:val="3"/>
        </w:numPr>
      </w:pPr>
      <w:r>
        <w:t xml:space="preserve">The Yoon grade comparisons were not statistically significant (OS P=0.1882; DFS P=0.2988). With only 14 Vp4 recipients, this neither proves equivalence nor establishes futility. The Vp4 five-year OS of 50.0% is a real counterargument to blanket exclusion.</w:t>
      </w:r>
    </w:p>
    <w:p>
      <w:pPr>
        <w:pStyle w:val="Normal"/>
        <w:widowControl/>
        <w:numPr>
          <w:ilvl w:val="0"/>
          <w:numId w:val="3"/>
        </w:numPr>
      </w:pPr>
      <w:r>
        <w:t xml:space="preserve">Older anatomy-based cohorts report substantially poorer proximal-vessel outcomes; the populations, treatments, classification systems and endpoint definitions differ. Possible center/time overlap among Chinese cohorts prevents treating every series as independent confirmation. No pooled survival percentage is calculated.</w:t>
      </w:r>
    </w:p>
    <w:p>
      <w:pPr>
        <w:pStyle w:val="Normal"/>
        <w:widowControl/>
        <w:numPr>
          <w:ilvl w:val="0"/>
          <w:numId w:val="3"/>
        </w:numPr>
      </w:pPr>
      <w:r>
        <w:t xml:space="preserve">OPEN local position: retain original Vp1–2 as the initial transplanting-study boundary. Vp3 registry-first means observational follow-up without transplantation authorized by that registry; any transplanting Vp3 arm needs separate prospective approval. Keep Vp4 outside the initial pilot, not labeled universally futile.</w:t>
      </w:r>
    </w:p>
    <w:p>
      <w:pPr>
        <w:pStyle w:val="Normal"/>
        <w:widowControl/>
        <w:numPr>
          <w:ilvl w:val="0"/>
          <w:numId w:val="3"/>
        </w:numPr>
      </w:pPr>
      <w:r>
        <w:t xml:space="preserve">The complete vascular-response requirement and ≥12-month control period are conservative proposed safeguards, not thresholds validated by these cohorts. Favorable LDLT outcomes do not establish deceased-donor allocation priority or resolve living-donor risk.</w:t>
      </w:r>
    </w:p>
    <w:p>
      <w:pPr>
        <w:pStyle w:val="Normal"/>
        <w:widowControl/>
        <w:spacing w:before="60" w:after="20"/>
      </w:pPr>
      <w:r>
        <w:t xml:space="preserve">Read the selection and reporting limits together with the outcome estimates.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p>
    <w:p>
      <w:pPr>
        <w:pStyle w:val="Normal"/>
        <w:widowControl/>
        <w:spacing w:before="60" w:after="20"/>
      </w:pPr>
      <w:hyperlink r:id="rId80">
        <w:r>
          <w:rPr>
            <w:color w:val="77230C"/>
            <w:sz w:val="20"/>
            <w:u w:val="single"/>
          </w:rPr>
          <w:t>Yoon 2026</w:t>
        </w:r>
      </w:hyperlink>
      <w:r>
        <w:t xml:space="preserve"> — </w:t>
      </w:r>
      <w:hyperlink r:id="rId81">
        <w:r>
          <w:rPr>
            <w:color w:val="77230C"/>
            <w:sz w:val="20"/>
            <w:u w:val="single"/>
          </w:rPr>
          <w:t>Full-text PDF</w:t>
        </w:r>
      </w:hyperlink>
      <w:r>
        <w:t xml:space="preserve">  |  </w:t>
      </w:r>
      <w:hyperlink r:id="rId82">
        <w:r>
          <w:rPr>
            <w:color w:val="77230C"/>
            <w:sz w:val="20"/>
            <w:u w:val="single"/>
          </w:rPr>
          <w:t>Ye 2024</w:t>
        </w:r>
      </w:hyperlink>
      <w:r>
        <w:t xml:space="preserve"> — </w:t>
      </w:r>
      <w:hyperlink r:id="rId83">
        <w:r>
          <w:rPr>
            <w:color w:val="77230C"/>
            <w:sz w:val="20"/>
            <w:u w:val="single"/>
          </w:rPr>
          <w:t>Full-text PDF</w:t>
        </w:r>
      </w:hyperlink>
      <w:r>
        <w:t xml:space="preserve">  |  </w:t>
      </w:r>
      <w:hyperlink r:id="rId84">
        <w:r>
          <w:rPr>
            <w:color w:val="77230C"/>
            <w:sz w:val="20"/>
            <w:u w:val="single"/>
          </w:rPr>
          <w:t>Choi 2017</w:t>
        </w:r>
      </w:hyperlink>
      <w:r>
        <w:t xml:space="preserve"> — </w:t>
      </w:r>
      <w:hyperlink r:id="rId85">
        <w:r>
          <w:rPr>
            <w:color w:val="77230C"/>
            <w:sz w:val="20"/>
            <w:u w:val="single"/>
          </w:rPr>
          <w:t>Full-text PDF</w:t>
        </w:r>
      </w:hyperlink>
      <w:r>
        <w:t xml:space="preserve">  |  </w:t>
      </w:r>
      <w:hyperlink r:id="rId86">
        <w:r>
          <w:rPr>
            <w:color w:val="77230C"/>
            <w:sz w:val="20"/>
            <w:u w:val="single"/>
          </w:rPr>
          <w:t>Yang 2020</w:t>
        </w:r>
      </w:hyperlink>
      <w:r>
        <w:t xml:space="preserve"> — </w:t>
      </w:r>
      <w:hyperlink r:id="rId87">
        <w:r>
          <w:rPr>
            <w:color w:val="77230C"/>
            <w:sz w:val="20"/>
            <w:u w:val="single"/>
          </w:rPr>
          <w:t>Full-text PDF</w:t>
        </w:r>
      </w:hyperlink>
      <w:r>
        <w:t xml:space="preserve">  |  </w:t>
      </w:r>
      <w:hyperlink r:id="rId88">
        <w:r>
          <w:rPr>
            <w:color w:val="77230C"/>
            <w:sz w:val="20"/>
            <w:u w:val="single"/>
          </w:rPr>
          <w:t>Soin 2020</w:t>
        </w:r>
      </w:hyperlink>
      <w:r>
        <w:t xml:space="preserve"> — </w:t>
      </w:r>
      <w:hyperlink r:id="rId89">
        <w:r>
          <w:rPr>
            <w:color w:val="77230C"/>
            <w:sz w:val="20"/>
            <w:u w:val="single"/>
          </w:rPr>
          <w:t>Full-text PDF</w:t>
        </w:r>
      </w:hyperlink>
    </w:p>
    <w:p>
      <w:pPr>
        <w:pStyle w:val="Normal"/>
        <w:widowControl/>
        <w:spacing w:before="60" w:after="20"/>
      </w:pPr>
      <w:r>
        <w:t xml:space="preserve">Evidence integrity note: Yoon’s discussion/conclusion transpose the responder OS and DFS percentages; this update uses the Results and Figure 1 values. Request numerical Vp2/Vp3 Kaplan–Meier estimates, confidence intervals and grade-specific recurrence counts from the authors or a supplement before using exact grade-specific estimates in consent.</w:t>
      </w:r>
    </w:p>
    <w:p>
      <w:pPr>
        <w:pStyle w:val="Heading3"/>
        <w:keepNext/>
        <w:widowControl/>
      </w:pPr>
      <w:r>
        <w:t xml:space="preserve">Y90-to-LT: what the newly available full text changes</w:t>
      </w:r>
    </w:p>
    <w:p>
      <w:pPr>
        <w:pStyle w:val="Normal"/>
        <w:widowControl/>
        <w:numPr>
          <w:ilvl w:val="0"/>
          <w:numId w:val="3"/>
        </w:numPr>
        <w:spacing w:before="60" w:after="20"/>
      </w:pPr>
      <w:r>
        <w:t xml:space="preserve">The 37/240 transplant proportion (15.4%) describes pathway feasibility; five-year OS 61.6% describes selected recipients from LT. Four perioperative deaths and 13 major complications (grade ≥3) occurred among 37 recipients. The 79.3% RFS estimate censors deaths without recurrence and is not an alive-and-recurrence-free outcome.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spacing w:before="60" w:after="20"/>
      </w:pPr>
      <w:r>
        <w:t xml:space="preserve">Six months of response was the shared Italian minimum; four centers accepted partial vascular response. The median 17 months from TARE to LT was not a minimum. Neither interval proves that the proposed original-Vp1–2/complete-response/12-month combination is optimal; the stricter local proposal remains OPEN.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spacing w:before="60" w:after="20"/>
      </w:pPr>
      <w:r>
        <w:t xml:space="preserve">Map original and current vessel anatomy. The study reports no grade-specific recipient outcomes and excluded main-portal-trunk/hepatic-vein disease. Indeterminate postradiation enhancement requires HOLD and expert review; confirmed viable tumor fails the proposed gate. Allograft allocation and study authorization remain separate.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Main PDF pp4–6 (selection, endpoints, cohort flow), p8/Table 2 (harms/pathology), p9/Figure 3 (outcomes and risk set), pp10–11 (exploratory limits).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hyperlink r:id="rId90">
        <w:r>
          <w:rPr>
            <w:color w:val="77230C"/>
            <w:sz w:val="20"/>
            <w:u w:val="single"/>
          </w:rPr>
          <w:t>Sposito 2026</w:t>
        </w:r>
      </w:hyperlink>
      <w:r>
        <w:t xml:space="preserve"> — </w:t>
      </w:r>
      <w:hyperlink r:id="rId91">
        <w:r>
          <w:rPr>
            <w:color w:val="77230C"/>
            <w:sz w:val="20"/>
            <w:u w:val="single"/>
          </w:rPr>
          <w:t>Full-text PDF</w:t>
        </w:r>
      </w:hyperlink>
    </w:p>
    <w:p>
      <w:pPr>
        <w:pStyle w:val="Heading3"/>
        <w:keepNext/>
        <w:widowControl/>
      </w:pPr>
      <w:r>
        <w:t xml:space="preserve">Synthesis and evidence that challenges the proposal</w:t>
      </w:r>
    </w:p>
    <w:p>
      <w:pPr>
        <w:pStyle w:val="Normal"/>
        <w:widowControl/>
        <w:spacing w:before="60" w:after="20"/>
      </w:pPr>
      <w:r>
        <w:t xml:space="preserve">Selected PVTT transplant cohorts show that some long-term survivors exist, including proximal disease, but do not establish a universal Vp2/Vp3 benefit boundary. Sposito's now-reviewed full text adds a 240-patient Y90 pathway: 61 sustained downstagings, 37 transplants, five-year OS 18.9% from TARE for all entrants versus 61.6% from LT for recipients. Recipient RFS 79.3% censors nonrecurrence deaths; six recurrences/37 and four perioperative deaths must be reported separately. Selection varied across centers and accepted partial vascular response at four of five centers after at least six months. No grade-specific transplant outcomes or validation of the proposed Vp1–2/complete-response/12-month composite is supplied. Its favorable recipient results support prospective study development, while substantial attrition, decompensation, major complications and selection bias temper benefit and allocation claims. The original-Vp1–2 and 12-month post-downstaging proposal is consistent with the weak-evidence, weak-recommendation ILTS–ILCA consensus (Table 1, printed p820/current PDF p6). This is not a validated optimum or universal transplant-benefit threshold; separate NLRB requirements and prospective approvals still apply.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xOTwvUmVjTnVtPjxEaXNwbGF5VGV4dD5bVjEyLTE5XTwvRGlzcGxheVRleHQ+PHJlY29yZD48cmVjLW51bWJlcj4xOTwvcmVjLW51bWJlcj48Zm9yZWlnbi1rZXlzPjxrZXkgYXBwPSJFTiIgZGItaWQ9IjdkYmNkZGJlLTZmMDctNTY5OC1iZDBjLWIwMzk1MzhiNGM4NSIgdGltZXN0YW1wPSIxNzkyOTIxMDgzIj4xOT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numPr>
          <w:ilvl w:val="0"/>
          <w:numId w:val="3"/>
        </w:numPr>
        <w:spacing w:before="60" w:after="20"/>
      </w:pPr>
      <w:r>
        <w:t xml:space="preserve">A blanket statement that every PVTT transplant is futile is not supported: Yoon reports selected Vp4 survivors, and Sposito reports five-year recipient OS 61.6% after branch-PVTT downstaging. Conversely, Sposito excluded main-trunk/hepatic-vein involvement and gives no separate recipient survival for its PV1/PV2/PV3 groups. Its six-month requirement and acceptance of partial PVTT response challenge the necessity of the stricter local proposal without proving that relaxation is safe. Post-radiation enhancement requires expert adjudication; radiological uncertainty is a HOLD, not automatic viable disease or permission to transplant. Neither 79.3% author RFS nor the cancer-death association establishes survival benefit for an unselected entrant or a modern-systemic-therapy comparator.</w:t>
      </w:r>
    </w:p>
    <w:p>
      <w:pPr>
        <w:pStyle w:val="Normal"/>
        <w:widowControl/>
        <w:spacing w:before="60" w:after="20"/>
      </w:pPr>
      <w:r>
        <w:rPr>
          <w:b/>
        </w:rPr>
        <w:t xml:space="preserve">Certainty / applicability: </w:t>
      </w:r>
      <w:r>
        <w:t xml:space="preserve">Low certainty for feasibility in highly selected branch-PVTT responders; very low certainty for causal comparative benefit, grade-specific eligibility, optimal observation duration and transferability to US deceased-donor allocation. No validated combined selection rule.</w:t>
      </w:r>
    </w:p>
    <w:p>
      <w:pPr>
        <w:pStyle w:val="Heading3"/>
        <w:keepNext/>
        <w:widowControl/>
      </w:pPr>
      <w:r>
        <w:t xml:space="preserve">Where each proposed threshold comes from</w:t>
      </w:r>
    </w:p>
    <w:p>
      <w:pPr>
        <w:pStyle w:val="Normal"/>
        <w:widowControl/>
        <w:numPr>
          <w:ilvl w:val="0"/>
          <w:numId w:val="3"/>
        </w:numPr>
        <w:spacing w:before="60" w:after="20"/>
      </w:pPr>
      <w:r>
        <w:t xml:space="preserve">Original Vp1–2 and at least 12 months of control: weak-evidence ILTS–ILCA consensus lineage plus conservative local risk control; not a demonstrated survival cliff or an optimal duration. Complete vascular response and bounded Milan parenchymal burden add local safeguards, not a jointly tested model.</w:t>
      </w:r>
    </w:p>
    <w:p>
      <w:pPr>
        <w:pStyle w:val="Normal"/>
        <w:widowControl/>
        <w:numPr>
          <w:ilvl w:val="0"/>
          <w:numId w:val="3"/>
        </w:numPr>
        <w:spacing w:before="60" w:after="20"/>
      </w:pPr>
      <w:r>
        <w:t xml:space="preserve">Sposito: at least six months of response after TARE; complete PVTT response at one center, partial response accepted at four; variable morphology and AFP thresholds. Its median 17 months from TARE to LT is an observed interval, not a minimum requirement.</w:t>
      </w:r>
    </w:p>
    <w:p>
      <w:pPr>
        <w:pStyle w:val="Normal"/>
        <w:widowControl/>
        <w:numPr>
          <w:ilvl w:val="0"/>
          <w:numId w:val="3"/>
        </w:numPr>
        <w:spacing w:before="60" w:after="20"/>
      </w:pPr>
      <w:r>
        <w:t xml:space="preserve">Anatomy: Sposito PV1 segmentary, PV2 secondary-order and PV3 first-order describe baseline all-240 groups. Main-trunk/hepatic-vein disease was excluded; grade-specific recipient outcomes are absent. Document vessel anatomy before crosswalking classification systems; do not infer a Vp3 estimate or any Vp4 evidence from this cohort.</w:t>
      </w:r>
    </w:p>
    <w:p>
      <w:pPr>
        <w:pStyle w:val="Normal"/>
        <w:widowControl/>
        <w:numPr>
          <w:ilvl w:val="0"/>
          <w:numId w:val="3"/>
        </w:numPr>
        <w:spacing w:before="60" w:after="20"/>
      </w:pPr>
      <w:r>
        <w:t xml:space="preserve">Do not turn exploratory recipient associations for age 65, AFP 100 ng/mL or tumor size 50 mm into new mandatory cutoffs. Relevant adverse subgroups contained only four, three and six patients, respectively.</w:t>
      </w:r>
    </w:p>
    <w:p>
      <w:pPr>
        <w:pStyle w:val="Normal"/>
        <w:widowControl/>
        <w:numPr>
          <w:ilvl w:val="0"/>
          <w:numId w:val="3"/>
        </w:numPr>
        <w:spacing w:before="60" w:after="20"/>
      </w:pPr>
      <w:r>
        <w:t xml:space="preserve">Vp3 observational registry first and Vp4/main/contralateral/hepatic-vein exclusion from the initial pilot remain OPEN design boundaries, not universal declarations of futility. A registry, donor offer or favorable response does not confer clinical/research/allocation approval.</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“Those with CR or PR were defined as DS responders”</w:t>
            </w:r>
          </w:p>
          <w:p>
            <w:pPr>
              <w:pStyle w:val="Normal"/>
              <w:widowControl/>
              <w:spacing w:before="60" w:after="20"/>
            </w:pPr>
            <w:r>
              <w:t xml:space="preserve">Published PDF p2 / journal p7260, response assessment</w:t>
            </w:r>
          </w:p>
          <w:p>
            <w:pPr>
              <w:pStyle w:val="Normal"/>
              <w:widowControl/>
              <w:spacing w:before="60" w:after="20"/>
            </w:pPr>
            <w:hyperlink r:id="rId92">
              <w:r>
                <w:rPr>
                  <w:color w:val="77230C"/>
                  <w:sz w:val="20"/>
                  <w:u w:val="single"/>
                </w:rPr>
                <w:t>Source</w:t>
              </w:r>
            </w:hyperlink>
            <w:r>
              <w:t xml:space="preserve"> | </w:t>
            </w:r>
            <w:hyperlink r:id="rId9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Yoon did not require the complete vascular clearance proposed here; 65/83 responders still had viable PVTT on explant.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p>
          <w:p>
            <w:pPr>
              <w:pStyle w:val="Normal"/>
              <w:widowControl/>
              <w:spacing w:before="60" w:after="20"/>
            </w:pPr>
            <w:r>
              <w:t xml:space="preserve">“our study did not identify it as an independent predictor of survival.”</w:t>
            </w:r>
          </w:p>
          <w:p>
            <w:pPr>
              <w:pStyle w:val="Normal"/>
              <w:widowControl/>
              <w:spacing w:before="60" w:after="20"/>
            </w:pPr>
            <w:r>
              <w:t xml:space="preserve">Published PDF p10 / journal p7268, discussion of PVTT grade</w:t>
            </w:r>
          </w:p>
          <w:p>
            <w:pPr>
              <w:pStyle w:val="Normal"/>
              <w:widowControl/>
              <w:spacing w:before="60" w:after="20"/>
            </w:pPr>
            <w:hyperlink r:id="rId94">
              <w:r>
                <w:rPr>
                  <w:color w:val="77230C"/>
                  <w:sz w:val="20"/>
                  <w:u w:val="single"/>
                </w:rPr>
                <w:t>Source</w:t>
              </w:r>
            </w:hyperlink>
            <w:r>
              <w:t xml:space="preserve"> | </w:t>
            </w:r>
            <w:hyperlink r:id="rId9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selected cohort did not establish a sharp anatomical survival cutoff. Vp4 five-year OS was 50.0%; small numbers and non-intention-to-treat selection prevent an equivalence claim.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Ye 2024</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p>
          <w:p>
            <w:pPr>
              <w:pStyle w:val="Normal"/>
              <w:widowControl/>
              <w:spacing w:before="60" w:after="20"/>
            </w:pPr>
            <w:r>
              <w:t xml:space="preserve">“lobar PVTT: tumor thrombi involving left and right branches or main portal vein”</w:t>
            </w:r>
          </w:p>
          <w:p>
            <w:pPr>
              <w:pStyle w:val="Normal"/>
              <w:widowControl/>
              <w:spacing w:before="60" w:after="20"/>
            </w:pPr>
            <w:r>
              <w:t xml:space="preserve">Complete early-online PDF p3, Diagnosis of PVTT</w:t>
            </w:r>
          </w:p>
          <w:p>
            <w:pPr>
              <w:pStyle w:val="Normal"/>
              <w:widowControl/>
              <w:spacing w:before="60" w:after="20"/>
            </w:pPr>
            <w:hyperlink r:id="rId96">
              <w:r>
                <w:rPr>
                  <w:color w:val="77230C"/>
                  <w:sz w:val="20"/>
                  <w:u w:val="single"/>
                </w:rPr>
                <w:t>Source</w:t>
              </w:r>
            </w:hyperlink>
            <w:r>
              <w:t xml:space="preserve"> | </w:t>
            </w:r>
            <w:hyperlink r:id="rId9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This poor-outcome group combines first-order and main-portal involvement. Its recurrence cannot be attributed to Vp3 alone; perioperative deaths were excluded.</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before="60" w:after="20"/>
            </w:pPr>
            <w:r>
              <w:t xml:space="preserve">“minimum of 12 months”</w:t>
            </w:r>
          </w:p>
          <w:p>
            <w:pPr>
              <w:pStyle w:val="Normal"/>
              <w:widowControl/>
              <w:spacing w:before="60" w:after="20"/>
            </w:pPr>
            <w:r>
              <w:t xml:space="preserve">December 2025 guidance p3, treated primary-branch invasion/rupture discussion</w:t>
            </w:r>
          </w:p>
          <w:p>
            <w:pPr>
              <w:pStyle w:val="Normal"/>
              <w:widowControl/>
              <w:spacing w:before="60" w:after="20"/>
            </w:pPr>
            <w:hyperlink r:id="rId98">
              <w:r>
                <w:rPr>
                  <w:color w:val="77230C"/>
                  <w:sz w:val="20"/>
                  <w:u w:val="single"/>
                </w:rPr>
                <w:t>Source</w:t>
              </w:r>
            </w:hyperlink>
            <w:r>
              <w:t xml:space="preserve"> | </w:t>
            </w:r>
            <w:hyperlink r:id="rId9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Applies to specified case-by-case exception considerations; applying this duration to every Vp1–2 study candidate is local conservatism.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“with censoring at last follow-up or death without recurrence.”</w:t>
            </w:r>
          </w:p>
          <w:p>
            <w:pPr>
              <w:pStyle w:val="Normal"/>
              <w:widowControl/>
              <w:spacing w:before="60" w:after="20"/>
            </w:pPr>
            <w:r>
              <w:t xml:space="preserve">Full main PDF p5, Statistical analysis, definition of RFS</w:t>
            </w:r>
          </w:p>
          <w:p>
            <w:pPr>
              <w:pStyle w:val="Normal"/>
              <w:widowControl/>
              <w:spacing w:before="60" w:after="20"/>
            </w:pPr>
            <w:hyperlink r:id="rId100">
              <w:r>
                <w:rPr>
                  <w:color w:val="77230C"/>
                  <w:sz w:val="20"/>
                  <w:u w:val="single"/>
                </w:rPr>
                <w:t>Source</w:t>
              </w:r>
            </w:hyperlink>
            <w:r>
              <w:t xml:space="preserve"> | </w:t>
            </w:r>
            <w:hyperlink r:id="rId10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Author RFS is recurrence-only with nonrecurrence deaths censored; 79.3% is not death-inclusive disease-free survival and is not a competing-risk recurrence estimate.</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p>
          <w:p>
            <w:pPr>
              <w:pStyle w:val="Normal"/>
              <w:widowControl/>
              <w:spacing w:before="60" w:after="20"/>
            </w:pPr>
            <w:r>
              <w:t xml:space="preserve">“criteria for successful downstaging were not defined a priori by a unified protocol”</w:t>
            </w:r>
          </w:p>
          <w:p>
            <w:pPr>
              <w:pStyle w:val="Normal"/>
              <w:widowControl/>
              <w:spacing w:before="60" w:after="20"/>
            </w:pPr>
            <w:r>
              <w:t xml:space="preserve">Full main PDF p4, Criteria for successful downstaging and liver transplant</w:t>
            </w:r>
          </w:p>
          <w:p>
            <w:pPr>
              <w:pStyle w:val="Normal"/>
              <w:widowControl/>
              <w:spacing w:before="60" w:after="20"/>
            </w:pPr>
            <w:hyperlink r:id="rId102">
              <w:r>
                <w:rPr>
                  <w:color w:val="77230C"/>
                  <w:sz w:val="20"/>
                  <w:u w:val="single"/>
                </w:rPr>
                <w:t>Source</w:t>
              </w:r>
            </w:hyperlink>
            <w:r>
              <w:t xml:space="preserve"> | </w:t>
            </w:r>
            <w:hyperlink r:id="rId10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centers shared a minimum response interval but differed in vascular response, tumor burden and AFP selection. Their combined results do not prospectively validate one composite eligibility rule.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Develop an initial Vp1–2-only transplanting study; keep Vp3 registry-first and Vp4/hepatic-vein expansion closed.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0PC9SZWNOdW0+PERpc3BsYXlUZXh0PltWMTItMTRdPC9EaXNwbGF5VGV4dD48cmVjb3JkPjxyZWMtbnVtYmVyPjE0PC9yZWMtbnVtYmVyPjxmb3JlaWduLWtleXM+PGtleSBhcHA9IkVOIiBkYi1pZD0iN2RiY2RkYmUtNmYwNy01Njk4LWJkMGMtYjAzOTUzOGI0Yzg1IiB0aW1lc3RhbXA9IjE3OTI5MjEwODMiPjE0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xNzwvUmVjTnVtPjxEaXNwbGF5VGV4dD5bVjEyLTE3XTwvRGlzcGxheVRleHQ+PHJlY29yZD48cmVjLW51bWJlcj4xNzwvcmVjLW51bWJlcj48Zm9yZWlnbi1rZXlzPjxrZXkgYXBwPSJFTiIgZGItaWQ9IjdkYmNkZGJlLTZmMDctNTY5OC1iZDBjLWIwMzk1MzhiNGM4NSIgdGltZXN0YW1wPSIxNzkyOTIxMDgzIj4xNz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[V12-17]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wPC9SZWNOdW0+PERpc3BsYXlUZXh0PltWMTItMjBdPC9EaXNwbGF5VGV4dD48cmVjb3JkPjxyZWMtbnVtYmVyPjIwPC9yZWMtbnVtYmVyPjxmb3JlaWduLWtleXM+PGtleSBhcHA9IkVOIiBkYi1pZD0iN2RiY2RkYmUtNmYwNy01Njk4LWJkMGMtYjAzOTUzOGI0Yzg1IiB0aW1lc3RhbXA9IjE3OTI5MjEwODMiPjIw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[V12-20]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E1PC9SZWNOdW0+PERpc3BsYXlUZXh0PltWMTItMTVdPC9EaXNwbGF5VGV4dD48cmVjb3JkPjxyZWMtbnVtYmVyPjE1PC9yZWMtbnVtYmVyPjxmb3JlaWduLWtleXM+PGtleSBhcHA9IkVOIiBkYi1pZD0iN2RiY2RkYmUtNmYwNy01Njk4LWJkMGMtYjAzOTUzOGI0Yzg1IiB0aW1lc3RhbXA9IjE3OTI5MjEwODMiPjE1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[V12-15]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E2PC9SZWNOdW0+PERpc3BsYXlUZXh0PltWMTItMTZdPC9EaXNwbGF5VGV4dD48cmVjb3JkPjxyZWMtbnVtYmVyPjE2PC9yZWMtbnVtYmVyPjxmb3JlaWduLWtleXM+PGtleSBhcHA9IkVOIiBkYi1pZD0iN2RiY2RkYmUtNmYwNy01Njk4LWJkMGMtYjAzOTUzOGI0Yzg1IiB0aW1lc3RhbXA9IjE3OTI5MjEwODMiPjE2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[V12-16]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E4PC9SZWNOdW0+PERpc3BsYXlUZXh0PltWMTItMThdPC9EaXNwbGF5VGV4dD48cmVjb3JkPjxyZWMtbnVtYmVyPjE4PC9yZWMtbnVtYmVyPjxmb3JlaWduLWtleXM+PGtleSBhcHA9IkVOIiBkYi1pZD0iN2RiY2RkYmUtNmYwNy01Njk4LWJkMGMtYjAzOTUzOGI0Yzg1IiB0aW1lc3RhbXA9IjE3OTI5MjEwODMiPjE4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[V12-18]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xOTwvUmVjTnVtPjxEaXNwbGF5VGV4dD5bVjEyLTE5XTwvRGlzcGxheVRleHQ+PHJlY29yZD48cmVjLW51bWJlcj4xOTwvcmVjLW51bWJlcj48Zm9yZWlnbi1rZXlzPjxrZXkgYXBwPSJFTiIgZGItaWQ9IjdkYmNkZGJlLTZmMDctNTY5OC1iZDBjLWIwMzk1MzhiNGM4NSIgdGltZXN0YW1wPSIxNzkyOTIxMDgzIj4xOT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[V12-19]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</w:fldData>
        </w:fldChar>
      </w:r>
      <w:r>
        <w:instrText xml:space="preserve"> ADDIN EN.CITE.DATA </w:instrText>
      </w:r>
      <w:r>
        <w:fldChar w:fldCharType="end"/>
      </w:r>
      <w:r>
        <w:fldChar w:fldCharType="separate"/>
      </w:r>
      <w:r>
        <w:t xml:space="preserve">[V12-21]</w:t>
      </w:r>
      <w:r>
        <w:fldChar w:fldCharType="end"/>
      </w:r>
    </w:p>
    <w:p>
      <w:pPr>
        <w:pStyle w:val="Normal"/>
        <w:widowControl/>
        <w:numPr>
          <w:ilvl w:val="0"/>
          <w:numId w:val="3"/>
        </w:numPr>
      </w:pPr>
      <w:r>
        <w:t xml:space="preserve">Original Vp1 or Vp2 only, confirmed by central review of pretreatment imaging and an explicit vessel-anatomy map.</w:t>
      </w:r>
    </w:p>
    <w:p>
      <w:pPr>
        <w:pStyle w:val="Normal"/>
        <w:widowControl/>
        <w:numPr>
          <w:ilvl w:val="1"/>
          <w:numId w:val="3"/>
        </w:numPr>
        <w:spacing w:before="60" w:after="20"/>
      </w:pPr>
      <w:r>
        <w:t xml:space="preserve">Exclude Vp3, Vp4/main or contralateral portal involvement, hepatic-vein involvement, prior rupture and combined expanded-burden experiments from the initial transplanting pilot.</w:t>
      </w:r>
    </w:p>
    <w:p>
      <w:pPr>
        <w:pStyle w:val="Normal"/>
        <w:widowControl/>
        <w:numPr>
          <w:ilvl w:val="1"/>
          <w:numId w:val="3"/>
        </w:numPr>
        <w:spacing w:before="60" w:after="20"/>
      </w:pPr>
      <w:r>
        <w:t xml:space="preserve">These are OPEN study boundaries, not universal futility claims.</w:t>
      </w:r>
    </w:p>
    <w:p>
      <w:pPr>
        <w:pStyle w:val="Normal"/>
        <w:widowControl/>
        <w:numPr>
          <w:ilvl w:val="0"/>
          <w:numId w:val="3"/>
        </w:numPr>
      </w:pPr>
      <w:r>
        <w:t xml:space="preserve">Require centrally adjudicated complete absence of enhancing viable vascular tumor, parenchymal burden within Milan or nonviable, no extrahepatic disease, and at least 12 continuous months of control with imaging approximately every three months.</w:t>
      </w:r>
    </w:p>
    <w:p>
      <w:pPr>
        <w:pStyle w:val="Normal"/>
        <w:widowControl/>
        <w:numPr>
          <w:ilvl w:val="1"/>
          <w:numId w:val="3"/>
        </w:numPr>
        <w:spacing w:before="60" w:after="20"/>
      </w:pPr>
      <w:r>
        <w:t xml:space="preserve">Start the control clock at the first scan meeting all proposed response criteria; do not count the treatment date or the cohort's median time to LT as that clock.</w:t>
      </w:r>
    </w:p>
    <w:p>
      <w:pPr>
        <w:pStyle w:val="Normal"/>
        <w:widowControl/>
        <w:numPr>
          <w:ilvl w:val="0"/>
          <w:numId w:val="3"/>
        </w:numPr>
      </w:pPr>
      <w:r>
        <w:t xml:space="preserve">Confirmed recurrent or persistent viable vascular tumor or extrahepatic metastasis fails the proposed transplant gate.</w:t>
      </w:r>
    </w:p>
    <w:p>
      <w:pPr>
        <w:pStyle w:val="Normal"/>
        <w:widowControl/>
        <w:numPr>
          <w:ilvl w:val="1"/>
          <w:numId w:val="3"/>
        </w:numPr>
        <w:spacing w:before="60" w:after="20"/>
      </w:pPr>
      <w:r>
        <w:t xml:space="preserve">Indeterminate post-Y90 enhancement, bland-versus-tumor uncertainty or discordant reads requires HOLD, expert review and interval reassessment; enhancement alone is not automatically proof of viable tumor, and unresolved response cannot authorize LT.</w:t>
      </w:r>
    </w:p>
    <w:p>
      <w:pPr>
        <w:pStyle w:val="Normal"/>
        <w:widowControl/>
        <w:numPr>
          <w:ilvl w:val="0"/>
          <w:numId w:val="3"/>
        </w:numPr>
      </w:pPr>
      <w:r>
        <w:t xml:space="preserve">In counseling and the prospective dataset, report all-entry survival and the proportion reaching LT separately from recipient survival, crude recurrence, death-censored RFS and perioperative morbidity/mortality.</w:t>
      </w:r>
    </w:p>
    <w:p>
      <w:pPr>
        <w:pStyle w:val="Normal"/>
        <w:widowControl/>
        <w:numPr>
          <w:ilvl w:val="1"/>
          <w:numId w:val="3"/>
        </w:numPr>
        <w:spacing w:before="60" w:after="20"/>
      </w:pPr>
      <w:r>
        <w:t xml:space="preserve">Do not describe Sposito's 79.3% RFS as alive-and-recurrence-free survival or derive recurrence incidence by subtraction.</w:t>
      </w:r>
    </w:p>
    <w:p>
      <w:pPr>
        <w:pStyle w:val="Normal"/>
        <w:widowControl/>
        <w:spacing w:before="60" w:after="20"/>
      </w:pPr>
      <w:r>
        <w:rPr>
          <w:b/>
        </w:rPr>
        <w:t xml:space="preserve">Why retain or change it: </w:t>
      </w:r>
      <w:r>
        <w:t xml:space="preserve">Retain the OPEN initial original-Vp1–2/complete-vascular-response/at-least-12-month study proposal, with bounded parenchymal burden and expert imaging adjudication. This conservative combination is not validated by Sposito's less restrictive retrospective selection. Explain the 37/240 chance of reaching LT, 61.6% five-year recipient OS, six recurrences, four perioperative deaths and 13 major complications using their separate denominators and endpoints. Do not promote branch PVTT into the standard pathway or create US allocation priority from Italian deceased-donor experience. Vp3 remains registry-first without transplant authority; any expansion needs separate prospective and allocation review.</w:t>
      </w:r>
    </w:p>
    <w:p>
      <w:pPr>
        <w:pStyle w:val="Heading3"/>
        <w:keepNext/>
        <w:widowControl/>
      </w:pPr>
      <w:r>
        <w:t xml:space="preserve">Information required before the decision</w:t>
      </w:r>
    </w:p>
    <w:p>
      <w:pPr>
        <w:pStyle w:val="Normal"/>
        <w:widowControl/>
        <w:spacing w:before="60" w:after="20"/>
      </w:pPr>
      <w:r>
        <w:t xml:space="preserve">Original vessel-by-vessel map with Vp grade; expert serial contrast CT/MRI; chest staging; AFP; separate vascular and parenchymal response; resection options. Crosswalk the original study/anatomic vascular definition to current Vp grade. Record vascular response separately from overall mRECIST response; neither excludes microscopic viable PVTT.</w:t>
      </w:r>
    </w:p>
    <w:p>
      <w:pPr>
        <w:pStyle w:val="Normal"/>
        <w:widowControl/>
        <w:spacing w:before="60" w:after="20"/>
      </w:pPr>
      <w:r>
        <w:rPr>
          <w:b/>
        </w:rPr>
        <w:t xml:space="preserve">Clinical versus allocation: </w:t>
      </w:r>
      <w:r>
        <w:t xml:space="preserve">Clinical study eligibility cannot override the main-portal/hepatic-vein exception contraindications or grant priority. Obtain a separate documented organ route.</w:t>
      </w:r>
    </w:p>
    <w:p>
      <w:pPr>
        <w:pStyle w:val="Normal"/>
        <w:widowControl/>
        <w:spacing w:before="60" w:after="20"/>
      </w:pPr>
      <w:r>
        <w:rPr>
          <w:b/>
        </w:rPr>
        <w:t xml:space="preserve">Roadmap / protocol reconciliation: </w:t>
      </w:r>
      <w:r>
        <w:t xml:space="preserve">Continue standard HCC treatment and restaging while the study is developed; radiographic downstaging alone is not an instruction to list.</w:t>
      </w:r>
    </w:p>
    <w:p>
      <w:pPr>
        <w:pStyle w:val="Normal"/>
        <w:widowControl/>
        <w:spacing w:before="60" w:after="20"/>
      </w:pPr>
      <w:hyperlink r:id="rId104">
        <w:r>
          <w:rPr>
            <w:color w:val="77230C"/>
            <w:sz w:val="20"/>
            <w:u w:val="single"/>
          </w:rPr>
          <w:t>Meeting record: HCC-B2</w:t>
        </w:r>
      </w:hyperlink>
      <w:r>
        <w:t xml:space="preserve">  |  </w:t>
      </w:r>
      <w:hyperlink r:id="rId10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4 Downstaging treatment and response assessment</w:t>
      </w:r>
    </w:p>
    <w:p>
      <w:pPr>
        <w:pStyle w:val="Heading1"/>
        <w:widowControl/>
        <w:keepNext/>
      </w:pPr>
      <w:r>
        <w:t xml:space="preserve">V12 evidence-integrated treatment and reassessment</w:t>
      </w:r>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pStyle w:val="Heading1"/>
        <w:widowControl/>
        <w:keepNext/>
      </w:pPr>
      <w:bookmarkStart w:id="12001" w:name="HCC_B1_1"/>
      <w:r>
        <w:t xml:space="preserve">HCC B1.1 — AFP-only failure / imaging discordance — OPEN</w:t>
      </w:r>
      <w:bookmarkEnd w:id="12001"/>
    </w:p>
    <w:p>
      <w:pPr>
        <w:pStyle w:val="Normal"/>
        <w:widowControl/>
        <w:spacing w:after="120"/>
      </w:pPr>
      <w:r>
        <w:t xml:space="preserve">HCC B1.1 addresses AFP-only failure or discordance between AFP and imaging. It should be a distinct biological-risk question, not an automatic extension of B1 beyond-UNOS-DS enrollment. A patient within Milan may have an AFP problem without having expanded tumor burden. The proposed B1 AFP below 100 ng/mL entry rule must not silently become a universal rule for standard HCC.</w:t>
      </w:r>
    </w:p>
    <w:p>
      <w:pPr>
        <w:pStyle w:val="Normal"/>
        <w:widowControl/>
        <w:spacing w:after="120"/>
      </w:pPr>
      <w:r>
        <w:t xml:space="preserve">Status: OPEN local decision, not activated policy. This entry applies to both standard anatomical candidates and high-risk review. B1 expanded-burden AFP &lt;100 is a separate proposal; it must not become a universal within-Milan requirement.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Allocation threshold failure</w:t>
            </w:r>
          </w:p>
        </w:tc>
        <w:tc>
          <w:tcPr>
            <w:tcW w:w="3582" w:type="dxa"/>
            <w:vAlign w:val="top"/>
            <w:shd w:fill="F1F5F8"/>
          </w:tcPr>
          <w:p>
            <w:pPr>
              <w:pStyle w:val="Normal"/>
              <w:widowControl/>
              <w:spacing w:after="55" w:line="240" w:lineRule="auto"/>
              <w:keepNext w:val="0"/>
              <w:keepLines/>
            </w:pPr>
            <w:r>
              <w:rPr>
                <w:sz w:val="21"/>
                <w:szCs w:val="21"/>
              </w:rPr>
              <w:t xml:space="preserve">Prior AFP greater than 1000 ng/mL, followed by failure to fall below 500 or a return to 500 or above. This changes the standardized exception route even when imaging is controlled.</w:t>
            </w:r>
          </w:p>
        </w:tc>
        <w:tc>
          <w:tcPr>
            <w:tcW w:w="3743" w:type="dxa"/>
            <w:vAlign w:val="top"/>
            <w:shd w:fill="F1F5F8"/>
          </w:tcPr>
          <w:p>
            <w:pPr>
              <w:pStyle w:val="Normal"/>
              <w:widowControl/>
              <w:spacing w:after="55" w:line="240" w:lineRule="auto"/>
              <w:keepNext w:val="0"/>
              <w:keepLines/>
            </w:pPr>
            <w:r>
              <w:rPr>
                <w:sz w:val="21"/>
                <w:szCs w:val="21"/>
              </w:rPr>
              <w:t xml:space="preserve">Current OPTN allocation policy. Nonstandard review and clinical candidacy remain separate; the policy is not a universal prohibition on every LT or LDLT.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14">
              <w:r>
                <w:rPr>
                  <w:color w:val="0563C1"/>
                  <w:u w:val="single"/>
                </w:rPr>
                <w:t>Source</w:t>
              </w:r>
            </w:hyperlink>
            <w:r>
              <w:t xml:space="preserve"> · </w:t>
            </w:r>
            <w:hyperlink r:id="rId515">
              <w:r>
                <w:rPr>
                  <w:color w:val="0563C1"/>
                  <w:u w:val="single"/>
                </w:rPr>
                <w:t>PDF</w:t>
              </w:r>
            </w:hyperlink>
            <w:r>
              <w:br/>
            </w:r>
            <w:hyperlink r:id="rId516">
              <w:r>
                <w:rPr>
                  <w:color w:val="0563C1"/>
                  <w:u w:val="single"/>
                </w:rPr>
                <w:t>Source</w:t>
              </w:r>
            </w:hyperlink>
            <w:r>
              <w:t xml:space="preserve"> · </w:t>
            </w:r>
            <w:hyperlink r:id="rId517">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Biochemical nonresponse</w:t>
            </w:r>
          </w:p>
        </w:tc>
        <w:tc>
          <w:tcPr>
            <w:tcW w:w="3582" w:type="dxa"/>
            <w:vAlign w:val="top"/>
            <w:shd w:fill="FFFFFF"/>
          </w:tcPr>
          <w:p>
            <w:pPr>
              <w:pStyle w:val="Normal"/>
              <w:widowControl/>
              <w:spacing w:after="55" w:line="240" w:lineRule="auto"/>
              <w:keepNext w:val="0"/>
              <w:keepLines/>
            </w:pPr>
            <w:r>
              <w:rPr>
                <w:sz w:val="21"/>
                <w:szCs w:val="21"/>
              </w:rPr>
              <w:t xml:space="preserve">Persistently high or rising AFP after treatment, interpreted with the pretreatment level, treatment timing, liver inflammation and serial imaging.</w:t>
            </w:r>
          </w:p>
        </w:tc>
        <w:tc>
          <w:tcPr>
            <w:tcW w:w="3743" w:type="dxa"/>
            <w:vAlign w:val="top"/>
            <w:shd w:fill="FFFFFF"/>
          </w:tcPr>
          <w:p>
            <w:pPr>
              <w:pStyle w:val="Normal"/>
              <w:widowControl/>
              <w:spacing w:after="55" w:line="240" w:lineRule="auto"/>
              <w:keepNext w:val="0"/>
              <w:keepLines/>
            </w:pPr>
            <w:r>
              <w:rPr>
                <w:sz w:val="21"/>
                <w:szCs w:val="21"/>
              </w:rPr>
              <w:t xml:space="preserve">An adverse biological signal, not a universally standardized binary definition of treatment failure. A percentage decline alone cannot replace absolute AFP or imaging.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ZWh0YSBOPC9BdXRob3I+PFllYXI+MjAxOTwvWWVhcj48UmVjTnVtPjIyPC9SZWNOdW0+PERpc3BsYXlUZXh0PltWMTItMjJdPC9EaXNwbGF5VGV4dD48cmVjb3JkPjxyZWMtbnVtYmVyPjIyPC9yZWMtbnVtYmVyPjxmb3JlaWduLWtleXM+PGtleSBhcHA9IkVOIiBkYi1pZD0iN2RiY2RkYmUtNmYwNy01Njk4LWJkMGMtYjAzOTUzOGI0Yzg1IiB0aW1lc3RhbXA9IjE3OTI5MjEwODMiPjIy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r>
              <w:t xml:space="preserve"> </w:t>
            </w:r>
            <w:r>
              <w:fldChar w:fldCharType="begin"/>
            </w:r>
            <w:r>
              <w:instrText xml:space="preserve"> ADDIN EN.CITE </w:instrText>
            </w:r>
            <w:r>
              <w:fldChar w:fldCharType="begin">
                <w:fldData>PEVuZE5vdGU+PENpdGU+PEF1dGhvcj5IYWxhenVuIEtKPC9BdXRob3I+PFllYXI+MjAyMTwvWWVhcj48UmVjTnVtPjIzPC9SZWNOdW0+PERpc3BsYXlUZXh0PltWMTItMjNdPC9EaXNwbGF5VGV4dD48cmVjb3JkPjxyZWMtbnVtYmVyPjIzPC9yZWMtbnVtYmVyPjxmb3JlaWduLWtleXM+PGtleSBhcHA9IkVOIiBkYi1pZD0iN2RiY2RkYmUtNmYwNy01Njk4LWJkMGMtYjAzOTUzOGI0Yzg1IiB0aW1lc3RhbXA9IjE3OTI5MjEwODMiPjIz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[V12-23]</w:t>
            </w:r>
            <w:r>
              <w:fldChar w:fldCharType="end"/>
            </w:r>
            <w:r>
              <w:br/>
            </w:r>
            <w:hyperlink r:id="rId518">
              <w:r>
                <w:rPr>
                  <w:color w:val="0563C1"/>
                  <w:u w:val="single"/>
                </w:rPr>
                <w:t>Source</w:t>
              </w:r>
            </w:hyperlink>
            <w:r>
              <w:t xml:space="preserve"> · </w:t>
            </w:r>
            <w:hyperlink r:id="rId519">
              <w:r>
                <w:rPr>
                  <w:color w:val="0563C1"/>
                  <w:u w:val="single"/>
                </w:rPr>
                <w:t>PDF</w:t>
              </w:r>
            </w:hyperlink>
            <w:r>
              <w:br/>
            </w:r>
            <w:hyperlink r:id="rId520">
              <w:r>
                <w:rPr>
                  <w:color w:val="0563C1"/>
                  <w:u w:val="single"/>
                </w:rPr>
                <w:t>Source</w:t>
              </w:r>
            </w:hyperlink>
            <w:r>
              <w:t xml:space="preserve"> · </w:t>
            </w:r>
            <w:hyperlink r:id="rId521">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Isolated AFP rise</w:t>
            </w:r>
          </w:p>
        </w:tc>
        <w:tc>
          <w:tcPr>
            <w:tcW w:w="3582" w:type="dxa"/>
            <w:vAlign w:val="top"/>
            <w:shd w:fill="F1F5F8"/>
          </w:tcPr>
          <w:p>
            <w:pPr>
              <w:pStyle w:val="Normal"/>
              <w:widowControl/>
              <w:spacing w:after="55" w:line="240" w:lineRule="auto"/>
              <w:keepNext w:val="0"/>
              <w:keepLines/>
            </w:pPr>
            <w:r>
              <w:rPr>
                <w:sz w:val="21"/>
                <w:szCs w:val="21"/>
              </w:rPr>
              <w:t xml:space="preserve">Rising AFP without definite viable or progressive tumor on technically adequate imaging.</w:t>
            </w:r>
          </w:p>
        </w:tc>
        <w:tc>
          <w:tcPr>
            <w:tcW w:w="3743" w:type="dxa"/>
            <w:vAlign w:val="top"/>
            <w:shd w:fill="F1F5F8"/>
          </w:tcPr>
          <w:p>
            <w:pPr>
              <w:pStyle w:val="Normal"/>
              <w:widowControl/>
              <w:spacing w:after="55" w:line="240" w:lineRule="auto"/>
              <w:keepNext w:val="0"/>
              <w:keepLines/>
            </w:pPr>
            <w:r>
              <w:rPr>
                <w:sz w:val="21"/>
                <w:szCs w:val="21"/>
              </w:rPr>
              <w:t xml:space="preserve">Requires verification and a search for occult disease or a nonmalignant source. AFP alone does not diagnose HCC progression or create a target for treatment.</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Nb3JpeWFtYSBNPC9BdXRob3I+PFllYXI+MjAyNjwvWWVhcj48UmVjTnVtPjI0PC9SZWNOdW0+PERpc3BsYXlUZXh0PltWMTItMjRdPC9EaXNwbGF5VGV4dD48cmVjb3JkPjxyZWMtbnVtYmVyPjI0PC9yZWMtbnVtYmVyPjxmb3JlaWduLWtleXM+PGtleSBhcHA9IkVOIiBkYi1pZD0iN2RiY2RkYmUtNmYwNy01Njk4LWJkMGMtYjAzOTUzOGI0Yzg1IiB0aW1lc3RhbXA9IjE3OTI5MjEwODMiPjI0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br/>
            </w:r>
            <w:hyperlink r:id="rId522">
              <w:r>
                <w:rPr>
                  <w:color w:val="0563C1"/>
                  <w:u w:val="single"/>
                </w:rPr>
                <w:t>Source</w:t>
              </w:r>
            </w:hyperlink>
            <w:r>
              <w:t xml:space="preserve"> · </w:t>
            </w:r>
            <w:hyperlink r:id="rId523">
              <w:r>
                <w:rPr>
                  <w:color w:val="0563C1"/>
                  <w:u w:val="single"/>
                </w:rPr>
                <w:t>PDF</w:t>
              </w:r>
            </w:hyperlink>
            <w:r>
              <w:br/>
            </w:r>
            <w:hyperlink r:id="rId524">
              <w:r>
                <w:rPr>
                  <w:color w:val="0563C1"/>
                  <w:u w:val="single"/>
                </w:rPr>
                <w:t>Source</w:t>
              </w:r>
            </w:hyperlink>
            <w:r>
              <w:t xml:space="preserve"> · </w:t>
            </w:r>
            <w:hyperlink r:id="rId525">
              <w:r>
                <w:rPr>
                  <w:color w:val="0563C1"/>
                  <w:u w:val="single"/>
                </w:rPr>
                <w:t>PDF</w:t>
              </w:r>
            </w:hyperlink>
          </w:p>
        </w:tc>
      </w:tr>
    </w:tbl>
    <w:p>
      <w:pPr>
        <w:pStyle w:val="Normal"/>
        <w:widowControl/>
        <w:spacing w:after="120"/>
      </w:pPr>
      <w:r>
        <w:t xml:space="preserve">Current allocation rule: after any prior AFP &gt;1000 ng/mL, AFP must fall below 500 and remain below 500 for the standardized exception route. Exactly 500 does not satisfy &lt;500. Failure requires individualized NLRB review, not an automatic prohibition of all clinical LT/LDLT. NLRB guidance is nonbinding and is not an approval guarantee.</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26">
        <w:r>
          <w:rPr>
            <w:color w:val="0563C1"/>
            <w:u w:val="single"/>
          </w:rPr>
          <w:t>Source</w:t>
        </w:r>
      </w:hyperlink>
      <w:r>
        <w:t xml:space="preserve"> · </w:t>
      </w:r>
      <w:hyperlink r:id="rId527">
        <w:r>
          <w:rPr>
            <w:color w:val="0563C1"/>
            <w:u w:val="single"/>
          </w:rPr>
          <w:t>PDF</w:t>
        </w:r>
      </w:hyperlink>
      <w:r>
        <w:br/>
      </w:r>
      <w:hyperlink r:id="rId528">
        <w:r>
          <w:rPr>
            <w:color w:val="0563C1"/>
            <w:u w:val="single"/>
          </w:rPr>
          <w:t>Source</w:t>
        </w:r>
      </w:hyperlink>
      <w:r>
        <w:t xml:space="preserve"> · </w:t>
      </w:r>
      <w:hyperlink r:id="rId529">
        <w:r>
          <w:rPr>
            <w:color w:val="0563C1"/>
            <w:u w:val="single"/>
          </w:rPr>
          <w:t>PDF</w:t>
        </w:r>
      </w:hyperlink>
    </w:p>
    <w:p>
      <w:pPr>
        <w:pStyle w:val="Heading2"/>
        <w:widowControl/>
        <w:keepNext/>
      </w:pPr>
      <w:r>
        <w:t xml:space="preserve">Full-text evidence and its limits</w:t>
      </w:r>
    </w:p>
    <w:p>
      <w:pPr>
        <w:pStyle w:val="Heading2"/>
        <w:widowControl/>
        <w:keepNext/>
      </w:pPr>
      <w:r>
        <w:t xml:space="preserve">Mehta 2019: AFP response</w:t>
      </w:r>
    </w:p>
    <w:p>
      <w:pPr>
        <w:pStyle w:val="Normal"/>
        <w:widowControl/>
        <w:spacing w:after="120"/>
      </w:pPr>
      <w:r>
        <w:t xml:space="preserve">Supports response-based biological review and the existing &gt;1000-to-&lt;500 allocation framework. Does not require AFP &lt;100 for every within-Milan candidate or prove a safe AFP-only exception.</w:t>
      </w:r>
      <w:r>
        <w:t xml:space="preserve"> </w:t>
      </w:r>
      <w:r>
        <w:fldChar w:fldCharType="begin"/>
      </w:r>
      <w:r>
        <w:instrText xml:space="preserve"> ADDIN EN.CITE </w:instrText>
      </w:r>
      <w:r>
        <w:fldChar w:fldCharType="begin">
          <w:fldData>PEVuZE5vdGU+PENpdGU+PEF1dGhvcj5NZWh0YSBOPC9BdXRob3I+PFllYXI+MjAxOTwvWWVhcj48UmVjTnVtPjIyPC9SZWNOdW0+PERpc3BsYXlUZXh0PltWMTItMjJdPC9EaXNwbGF5VGV4dD48cmVjb3JkPjxyZWMtbnVtYmVyPjIyPC9yZWMtbnVtYmVyPjxmb3JlaWduLWtleXM+PGtleSBhcHA9IkVOIiBkYi1pZD0iN2RiY2RkYmUtNmYwNy01Njk4LWJkMGMtYjAzOTUzOGI0Yzg1IiB0aW1lc3RhbXA9IjE3OTI5MjEwODMiPjIy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r>
        <w:br/>
      </w:r>
      <w:hyperlink r:id="rId530">
        <w:r>
          <w:rPr>
            <w:color w:val="0563C1"/>
            <w:u w:val="single"/>
          </w:rPr>
          <w:t>Source</w:t>
        </w:r>
      </w:hyperlink>
      <w:r>
        <w:t xml:space="preserve"> · </w:t>
      </w:r>
      <w:hyperlink r:id="rId531">
        <w:r>
          <w:rPr>
            <w:color w:val="0563C1"/>
            <w:u w:val="single"/>
          </w:rPr>
          <w:t>PDF</w:t>
        </w:r>
      </w:hyperlink>
    </w:p>
    <w:p>
      <w:pPr>
        <w:pStyle w:val="Normal"/>
        <w:widowControl/>
        <w:spacing w:after="120"/>
      </w:pPr>
      <w:r>
        <w:t xml:space="preserve">Population and design: Retrospective UNOS recipient cohort, 2005–2015; 407 patients with AFP &gt;1000 at least once and final AFP within 90 days of LT. Living-donor and multiorgan recipients excluded; 93.6% initially within Milan.</w:t>
      </w:r>
    </w:p>
    <w:p>
      <w:pPr>
        <w:pStyle w:val="Normal"/>
        <w:widowControl/>
        <w:spacing w:after="120"/>
      </w:pPr>
      <w:r>
        <w:t xml:space="preserve">Results: Five-year post-LT OS: 48.8% with final AFP &gt;1000, 67.0% at 101–499, and 88.4% at ≤100. Corresponding Kaplan–Meier recurrence estimates: 35.0%, 13.3%, and 7.2%. The 500–1000 group had only 17 patients. Differences between ≤100 and 101–499 were not statistically significant.</w:t>
      </w:r>
    </w:p>
    <w:p>
      <w:pPr>
        <w:pStyle w:val="Normal"/>
        <w:widowControl/>
        <w:spacing w:after="120"/>
      </w:pPr>
      <w:r>
        <w:t xml:space="preserve">Limits: Recipient-only, selected historical cohort; treatment and waiting time differed substantially between groups. Non-HCC death was censored for recurrence. No proof that forcing AFP lower causes benefit, no AFP-only/imaging-complete-response subgroup, and no LDLT validation.</w:t>
      </w:r>
    </w:p>
    <w:p>
      <w:pPr>
        <w:pStyle w:val="Heading2"/>
        <w:widowControl/>
        <w:keepNext/>
      </w:pPr>
      <w:r>
        <w:t xml:space="preserve">Goldman 2022: final AFP ≥500</w:t>
      </w:r>
    </w:p>
    <w:p>
      <w:pPr>
        <w:pStyle w:val="Normal"/>
        <w:widowControl/>
        <w:spacing w:after="120"/>
      </w:pPr>
      <w:r>
        <w:t xml:space="preserve">Supports discussing a conservative clinical hold at confirmed AFP ≥500, even without a prior &gt;1000 result. This is an OPEN local proposal, not a universal OPTN contraindication or a proven transplant-benefit cutoff.</w:t>
      </w:r>
      <w:r>
        <w:t xml:space="preserve"> </w:t>
      </w:r>
      <w:r>
        <w:fldChar w:fldCharType="begin"/>
      </w:r>
      <w:r>
        <w:instrText xml:space="preserve"> ADDIN EN.CITE </w:instrText>
      </w:r>
      <w:r>
        <w:fldChar w:fldCharType="begin">
          <w:fldData>PEVuZE5vdGU+PENpdGU+PEF1dGhvcj5Hb2xkbWFuIE1MPC9BdXRob3I+PFllYXI+MjAyMjwvWWVhcj48UmVjTnVtPjI1PC9SZWNOdW0+PERpc3BsYXlUZXh0PltWMTItMjVdPC9EaXNwbGF5VGV4dD48cmVjb3JkPjxyZWMtbnVtYmVyPjI1PC9yZWMtbnVtYmVyPjxmb3JlaWduLWtleXM+PGtleSBhcHA9IkVOIiBkYi1pZD0iN2RiY2RkYmUtNmYwNy01Njk4LWJkMGMtYjAzOTUzOGI0Yzg1IiB0aW1lc3RhbXA9IjE3OTI5MjEwODMiPjI1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r>
        <w:br/>
      </w:r>
      <w:hyperlink r:id="rId532">
        <w:r>
          <w:rPr>
            <w:color w:val="0563C1"/>
            <w:u w:val="single"/>
          </w:rPr>
          <w:t>Source</w:t>
        </w:r>
      </w:hyperlink>
      <w:r>
        <w:t xml:space="preserve"> · </w:t>
      </w:r>
      <w:hyperlink r:id="rId533">
        <w:r>
          <w:rPr>
            <w:color w:val="0563C1"/>
            <w:u w:val="single"/>
          </w:rPr>
          <w:t>PDF</w:t>
        </w:r>
      </w:hyperlink>
    </w:p>
    <w:p>
      <w:pPr>
        <w:pStyle w:val="Normal"/>
        <w:widowControl/>
        <w:spacing w:after="120"/>
      </w:pPr>
      <w:r>
        <w:t xml:space="preserve">Population and design: UNOS 2005–2015; 1766 LT recipients with initial AFP 100–999. Only 879 had serial values; final AFP ≥500 subgroup n=109. LDLT excluded.</w:t>
      </w:r>
    </w:p>
    <w:p>
      <w:pPr>
        <w:pStyle w:val="Normal"/>
        <w:widowControl/>
        <w:spacing w:after="120"/>
      </w:pPr>
      <w:r>
        <w:t xml:space="preserve">Results: Five-year OS at final AFP &lt;100 / 100–499 / ≥500: 72.7% / 70.4% / 56.1%; recurrence: 13.1% / 18.7% / 24.2%. Final AFP ≥500: adjusted mortality HR 1.50 (95% CI 1.07–2.10), recurrence HR 1.88 (1.13–3.14).</w:t>
      </w:r>
    </w:p>
    <w:p>
      <w:pPr>
        <w:pStyle w:val="Normal"/>
        <w:widowControl/>
        <w:spacing w:after="120"/>
      </w:pPr>
      <w:r>
        <w:t xml:space="preserve">Limits: Historical recipient-only study, not a comparison of transplant versus no transplant. Many had only one AFP. In the ≥500 subgroup, 40.4% were ≥1000; small subgroups cannot establish equivalence. Recurrence estimates censor competing death.</w:t>
      </w:r>
    </w:p>
    <w:p>
      <w:pPr>
        <w:pStyle w:val="Heading2"/>
        <w:widowControl/>
        <w:keepNext/>
      </w:pPr>
      <w:r>
        <w:t xml:space="preserve">Giard 2018: AFP slope</w:t>
      </w:r>
    </w:p>
    <w:p>
      <w:pPr>
        <w:pStyle w:val="Normal"/>
        <w:widowControl/>
        <w:spacing w:after="120"/>
      </w:pPr>
      <w:r>
        <w:t xml:space="preserve">Use slope as an alert to reassess biology, imaging and inflammation, not a stand-alone absolute stop or permanent delisting rule.</w:t>
      </w:r>
      <w:r>
        <w:t xml:space="preserve"> </w:t>
      </w:r>
      <w:r>
        <w:fldChar w:fldCharType="begin"/>
      </w:r>
      <w:r>
        <w:instrText xml:space="preserve"> ADDIN EN.CITE </w:instrText>
      </w:r>
      <w:r>
        <w:fldChar w:fldCharType="begin">
          <w:fldData>PEVuZE5vdGU+PENpdGU+PEF1dGhvcj5HaWFyZCBKTTwvQXV0aG9yPjxZZWFyPjIwMTg8L1llYXI+PFJlY051bT4yNjwvUmVjTnVtPjxEaXNwbGF5VGV4dD5bVjEyLTI2XTwvRGlzcGxheVRleHQ+PHJlY29yZD48cmVjLW51bWJlcj4yNjwvcmVjLW51bWJlcj48Zm9yZWlnbi1rZXlzPjxrZXkgYXBwPSJFTiIgZGItaWQ9IjdkYmNkZGJlLTZmMDctNTY5OC1iZDBjLWIwMzk1MzhiNGM4NSIgdGltZXN0YW1wPSIxNzkyOTIxMDgzIj4yN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br/>
      </w:r>
      <w:hyperlink r:id="rId534">
        <w:r>
          <w:rPr>
            <w:color w:val="0563C1"/>
            <w:u w:val="single"/>
          </w:rPr>
          <w:t>Source</w:t>
        </w:r>
      </w:hyperlink>
      <w:r>
        <w:t xml:space="preserve"> · </w:t>
      </w:r>
      <w:hyperlink r:id="rId535">
        <w:r>
          <w:rPr>
            <w:color w:val="0563C1"/>
            <w:u w:val="single"/>
          </w:rPr>
          <w:t>PDF</w:t>
        </w:r>
      </w:hyperlink>
    </w:p>
    <w:p>
      <w:pPr>
        <w:pStyle w:val="Normal"/>
        <w:widowControl/>
        <w:spacing w:after="120"/>
      </w:pPr>
      <w:r>
        <w:t xml:space="preserve">Population and design: Single-center 336 transplanted T2/Milan patients, 2003–2013; 98.2% received LRT. Median five AFP measurements over 9.8 months. Slope fitted to all values; &gt;7.5 subgroup n=23.</w:t>
      </w:r>
    </w:p>
    <w:p>
      <w:pPr>
        <w:pStyle w:val="Normal"/>
        <w:widowControl/>
        <w:spacing w:after="120"/>
      </w:pPr>
      <w:r>
        <w:t xml:space="preserve">Results: 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pStyle w:val="Normal"/>
        <w:widowControl/>
        <w:spacing w:after="120"/>
      </w:pPr>
      <w:r>
        <w:t xml:space="preserve">Limits: Small, data-selected cutoff group; no prospective hold/release validation. The long-term fitted slope cannot be inferred reliably from two closely spaced noisy results. Death was censored for recurrence-free probability.</w:t>
      </w:r>
    </w:p>
    <w:p>
      <w:pPr>
        <w:pStyle w:val="Heading2"/>
        <w:widowControl/>
        <w:keepNext/>
      </w:pPr>
      <w:r>
        <w:t xml:space="preserve">Halazun 2021: dynamic AFP/NYCA</w:t>
      </w:r>
    </w:p>
    <w:p>
      <w:pPr>
        <w:pStyle w:val="Normal"/>
        <w:widowControl/>
        <w:spacing w:after="120"/>
      </w:pPr>
      <w:r>
        <w:t xml:space="preserve">Use dynamic AFP as complementary risk information. The NYCA definition of response does not supersede the stricter OPTN requirement to fall below 500 after AFP &gt;1000.</w:t>
      </w:r>
      <w:r>
        <w:t xml:space="preserve"> </w:t>
      </w:r>
      <w:r>
        <w:fldChar w:fldCharType="begin"/>
      </w:r>
      <w:r>
        <w:instrText xml:space="preserve"> ADDIN EN.CITE </w:instrText>
      </w:r>
      <w:r>
        <w:fldChar w:fldCharType="begin">
          <w:fldData>PEVuZE5vdGU+PENpdGU+PEF1dGhvcj5IYWxhenVuIEtKPC9BdXRob3I+PFllYXI+MjAyMTwvWWVhcj48UmVjTnVtPjIzPC9SZWNOdW0+PERpc3BsYXlUZXh0PltWMTItMjNdPC9EaXNwbGF5VGV4dD48cmVjb3JkPjxyZWMtbnVtYmVyPjIzPC9yZWMtbnVtYmVyPjxmb3JlaWduLWtleXM+PGtleSBhcHA9IkVOIiBkYi1pZD0iN2RiY2RkYmUtNmYwNy01Njk4LWJkMGMtYjAzOTUzOGI0Yzg1IiB0aW1lc3RhbXA9IjE3OTI5MjEwODMiPjIz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[V12-23]</w:t>
      </w:r>
      <w:r>
        <w:fldChar w:fldCharType="end"/>
      </w:r>
      <w:r>
        <w:br/>
      </w:r>
      <w:hyperlink r:id="rId536">
        <w:r>
          <w:rPr>
            <w:color w:val="0563C1"/>
            <w:u w:val="single"/>
          </w:rPr>
          <w:t>Source</w:t>
        </w:r>
      </w:hyperlink>
      <w:r>
        <w:t xml:space="preserve"> · </w:t>
      </w:r>
      <w:hyperlink r:id="rId537">
        <w:r>
          <w:rPr>
            <w:color w:val="0563C1"/>
            <w:u w:val="single"/>
          </w:rPr>
          <w:t>PDF</w:t>
        </w:r>
      </w:hyperlink>
    </w:p>
    <w:p>
      <w:pPr>
        <w:pStyle w:val="Normal"/>
        <w:widowControl/>
        <w:spacing w:after="120"/>
      </w:pPr>
      <w:r>
        <w:t xml:space="preserve">Population and design: External retrospective validation in 2236 LT recipients at eight centers, 2001–2013; 545 beyond Milan. Composite score combines tumor size, count and AFP response. Deaths within 90 postoperative days excluded.</w:t>
      </w:r>
    </w:p>
    <w:p>
      <w:pPr>
        <w:pStyle w:val="Normal"/>
        <w:widowControl/>
        <w:spacing w:after="120"/>
      </w:pPr>
      <w:r>
        <w:t xml:space="preserve">Results: Five-year competing-risk cumulative recurrence: 9.5%, 20.5%, 40.5% for low/intermediate/high NYCA categories. Discrimination C statistic 0.66. These are composite-score categories, not isolated AFP ranges.</w:t>
      </w:r>
    </w:p>
    <w:p>
      <w:pPr>
        <w:pStyle w:val="Normal"/>
        <w:widowControl/>
        <w:spacing w:after="120"/>
      </w:pPr>
      <w:r>
        <w:t xml:space="preserve">Limits: Recipient selection, exclusion of early deaths, no waitlist dropout or transplant-benefit comparison. Maximum-to-final AFP can miss a rebound below the original peak. Extreme-AFP response subgroup was tiny.</w:t>
      </w:r>
    </w:p>
    <w:p>
      <w:pPr>
        <w:pStyle w:val="Heading2"/>
        <w:widowControl/>
        <w:keepNext/>
      </w:pPr>
      <w:r>
        <w:t xml:space="preserve">Moriyama 2026: markers before imaging recurrence</w:t>
      </w:r>
    </w:p>
    <w:p>
      <w:pPr>
        <w:pStyle w:val="Normal"/>
        <w:widowControl/>
        <w:spacing w:after="120"/>
      </w:pPr>
      <w:r>
        <w:t xml:space="preserve">Supports prompt repeat markers and high-quality/alternate imaging for an unexplained rise. Does not prove occult recurrence in every individual, justify empiric systemic/LRT treatment without a target, or validate an AFP-only transplant cutoff.</w:t>
      </w:r>
      <w:r>
        <w:t xml:space="preserve"> </w:t>
      </w:r>
      <w:r>
        <w:fldChar w:fldCharType="begin"/>
      </w:r>
      <w:r>
        <w:instrText xml:space="preserve"> ADDIN EN.CITE </w:instrText>
      </w:r>
      <w:r>
        <w:fldChar w:fldCharType="begin">
          <w:fldData>PEVuZE5vdGU+PENpdGU+PEF1dGhvcj5Nb3JpeWFtYSBNPC9BdXRob3I+PFllYXI+MjAyNjwvWWVhcj48UmVjTnVtPjI0PC9SZWNOdW0+PERpc3BsYXlUZXh0PltWMTItMjRdPC9EaXNwbGF5VGV4dD48cmVjb3JkPjxyZWMtbnVtYmVyPjI0PC9yZWMtbnVtYmVyPjxmb3JlaWduLWtleXM+PGtleSBhcHA9IkVOIiBkYi1pZD0iN2RiY2RkYmUtNmYwNy01Njk4LWJkMGMtYjAzOTUzOGI0Yzg1IiB0aW1lc3RhbXA9IjE3OTI5MjEwODMiPjI0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[V12-24]</w:t>
      </w:r>
      <w:r>
        <w:fldChar w:fldCharType="end"/>
      </w:r>
      <w:r>
        <w:br/>
      </w:r>
      <w:hyperlink r:id="rId538">
        <w:r>
          <w:rPr>
            <w:color w:val="0563C1"/>
            <w:u w:val="single"/>
          </w:rPr>
          <w:t>Source</w:t>
        </w:r>
      </w:hyperlink>
      <w:r>
        <w:t xml:space="preserve"> · </w:t>
      </w:r>
      <w:hyperlink r:id="rId539">
        <w:r>
          <w:rPr>
            <w:color w:val="0563C1"/>
            <w:u w:val="single"/>
          </w:rPr>
          <w:t>PDF</w:t>
        </w:r>
      </w:hyperlink>
    </w:p>
    <w:p>
      <w:pPr>
        <w:pStyle w:val="Normal"/>
        <w:widowControl/>
        <w:spacing w:after="120"/>
      </w:pPr>
      <w:r>
        <w:t xml:space="preserve">Population and design: Retrospective post-RFA, nontransplant cohort. Among 1620 initially treated patients, 907 episodes in 509 patients had elevated AFP, AFP-L3 and/or DCP without imaging evidence. Episodes are not independent patients and this is not AFP alone.</w:t>
      </w:r>
    </w:p>
    <w:p>
      <w:pPr>
        <w:pStyle w:val="Normal"/>
        <w:widowControl/>
        <w:spacing w:after="120"/>
      </w:pPr>
      <w:r>
        <w:t xml:space="preserve">Results: Recurrence was subsequently identified in 886 episodes; median detection interval 89 days. Local curative treatment 83.5% versus 78.8% and post-recurrence OS 3.55 versus 3.31 years for detection ≤180 versus &gt;180 days; differences were not statistically significant.</w:t>
      </w:r>
    </w:p>
    <w:p>
      <w:pPr>
        <w:pStyle w:val="Normal"/>
        <w:widowControl/>
        <w:spacing w:after="120"/>
      </w:pPr>
      <w:r>
        <w:t xml:space="preserve">Limits: RFA-specific, repeated episodes and competing losses; no LT cohort or tested optimal recall interval. Routine imaging is described as every four months in methods versus quarterly in abstract. Case-level AFP discrepancy between Figure 3 and Table 4 is not used.</w:t>
      </w:r>
    </w:p>
    <w:p>
      <w:pPr>
        <w:pStyle w:val="Heading2"/>
        <w:widowControl/>
        <w:keepNext/>
      </w:pPr>
      <w:r>
        <w:t xml:space="preserve">Source wording in context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OPTN policy 9 5 I iv</w:t>
            </w:r>
          </w:p>
        </w:tc>
        <w:tc>
          <w:tcPr>
            <w:tcW w:w="3582" w:type="dxa"/>
            <w:vAlign w:val="top"/>
            <w:shd w:fill="F1F5F8"/>
          </w:tcPr>
          <w:p>
            <w:pPr>
              <w:pStyle w:val="Normal"/>
              <w:widowControl/>
              <w:spacing w:after="55" w:line="240" w:lineRule="auto"/>
              <w:keepNext w:val="0"/>
              <w:keepLines/>
            </w:pPr>
            <w:r>
              <w:rPr>
                <w:sz w:val="21"/>
                <w:szCs w:val="21"/>
              </w:rPr>
              <w:t xml:space="preserve">“as long as the candidate’s AFP level remains below 500 ng/mL”</w:t>
            </w:r>
          </w:p>
        </w:tc>
        <w:tc>
          <w:tcPr>
            <w:tcW w:w="3743" w:type="dxa"/>
            <w:vAlign w:val="top"/>
            <w:shd w:fill="F1F5F8"/>
          </w:tcPr>
          <w:p>
            <w:pPr>
              <w:pStyle w:val="Normal"/>
              <w:widowControl/>
              <w:spacing w:after="55" w:line="240" w:lineRule="auto"/>
              <w:keepNext w:val="0"/>
              <w:keepLines/>
            </w:pPr>
            <w:r>
              <w:rPr>
                <w:sz w:val="21"/>
                <w:szCs w:val="21"/>
              </w:rPr>
              <w:t xml:space="preserve">Allocation rule after prior AFP above 1000. Full paragraph must be read in context; this excerpt is not a universal AFP rule for all HCC.</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br/>
            </w:r>
            <w:hyperlink r:id="rId540">
              <w:r>
                <w:rPr>
                  <w:color w:val="0563C1"/>
                  <w:u w:val="single"/>
                </w:rPr>
                <w:t>Source</w:t>
              </w:r>
            </w:hyperlink>
            <w:r>
              <w:t xml:space="preserve"> · </w:t>
            </w:r>
            <w:hyperlink r:id="rId541">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NLRB oncology guidance</w:t>
            </w:r>
          </w:p>
        </w:tc>
        <w:tc>
          <w:tcPr>
            <w:tcW w:w="3582" w:type="dxa"/>
            <w:vAlign w:val="top"/>
            <w:shd w:fill="FFFFFF"/>
          </w:tcPr>
          <w:p>
            <w:pPr>
              <w:pStyle w:val="Normal"/>
              <w:widowControl/>
              <w:spacing w:after="55" w:line="240" w:lineRule="auto"/>
              <w:keepNext w:val="0"/>
              <w:keepLines/>
            </w:pPr>
            <w:r>
              <w:rPr>
                <w:sz w:val="21"/>
                <w:szCs w:val="21"/>
              </w:rPr>
              <w:t xml:space="preserve">“In general, these candidates are not suitable for HCC MELD exception but may be appropriate in some cases.”</w:t>
            </w:r>
          </w:p>
        </w:tc>
        <w:tc>
          <w:tcPr>
            <w:tcW w:w="3743" w:type="dxa"/>
            <w:vAlign w:val="top"/>
            <w:shd w:fill="FFFFFF"/>
          </w:tcPr>
          <w:p>
            <w:pPr>
              <w:pStyle w:val="Normal"/>
              <w:widowControl/>
              <w:spacing w:after="55" w:line="240" w:lineRule="auto"/>
              <w:keepNext w:val="0"/>
              <w:keepLines/>
            </w:pPr>
            <w:r>
              <w:rPr>
                <w:sz w:val="21"/>
                <w:szCs w:val="21"/>
              </w:rPr>
              <w:t xml:space="preserve">Refers to AFP above 1000 that does not respond below 500. Nonbinding review guidance, not an approved AFP-only transplant study.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42">
              <w:r>
                <w:rPr>
                  <w:color w:val="0563C1"/>
                  <w:u w:val="single"/>
                </w:rPr>
                <w:t>Source</w:t>
              </w:r>
            </w:hyperlink>
            <w:r>
              <w:t xml:space="preserve"> · </w:t>
            </w:r>
            <w:hyperlink r:id="rId543">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Giard 2018 conclusion</w:t>
            </w:r>
          </w:p>
        </w:tc>
        <w:tc>
          <w:tcPr>
            <w:tcW w:w="3582" w:type="dxa"/>
            <w:vAlign w:val="top"/>
            <w:shd w:fill="F1F5F8"/>
          </w:tcPr>
          <w:p>
            <w:pPr>
              <w:pStyle w:val="Normal"/>
              <w:widowControl/>
              <w:spacing w:after="55" w:line="240" w:lineRule="auto"/>
              <w:keepNext w:val="0"/>
              <w:keepLines/>
            </w:pPr>
            <w:r>
              <w:rPr>
                <w:sz w:val="21"/>
                <w:szCs w:val="21"/>
              </w:rPr>
              <w:t xml:space="preserve">“AFP slope increasing greater than 7.5 ng/mL per month despite locoregional therapy is associated with post-LT HCC recurrence”</w:t>
            </w:r>
          </w:p>
        </w:tc>
        <w:tc>
          <w:tcPr>
            <w:tcW w:w="3743" w:type="dxa"/>
            <w:vAlign w:val="top"/>
            <w:shd w:fill="F1F5F8"/>
          </w:tcPr>
          <w:p>
            <w:pPr>
              <w:pStyle w:val="Normal"/>
              <w:widowControl/>
              <w:spacing w:after="55" w:line="240" w:lineRule="auto"/>
              <w:keepNext w:val="0"/>
              <w:keepLines/>
            </w:pPr>
            <w:r>
              <w:rPr>
                <w:sz w:val="21"/>
                <w:szCs w:val="21"/>
              </w:rPr>
              <w:t xml:space="preserve">Association supports reassessment. The quoted sentence does not establish a validated mandatory delisting rule.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aWFyZCBKTTwvQXV0aG9yPjxZZWFyPjIwMTg8L1llYXI+PFJlY051bT4yNjwvUmVjTnVtPjxEaXNwbGF5VGV4dD5bVjEyLTI2XTwvRGlzcGxheVRleHQ+PHJlY29yZD48cmVjLW51bWJlcj4yNjwvcmVjLW51bWJlcj48Zm9yZWlnbi1rZXlzPjxrZXkgYXBwPSJFTiIgZGItaWQ9IjdkYmNkZGJlLTZmMDctNTY5OC1iZDBjLWIwMzk1MzhiNGM4NSIgdGltZXN0YW1wPSIxNzkyOTIxMDgzIj4yN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br/>
            </w:r>
            <w:hyperlink r:id="rId544">
              <w:r>
                <w:rPr>
                  <w:color w:val="0563C1"/>
                  <w:u w:val="single"/>
                </w:rPr>
                <w:t>Source</w:t>
              </w:r>
            </w:hyperlink>
            <w:r>
              <w:t xml:space="preserve"> · </w:t>
            </w:r>
            <w:hyperlink r:id="rId545">
              <w:r>
                <w:rPr>
                  <w:color w:val="0563C1"/>
                  <w:u w:val="single"/>
                </w:rPr>
                <w:t>PDF</w:t>
              </w:r>
            </w:hyperlink>
          </w:p>
        </w:tc>
      </w:tr>
    </w:tbl>
    <w:p>
      <w:pPr>
        <w:pStyle w:val="Heading2"/>
        <w:widowControl/>
        <w:keepNext/>
      </w:pPr>
      <w:r>
        <w:t xml:space="preserve">Order now</w:t>
      </w:r>
    </w:p>
    <w:p>
      <w:pPr>
        <w:pStyle w:val="Normal"/>
        <w:widowControl/>
        <w:spacing w:after="120"/>
        <w:numPr>
          <w:ilvl w:val="0"/>
          <w:numId w:val="6"/>
        </w:numPr>
      </w:pPr>
      <w:r>
        <w:t xml:space="preserve">Confirm the AFP result and trend</w:t>
      </w:r>
    </w:p>
    <w:p>
      <w:pPr>
        <w:pStyle w:val="Normal"/>
        <w:widowControl/>
        <w:spacing w:after="120"/>
        <w:numPr>
          <w:ilvl w:val="1"/>
          <w:numId w:val="6"/>
        </w:numPr>
      </w:pPr>
      <w:r>
        <w:t xml:space="preserve">Repeat AFP using the same laboratory/assay in 2–4 weeks, sooner for a major jump or clinical concern. Review all dated prior values, baseline and peak AFP, treatment dates and the current response scan. The 2–4 week interval is an OPEN local operational proposal.</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46">
        <w:r>
          <w:rPr>
            <w:color w:val="0563C1"/>
            <w:u w:val="single"/>
          </w:rPr>
          <w:t>Source</w:t>
        </w:r>
      </w:hyperlink>
      <w:r>
        <w:t xml:space="preserve"> · </w:t>
      </w:r>
      <w:hyperlink r:id="rId547">
        <w:r>
          <w:rPr>
            <w:color w:val="0563C1"/>
            <w:u w:val="single"/>
          </w:rPr>
          <w:t>PDF</w:t>
        </w:r>
      </w:hyperlink>
    </w:p>
    <w:p>
      <w:pPr>
        <w:pStyle w:val="Normal"/>
        <w:widowControl/>
        <w:spacing w:after="120"/>
        <w:numPr>
          <w:ilvl w:val="1"/>
          <w:numId w:val="6"/>
        </w:numPr>
      </w:pPr>
      <w:r>
        <w:t xml:space="preserve">Check ALT/AST, bilirubin and active viral hepatitis or other plausible hepatic inflammation. Consider assay interference or an extrahepatic AFP source when clinically indicated; do not order indiscriminate tests without a differential diagnosis.</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48">
        <w:r>
          <w:rPr>
            <w:color w:val="0563C1"/>
            <w:u w:val="single"/>
          </w:rPr>
          <w:t>Source</w:t>
        </w:r>
      </w:hyperlink>
      <w:r>
        <w:t xml:space="preserve"> · </w:t>
      </w:r>
      <w:hyperlink r:id="rId549">
        <w:r>
          <w:rPr>
            <w:color w:val="0563C1"/>
            <w:u w:val="single"/>
          </w:rPr>
          <w:t>PDF</w:t>
        </w:r>
      </w:hyperlink>
    </w:p>
    <w:p>
      <w:pPr>
        <w:pStyle w:val="Normal"/>
        <w:widowControl/>
        <w:spacing w:after="120"/>
        <w:numPr>
          <w:ilvl w:val="1"/>
          <w:numId w:val="6"/>
        </w:numPr>
      </w:pPr>
      <w:r>
        <w:t xml:space="preserve">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50">
        <w:r>
          <w:rPr>
            <w:color w:val="0563C1"/>
            <w:u w:val="single"/>
          </w:rPr>
          <w:t>Source</w:t>
        </w:r>
      </w:hyperlink>
      <w:r>
        <w:t xml:space="preserve"> · </w:t>
      </w:r>
      <w:hyperlink r:id="rId551">
        <w:r>
          <w:rPr>
            <w:color w:val="0563C1"/>
            <w:u w:val="single"/>
          </w:rPr>
          <w:t>PDF</w:t>
        </w:r>
      </w:hyperlink>
    </w:p>
    <w:p>
      <w:pPr>
        <w:pStyle w:val="Heading2"/>
        <w:widowControl/>
        <w:keepNext/>
      </w:pPr>
      <w:r>
        <w:t xml:space="preserve">Advance only when</w:t>
      </w:r>
    </w:p>
    <w:p>
      <w:pPr>
        <w:pStyle w:val="Normal"/>
        <w:widowControl/>
        <w:spacing w:after="120"/>
        <w:numPr>
          <w:ilvl w:val="0"/>
          <w:numId w:val="6"/>
        </w:numPr>
      </w:pPr>
      <w:r>
        <w:t xml:space="preserve">For an AFP-only candidate otherwise inside the accepted anatomical route</w:t>
      </w:r>
    </w:p>
    <w:p>
      <w:pPr>
        <w:pStyle w:val="Normal"/>
        <w:widowControl/>
        <w:spacing w:after="120"/>
        <w:numPr>
          <w:ilvl w:val="1"/>
          <w:numId w:val="6"/>
        </w:numPr>
      </w:pPr>
      <w:r>
        <w:t xml:space="preserve">The governing allocation rule is met, or an individual review outcome is documented; technically adequate imaging shows no exclusionary progression, vascular invasion or extrahepatic disease; no unresolved alternative cause or unexplained accelerating AFP remains.</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52">
        <w:r>
          <w:rPr>
            <w:color w:val="0563C1"/>
            <w:u w:val="single"/>
          </w:rPr>
          <w:t>Source</w:t>
        </w:r>
      </w:hyperlink>
      <w:r>
        <w:t xml:space="preserve"> · </w:t>
      </w:r>
      <w:hyperlink r:id="rId553">
        <w:r>
          <w:rPr>
            <w:color w:val="0563C1"/>
            <w:u w:val="single"/>
          </w:rPr>
          <w:t>PDF</w:t>
        </w:r>
      </w:hyperlink>
      <w:r>
        <w:br/>
      </w:r>
      <w:hyperlink r:id="rId554">
        <w:r>
          <w:rPr>
            <w:color w:val="0563C1"/>
            <w:u w:val="single"/>
          </w:rPr>
          <w:t>Source</w:t>
        </w:r>
      </w:hyperlink>
      <w:r>
        <w:t xml:space="preserve"> · </w:t>
      </w:r>
      <w:hyperlink r:id="rId555">
        <w:r>
          <w:rPr>
            <w:color w:val="0563C1"/>
            <w:u w:val="single"/>
          </w:rPr>
          <w:t>PDF</w:t>
        </w:r>
      </w:hyperlink>
    </w:p>
    <w:p>
      <w:pPr>
        <w:pStyle w:val="Normal"/>
        <w:widowControl/>
        <w:spacing w:after="120"/>
        <w:numPr>
          <w:ilvl w:val="1"/>
          <w:numId w:val="6"/>
        </w:numPr>
      </w:pPr>
      <w:r>
        <w:t xml:space="preserve">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pStyle w:val="Normal"/>
        <w:widowControl/>
        <w:spacing w:after="120"/>
        <w:numPr>
          <w:ilvl w:val="1"/>
          <w:numId w:val="6"/>
        </w:numPr>
      </w:pPr>
      <w:r>
        <w:t xml:space="preserve">All other observation requirements remain in force. B1 expanded-burden patients retain the separately proposed AFP below 100 and longer biology observation; satisfying B1.1 does not shorten B1, ICI washout, or OPTN waiting requirements.</w:t>
      </w:r>
    </w:p>
    <w:p>
      <w:pPr>
        <w:pStyle w:val="Heading2"/>
        <w:widowControl/>
        <w:keepNext/>
      </w:pPr>
      <w:r>
        <w:t xml:space="preserve">Hold and reassess</w:t>
      </w:r>
    </w:p>
    <w:p>
      <w:pPr>
        <w:pStyle w:val="Normal"/>
        <w:widowControl/>
        <w:spacing w:after="120"/>
        <w:numPr>
          <w:ilvl w:val="0"/>
          <w:numId w:val="6"/>
        </w:numPr>
      </w:pPr>
      <w:r>
        <w:t xml:space="preserve">Separate the mandatory allocation issue from the proposed clinical hold</w:t>
      </w:r>
    </w:p>
    <w:p>
      <w:pPr>
        <w:pStyle w:val="Normal"/>
        <w:widowControl/>
        <w:spacing w:after="120"/>
        <w:numPr>
          <w:ilvl w:val="1"/>
          <w:numId w:val="6"/>
        </w:numPr>
      </w:pPr>
      <w:r>
        <w:t xml:space="preserve">POLICY: after any prior AFP above 1000, AFP at least 500 after treatment prevents automatic advancement through the standardized exception route and requires NLRB consideration. The team should not promise exception approval.</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br/>
      </w:r>
      <w:hyperlink r:id="rId556">
        <w:r>
          <w:rPr>
            <w:color w:val="0563C1"/>
            <w:u w:val="single"/>
          </w:rPr>
          <w:t>Source</w:t>
        </w:r>
      </w:hyperlink>
      <w:r>
        <w:t xml:space="preserve"> · </w:t>
      </w:r>
      <w:hyperlink r:id="rId557">
        <w:r>
          <w:rPr>
            <w:color w:val="0563C1"/>
            <w:u w:val="single"/>
          </w:rPr>
          <w:t>PDF</w:t>
        </w:r>
      </w:hyperlink>
      <w:r>
        <w:br/>
      </w:r>
      <w:hyperlink r:id="rId558">
        <w:r>
          <w:rPr>
            <w:color w:val="0563C1"/>
            <w:u w:val="single"/>
          </w:rPr>
          <w:t>Source</w:t>
        </w:r>
      </w:hyperlink>
      <w:r>
        <w:t xml:space="preserve"> · </w:t>
      </w:r>
      <w:hyperlink r:id="rId559">
        <w:r>
          <w:rPr>
            <w:color w:val="0563C1"/>
            <w:u w:val="single"/>
          </w:rPr>
          <w:t>PDF</w:t>
        </w:r>
      </w:hyperlink>
    </w:p>
    <w:p>
      <w:pPr>
        <w:pStyle w:val="Normal"/>
        <w:widowControl/>
        <w:spacing w:after="120"/>
        <w:numPr>
          <w:ilvl w:val="1"/>
          <w:numId w:val="6"/>
        </w:numPr>
      </w:pPr>
      <w:r>
        <w:t xml:space="preserve">OPEN clinical proposal: confirmed AFP at least 500 is a high-risk LT hold pending biological and allocation review even if AFP never exceeded 1000. This deliberately conservative local rule is supported by retrospective outcomes, not mandated by OPTN for every candidate.</w:t>
      </w:r>
      <w:r>
        <w:t xml:space="preserve"> </w:t>
      </w:r>
      <w:r>
        <w:fldChar w:fldCharType="begin"/>
      </w:r>
      <w:r>
        <w:instrText xml:space="preserve"> ADDIN EN.CITE </w:instrText>
      </w:r>
      <w:r>
        <w:fldChar w:fldCharType="begin">
          <w:fldData>PEVuZE5vdGU+PENpdGU+PEF1dGhvcj5Hb2xkbWFuIE1MPC9BdXRob3I+PFllYXI+MjAyMjwvWWVhcj48UmVjTnVtPjI1PC9SZWNOdW0+PERpc3BsYXlUZXh0PltWMTItMjVdPC9EaXNwbGF5VGV4dD48cmVjb3JkPjxyZWMtbnVtYmVyPjI1PC9yZWMtbnVtYmVyPjxmb3JlaWduLWtleXM+PGtleSBhcHA9IkVOIiBkYi1pZD0iN2RiY2RkYmUtNmYwNy01Njk4LWJkMGMtYjAzOTUzOGI0Yzg1IiB0aW1lc3RhbXA9IjE3OTI5MjEwODMiPjI1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r>
        <w:br/>
      </w:r>
      <w:hyperlink r:id="rId560">
        <w:r>
          <w:rPr>
            <w:color w:val="0563C1"/>
            <w:u w:val="single"/>
          </w:rPr>
          <w:t>Source</w:t>
        </w:r>
      </w:hyperlink>
      <w:r>
        <w:t xml:space="preserve"> · </w:t>
      </w:r>
      <w:hyperlink r:id="rId561">
        <w:r>
          <w:rPr>
            <w:color w:val="0563C1"/>
            <w:u w:val="single"/>
          </w:rPr>
          <w:t>PDF</w:t>
        </w:r>
      </w:hyperlink>
    </w:p>
    <w:p>
      <w:pPr>
        <w:pStyle w:val="Normal"/>
        <w:widowControl/>
        <w:spacing w:after="120"/>
        <w:numPr>
          <w:ilvl w:val="1"/>
          <w:numId w:val="6"/>
        </w:numPr>
      </w:pPr>
      <w:r>
        <w:t xml:space="preserve">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HaWFyZCBKTTwvQXV0aG9yPjxZZWFyPjIwMTg8L1llYXI+PFJlY051bT4yNjwvUmVjTnVtPjxEaXNwbGF5VGV4dD5bVjEyLTI2XTwvRGlzcGxheVRleHQ+PHJlY29yZD48cmVjLW51bWJlcj4yNjwvcmVjLW51bWJlcj48Zm9yZWlnbi1rZXlzPjxrZXkgYXBwPSJFTiIgZGItaWQ9IjdkYmNkZGJlLTZmMDctNTY5OC1iZDBjLWIwMzk1MzhiNGM4NSIgdGltZXN0YW1wPSIxNzkyOTIxMDgzIj4yN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br/>
      </w:r>
      <w:hyperlink r:id="rId562">
        <w:r>
          <w:rPr>
            <w:color w:val="0563C1"/>
            <w:u w:val="single"/>
          </w:rPr>
          <w:t>Source</w:t>
        </w:r>
      </w:hyperlink>
      <w:r>
        <w:t xml:space="preserve"> · </w:t>
      </w:r>
      <w:hyperlink r:id="rId563">
        <w:r>
          <w:rPr>
            <w:color w:val="0563C1"/>
            <w:u w:val="single"/>
          </w:rPr>
          <w:t>PDF</w:t>
        </w:r>
      </w:hyperlink>
      <w:r>
        <w:br/>
      </w:r>
      <w:hyperlink r:id="rId564">
        <w:r>
          <w:rPr>
            <w:color w:val="0563C1"/>
            <w:u w:val="single"/>
          </w:rPr>
          <w:t>Source</w:t>
        </w:r>
      </w:hyperlink>
      <w:r>
        <w:t xml:space="preserve"> · </w:t>
      </w:r>
      <w:hyperlink r:id="rId565">
        <w:r>
          <w:rPr>
            <w:color w:val="0563C1"/>
            <w:u w:val="single"/>
          </w:rPr>
          <w:t>PDF</w:t>
        </w:r>
      </w:hyperlink>
    </w:p>
    <w:p>
      <w:pPr>
        <w:pStyle w:val="Normal"/>
        <w:widowControl/>
        <w:spacing w:after="120"/>
        <w:numPr>
          <w:ilvl w:val="1"/>
          <w:numId w:val="6"/>
        </w:numPr>
      </w:pPr>
      <w:r>
        <w:t xml:space="preserve">A fitted slope above 7.5 ng/mL per month is an additional warning, not a stand-alone stop. Review multiple dated values, timing of LRT and inflammation; do not extrapolate a long-term slope model from two closely spaced noisy measurements.</w:t>
      </w:r>
      <w:r>
        <w:t xml:space="preserve"> </w:t>
      </w:r>
      <w:r>
        <w:fldChar w:fldCharType="begin"/>
      </w:r>
      <w:r>
        <w:instrText xml:space="preserve"> ADDIN EN.CITE </w:instrText>
      </w:r>
      <w:r>
        <w:fldChar w:fldCharType="begin">
          <w:fldData>PEVuZE5vdGU+PENpdGU+PEF1dGhvcj5HaWFyZCBKTTwvQXV0aG9yPjxZZWFyPjIwMTg8L1llYXI+PFJlY051bT4yNjwvUmVjTnVtPjxEaXNwbGF5VGV4dD5bVjEyLTI2XTwvRGlzcGxheVRleHQ+PHJlY29yZD48cmVjLW51bWJlcj4yNjwvcmVjLW51bWJlcj48Zm9yZWlnbi1rZXlzPjxrZXkgYXBwPSJFTiIgZGItaWQ9IjdkYmNkZGJlLTZmMDctNTY5OC1iZDBjLWIwMzk1MzhiNGM4NSIgdGltZXN0YW1wPSIxNzkyOTIxMDgzIj4yNj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[V12-26]</w:t>
      </w:r>
      <w:r>
        <w:fldChar w:fldCharType="end"/>
      </w:r>
      <w:r>
        <w:br/>
      </w:r>
      <w:hyperlink r:id="rId566">
        <w:r>
          <w:rPr>
            <w:color w:val="0563C1"/>
            <w:u w:val="single"/>
          </w:rPr>
          <w:t>Source</w:t>
        </w:r>
      </w:hyperlink>
      <w:r>
        <w:t xml:space="preserve"> · </w:t>
      </w:r>
      <w:hyperlink r:id="rId567">
        <w:r>
          <w:rPr>
            <w:color w:val="0563C1"/>
            <w:u w:val="single"/>
          </w:rPr>
          <w:t>PDF</w:t>
        </w:r>
      </w:hyperlink>
    </w:p>
    <w:p>
      <w:pPr>
        <w:pStyle w:val="Heading2"/>
        <w:widowControl/>
        <w:keepNext/>
      </w:pPr>
      <w:r>
        <w:t xml:space="preserve">Do not do</w:t>
      </w:r>
    </w:p>
    <w:p>
      <w:pPr>
        <w:pStyle w:val="Normal"/>
        <w:widowControl/>
        <w:spacing w:after="120"/>
        <w:numPr>
          <w:ilvl w:val="0"/>
          <w:numId w:val="6"/>
        </w:numPr>
      </w:pPr>
      <w:r>
        <w:t xml:space="preserve">Avoid irreversible or unproven responses to a biomarker alone</w:t>
      </w:r>
    </w:p>
    <w:p>
      <w:pPr>
        <w:pStyle w:val="Normal"/>
        <w:widowControl/>
        <w:spacing w:after="120"/>
        <w:numPr>
          <w:ilvl w:val="1"/>
          <w:numId w:val="6"/>
        </w:numPr>
      </w:pPr>
      <w:r>
        <w:t xml:space="preserve">Do not permanently exclude for one AFP result. Persistent biochemical nonresponse after adequate evaluation may lead the group to decline the current transplant plan, but the rationale and possibility of reassessment must be documented.</w:t>
      </w:r>
      <w:r>
        <w:t xml:space="preserve"> </w:t>
      </w:r>
      <w:r>
        <w:fldChar w:fldCharType="begin"/>
      </w:r>
      <w:r>
        <w:instrText xml:space="preserve"> ADDIN EN.CITE </w:instrText>
      </w:r>
      <w:r>
        <w:fldChar w:fldCharType="begin">
          <w:fldData>PEVuZE5vdGU+PENpdGU+PEF1dGhvcj5NZWh0YSBOPC9BdXRob3I+PFllYXI+MjAxOTwvWWVhcj48UmVjTnVtPjIyPC9SZWNOdW0+PERpc3BsYXlUZXh0PltWMTItMjJdPC9EaXNwbGF5VGV4dD48cmVjb3JkPjxyZWMtbnVtYmVyPjIyPC9yZWMtbnVtYmVyPjxmb3JlaWduLWtleXM+PGtleSBhcHA9IkVOIiBkYi1pZD0iN2RiY2RkYmUtNmYwNy01Njk4LWJkMGMtYjAzOTUzOGI0Yzg1IiB0aW1lc3RhbXA9IjE3OTI5MjEwODMiPjIy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[V12-22]</w:t>
      </w:r>
      <w:r>
        <w:fldChar w:fldCharType="end"/>
      </w:r>
      <w:r>
        <w:t xml:space="preserve"> </w:t>
      </w:r>
      <w:r>
        <w:fldChar w:fldCharType="begin"/>
      </w:r>
      <w:r>
        <w:instrText xml:space="preserve"> ADDIN EN.CITE </w:instrText>
      </w:r>
      <w:r>
        <w:fldChar w:fldCharType="begin">
          <w:fldData>PEVuZE5vdGU+PENpdGU+PEF1dGhvcj5Hb2xkbWFuIE1MPC9BdXRob3I+PFllYXI+MjAyMjwvWWVhcj48UmVjTnVtPjI1PC9SZWNOdW0+PERpc3BsYXlUZXh0PltWMTItMjVdPC9EaXNwbGF5VGV4dD48cmVjb3JkPjxyZWMtbnVtYmVyPjI1PC9yZWMtbnVtYmVyPjxmb3JlaWduLWtleXM+PGtleSBhcHA9IkVOIiBkYi1pZD0iN2RiY2RkYmUtNmYwNy01Njk4LWJkMGMtYjAzOTUzOGI0Yzg1IiB0aW1lc3RhbXA9IjE3OTI5MjEwODMiPjI1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[V12-25]</w:t>
      </w:r>
      <w:r>
        <w:fldChar w:fldCharType="end"/>
      </w:r>
      <w:r>
        <w:br/>
      </w:r>
      <w:hyperlink r:id="rId568">
        <w:r>
          <w:rPr>
            <w:color w:val="0563C1"/>
            <w:u w:val="single"/>
          </w:rPr>
          <w:t>Source</w:t>
        </w:r>
      </w:hyperlink>
      <w:r>
        <w:t xml:space="preserve"> · </w:t>
      </w:r>
      <w:hyperlink r:id="rId569">
        <w:r>
          <w:rPr>
            <w:color w:val="0563C1"/>
            <w:u w:val="single"/>
          </w:rPr>
          <w:t>PDF</w:t>
        </w:r>
      </w:hyperlink>
      <w:r>
        <w:br/>
      </w:r>
      <w:hyperlink r:id="rId570">
        <w:r>
          <w:rPr>
            <w:color w:val="0563C1"/>
            <w:u w:val="single"/>
          </w:rPr>
          <w:t>Source</w:t>
        </w:r>
      </w:hyperlink>
      <w:r>
        <w:t xml:space="preserve"> · </w:t>
      </w:r>
      <w:hyperlink r:id="rId571">
        <w:r>
          <w:rPr>
            <w:color w:val="0563C1"/>
            <w:u w:val="single"/>
          </w:rPr>
          <w:t>PDF</w:t>
        </w:r>
      </w:hyperlink>
    </w:p>
    <w:p>
      <w:pPr>
        <w:pStyle w:val="Normal"/>
        <w:widowControl/>
        <w:spacing w:after="120"/>
        <w:numPr>
          <w:ilvl w:val="1"/>
          <w:numId w:val="6"/>
        </w:numPr>
      </w:pPr>
      <w:r>
        <w:t xml:space="preserve">Do not call AFP-only rise RECIST or LI-RADS treatment progression. Do not give empiric LRT without an identified target, or add systemic therapy solely to make the AFP cross an allocation threshold without a justified oncologic indication.</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br/>
      </w:r>
      <w:hyperlink r:id="rId572">
        <w:r>
          <w:rPr>
            <w:color w:val="0563C1"/>
            <w:u w:val="single"/>
          </w:rPr>
          <w:t>Source</w:t>
        </w:r>
      </w:hyperlink>
      <w:r>
        <w:t xml:space="preserve"> · </w:t>
      </w:r>
      <w:hyperlink r:id="rId573">
        <w:r>
          <w:rPr>
            <w:color w:val="0563C1"/>
            <w:u w:val="single"/>
          </w:rPr>
          <w:t>PDF</w:t>
        </w:r>
      </w:hyperlink>
    </w:p>
    <w:p>
      <w:pPr>
        <w:pStyle w:val="Normal"/>
        <w:widowControl/>
        <w:spacing w:after="120"/>
        <w:numPr>
          <w:ilvl w:val="1"/>
          <w:numId w:val="6"/>
        </w:numPr>
      </w:pPr>
      <w:r>
        <w:t xml:space="preserve">Do not treat LDLT as an automatic escape from unfavorable tumor biology. Donor risk, recipient benefit and recurrence must be reviewed independently. New ICI use requires the separate B3 transplant safety decision.</w:t>
      </w:r>
    </w:p>
    <w:p>
      <w:pPr>
        <w:pStyle w:val="Normal"/>
        <w:widowControl/>
        <w:spacing w:after="120"/>
      </w:pPr>
      <w:r>
        <w:t xml:space="preserve">Full evidence and meeting fields: </w:t>
      </w:r>
      <w:hyperlink r:id="rId512">
        <w:r>
          <w:rPr>
            <w:color w:val="0563C1"/>
            <w:u w:val="single"/>
          </w:rPr>
          <w:t>HCC B1.1 record</w:t>
        </w:r>
      </w:hyperlink>
    </w:p>
    <w:p>
      <w:pPr>
        <w:pStyle w:val="Normal"/>
        <w:widowControl/>
        <w:spacing w:after="120"/>
      </w:pPr>
      <w:r>
        <w:t xml:space="preserve">Treatment comparisons and detailed regimen evidence: </w:t>
      </w:r>
      <w:hyperlink r:id="rId513">
        <w:r>
          <w:rPr>
            <w:color w:val="0563C1"/>
            <w:u w:val="single"/>
          </w:rPr>
          <w:t>Cross-tumor systemic matrix</w:t>
        </w:r>
      </w:hyperlink>
    </w:p>
    <w:p>
      <w:pPr>
        <w:pStyle w:val="Heading1"/>
        <w:widowControl/>
        <w:keepNext/>
      </w:pPr>
      <w:r>
        <w:t xml:space="preserve">4.1 Treatment-to-transplant interface</w:t>
      </w:r>
    </w:p>
    <w:p>
      <w:pPr>
        <w:pStyle w:val="Normal"/>
        <w:widowControl/>
        <w:spacing w:after="120"/>
      </w:pPr>
      <w:r>
        <w:t xml:space="preserve">Purpose: select treatment that controls disease while preserving liver function and the planned transplant route. This section is not a general HCC regimen catalogue. All selection criteria, allocation rules and high-risk meeting decisions elsewhere in this protocol remain in force.</w:t>
      </w:r>
    </w:p>
    <w:p>
      <w:pPr>
        <w:pStyle w:val="Normal"/>
        <w:widowControl/>
        <w:spacing w:after="120"/>
      </w:pPr>
      <w:r>
        <w:t xml:space="preserve">Treatment comparisons and regimen details: </w:t>
      </w:r>
      <w:hyperlink r:id="rId402">
        <w:r>
          <w:rPr>
            <w:color w:val="0563C1"/>
            <w:u w:val="single"/>
          </w:rPr>
          <w:t>HCC cancer roadmap — liver-directed and systemic matrices</w:t>
        </w:r>
      </w:hyperlink>
      <w:r>
        <w:t xml:space="preserve"> | </w:t>
      </w:r>
      <w:hyperlink r:id="rId403">
        <w:r>
          <w:rPr>
            <w:color w:val="0563C1"/>
            <w:u w:val="single"/>
          </w:rPr>
          <w:t>Systemic matrix extract</w:t>
        </w:r>
      </w:hyperlink>
    </w:p>
    <w:p>
      <w:pPr>
        <w:pStyle w:val="Heading2"/>
        <w:widowControl/>
        <w:keepNext/>
      </w:pPr>
      <w:r>
        <w:t xml:space="preserve">Before treatment</w:t>
      </w:r>
    </w:p>
    <w:p>
      <w:pPr>
        <w:pStyle w:val="Normal"/>
        <w:widowControl/>
        <w:spacing w:after="120"/>
        <w:numPr>
          <w:ilvl w:val="0"/>
          <w:numId w:val="5"/>
        </w:numPr>
      </w:pPr>
      <w:r>
        <w:t xml:space="preserve">Record the objective: bridging within the accepted route, downstaging toward an explicitly defined route, or nontransplant disease control. Record pretreatment tumor sites and dimensions, vascular/extrahepatic status, AFP trend, Child-Pugh, performance status and the expected waiting period.</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after="120"/>
        <w:numPr>
          <w:ilvl w:val="0"/>
          <w:numId w:val="5"/>
        </w:numPr>
      </w:pPr>
      <w:r>
        <w:t xml:space="preserve">MDT selects among thermal ablation, arterial embolization, radioembolization and external beam radiation according to anatomy, liver reserve, portal flow, prior treatment, local expertise and feasibility. No modality is universally the preferred bridge. A selective technical plan and the reserve needed for the next step must be documented.</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jc8L1JlY051bT48RGlzcGxheVRleHQ+W1YxMi0yN108L0Rpc3BsYXlUZXh0PjxyZWNvcmQ+PHJlYy1udW1iZXI+Mjc8L3JlYy1udW1iZXI+PGZvcmVpZ24ta2V5cz48a2V5IGFwcD0iRU4iIGRiLWlkPSI3ZGJjZGRiZS02ZjA3LTU2OTgtYmQwYy1iMDM5NTM4YjRjODUiIHRpbWVzdGFtcD0iMTc5MjkyMTA4MyI+Mjc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r>
        <w:t xml:space="preserve"> </w:t>
      </w:r>
      <w:r>
        <w:t xml:space="preserve"> </w:t>
      </w:r>
      <w:r>
        <w:fldChar w:fldCharType="begin"/>
      </w:r>
      <w:r>
        <w:instrText xml:space="preserve"> ADDIN EN.CITE </w:instrText>
      </w:r>
      <w:r>
        <w:fldChar w:fldCharType="begin">
          <w:fldData>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wcnJvLjIwMjEuMDkuMDA0PC91cmw+PC9yZWxhdGVkLXVybHM+PHBkZi11cmxzLz48L3VybHM+PC9yZWNvcmQ+PC9DaXRlPjwvRW5kTm90ZT4=</w:fldData>
        </w:fldChar>
      </w:r>
      <w:r>
        <w:instrText xml:space="preserve"> ADDIN EN.CITE.DATA </w:instrText>
      </w:r>
      <w:r>
        <w:fldChar w:fldCharType="end"/>
      </w:r>
      <w:r>
        <w:fldChar w:fldCharType="separate"/>
      </w:r>
      <w:r>
        <w:t xml:space="preserve">[V12-28]</w:t>
      </w:r>
      <w:r>
        <w:fldChar w:fldCharType="end"/>
      </w:r>
    </w:p>
    <w:p>
      <w:pPr>
        <w:pStyle w:val="Normal"/>
        <w:widowControl/>
        <w:spacing w:after="120"/>
        <w:numPr>
          <w:ilvl w:val="0"/>
          <w:numId w:val="5"/>
        </w:numPr>
      </w:pPr>
      <w:r>
        <w:t xml:space="preserve">Do not proceed with an elective treatment plan until decompensation, infection, bleeding, biliary obstruction and procedure-specific nontarget risks have been evaluated and addressed. An unresolved safety problem requires reconsideration of treatment, not automatic exclusion from every transplant pathway.</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</w:fldData>
        </w:fldChar>
      </w:r>
      <w:r>
        <w:instrText xml:space="preserve"> ADDIN EN.CITE.DATA </w:instrText>
      </w:r>
      <w:r>
        <w:fldChar w:fldCharType="end"/>
      </w:r>
      <w:r>
        <w:fldChar w:fldCharType="separate"/>
      </w:r>
      <w:r>
        <w:t xml:space="preserve">[V12-29]</w:t>
      </w:r>
      <w:r>
        <w:fldChar w:fldCharType="end"/>
      </w:r>
    </w:p>
    <w:p>
      <w:pPr>
        <w:pStyle w:val="Heading2"/>
        <w:widowControl/>
        <w:keepNext/>
      </w:pPr>
      <w:r>
        <w:t xml:space="preserve">Response and the next transplant decision</w:t>
      </w:r>
    </w:p>
    <w:p>
      <w:pPr>
        <w:pStyle w:val="Normal"/>
        <w:widowControl/>
        <w:spacing w:after="120"/>
        <w:numPr>
          <w:ilvl w:val="0"/>
          <w:numId w:val="5"/>
        </w:numPr>
      </w:pPr>
      <w:r>
        <w:t xml:space="preserve">Obtain multiphasic contrast CT or MRI with AFP and liver-function reassessment. Typical first imaging assessment is about 6 weeks after TACE and about 12 weeks after radioembolization or external beam radiation; obtain earlier imaging for a clinical concern. Tailor timing to the modality and the protocol observation window.</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spacing w:after="120"/>
        <w:numPr>
          <w:ilvl w:val="0"/>
          <w:numId w:val="5"/>
        </w:numPr>
      </w:pPr>
      <w:r>
        <w:t xml:space="preserve">Use treatment-specific response interpretation. Persistent but stable or decreasing enhancement after radiation can be nonprogressing; do not call failure or mandate retreatment on enhancement alone. New or increasing masslike enhancement, a rising biomarker, or clinical deterioration requires joint radiology/MDT review.</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MDwvUmVjTnVtPjxEaXNwbGF5VGV4dD5bVjEyLTMwXTwvRGlzcGxheVRleHQ+PHJlY29yZD48cmVjLW51bWJlcj4zMDwvcmVjLW51bWJlcj48Zm9yZWlnbi1rZXlzPjxrZXkgYXBwPSJFTiIgZGItaWQ9IjdkYmNkZGJlLTZmMDctNTY5OC1iZDBjLWIwMzk1MzhiNGM4NSIgdGltZXN0YW1wPSIxNzkyOTIxMDgzIj4zM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p>
    <w:p>
      <w:pPr>
        <w:pStyle w:val="Normal"/>
        <w:widowControl/>
        <w:spacing w:after="120"/>
        <w:numPr>
          <w:ilvl w:val="0"/>
          <w:numId w:val="5"/>
        </w:numPr>
      </w:pPr>
      <w:r>
        <w:t xml:space="preserve">Advance only after the selected route’s tumor-burden, response, reserve, observation and allocation conditions are documented. Cancer control and eligibility for an allocation exception are separate conclusions. Repeat treatment only when residual/progressive disease and expected benefit justify the reserve and toxicity cost.</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after="120"/>
        <w:numPr>
          <w:ilvl w:val="0"/>
          <w:numId w:val="5"/>
        </w:numPr>
      </w:pPr>
      <w:r>
        <w:t xml:space="preserve">Restage while waiting, generally at approximately 3-month intervals, with earlier review for progression or toxicity and any shorter protocol-specific surveillance requirement. Document viable disease and AFP rather than reclassifying treated scars as new untreated tumors.</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spacing w:after="120"/>
        <w:numPr>
          <w:ilvl w:val="0"/>
          <w:numId w:val="5"/>
        </w:numPr>
      </w:pPr>
      <w:r>
        <w:t xml:space="preserve">For high-risk conversion, retain the OPEN local surveillance proposal in the B decisions: AFP every 4 weeks and imaging every 6–8 weeks when clinically appropriate. Early post-radiation scans are interim assessments, not proof of failure; reconcile with the usual approximately 12-week primary response assessment. NLRB observation after completed downstaging is a separate eligibility requirement and is not replaced by an early response scan.</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MDwvUmVjTnVtPjxEaXNwbGF5VGV4dD5bVjEyLTMwXTwvRGlzcGxheVRleHQ+PHJlY29yZD48cmVjLW51bWJlcj4zMDwvcmVjLW51bWJlcj48Zm9yZWlnbi1rZXlzPjxrZXkgYXBwPSJFTiIgZGItaWQ9IjdkYmNkZGJlLTZmMDctNTY5OC1iZDBjLWIwMzk1MzhiNGM4NSIgdGltZXN0YW1wPSIxNzkyOTIxMDgzIj4zM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[V12-30]</w:t>
      </w:r>
      <w:r>
        <w:fldChar w:fldCharType="end"/>
      </w:r>
    </w:p>
    <w:p>
      <w:pPr>
        <w:pStyle w:val="Heading2"/>
        <w:widowControl/>
        <w:keepNext/>
      </w:pPr>
      <w:r>
        <w:t xml:space="preserve">Systemic exposure and operative safety</w:t>
      </w:r>
    </w:p>
    <w:p>
      <w:pPr>
        <w:pStyle w:val="Normal"/>
        <w:widowControl/>
        <w:spacing w:after="120"/>
        <w:numPr>
          <w:ilvl w:val="0"/>
          <w:numId w:val="5"/>
        </w:numPr>
      </w:pPr>
      <w:r>
        <w:t xml:space="preserve">Do not add systemic therapy routinely just because transplantation is planned. If needed for disease control, oncology selects a regimen using the cancer roadmap and records its intent, evidence, anticipated benefit and transplant implications before the first dose.</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TYW5ncm88L0F1dGhvcj48WWVhcj4yMDI1PC9ZZWFyPjxSZWNOdW0+Mjc8L1JlY051bT48RGlzcGxheVRleHQ+W1YxMi0yN108L0Rpc3BsYXlUZXh0PjxyZWNvcmQ+PHJlYy1udW1iZXI+Mjc8L3JlYy1udW1iZXI+PGZvcmVpZ24ta2V5cz48a2V5IGFwcD0iRU4iIGRiLWlkPSI3ZGJjZGRiZS02ZjA3LTU2OTgtYmQwYy1iMDM5NTM4YjRjODUiIHRpbWVzdGFtcD0iMTc5MjkyMTA4MyI+Mjc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[V12-27]</w:t>
      </w:r>
      <w:r>
        <w:fldChar w:fldCharType="end"/>
      </w:r>
    </w:p>
    <w:p>
      <w:pPr>
        <w:pStyle w:val="Normal"/>
        <w:widowControl/>
        <w:spacing w:after="120"/>
        <w:numPr>
          <w:ilvl w:val="0"/>
          <w:numId w:val="5"/>
        </w:numPr>
      </w:pPr>
      <w:r>
        <w:t xml:space="preserve">Before any immune checkpoint inhibitor in an LT-intent patient, obtain prospective transplant/oncology review and a documented stop, reassessment and washout plan. Follow the protocol’s existing ICI decision and meeting record. No single interval guarantees freedom from rejection; the proposed local threshold is not a validated universal safe boundary.</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p>
    <w:p>
      <w:pPr>
        <w:pStyle w:val="Normal"/>
        <w:widowControl/>
        <w:spacing w:after="120"/>
        <w:numPr>
          <w:ilvl w:val="0"/>
          <w:numId w:val="5"/>
        </w:numPr>
      </w:pPr>
      <w:r>
        <w:t xml:space="preserve">Use agent-specific perioperative holds. The bevacizumab label requires at least 28 days before elective surgery and at least 28 days after major surgery with adequate wound healing; this minimum is not a proven safe LT interval. Transplant timing may require a longer individualized interval. TKIs also require their own label/pharmacy review.</w:t>
      </w:r>
      <w:r>
        <w:t xml:space="preserve"> </w:t>
      </w:r>
      <w:r>
        <w:t xml:space="preserve"> </w:t>
      </w:r>
      <w:r>
        <w:fldChar w:fldCharType="begin"/>
      </w:r>
      <w:r>
        <w:instrText xml:space="preserve"> ADDIN EN.CITE </w:instrText>
      </w:r>
      <w:r>
        <w:fldChar w:fldCharType="begin">
          <w:fldData>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</w:fldData>
        </w:fldChar>
      </w:r>
      <w:r>
        <w:instrText xml:space="preserve"> ADDIN EN.CITE.DATA </w:instrText>
      </w:r>
      <w:r>
        <w:fldChar w:fldCharType="end"/>
      </w:r>
      <w:r>
        <w:fldChar w:fldCharType="separate"/>
      </w:r>
      <w:r>
        <w:t xml:space="preserve">[V12-33]</w:t>
      </w:r>
      <w:r>
        <w:fldChar w:fldCharType="end"/>
      </w:r>
    </w:p>
    <w:p>
      <w:pPr>
        <w:pStyle w:val="Normal"/>
        <w:widowControl/>
        <w:spacing w:after="120"/>
        <w:numPr>
          <w:ilvl w:val="0"/>
          <w:numId w:val="5"/>
        </w:numPr>
      </w:pPr>
      <w:r>
        <w:t xml:space="preserve">After LT, do not automatically apply the nontransplant ICI matrix. Rejection and graft-loss risk require transplant/oncology assessment and an explicit exceptional-use decision; use the recurrence and immunosuppression sections of the protocol.</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r>
        <w:t xml:space="preserve"> </w:t>
      </w:r>
      <w:r>
        <w:t xml:space="preserve"> </w:t>
      </w:r>
      <w:r>
        <w:fldChar w:fldCharType="begin"/>
      </w:r>
      <w:r>
        <w:instrText xml:space="preserve"> ADDIN EN.CITE </w:instrText>
      </w:r>
      <w:r>
        <w:fldChar w:fldCharType="begin">
          <w:fldData>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</w:fldData>
        </w:fldChar>
      </w:r>
      <w:r>
        <w:instrText xml:space="preserve"> ADDIN EN.CITE.DATA </w:instrText>
      </w:r>
      <w:r>
        <w:fldChar w:fldCharType="end"/>
      </w:r>
      <w:r>
        <w:fldChar w:fldCharType="separate"/>
      </w:r>
      <w:r>
        <w:t xml:space="preserve">[V12-34]</w:t>
      </w:r>
      <w:r>
        <w:fldChar w:fldCharType="end"/>
      </w:r>
    </w:p>
    <w:p>
      <w:pPr>
        <w:pStyle w:val="Heading2"/>
        <w:widowControl/>
        <w:keepNext/>
      </w:pPr>
      <w:r>
        <w:t xml:space="preserve">4.2 Existing ICI evidence and B3 decision — retained</w:t>
      </w:r>
    </w:p>
    <w:p>
      <w:pPr>
        <w:pStyle w:val="Normal"/>
        <w:widowControl/>
      </w:pPr>
      <w:r>
        <w:t xml:space="preserve">VITALITY reported 117 assessed patients, 65/86 ever beyond Milan downstaged, and 43/117 transplanted; most also received locoregional therapy. ImmunoXXL reported 16 selected transplanted patients from 61 treated, with four rejection events. These studies do not isolate an ICI effect from selection or concomitant therapy. The main papers have been fully reviewed; any separately referenced, unavailable supplements remain identified in the source-specific notes.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Mi0zNV08L0Rpc3BsYXlUZXh0PjxyZWNvcmQ+PHJlYy1udW1iZXI+MzU8L3JlYy1udW1iZXI+PGZvcmVpZ24ta2V5cz48a2V5IGFwcD0iRU4iIGRiLWlkPSI3ZGJjZGRiZS02ZjA3LTU2OTgtYmQwYy1iMDM5NTM4YjRjODUiIHRpbWVzdGFtcD0iMTc5MjkyMTA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p>
    <w:p>
      <w:pPr>
        <w:pStyle w:val="Normal"/>
        <w:widowControl/>
        <w:numPr>
          <w:ilvl w:val="0"/>
          <w:numId w:val="3"/>
        </w:numPr>
      </w:pPr>
      <w:r>
        <w:t xml:space="preserve">Record ICI agent, every exposure date, last dose, immune-related adverse events and treatment, active infection, renal function and other immunosuppression. The OPEN HCC-B3 proposal is an elective interval of at least 90 days plus a separate toxicity gate. It is a conservative local safeguard, not a proven safe minimum or an OPTN requirement. Shorter exceptional-care timing requires explicit independent review; longer intervals do not eliminate risk.</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pStyle w:val="Normal"/>
        <w:widowControl/>
      </w:pPr>
      <w:r>
        <w:t xml:space="preserve">In a 119-recipient international cohort there were 24 rejection events and six rejection-related graft losses. Shorter washout was associated with more rejection; the above-50-day reference group is not an evidentiary guarantee of safety. The 91-patient individual-patient meta-analysis is largely retrospective. Prior immune toxicity is a risk signal, not proof that ATG or higher tacrolimus targets prevents rejection.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pStyle w:val="Heading3"/>
        <w:keepNext/>
        <w:widowControl/>
      </w:pPr>
      <w:bookmarkStart w:id="3" w:name="HCC_B3"/>
      <w:r>
        <w:t xml:space="preserve">HCC-B3 — How should prior ICI alter activation and consent?</w:t>
      </w:r>
      <w:bookmarkEnd w:id="3"/>
    </w:p>
    <w:p>
      <w:pPr>
        <w:pStyle w:val="Heading3"/>
        <w:keepNext/>
        <w:widowControl/>
      </w:pPr>
      <w:r>
        <w:t xml:space="preserve">Question and comparison</w:t>
      </w:r>
    </w:p>
    <w:p>
      <w:pPr>
        <w:pStyle w:val="Normal"/>
        <w:widowControl/>
        <w:spacing w:before="60" w:after="20"/>
      </w:pPr>
      <w:r>
        <w:t xml:space="preserve">Patients with HCC treated with immune checkpoint inhibitors before planned LT; compare shorter versus longer ICI-free intervals, prior irAE versus none, and ICI-exposed versus non-ICI recipients. Assess treatment-entry tumor control/access to LT separately from recipient rejection, graft loss, recurrence and survival.</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VITALITY · Tabrizian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p>
          <w:p>
            <w:pPr>
              <w:pStyle w:val="Normal"/>
              <w:widowControl/>
              <w:spacing w:before="60" w:after="20"/>
            </w:pPr>
            <w:r>
              <w:t xml:space="preserve">Prospectively collected six-center observational cohort, January 2016–August 2023; 117 ICI-treated adults with intent to transplant. Baseline 70 within Milan and 47 beyond; 39 of the original within-Milan patients later progressed, yielding 31 always-within and 86 ever-beyond. ICI chosen after inadequate/exhausted LRT, high AFP or technical LRT infeasibility; 110/117 also received LRT.</w:t>
            </w:r>
          </w:p>
          <w:p>
            <w:pPr>
              <w:pStyle w:val="Normal"/>
              <w:widowControl/>
              <w:spacing w:before="60" w:after="20"/>
            </w:pPr>
            <w:hyperlink r:id="rId106">
              <w:r>
                <w:rPr>
                  <w:color w:val="77230C"/>
                  <w:sz w:val="20"/>
                  <w:u w:val="single"/>
                </w:rPr>
                <w:t>Primary source</w:t>
              </w:r>
            </w:hyperlink>
            <w:r>
              <w:t xml:space="preserve"> | </w:t>
            </w:r>
            <w:hyperlink r:id="rId107">
              <w:r>
                <w:rPr>
                  <w:color w:val="77230C"/>
                  <w:sz w:val="20"/>
                  <w:u w:val="single"/>
                </w:rPr>
                <w:t>Full-text PDF</w:t>
              </w:r>
            </w:hyperlink>
          </w:p>
          <w:p>
            <w:pPr>
              <w:pStyle w:val="Normal"/>
              <w:widowControl/>
              <w:spacing w:before="60" w:after="20"/>
            </w:pPr>
            <w:r>
              <w:t xml:space="preserve">Locator: PDF p 3/j 513 Methods and time origins | PDF p 4/j 514 baseline counts | PDF p 5/j 515 toxicities/outcomes | PDF p 6/j 516 Figure 1 and LT outcomes | PDF p 8–9/j 518–519 Tables 3–5 | PDF p 10/j 520 limitations</w:t>
            </w:r>
          </w:p>
          <w:p>
            <w:pPr>
              <w:pStyle w:val="Normal"/>
              <w:widowControl/>
              <w:spacing w:before="60" w:after="20"/>
            </w:pPr>
            <w:r>
              <w:t xml:space="preserve">Review depth: Complete main-paper PDF read: all 12 pages, including methods/results/tables/discussion, Figure 1 and references. Separate supplement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65/86 ever-beyond downstaged (75.6%), median 5.6 months. Three-year ITT survival 71.1% (Results/Figure 2; minor conflicting 70.8% in Discussion); recipient three-year survival 85%. Three-year cumulative LT 33.9%, dropout 42.6%. Complete necrosis 10/42 evaluable explants; micro/macrovascular invasion 13/41. Five HCC recurrences, none with complete explant necrosis. Median ICI washout 43 days; 29/43 &lt;3 months, 14/43 ≥3 months. Safety: Seven biopsy-proven rejections, six after &lt;3-month washout; one graft loss/retransplant after 54-day washout, no rejection-related death. Report 7 events/43 recipients (16.3% crude calculation); article says 16.7%, and Table 5 long-washout 1/13 = 7.7% despite n 14 header: one evaluable-status ambiguity remains. No grade 4–5 waitlist toxicity; two grade 3 events—Figure 1 'no grade3–5' conflicts with Table 2/text.</w:t>
            </w:r>
          </w:p>
          <w:p>
            <w:pPr>
              <w:pStyle w:val="Normal"/>
              <w:widowControl/>
              <w:spacing w:before="60" w:after="20"/>
            </w:pPr>
            <w:r>
              <w:rPr>
                <w:b/>
              </w:rPr>
              <w:t xml:space="preserve">Do not infer: </w:t>
            </w:r>
            <w:r>
              <w:t xml:space="preserve">No non-ICI comparator; treatment mix and prior-treatment survival selection; short post-LT follow-up. No demonstrated advantage from ICI addition, validated washout cutoff, immune assay or induction regimen. Supplements Figure S1 not provided.</w:t>
            </w:r>
          </w:p>
        </w:tc>
      </w:tr>
      <w:tr>
        <w:trPr/>
        <w:tc>
          <w:tcPr>
            <w:tcW w:w="3400" w:type="dxa"/>
            <w:tcMar>
              <w:top w:w="90" w:type="dxa"/>
              <w:left w:w="90" w:type="dxa"/>
              <w:bottom w:w="90" w:type="dxa"/>
              <w:right w:w="90" w:type="dxa"/>
            </w:tcMar>
          </w:tcPr>
          <w:p>
            <w:pPr>
              <w:pStyle w:val="Normal"/>
              <w:widowControl/>
              <w:spacing w:before="60" w:after="20"/>
            </w:pPr>
            <w:r>
              <w:rPr>
                <w:b/>
              </w:rPr>
              <w:t xml:space="preserve">ImmunoXXL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Mi0zNV08L0Rpc3BsYXlUZXh0PjxyZWNvcmQ+PHJlYy1udW1iZXI+MzU8L3JlYy1udW1iZXI+PGZvcmVpZ24ta2V5cz48a2V5IGFwcD0iRU4iIGRiLWlkPSI3ZGJjZGRiZS02ZjA3LTU2OTgtYmQwYy1iMDM5NTM4YjRjODUiIHRpbWVzdGFtcD0iMTc5MjkyMTA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p>
          <w:p>
            <w:pPr>
              <w:pStyle w:val="Normal"/>
              <w:widowControl/>
              <w:spacing w:before="60" w:after="20"/>
            </w:pPr>
            <w:r>
              <w:t xml:space="preserve">Single-center prospective observational phase-II-design study. Sixty-one potentially eligible patients received atezolizumab/bevacizumab from June 2022; 16 selected responders enrolled/listed/transplanted December 2022–January 2025. Initially beyond Up-to-7/UNOS-DS, not amenable to further LRT/surgery, no hepatic-vein/caval invasion or extrahepatic spread. Methods specify Child-Pugh A/ECOG 0–1 at treatment, but Table 1 includes two Child-Pugh B at diagnosis (different time point). At least three months/three cycles and modeled post-LT survival ≥60%; Figure 1 explicitly adds PVTT ≤ Vp2 and AFP ≤100 at downstaging eligibility.</w:t>
            </w:r>
          </w:p>
          <w:p>
            <w:pPr>
              <w:pStyle w:val="Normal"/>
              <w:widowControl/>
              <w:spacing w:before="60" w:after="20"/>
            </w:pPr>
            <w:hyperlink r:id="rId108">
              <w:r>
                <w:rPr>
                  <w:color w:val="77230C"/>
                  <w:sz w:val="20"/>
                  <w:u w:val="single"/>
                </w:rPr>
                <w:t>Primary source</w:t>
              </w:r>
            </w:hyperlink>
            <w:r>
              <w:t xml:space="preserve"> | </w:t>
            </w:r>
            <w:hyperlink r:id="rId109">
              <w:r>
                <w:rPr>
                  <w:color w:val="77230C"/>
                  <w:sz w:val="20"/>
                  <w:u w:val="single"/>
                </w:rPr>
                <w:t>Full-text PDF</w:t>
              </w:r>
            </w:hyperlink>
          </w:p>
          <w:p>
            <w:pPr>
              <w:pStyle w:val="Normal"/>
              <w:widowControl/>
              <w:spacing w:before="60" w:after="20"/>
            </w:pPr>
            <w:r>
              <w:t xml:space="preserve">Locator: PDF p 3/j 118 eligibility/methods | PDF p 4/j 119 Figure 1 | PDF p 5/j 120 statistical time origins and cohort flow | PDF p 6/j 121 Table 1 | PDF p 7/j 122 Figures 2–3 | PDF p 8/j 123 rejection/retransplant outcomes | PDF p 10/j 125 limitations | PDF p 12/j 127 Table 2</w:t>
            </w:r>
          </w:p>
          <w:p>
            <w:pPr>
              <w:pStyle w:val="Normal"/>
              <w:widowControl/>
              <w:spacing w:before="60" w:after="20"/>
            </w:pPr>
            <w:r>
              <w:t xml:space="preserve">Review depth: Complete 14-page main-paper PDF read; Tables S1–S5 and separate supplementary methods/figures are referenced but not attached.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baseline PVTT: Figure 2 six Vp2, one Vp3, one Vp4; after treatment/explant seven complete responses and one Vp4 → Vp2. Median washout 57.5 d (IQR 29–87), follow-up 16 mo. Ten complete and six partial pathological responses. One recurrence and one death; reported two-year recurrence-free estimate 90% (95% CI 62–98) and OS 94% (67–100), with above time-origin/death-censoring caveat. Radiologic counts 12 CR/4 PR equal 75%/25%, whereas text/table incorrectly label 70%/30%. Safety: Four biopsy-proven acute rejections (RAI 5–7); median washout 28 d rejecting vs 60 d nonrejecting, P = .045. Three pre-LT events labeled irAEs, including ascites and severe hypertension. Ninety-day morbidity 10/16 (62.5%), mortality 1/16 (6.3%). Two retransplants: one hepatic-artery thrombosis; one marginal-graft dysfunction mixed with rejection/sepsis, followed by death. Do not describe all graft loss as rejection-caused or the entire course as harmless/manageable rejection.</w:t>
            </w:r>
          </w:p>
          <w:p>
            <w:pPr>
              <w:pStyle w:val="Normal"/>
              <w:widowControl/>
              <w:spacing w:before="60" w:after="20"/>
            </w:pPr>
            <w:r>
              <w:rPr>
                <w:b/>
              </w:rPr>
              <w:t xml:space="preserve">Do not infer: </w:t>
            </w:r>
            <w:r>
              <w:t xml:space="preserve">Tiny selected cohort, short follow-up and wide intervals; historical proxy endpoint, no clinical survival control. Fourteen LRT-only patients served an immunoprofiling comparison, not an unbiased comparative efficacy arm. Transcriptomic/immune associations are exploratory and cannot validate a two-month safe interval or immune-clearance assay. Supplementary eligibility details unavailable.</w:t>
            </w:r>
          </w:p>
        </w:tc>
      </w:tr>
      <w:tr>
        <w:trPr/>
        <w:tc>
          <w:tcPr>
            <w:tcW w:w="3400" w:type="dxa"/>
            <w:tcMar>
              <w:top w:w="90" w:type="dxa"/>
              <w:left w:w="90" w:type="dxa"/>
              <w:bottom w:w="90" w:type="dxa"/>
              <w:right w:w="90" w:type="dxa"/>
            </w:tcMar>
          </w:tcPr>
          <w:p>
            <w:pPr>
              <w:pStyle w:val="Normal"/>
              <w:widowControl/>
              <w:spacing w:before="60" w:after="20"/>
            </w:pPr>
            <w:r>
              <w:rPr>
                <w:b/>
              </w:rPr>
              <w:t xml:space="preserve">Moeckli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p>
          <w:p>
            <w:pPr>
              <w:pStyle w:val="Normal"/>
              <w:widowControl/>
              <w:spacing w:before="60" w:after="20"/>
            </w:pPr>
            <w:r>
              <w:t xml:space="preserve">International retrospective individual-patient assembly from literature search (2017–25 Nov 2024), author/center follow-up and five previously unpublished patients; 119 recipients from 29 centers after 3 exclusions. Not 119 independent newly recruited patients. Required ICI type, washout, rejection information and ≥2 weeks post-LT follow-up. Duplicates within this assembly removed; overlap with prior IPD review acknowledged.</w:t>
            </w:r>
          </w:p>
          <w:p>
            <w:pPr>
              <w:pStyle w:val="Normal"/>
              <w:widowControl/>
              <w:spacing w:before="60" w:after="20"/>
            </w:pPr>
            <w:hyperlink r:id="rId110">
              <w:r>
                <w:rPr>
                  <w:color w:val="77230C"/>
                  <w:sz w:val="20"/>
                  <w:u w:val="single"/>
                </w:rPr>
                <w:t>Primary source</w:t>
              </w:r>
            </w:hyperlink>
            <w:r>
              <w:t xml:space="preserve"> | </w:t>
            </w:r>
            <w:hyperlink r:id="rId111">
              <w:r>
                <w:rPr>
                  <w:color w:val="77230C"/>
                  <w:sz w:val="20"/>
                  <w:u w:val="single"/>
                </w:rPr>
                <w:t>Full-text PDF</w:t>
              </w:r>
            </w:hyperlink>
          </w:p>
          <w:p>
            <w:pPr>
              <w:pStyle w:val="Normal"/>
              <w:widowControl/>
              <w:spacing w:before="60" w:after="20"/>
            </w:pPr>
            <w:r>
              <w:t xml:space="preserve">Locator: PDF p 3–4/j 1124–1125 inclusion, outcome/statistical definitions | PDF p 5–7/j 1126–1128 Table 1 and graft-loss outcomes | PDF p 8/j 1129 Figure 2 | PDF p 10–11/j 1131–1132 Table 2 | PDF p 13/j 1134 missing follow-up/limitations</w:t>
            </w:r>
          </w:p>
          <w:p>
            <w:pPr>
              <w:pStyle w:val="Normal"/>
              <w:widowControl/>
              <w:spacing w:before="60" w:after="20"/>
            </w:pPr>
            <w:r>
              <w:t xml:space="preserve">Review depth: Complete 16-page main-paper PDF read, including both parts of regression Table 2 and all figures. Supplemental Appendix/Table S1–S2/Figures S1–S3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18 mo (IQR 11–27). Reported washout bins: 0–30 d n 30, 15 rejections; 30–50 d n 23, 6; 50–90 d n 28, 2; &gt;90 d n 38, 1. Combined short 53 had 21 rejections versus long 66 had 3. Table 2 multivariable ORs versus &gt;50 d: 0–30 d 34.0 (95% CI 7.17–267), 30–50 d 10.8 (2.3–78.6); univariate 21.3/9.48. Continuous sensitivity OR .97/day (.95–.99). Data-driven 50 day choice sought observed rejection &lt;10%. No detected recurrence difference; body reports 36 mo recurrence-free 71% vs 66%, abstract 67% comparator (minor inconsistency). Safety: 24/119 rejection 20.2%, median 9 d; six rejection-related graft losses (6/119 5.0%; 6/24 25%). Four patients with graft loss subsequently died and two were retransplanted; do not label all four deaths definitively rejection-attributable without case supplement. Nine deaths among 92 with available status. Rejection/persistent graft-loss risk not zero after 90 days (one of 38).</w:t>
            </w:r>
          </w:p>
          <w:p>
            <w:pPr>
              <w:pStyle w:val="Normal"/>
              <w:widowControl/>
              <w:spacing w:before="60" w:after="20"/>
            </w:pPr>
            <w:r>
              <w:rPr>
                <w:b/>
              </w:rPr>
              <w:t xml:space="preserve">Do not infer: </w:t>
            </w:r>
            <w:r>
              <w:t xml:space="preserve">Literature-derived/publication bias, heterogeneous ascertainment and immunosuppression, one-third clinically diagnosed, small event count/data-driven cutpoint and very wide adjusted intervals. Missing donor factors undermine reassurance from nonsignificance. No capture of progression/dropout during washout, so no estimate of the longer-wait oncologic tradeoff. Main paper does not externally validate the 50 day threshold.</w:t>
            </w:r>
          </w:p>
        </w:tc>
      </w:tr>
      <w:tr>
        <w:trPr/>
        <w:tc>
          <w:tcPr>
            <w:tcW w:w="3400" w:type="dxa"/>
            <w:tcMar>
              <w:top w:w="90" w:type="dxa"/>
              <w:left w:w="90" w:type="dxa"/>
              <w:bottom w:w="90" w:type="dxa"/>
              <w:right w:w="90" w:type="dxa"/>
            </w:tcMar>
          </w:tcPr>
          <w:p>
            <w:pPr>
              <w:pStyle w:val="Normal"/>
              <w:widowControl/>
              <w:spacing w:before="60" w:after="20"/>
            </w:pPr>
            <w:r>
              <w:rPr>
                <w:b/>
              </w:rPr>
              <w:t xml:space="preserve">Rezaee-Zavareh · IPD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spacing w:before="60" w:after="20"/>
            </w:pPr>
            <w:r>
              <w:t xml:space="preserve">Secondary systematic review and individual-patient-data analysis: 91 recipients from 30 predominantly case reports/series and cohorts.</w:t>
            </w:r>
          </w:p>
          <w:p>
            <w:pPr>
              <w:pStyle w:val="Normal"/>
              <w:widowControl/>
              <w:spacing w:before="60" w:after="20"/>
            </w:pPr>
            <w:hyperlink r:id="rId112">
              <w:r>
                <w:rPr>
                  <w:color w:val="77230C"/>
                  <w:sz w:val="20"/>
                  <w:u w:val="single"/>
                </w:rPr>
                <w:t>Primary source</w:t>
              </w:r>
            </w:hyperlink>
            <w:r>
              <w:t xml:space="preserve"> | </w:t>
            </w:r>
            <w:hyperlink r:id="rId113">
              <w:r>
                <w:rPr>
                  <w:color w:val="77230C"/>
                  <w:sz w:val="20"/>
                  <w:u w:val="single"/>
                </w:rPr>
                <w:t>Full-text PDF</w:t>
              </w:r>
            </w:hyperlink>
          </w:p>
          <w:p>
            <w:pPr>
              <w:pStyle w:val="Normal"/>
              <w:widowControl/>
              <w:spacing w:before="60" w:after="20"/>
            </w:pPr>
            <w:r>
              <w:t xml:space="preserve">Locator: Complete local author manuscript: Results/washout model; PDF p10 (manuscript p7) conclusion. Existing V6 quotation ledger retained.</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24/91 rejections (26.4%), nine recurrences and nine deaths; median follow-up 690 days. Adjusted rejection hazard ratio per additional washout week .92 (95% CI .86–.99). Ninety-four days was the median washout among modeled patients with predicted rejection probability ≤20%, not an observed universal safety cutoff.</w:t>
            </w:r>
          </w:p>
          <w:p>
            <w:pPr>
              <w:pStyle w:val="Normal"/>
              <w:widowControl/>
              <w:spacing w:before="60" w:after="20"/>
            </w:pPr>
            <w:r>
              <w:rPr>
                <w:b/>
              </w:rPr>
              <w:t xml:space="preserve">Do not infer: </w:t>
            </w:r>
            <w:r>
              <w:t xml:space="preserve">Publication/selection bias, heterogeneous regimens, small events and overlap with later cohorts. A modeled ≤20% probability does not justify telling an individual that three months eliminates rejection risk.</w:t>
            </w:r>
          </w:p>
        </w:tc>
      </w:tr>
      <w:tr>
        <w:trPr/>
        <w:tc>
          <w:tcPr>
            <w:tcW w:w="3400" w:type="dxa"/>
            <w:tcMar>
              <w:top w:w="90" w:type="dxa"/>
              <w:left w:w="90" w:type="dxa"/>
              <w:bottom w:w="90" w:type="dxa"/>
              <w:right w:w="90" w:type="dxa"/>
            </w:tcMar>
          </w:tcPr>
          <w:p>
            <w:pPr>
              <w:pStyle w:val="Normal"/>
              <w:widowControl/>
              <w:spacing w:before="60" w:after="20"/>
            </w:pPr>
            <w:r>
              <w:rPr>
                <w:b/>
              </w:rPr>
              <w:t xml:space="preserve">Fang · irAEs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pStyle w:val="Normal"/>
              <w:widowControl/>
              <w:spacing w:before="60" w:after="20"/>
            </w:pPr>
            <w:r>
              <w:t xml:space="preserve">Multicenter Chinese retrospective cohort, 2018–2024: 209 ICI-exposed LT recipients.</w:t>
            </w:r>
          </w:p>
          <w:p>
            <w:pPr>
              <w:pStyle w:val="Normal"/>
              <w:widowControl/>
              <w:spacing w:before="60" w:after="20"/>
            </w:pPr>
            <w:hyperlink r:id="rId114">
              <w:r>
                <w:rPr>
                  <w:color w:val="77230C"/>
                  <w:sz w:val="20"/>
                  <w:u w:val="single"/>
                </w:rPr>
                <w:t>Primary source</w:t>
              </w:r>
            </w:hyperlink>
            <w:r>
              <w:t xml:space="preserve"> | </w:t>
            </w:r>
            <w:hyperlink r:id="rId115">
              <w:r>
                <w:rPr>
                  <w:color w:val="77230C"/>
                  <w:sz w:val="20"/>
                  <w:u w:val="single"/>
                </w:rPr>
                <w:t>Full-text PDF</w:t>
              </w:r>
            </w:hyperlink>
          </w:p>
          <w:p>
            <w:pPr>
              <w:pStyle w:val="Normal"/>
              <w:widowControl/>
              <w:spacing w:before="60" w:after="20"/>
            </w:pPr>
            <w:r>
              <w:t xml:space="preserve">Locator: Complete local PDF pp5–6, Tables 3–4; avoid reversed conditional denominators.</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Rejection occurred in 36/209 (17.2%); 61.1% biopsy proven, median ten days after LT. Correct risks from Table 3: 21/44 (47.7%) with prior irAE versus 15/165 (9.1%) without. Any irAE adjusted OR 9.17 (95% CI 4.00–21.02); washout &lt;30 days OR 3.071 (1.211–7.787). The six grade 3–4 cases split three with and three without rejection.</w:t>
            </w:r>
          </w:p>
          <w:p>
            <w:pPr>
              <w:pStyle w:val="Normal"/>
              <w:widowControl/>
              <w:spacing w:before="60" w:after="20"/>
            </w:pPr>
            <w:r>
              <w:rPr>
                <w:b/>
              </w:rPr>
              <w:t xml:space="preserve">Do not infer: </w:t>
            </w:r>
            <w:r>
              <w:t xml:space="preserve">The discussion's 58.3%/13.3% are irAE prevalence within rejection/nonrejection groups, not rejection probabilities. Too few severe irAEs to validate a grade-specific exclusion or a recovery interval.</w:t>
            </w:r>
          </w:p>
        </w:tc>
      </w:tr>
      <w:tr>
        <w:trPr/>
        <w:tc>
          <w:tcPr>
            <w:tcW w:w="3400" w:type="dxa"/>
            <w:tcMar>
              <w:top w:w="90" w:type="dxa"/>
              <w:left w:w="90" w:type="dxa"/>
              <w:bottom w:w="90" w:type="dxa"/>
              <w:right w:w="90" w:type="dxa"/>
            </w:tcMar>
          </w:tcPr>
          <w:p>
            <w:pPr>
              <w:pStyle w:val="Normal"/>
              <w:widowControl/>
              <w:spacing w:before="60" w:after="20"/>
            </w:pPr>
            <w:r>
              <w:rPr>
                <w:b/>
              </w:rPr>
              <w:t xml:space="preserve">Aceituno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yLTM4XTwvRGlzcGxheVRleHQ+PHJlY29yZD48cmVjLW51bWJlcj4zODwvcmVjLW51bWJlcj48Zm9yZWlnbi1rZXlzPjxrZXkgYXBwPSJFTiIgZGItaWQ9IjdkYmNkZGJlLTZmMDctNTY5OC1iZDBjLWIwMzk1MzhiNGM4NSIgdGltZXN0YW1wPSIxNzkyOTIxMD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[V12-38]</w:t>
            </w:r>
            <w:r>
              <w:fldChar w:fldCharType="end"/>
            </w:r>
          </w:p>
          <w:p>
            <w:pPr>
              <w:pStyle w:val="Normal"/>
              <w:widowControl/>
              <w:spacing w:before="60" w:after="20"/>
            </w:pPr>
            <w:r>
              <w:t xml:space="preserve">Ten-center ICI series, 48 recipients, propensity matched with 144 Toronto non-ICI controls; 20/48 exposed cases previously published.</w:t>
            </w:r>
          </w:p>
          <w:p>
            <w:pPr>
              <w:pStyle w:val="Normal"/>
              <w:widowControl/>
              <w:spacing w:before="60" w:after="20"/>
            </w:pPr>
            <w:hyperlink r:id="rId116">
              <w:r>
                <w:rPr>
                  <w:color w:val="77230C"/>
                  <w:sz w:val="20"/>
                  <w:u w:val="single"/>
                </w:rPr>
                <w:t>Primary source</w:t>
              </w:r>
            </w:hyperlink>
            <w:r>
              <w:t xml:space="preserve"> | </w:t>
            </w:r>
            <w:hyperlink r:id="rId117">
              <w:r>
                <w:rPr>
                  <w:color w:val="77230C"/>
                  <w:sz w:val="20"/>
                  <w:u w:val="single"/>
                </w:rPr>
                <w:t>Full-text PDF</w:t>
              </w:r>
            </w:hyperlink>
          </w:p>
          <w:p>
            <w:pPr>
              <w:pStyle w:val="Normal"/>
              <w:widowControl/>
              <w:spacing w:before="60" w:after="20"/>
            </w:pPr>
            <w:r>
              <w:t xml:space="preserve">Locator: Complete local PDF pp2–5, Methods and Tables 1–2.</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Biopsy-proven rejection 9/48 (18.8%) versus 28/144 (19.4%), P=.916. Two exposed cases were steroid resistant; one rejection-related graft failure required retransplant. Overall graft failure 2/48 versus 3/144, retransplant 2 versus zero, recurrence 5/48 versus 15/144, death 7/48 versus 21/144. Median follow-up 2.6 versus 3.2 years. Table 1 washout median 60 days, IQR 22–196.</w:t>
            </w:r>
          </w:p>
          <w:p>
            <w:pPr>
              <w:pStyle w:val="Normal"/>
              <w:widowControl/>
              <w:spacing w:before="60" w:after="20"/>
            </w:pPr>
            <w:r>
              <w:rPr>
                <w:b/>
              </w:rPr>
              <w:t xml:space="preserve">Do not infer: </w:t>
            </w:r>
            <w:r>
              <w:t xml:space="preserve">No detected difference is not equivalence. Substantial tumor-risk imbalance and published-case overlap. Abstract washout IQR 13–96 conflicts with Table 1 and appears to match rejection-onset timing; use table and flag discrepancy. It cannot reassure about prior irAE risk.</w:t>
            </w:r>
          </w:p>
        </w:tc>
      </w:tr>
      <w:tr>
        <w:trPr/>
        <w:tc>
          <w:tcPr>
            <w:tcW w:w="3400" w:type="dxa"/>
            <w:tcMar>
              <w:top w:w="90" w:type="dxa"/>
              <w:left w:w="90" w:type="dxa"/>
              <w:bottom w:w="90" w:type="dxa"/>
              <w:right w:w="90" w:type="dxa"/>
            </w:tcMar>
          </w:tcPr>
          <w:p>
            <w:pPr>
              <w:pStyle w:val="Normal"/>
              <w:widowControl/>
              <w:spacing w:before="60" w:after="20"/>
            </w:pPr>
            <w:r>
              <w:rPr>
                <w:b/>
              </w:rPr>
              <w:t xml:space="preserve">LITCHI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yLTM5XTwvRGlzcGxheVRleHQ+PHJlY29yZD48cmVjLW51bWJlcj4zOTwvcmVjLW51bWJlcj48Zm9yZWlnbi1rZXlzPjxrZXkgYXBwPSJFTiIgZGItaWQ9IjdkYmNkZGJlLTZmMDctNTY5OC1iZDBjLWIwMzk1MzhiNGM4NSIgdGltZXN0YW1wPSIxNzkyOTIxMD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p>
          <w:p>
            <w:pPr>
              <w:pStyle w:val="Normal"/>
              <w:widowControl/>
              <w:spacing w:before="60" w:after="20"/>
            </w:pPr>
            <w:r>
              <w:t xml:space="preserve">European multicenter series of 18 ICI-exposed LT recipients: 15 atezolizumab–bevacizumab, two nivolumab and one pembrolizumab. Fourteen of 17 evaluable patients were beyond Milan before treatment and seven of 17 remained beyond Milan before LT.</w:t>
            </w:r>
          </w:p>
          <w:p>
            <w:pPr>
              <w:pStyle w:val="Normal"/>
              <w:widowControl/>
              <w:spacing w:before="60" w:after="20"/>
            </w:pPr>
            <w:hyperlink r:id="rId118">
              <w:r>
                <w:rPr>
                  <w:color w:val="77230C"/>
                  <w:sz w:val="20"/>
                  <w:u w:val="single"/>
                </w:rPr>
                <w:t>Primary source</w:t>
              </w:r>
            </w:hyperlink>
            <w:r>
              <w:t xml:space="preserve"> | </w:t>
            </w:r>
            <w:hyperlink r:id="rId119">
              <w:r>
                <w:rPr>
                  <w:color w:val="77230C"/>
                  <w:sz w:val="20"/>
                  <w:u w:val="single"/>
                </w:rPr>
                <w:t>Full-text PDF</w:t>
              </w:r>
            </w:hyperlink>
          </w:p>
          <w:p>
            <w:pPr>
              <w:pStyle w:val="Normal"/>
              <w:widowControl/>
              <w:spacing w:before="60" w:after="20"/>
            </w:pPr>
            <w:r>
              <w:t xml:space="preserve">Locator: PDF p 2: cohort, biopsy ascertainment, 14/17 and 7/17 Milan status. | PDF p 3: Table 1 washout, harms, 12-month OS and follow up. | PDF p 4: rejection days, limitations, 14/18 &gt;100 days. | PDF p 5: supplement inventory not included.</w:t>
            </w:r>
          </w:p>
          <w:p>
            <w:pPr>
              <w:pStyle w:val="Normal"/>
              <w:widowControl/>
              <w:spacing w:before="60" w:after="20"/>
            </w:pPr>
            <w:r>
              <w:t xml:space="preserve">Review depth: Complete six-page main article read, including individual-patient Table 1 and discussion; supplemental Tables S1–S4/Figures S1–S3 not provided.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of 18 had biopsy-proven rejection (22%; reported 95% CI 6.4–47.6%), diagnosed at days 21, 27, 147 and 686. One rejection was fatal after a 13-day washout. One HCC recurrence occurred at 229 days. The reported one-year OS point estimate is 77%, but abstract and body give inconsistent confidence intervals. Safety: Rejection can occur late, not only in the immediate postoperative period. One fatal rejection; a long washout does not eliminate risk.</w:t>
            </w:r>
          </w:p>
          <w:p>
            <w:pPr>
              <w:pStyle w:val="Normal"/>
              <w:widowControl/>
              <w:spacing w:before="60" w:after="20"/>
            </w:pPr>
            <w:r>
              <w:rPr>
                <w:b/>
              </w:rPr>
              <w:t xml:space="preserve">Do not infer: </w:t>
            </w:r>
            <w:r>
              <w:t xml:space="preserve">Small selected recipient series without a control group or entry denominator; center-dependent surveillance biopsies. Very short oncologic follow-up for high-risk subgroups. The inconsistent OS confidence interval should not be copied. No validated washout or protective immunosuppression regimen.</w:t>
            </w:r>
          </w:p>
        </w:tc>
      </w:tr>
      <w:tr>
        <w:trPr/>
        <w:tc>
          <w:tcPr>
            <w:tcW w:w="3400" w:type="dxa"/>
            <w:tcMar>
              <w:top w:w="90" w:type="dxa"/>
              <w:left w:w="90" w:type="dxa"/>
              <w:bottom w:w="90" w:type="dxa"/>
              <w:right w:w="90" w:type="dxa"/>
            </w:tcMar>
          </w:tcPr>
          <w:p>
            <w:pPr>
              <w:pStyle w:val="Normal"/>
              <w:widowControl/>
              <w:spacing w:before="60" w:after="20"/>
            </w:pPr>
            <w:r>
              <w:rPr>
                <w:b/>
              </w:rPr>
              <w:t xml:space="preserve">HCC ICI cohort · JAMA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Mi00MF08L0Rpc3BsYXlUZXh0PjxyZWNvcmQ+PHJlYy1udW1iZXI+NDA8L3JlYy1udW1iZXI+PGZvcmVpZ24ta2V5cz48a2V5IGFwcD0iRU4iIGRiLWlkPSI3ZGJjZGRiZS02ZjA3LTU2OTgtYmQwYy1iMDM5NTM4YjRjODUiIHRpbWVzdGFtcD0iMTc5MjkyMTA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[V12-40]</w:t>
            </w:r>
            <w:r>
              <w:fldChar w:fldCharType="end"/>
            </w:r>
          </w:p>
          <w:p>
            <w:pPr>
              <w:pStyle w:val="Normal"/>
              <w:widowControl/>
              <w:spacing w:before="60" w:after="20"/>
            </w:pPr>
            <w:r>
              <w:t xml:space="preserve">Eight Chinese centers, LT 2019–2024. 879 adult recipients initially beyond Milan screened, 727 eligible: 244 ICI and 483 non-ICI; 208 matched in each arm. Predominantly HBV (88% matched), male (90.6%); baseline macrovascular invasion 76/208 versus 77/208. ICI strategy commonly combined LRT and targeted agents: 131 triple, 61 dual, 16 ICI alone. Control 182 LRT alone, 23 LRT + targeted, 3 targeted alone.</w:t>
            </w:r>
          </w:p>
          <w:p>
            <w:pPr>
              <w:pStyle w:val="Normal"/>
              <w:widowControl/>
              <w:spacing w:before="60" w:after="20"/>
            </w:pPr>
            <w:hyperlink r:id="rId120">
              <w:r>
                <w:rPr>
                  <w:color w:val="77230C"/>
                  <w:sz w:val="20"/>
                  <w:u w:val="single"/>
                </w:rPr>
                <w:t>Primary source</w:t>
              </w:r>
            </w:hyperlink>
            <w:r>
              <w:t xml:space="preserve"> | </w:t>
            </w:r>
            <w:hyperlink r:id="rId121">
              <w:r>
                <w:rPr>
                  <w:color w:val="77230C"/>
                  <w:sz w:val="20"/>
                  <w:u w:val="single"/>
                </w:rPr>
                <w:t>Full-text PDF</w:t>
              </w:r>
            </w:hyperlink>
          </w:p>
          <w:p>
            <w:pPr>
              <w:pStyle w:val="Normal"/>
              <w:widowControl/>
              <w:spacing w:before="60" w:after="20"/>
            </w:pPr>
            <w:r>
              <w:t xml:space="preserve">Locator: PDF pp 2–3 / E2–E3: design, Figure 1, time origins and matching. | PDF p 4 / E4: Table 1, multimodal exposures, only 32/208 and 18/208 within Milan. | PDF p 5 / E5: Table 2 washout missingness and rejection/survival. | PDF p 6 / E6: Figure 2 at-risk counts. | PDF pp 7–9 / E7–E9: subgroup caveats, limitations and conclusion.</w:t>
            </w:r>
          </w:p>
          <w:p>
            <w:pPr>
              <w:pStyle w:val="Normal"/>
              <w:widowControl/>
              <w:spacing w:before="60" w:after="20"/>
            </w:pPr>
            <w:r>
              <w:t xml:space="preserve">Review depth: Complete 10-page main article read, including all tables/figures, discussion and references; supplements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ICI versus control: median OS 4.57 versus 2.53 years, adjusted HR .63 (95% CI .43–.92); median RFS 1.47 versus .89 years, adjusted HR .59 (.44–.80); recurrence subdistribution HR .54 (.40–.72). 1-/3-year OS 83.9/71.6% versus 74.6/43.9%; RFS 62.8/43.5 versus 48.4/30.7%. Acute rejection ≤90 days 34/208 (16.3%) versus 17/208 (8.2%), absolute difference 8.17 pp (CI 1.92–14.43); rejection-attributed deaths 3/34 versus 1/17. Median washout 58.5 days; ≤90-day washout 26/32 rejection cases versus 100/160 nonrejection cases. Objective response 100/208 versus 40/208; pCR 6/208 versus 0; major pathologic response 58/208 versus 35/208. Safety: Higher early rejection and three rejection-attributed deaths in ICI arm. No reliable pre-LT toxicity/dropout estimate because only transplanted patients included. At five years OS at-risk counts only 3 ICI and 21 control; long-horizon medians/tails imprecise.</w:t>
            </w:r>
          </w:p>
          <w:p>
            <w:pPr>
              <w:pStyle w:val="Normal"/>
              <w:widowControl/>
              <w:spacing w:before="60" w:after="20"/>
            </w:pPr>
            <w:r>
              <w:rPr>
                <w:b/>
              </w:rPr>
              <w:t xml:space="preserve">Do not infer: </w:t>
            </w:r>
            <w:r>
              <w:t xml:space="preserve">Retrospective PSM of selected recipients, residual biology/era confounding and conditioning on transplantation; graft type and donor age included in primary propensity model but sensitivity reportedly excludes these postexposure factors. Only 15.4%/8.7% downstaged within Milan; clinical selection differs markedly from proposed local pilot. Multimodal strategy not isolated ICI effect. Missing supplementary eligibility, rejection treatment and dynamic response details. Overlap with related Guo/Fang Chinese cohorts possible; do not sum as independent samples. Exploratory sex and high-risk subgroups not treatment-selection rules.</w:t>
            </w:r>
          </w:p>
        </w:tc>
      </w:tr>
      <w:tr>
        <w:trPr/>
        <w:tc>
          <w:tcPr>
            <w:tcW w:w="3400" w:type="dxa"/>
            <w:tcMar>
              <w:top w:w="90" w:type="dxa"/>
              <w:left w:w="90" w:type="dxa"/>
              <w:bottom w:w="90" w:type="dxa"/>
              <w:right w:w="90" w:type="dxa"/>
            </w:tcMar>
          </w:tcPr>
          <w:p>
            <w:pPr>
              <w:pStyle w:val="Normal"/>
              <w:widowControl/>
              <w:spacing w:before="60" w:after="20"/>
            </w:pPr>
            <w:r>
              <w:rPr>
                <w:b/>
              </w:rPr>
              <w:t xml:space="preserve">Kulkarni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yLTQxXTwvRGlzcGxheVRleHQ+PHJlY29yZD48cmVjLW51bWJlcj40MTwvcmVjLW51bWJlcj48Zm9yZWlnbi1rZXlzPjxrZXkgYXBwPSJFTiIgZGItaWQ9IjdkYmNkZGJlLTZmMDctNTY5OC1iZDBjLWIwMzk1MzhiNGM4NSIgdGltZXN0YW1wPSIxNzkyOTIxMD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[V12-41]</w:t>
            </w:r>
            <w:r>
              <w:fldChar w:fldCharType="end"/>
            </w:r>
          </w:p>
          <w:p>
            <w:pPr>
              <w:pStyle w:val="Normal"/>
              <w:widowControl/>
              <w:spacing w:before="60" w:after="20"/>
            </w:pPr>
            <w:r>
              <w:t xml:space="preserve">Mixed pre-LT ICI case series, a small pilot randomized study, post-LT case series, LRT studies and nontransplant systemic-therapy trials. These are different populations and overlapping evidence.</w:t>
            </w:r>
          </w:p>
          <w:p>
            <w:pPr>
              <w:pStyle w:val="Normal"/>
              <w:widowControl/>
              <w:spacing w:before="60" w:after="20"/>
            </w:pPr>
            <w:hyperlink r:id="rId122">
              <w:r>
                <w:rPr>
                  <w:color w:val="77230C"/>
                  <w:sz w:val="20"/>
                  <w:u w:val="single"/>
                </w:rPr>
                <w:t>Primary source</w:t>
              </w:r>
            </w:hyperlink>
            <w:r>
              <w:t xml:space="preserve"> | </w:t>
            </w:r>
            <w:hyperlink r:id="rId123">
              <w:r>
                <w:rPr>
                  <w:color w:val="77230C"/>
                  <w:sz w:val="20"/>
                  <w:u w:val="single"/>
                </w:rPr>
                <w:t>Full-text PDF</w:t>
              </w:r>
            </w:hyperlink>
          </w:p>
          <w:p>
            <w:pPr>
              <w:pStyle w:val="Normal"/>
              <w:widowControl/>
              <w:spacing w:before="60" w:after="20"/>
            </w:pPr>
            <w:r>
              <w:t xml:space="preserve">Locator: PDF pp 6–8 Table 3; p 9 rejection/post-LT discussion; p 10/printed 594 Section 10; pp 11–12 preventive proposals and research gaps; pp 13–14 trial table/conclusion.</w:t>
            </w:r>
          </w:p>
          <w:p>
            <w:pPr>
              <w:pStyle w:val="Normal"/>
              <w:widowControl/>
              <w:spacing w:before="60" w:after="20"/>
            </w:pPr>
            <w:r>
              <w:t xml:space="preserve">Review depth: Complete substantive narrative text pp 1–14, all 6 tables and relevant bibliography references read; no independent reanalysis of its cited cohorts or external supplements.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individualized ICI use, acknowledgement of rejection, infection/decompensation and anti-VEGF wound-healing risk, and LDLT scheduling flexibility.; Section 10 describes center variation in corticosteroid with or without basiliximab induction. This supports documenting institutional practice, not declaring one regimen proven superior.; Suggested early tacrolimus 12–15 ng/mL, protocol biopsy and prophylactic plasma strategies are author proposals based on small heterogeneous reports; the review itself states that benefit of T-cell-directed induction is unknown.; Biomarkers and protocol biopsies are described as needing validation. The review does not establish a transplant-eligibility rule based on TP53, TERT, CTNNB1, ctDNA or fewer than five ICI cycles.</w:t>
            </w:r>
          </w:p>
          <w:p>
            <w:pPr>
              <w:pStyle w:val="Normal"/>
              <w:widowControl/>
              <w:spacing w:before="60" w:after="20"/>
            </w:pPr>
            <w:r>
              <w:rPr>
                <w:b/>
              </w:rPr>
              <w:t xml:space="preserve">Do not infer: </w:t>
            </w:r>
            <w:r>
              <w:t xml:space="preserve">Some categorical statements exceed the cited evidence: no response in post-LT HCC comes from tiny old series and is not consistent with the newer 52-recipient DeMartin study; use the updated primary extraction.; Section 10's tacrolimus target is not a society guideline and has not been prospectively shown to prevent ICI-associated rejection without excess toxicity.; Table 3 Guo washout direction contains a typographical inconsistency; do not copy it. The VITALITY 86%/14% numbers must not be presented as group rejection incidence.; Selection exclusion based solely on ≤4 ICI cycles, a mutation or imaging response category is not validated by this review.; Do not use the review's UNOS size inequalities instead of current official policy. Time origin: Use underlying primary studies for all quantitative consent/outcome claims. Table 3 mixes candidates and recipients; the 86%/14% VITALITY statement describes the distribution of seven rejection events by washout, not the probability of rejection in each exposure group.</w:t>
            </w:r>
          </w:p>
        </w:tc>
      </w:tr>
      <w:tr>
        <w:trPr/>
        <w:tc>
          <w:tcPr>
            <w:tcW w:w="3400" w:type="dxa"/>
            <w:tcMar>
              <w:top w:w="90" w:type="dxa"/>
              <w:left w:w="90" w:type="dxa"/>
              <w:bottom w:w="90" w:type="dxa"/>
              <w:right w:w="90" w:type="dxa"/>
            </w:tcMar>
          </w:tcPr>
          <w:p>
            <w:pPr>
              <w:pStyle w:val="Normal"/>
              <w:widowControl/>
              <w:spacing w:before="60" w:after="20"/>
            </w:pPr>
            <w:r>
              <w:rPr>
                <w:b/>
              </w:rPr>
              <w:t xml:space="preserve">Demirors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yLTQyXTwvRGlzcGxheVRleHQ+PHJlY29yZD48cmVjLW51bWJlcj40MjwvcmVjLW51bWJlcj48Zm9yZWlnbi1rZXlzPjxrZXkgYXBwPSJFTiIgZGItaWQ9IjdkYmNkZGJlLTZmMDctNTY5OC1iZDBjLWIwMzk1MzhiNGM4NSIgdGltZXN0YW1wPSIxNzkyOTIxMD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[V12-42]</w:t>
            </w:r>
            <w:r>
              <w:fldChar w:fldCharType="end"/>
            </w:r>
          </w:p>
          <w:p>
            <w:pPr>
              <w:pStyle w:val="Normal"/>
              <w:widowControl/>
              <w:spacing w:before="60" w:after="20"/>
            </w:pPr>
            <w:r>
              <w:t xml:space="preserve">HCC dominates; review claims &gt;1,200 ICI-exposed LT recipients and 43 CCA patients. Tables mix primary cohorts, systematic reviews, candidate denominators, resection cohorts, chemotherapy-only transplant evidence and contextual abstracts; unique-recipient totals are not independently reconciled.</w:t>
            </w:r>
          </w:p>
          <w:p>
            <w:pPr>
              <w:pStyle w:val="Normal"/>
              <w:widowControl/>
              <w:spacing w:before="60" w:after="20"/>
            </w:pPr>
            <w:hyperlink r:id="rId124">
              <w:r>
                <w:rPr>
                  <w:color w:val="77230C"/>
                  <w:sz w:val="20"/>
                  <w:u w:val="single"/>
                </w:rPr>
                <w:t>Primary source</w:t>
              </w:r>
            </w:hyperlink>
            <w:r>
              <w:t xml:space="preserve"> | </w:t>
            </w:r>
            <w:hyperlink r:id="rId125">
              <w:r>
                <w:rPr>
                  <w:color w:val="77230C"/>
                  <w:sz w:val="20"/>
                  <w:u w:val="single"/>
                </w:rPr>
                <w:t>Full-text PDF</w:t>
              </w:r>
            </w:hyperlink>
          </w:p>
          <w:p>
            <w:pPr>
              <w:pStyle w:val="Normal"/>
              <w:widowControl/>
              <w:spacing w:before="60" w:after="20"/>
            </w:pPr>
            <w:r>
              <w:t xml:space="preserve">Locator: PDF pp 3–5 methods/aggregate population; pp 6–7 Table 1 and CCA efficacy; pp 7–9 washout/rejection; pp 10–11 Table 2; p 12 Table 3; pp 13–14 interpretation; pp 16–17 references 4–6, 15, 22, 29–35.</w:t>
            </w:r>
          </w:p>
          <w:p>
            <w:pPr>
              <w:pStyle w:val="Normal"/>
              <w:widowControl/>
              <w:spacing w:before="60" w:after="20"/>
            </w:pPr>
            <w:r>
              <w:t xml:space="preserve">Review depth: Complete main text pp 1–14, all 3 tables and all 35 reference entries pp 15–17 read; conflicting claims checked against already-reviewed V8 primary papers and targeted official/primary sources.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General themes—ICI-associated rejection risk, need for an interval and MDT care, absence of a validated immune biomarker—are consistent with primary evidence.; Table 3 is not a reliable substitute for original society guidance: AASLD 2023 actually recommends discontinuation at least 3 months before LT (local official PDF p 20/j 1941), contrary to this review's 'no specific duration' cell.; Table 3 labels Watt et al. as ILTS guidance, but reference 31 is a prospective standardized institutional post-LT ICI practice study, not an ILTS consensus or pre-LT induction guideline.; SYS-TARE/Maspero chemotherapy-plus-radioembolization evidence is displayed under ICI bridging; it does not establish pre-LT ICI efficacy or safety in CCA.; Table 2 says Moeckli graft loss not separately reported; the primary paper reports 6/119. The review's OR 21.3/9.48 washout values are unadjusted, not the adjusted model coefficients.; PLENTY is mislabeled as a North American prospective cohort in Table 1; the primary pilot is a Chinese randomized study. ImmunoXXL is labeled RCT despite the reviewed prospective single-arm design.</w:t>
            </w:r>
          </w:p>
          <w:p>
            <w:pPr>
              <w:pStyle w:val="Normal"/>
              <w:widowControl/>
              <w:spacing w:before="60" w:after="20"/>
            </w:pPr>
            <w:r>
              <w:rPr>
                <w:b/>
              </w:rPr>
              <w:t xml:space="preserve">Do not infer: </w:t>
            </w:r>
            <w:r>
              <w:t xml:space="preserve">Guideline attribution errors, mixed eligibility/interventions, overlapping datasets and inconsistent denominators substantially weaken its use for protocol thresholds.; Claim that &gt;50 days normalizes rejection versus non-ICI controls overstates the 119-recipient source, which lacks a parallel non-ICI control group.; Proposed ATG indications, tacrolimus 12–15, protocol biopsies and early-mTOR avoidance are not established by the cited papers as universal society recommendations.; Donor-category nonsignificance is not proof of equivalence/safety across DCD, DBD and LDLT.; CCA and NET protocols must not inherit HCC cohort efficacy rates or transplant eligibility thresholds from this review. Time origin: Do not pool its &gt;1,200 as new unique patients or combine it with underlying studies. VITALITY 75.6% is 65/86 ever-beyond-Milan candidates, with 43 LT of 117 intent-to-transplant; 71.1% three-year survival is candidate-level ITT, not recipient survival.</w:t>
            </w:r>
          </w:p>
        </w:tc>
      </w:tr>
    </w:tbl>
    <w:p>
      <w:pPr>
        <w:pStyle w:val="Heading3"/>
        <w:keepNext/>
        <w:widowControl/>
      </w:pPr>
      <w:r>
        <w:t xml:space="preserve">Synthesis and evidence that challenges the proposal</w:t>
      </w:r>
    </w:p>
    <w:p>
      <w:pPr>
        <w:pStyle w:val="Normal"/>
        <w:widowControl/>
        <w:spacing w:before="60" w:after="20"/>
      </w:pPr>
      <w:r>
        <w:t xml:space="preserve">ICI conversion evidence is encouraging but observational and often recipient-selected. VITALITY has 117 intended candidates and 43 LT recipients; ImmunoXXL has 61 treated and 16 selected LT recipients. Ong's matched recipient comparison is not an ITT efficacy estimate. Moeckli's 50-day cutoff was data-driven in a heterogeneous 119-recipient collection; rejection was 21/53 at ≤50 days versus 3/66 at &gt;50 days. LITCHI shows late rejection despite predominantly long washout. Separate post-LT treatment data show five rejection-attributed deaths among 52 ICI-treated recipients. AASLD 2023 advises stopping ICI at least three months before LT. This supports the guideline lineage of the conservative interval but is not prospective proof of a safe threshold. Narrative reviews do not establish routine ATG, high tacrolimus troughs or prophylactic plasma as safe ICI-specific strategies.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Mi0zNV08L0Rpc3BsYXlUZXh0PjxyZWNvcmQ+PHJlYy1udW1iZXI+MzU8L3JlYy1udW1iZXI+PGZvcmVpZ24ta2V5cz48a2V5IGFwcD0iRU4iIGRiLWlkPSI3ZGJjZGRiZS02ZjA3LTU2OTgtYmQwYy1iMDM5NTM4YjRjODUiIHRpbWVzdGFtcD0iMTc5MjkyMTA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yLTM4XTwvRGlzcGxheVRleHQ+PHJlY29yZD48cmVjLW51bWJlcj4zODwvcmVjLW51bWJlcj48Zm9yZWlnbi1rZXlzPjxrZXkgYXBwPSJFTiIgZGItaWQ9IjdkYmNkZGJlLTZmMDctNTY5OC1iZDBjLWIwMzk1MzhiNGM4NSIgdGltZXN0YW1wPSIxNzkyOTIxMD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[V12-38]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yLTM5XTwvRGlzcGxheVRleHQ+PHJlY29yZD48cmVjLW51bWJlcj4zOTwvcmVjLW51bWJlcj48Zm9yZWlnbi1rZXlzPjxrZXkgYXBwPSJFTiIgZGItaWQ9IjdkYmNkZGJlLTZmMDctNTY5OC1iZDBjLWIwMzk1MzhiNGM4NSIgdGltZXN0YW1wPSIxNzkyOTIxMD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Mi00MF08L0Rpc3BsYXlUZXh0PjxyZWNvcmQ+PHJlYy1udW1iZXI+NDA8L3JlYy1udW1iZXI+PGZvcmVpZ24ta2V5cz48a2V5IGFwcD0iRU4iIGRiLWlkPSI3ZGJjZGRiZS02ZjA3LTU2OTgtYmQwYy1iMDM5NTM4YjRjODUiIHRpbWVzdGFtcD0iMTc5MjkyMTA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[V12-40]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yLTQxXTwvRGlzcGxheVRleHQ+PHJlY29yZD48cmVjLW51bWJlcj40MTwvcmVjLW51bWJlcj48Zm9yZWlnbi1rZXlzPjxrZXkgYXBwPSJFTiIgZGItaWQ9IjdkYmNkZGJlLTZmMDctNTY5OC1iZDBjLWIwMzk1MzhiNGM4NSIgdGltZXN0YW1wPSIxNzkyOTIxMD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[V12-41]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yLTQyXTwvRGlzcGxheVRleHQ+PHJlY29yZD48cmVjLW51bWJlcj40MjwvcmVjLW51bWJlcj48Zm9yZWlnbi1rZXlzPjxrZXkgYXBwPSJFTiIgZGItaWQ9IjdkYmNkZGJlLTZmMDctNTY5OC1iZDBjLWIwMzk1MzhiNGM4NSIgdGltZXN0YW1wPSIxNzkyOTIxMD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[V12-42]</w:t>
      </w:r>
      <w:r>
        <w:fldChar w:fldCharType="end"/>
      </w:r>
    </w:p>
    <w:p>
      <w:pPr>
        <w:pStyle w:val="Normal"/>
        <w:widowControl/>
        <w:numPr>
          <w:ilvl w:val="0"/>
          <w:numId w:val="3"/>
        </w:numPr>
        <w:spacing w:before="60" w:after="20"/>
      </w:pPr>
      <w:r>
        <w:t xml:space="preserve">ImmunoXXL demonstrates feasibility with intervals shorter than 90 days, and Aceituno found similar rejection proportions in matched groups; these challenge a claim that &lt;90 days is an absolute biological contraindication. They do not prove equivalence or validate elective shortening. Ong suggests oncologic benefit but also higher rejection, while Fang highlights risk missed by washout alone. The literature supports individualized exceptional review, not automatic urgency-based exemption.</w:t>
      </w:r>
    </w:p>
    <w:p>
      <w:pPr>
        <w:pStyle w:val="Normal"/>
        <w:widowControl/>
        <w:spacing w:before="60" w:after="20"/>
      </w:pPr>
      <w:r>
        <w:rPr>
          <w:b/>
        </w:rPr>
        <w:t xml:space="preserve">Certainty / applicability: </w:t>
      </w:r>
      <w:r>
        <w:t xml:space="preserve">Low for the association between shorter washout and rejection; low for prior-any-irAE risk; very low for a precise safe interval, a grade-specific irAE exclusion, an optimal immunosuppression regimen or an ICI-caused treatment-entry survival benefit. No reviewed trial randomized washout or transplant versus continued systemic therapy after ICI.</w:t>
      </w:r>
    </w:p>
    <w:p>
      <w:pPr>
        <w:pStyle w:val="Heading3"/>
        <w:keepNext/>
        <w:widowControl/>
      </w:pPr>
      <w:r>
        <w:t xml:space="preserve">Where each proposed threshold comes from</w:t>
      </w:r>
    </w:p>
    <w:p>
      <w:pPr>
        <w:pStyle w:val="Normal"/>
        <w:widowControl/>
        <w:numPr>
          <w:ilvl w:val="0"/>
          <w:numId w:val="3"/>
        </w:numPr>
        <w:spacing w:before="60" w:after="20"/>
      </w:pPr>
      <w:r>
        <w:t xml:space="preserve">Ninety days: conservative local planning rule informed by retrospective timing associations and IPD modeling, not a validated threshold. Grade ≤1 recovery and exclusion of prior severe nonendocrine/myocarditis cases: proposed operational safety judgment, not a proven transplant-specific cutoff; Fang's severe-event sample is only six. No laboratory or immune assay identified in this review validates clearance for LT. Center-specific immunosuppression should not be portrayed as evidence-proven protection from ICI-associated rejection.</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Rezaee-Zavareh · IPD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spacing w:before="60" w:after="20"/>
            </w:pPr>
            <w:r>
              <w:t xml:space="preserve">“a 3-month washout may reduce it”</w:t>
            </w:r>
          </w:p>
          <w:p>
            <w:pPr>
              <w:pStyle w:val="Normal"/>
              <w:widowControl/>
              <w:spacing w:before="60" w:after="20"/>
            </w:pPr>
            <w:r>
              <w:t xml:space="preserve">Accepted PDF p10 / manuscript p7, abstract conclusion</w:t>
            </w:r>
          </w:p>
          <w:p>
            <w:pPr>
              <w:pStyle w:val="Normal"/>
              <w:widowControl/>
              <w:spacing w:before="60" w:after="20"/>
            </w:pPr>
            <w:hyperlink r:id="rId126">
              <w:r>
                <w:rPr>
                  <w:color w:val="77230C"/>
                  <w:sz w:val="20"/>
                  <w:u w:val="single"/>
                </w:rPr>
                <w:t>Source</w:t>
              </w:r>
            </w:hyperlink>
            <w:r>
              <w:t xml:space="preserve"> | </w:t>
            </w:r>
            <w:hyperlink r:id="rId12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risk-reduction suggestion from largely retrospective data, not a safe minimum.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Fang · irAEs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p>
          <w:p>
            <w:pPr>
              <w:pStyle w:val="Normal"/>
              <w:widowControl/>
              <w:spacing w:before="60" w:after="20"/>
            </w:pPr>
            <w:r>
              <w:t xml:space="preserve">“irAEs (any grade vs non)”</w:t>
            </w:r>
          </w:p>
          <w:p>
            <w:pPr>
              <w:pStyle w:val="Normal"/>
              <w:widowControl/>
              <w:spacing w:before="60" w:after="20"/>
            </w:pPr>
            <w:r>
              <w:t xml:space="preserve">Published PDF p6, Table 4</w:t>
            </w:r>
          </w:p>
          <w:p>
            <w:pPr>
              <w:pStyle w:val="Normal"/>
              <w:widowControl/>
              <w:spacing w:before="60" w:after="20"/>
            </w:pPr>
            <w:hyperlink r:id="rId128">
              <w:r>
                <w:rPr>
                  <w:color w:val="77230C"/>
                  <w:sz w:val="20"/>
                  <w:u w:val="single"/>
                </w:rPr>
                <w:t>Source</w:t>
              </w:r>
            </w:hyperlink>
            <w:r>
              <w:t xml:space="preserve"> | </w:t>
            </w:r>
            <w:hyperlink r:id="rId12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Prior irAEs were associated with rejection; the study did not validate the specific grade-based activation rule proposed here.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≥90 days after the last ICI dose as the elective LT planning threshold, with a separate immune-toxicity gate.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ItMzFdPC9EaXNwbGF5VGV4dD48cmVjb3JkPjxyZWMtbnVtYmVyPjMxPC9yZWMtbnVtYmVyPjxmb3JlaWduLWtleXM+PGtleSBhcHA9IkVOIiBkYi1pZD0iN2RiY2RkYmUtNmYwNy01Njk4LWJkMGMtYjAzOTUzOGI0Yzg1IiB0aW1lc3RhbXA9IjE3OTI5MjEw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[V12-31]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Mi0zMl08L0Rpc3BsYXlUZXh0PjxyZWNvcmQ+PHJlYy1udW1iZXI+MzI8L3JlYy1udW1iZXI+PGZvcmVpZ24ta2V5cz48a2V5IGFwcD0iRU4iIGRiLWlkPSI3ZGJjZGRiZS02ZjA3LTU2OTgtYmQwYy1iMDM5NTM4YjRjODUiIHRpbWVzdGFtcD0iMTc5MjkyMTA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[V12-32]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Mi0zNV08L0Rpc3BsYXlUZXh0PjxyZWNvcmQ+PHJlYy1udW1iZXI+MzU8L3JlYy1udW1iZXI+PGZvcmVpZ24ta2V5cz48a2V5IGFwcD0iRU4iIGRiLWlkPSI3ZGJjZGRiZS02ZjA3LTU2OTgtYmQwYy1iMDM5NTM4YjRjODUiIHRpbWVzdGFtcD0iMTc5MjkyMTA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[V12-35]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yLTM4XTwvRGlzcGxheVRleHQ+PHJlY29yZD48cmVjLW51bWJlcj4zODwvcmVjLW51bWJlcj48Zm9yZWlnbi1rZXlzPjxrZXkgYXBwPSJFTiIgZGItaWQ9IjdkYmNkZGJlLTZmMDctNTY5OC1iZDBjLWIwMzk1MzhiNGM4NSIgdGltZXN0YW1wPSIxNzkyOTIxMD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[V12-38]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yLTM5XTwvRGlzcGxheVRleHQ+PHJlY29yZD48cmVjLW51bWJlcj4zOTwvcmVjLW51bWJlcj48Zm9yZWlnbi1rZXlzPjxrZXkgYXBwPSJFTiIgZGItaWQ9IjdkYmNkZGJlLTZmMDctNTY5OC1iZDBjLWIwMzk1MzhiNGM4NSIgdGltZXN0YW1wPSIxNzkyOTIxMD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[V12-39]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Mi00MF08L0Rpc3BsYXlUZXh0PjxyZWNvcmQ+PHJlYy1udW1iZXI+NDA8L3JlYy1udW1iZXI+PGZvcmVpZ24ta2V5cz48a2V5IGFwcD0iRU4iIGRiLWlkPSI3ZGJjZGRiZS02ZjA3LTU2OTgtYmQwYy1iMDM5NTM4YjRjODUiIHRpbWVzdGFtcD0iMTc5MjkyMTA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Q29tcGxldGUgMTAtcGFnZSBtYWluIGFydGljbGUgcmVhZCwgaW5jbHVkaW5nIGFsbCB0YWJsZXMvZmlndXJlcywgZGlzY3Vzc2lvbiBhbmQgcmVmZXJlbmNlczsgc3VwcGxlbWVudHMgbm90IHN1cHBsaWVkL3JlYWQuIFY4IGV4dHJhY3Rpb24gYW5kIGxpbWl0YXRpb25zOiBzb3VyY2UvaGNjX2Z1bGx0ZXh0X3Jldmlldy5qc29uPC9ub3Rlcz48dXJscz48cmVsYXRlZC11cmxzPjx1cmw+aHR0cHM6Ly9kb2kub3JnLzEwLjEwMDEvamFtYW9uY29sLjIwMjYuMzkwMTwvdXJsPjwvcmVsYXRlZC11cmxzPjxwZGYtdXJscy8+PC91cmxzPjwvcmVjb3JkPjwvQ2l0ZT48L0VuZE5vdGU+</w:fldData>
        </w:fldChar>
      </w:r>
      <w:r>
        <w:instrText xml:space="preserve"> ADDIN EN.CITE.DATA </w:instrText>
      </w:r>
      <w:r>
        <w:fldChar w:fldCharType="end"/>
      </w:r>
      <w:r>
        <w:fldChar w:fldCharType="separate"/>
      </w:r>
      <w:r>
        <w:t xml:space="preserve">[V12-40]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yLTQxXTwvRGlzcGxheVRleHQ+PHJlY29yZD48cmVjLW51bWJlcj40MTwvcmVjLW51bWJlcj48Zm9yZWlnbi1rZXlzPjxrZXkgYXBwPSJFTiIgZGItaWQ9IjdkYmNkZGJlLTZmMDctNTY5OC1iZDBjLWIwMzk1MzhiNGM4NSIgdGltZXN0YW1wPSIxNzkyOTIxMD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[V12-41]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yLTQyXTwvRGlzcGxheVRleHQ+PHJlY29yZD48cmVjLW51bWJlcj40MjwvcmVjLW51bWJlcj48Zm9yZWlnbi1rZXlzPjxrZXkgYXBwPSJFTiIgZGItaWQ9IjdkYmNkZGJlLTZmMDctNTY5OC1iZDBjLWIwMzk1MzhiNGM4NSIgdGltZXN0YW1wPSIxNzkyOTIxMD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[V12-42]</w:t>
      </w:r>
      <w:r>
        <w:fldChar w:fldCharType="end"/>
      </w:r>
    </w:p>
    <w:p>
      <w:pPr>
        <w:pStyle w:val="Normal"/>
        <w:widowControl/>
        <w:numPr>
          <w:ilvl w:val="0"/>
          <w:numId w:val="3"/>
        </w:numPr>
      </w:pPr>
      <w:r>
        <w:t xml:space="preserve">Proposed elective cutoff: ≥90 days from last ICI dose to LT.</w:t>
      </w:r>
    </w:p>
    <w:p>
      <w:pPr>
        <w:pStyle w:val="Normal"/>
        <w:widowControl/>
        <w:numPr>
          <w:ilvl w:val="1"/>
          <w:numId w:val="3"/>
        </w:numPr>
        <w:spacing w:before="60" w:after="20"/>
      </w:pPr>
      <w:r>
        <w:t xml:space="preserve">No interval is proven safe; a longer interval does not eliminate rejection or graft-loss risk.</w:t>
      </w:r>
    </w:p>
    <w:p>
      <w:pPr>
        <w:pStyle w:val="Normal"/>
        <w:widowControl/>
        <w:numPr>
          <w:ilvl w:val="0"/>
          <w:numId w:val="3"/>
        </w:numPr>
      </w:pPr>
      <w:r>
        <w:t xml:space="preserve">Require no active clinically significant non-endocrine immune toxicity: grade ≤1 and no escalating immunosuppression for toxicity.</w:t>
      </w:r>
    </w:p>
    <w:p>
      <w:pPr>
        <w:pStyle w:val="Normal"/>
        <w:widowControl/>
        <w:numPr>
          <w:ilvl w:val="1"/>
          <w:numId w:val="3"/>
        </w:numPr>
        <w:spacing w:before="60" w:after="20"/>
      </w:pPr>
      <w:r>
        <w:t xml:space="preserve">Stable endocrine replacement may qualify.</w:t>
      </w:r>
    </w:p>
    <w:p>
      <w:pPr>
        <w:pStyle w:val="Normal"/>
        <w:widowControl/>
        <w:numPr>
          <w:ilvl w:val="1"/>
          <w:numId w:val="3"/>
        </w:numPr>
        <w:spacing w:before="60" w:after="20"/>
      </w:pPr>
      <w:r>
        <w:t xml:space="preserve">Prior grade 3–4 non-endocrine toxicity or myocarditis is excluded from the initial pilot pending separate specialist review.</w:t>
      </w:r>
    </w:p>
    <w:p>
      <w:pPr>
        <w:pStyle w:val="Normal"/>
        <w:widowControl/>
        <w:numPr>
          <w:ilvl w:val="0"/>
          <w:numId w:val="3"/>
        </w:numPr>
      </w:pPr>
      <w:r>
        <w:t xml:space="preserve">A shorter interval has no automatic urgency waiver.</w:t>
      </w:r>
    </w:p>
    <w:p>
      <w:pPr>
        <w:pStyle w:val="Normal"/>
        <w:widowControl/>
        <w:numPr>
          <w:ilvl w:val="1"/>
          <w:numId w:val="3"/>
        </w:numPr>
        <w:spacing w:before="60" w:after="20"/>
      </w:pPr>
      <w:r>
        <w:t xml:space="preserve">An exceptional-care decision must document near-term mortality without LT, alternatives, donor/graft risk, consent and rescue capability.</w:t>
      </w:r>
    </w:p>
    <w:p>
      <w:pPr>
        <w:pStyle w:val="Normal"/>
        <w:widowControl/>
        <w:numPr>
          <w:ilvl w:val="1"/>
          <w:numId w:val="3"/>
        </w:numPr>
        <w:spacing w:before="60" w:after="20"/>
      </w:pPr>
      <w:r>
        <w:t xml:space="preserve">Biology, ICI and allocation clocks may overlap; do not add them mechanically.</w:t>
      </w:r>
    </w:p>
    <w:p>
      <w:pPr>
        <w:pStyle w:val="Normal"/>
        <w:widowControl/>
        <w:numPr>
          <w:ilvl w:val="0"/>
          <w:numId w:val="3"/>
        </w:numPr>
      </w:pPr>
      <w:r>
        <w:t xml:space="preserve">Consent must address rejection, graft loss, uncertain comparative oncologic benefit and progression during washout.</w:t>
      </w:r>
    </w:p>
    <w:p>
      <w:pPr>
        <w:pStyle w:val="Normal"/>
        <w:widowControl/>
        <w:numPr>
          <w:ilvl w:val="1"/>
          <w:numId w:val="3"/>
        </w:numPr>
        <w:spacing w:before="60" w:after="20"/>
      </w:pPr>
      <w:r>
        <w:t xml:space="preserve">Neither elapsed time nor complete radiological response guarantees immune safety.</w:t>
      </w:r>
    </w:p>
    <w:p>
      <w:pPr>
        <w:pStyle w:val="Normal"/>
        <w:widowControl/>
        <w:numPr>
          <w:ilvl w:val="1"/>
          <w:numId w:val="3"/>
        </w:numPr>
        <w:spacing w:before="60" w:after="20"/>
      </w:pPr>
      <w:r>
        <w:t xml:space="preserve">Use the full-text evidence and source-specific residual gaps before ratifying these provisional thresholds.</w:t>
      </w:r>
    </w:p>
    <w:p>
      <w:pPr>
        <w:pStyle w:val="Normal"/>
        <w:widowControl/>
        <w:spacing w:before="60" w:after="20"/>
      </w:pPr>
      <w:r>
        <w:rPr>
          <w:b/>
        </w:rPr>
        <w:t xml:space="preserve">Why retain or change it: </w:t>
      </w:r>
      <w:r>
        <w:t xml:space="preserve">Retain elective last-ICI-to-LT interval ≥90 days as a conservative local default, with residual risk acknowledged; shorter intervals require explicit exceptional review, not automatic activation. Require non-endocrine irAE recovery to grade ≤1 and no escalating immune suppression; controlled endocrine replacement may be acceptable. Prior severe non-endocrine irAE or myocarditis should trigger initial-pilot exclusion or dedicated governance review. Do not mandate unvalidated immune assays, ATG induction or high tacrolimus targets. Keep pre-LT exposure and post-LT therapeutic ICI as distinct decisions.</w:t>
      </w:r>
    </w:p>
    <w:p>
      <w:pPr>
        <w:pStyle w:val="Heading3"/>
        <w:keepNext/>
        <w:widowControl/>
      </w:pPr>
      <w:r>
        <w:t xml:space="preserve">Information required before the decision</w:t>
      </w:r>
    </w:p>
    <w:p>
      <w:pPr>
        <w:pStyle w:val="Normal"/>
        <w:widowControl/>
        <w:spacing w:before="60" w:after="20"/>
      </w:pPr>
      <w:r>
        <w:t xml:space="preserve">Drug and last-dose dates; complete irAE history and grade; treatment and recovery; graft-risk review by hepatology, oncology and pharmacy; current staging.</w:t>
      </w:r>
    </w:p>
    <w:p>
      <w:pPr>
        <w:pStyle w:val="Normal"/>
        <w:widowControl/>
        <w:spacing w:before="60" w:after="20"/>
      </w:pPr>
      <w:r>
        <w:rPr>
          <w:b/>
        </w:rPr>
        <w:t xml:space="preserve">Clinical versus allocation: </w:t>
      </w:r>
      <w:r>
        <w:t xml:space="preserve">Prior ICI alone is not an automatic HCC exception exclusion. The proposed clinical timing gate is separate from tumor eligibility and allocation waiting time.</w:t>
      </w:r>
    </w:p>
    <w:p>
      <w:pPr>
        <w:pStyle w:val="Normal"/>
        <w:widowControl/>
        <w:spacing w:before="60" w:after="20"/>
      </w:pPr>
      <w:r>
        <w:rPr>
          <w:b/>
        </w:rPr>
        <w:t xml:space="preserve">Roadmap / protocol reconciliation: </w:t>
      </w:r>
      <w:r>
        <w:t xml:space="preserve">Preserve effective cancer treatment choices, but discuss transplant intent before initiating ICI. No immune assay, ATG regimen or high tacrolimus target is validated as clearance.</w:t>
      </w:r>
    </w:p>
    <w:p>
      <w:pPr>
        <w:pStyle w:val="Normal"/>
        <w:widowControl/>
        <w:spacing w:before="60" w:after="20"/>
      </w:pPr>
      <w:hyperlink r:id="rId130">
        <w:r>
          <w:rPr>
            <w:color w:val="77230C"/>
            <w:sz w:val="20"/>
            <w:u w:val="single"/>
          </w:rPr>
          <w:t>Meeting record: HCC-B3</w:t>
        </w:r>
      </w:hyperlink>
      <w:r>
        <w:t xml:space="preserve">  |  </w:t>
      </w:r>
      <w:hyperlink r:id="rId131">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r>
        <w:t xml:space="preserve">4.3 Advance or hold after treatment</w:t>
      </w:r>
    </w:p>
    <w:p>
      <w:pPr>
        <w:pStyle w:val="Normal"/>
        <w:widowControl/>
        <w:numPr>
          <w:ilvl w:val="0"/>
          <w:numId w:val="3"/>
        </w:numPr>
      </w:pPr>
      <w:r>
        <w:t xml:space="preserve">Advance to selection review only with documented tumor control, no new extrahepatic disease, acceptable reserve and toxicity, repeat assessment of resection/ablation options, the applicable AFP response, and completion of the selected clinical and allocation observation requirements.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Hold for unresolved lesions, marker/imaging discordance, incomplete ICI review or unapproved study boundaries. Stop the proposed route for uncontrolled progression, new metastatic disease or medical risk incompatible with LT. Do not continue increasingly toxic therapy simply to manufacture eligibility.</w:t>
      </w:r>
    </w:p>
    <w:p>
      <w:pPr>
        <w:pStyle w:val="Normal"/>
        <w:widowControl/>
        <w:numPr>
          <w:ilvl w:val="0"/>
          <w:numId w:val="3"/>
        </w:numPr>
      </w:pPr>
      <w:r>
        <w:t xml:space="preserve">Maintain separate dated clocks for response stability, ICI washout and exception waiting time. They may overlap when allowed; do not automatically add a new observation period after the ICI washout.</w:t>
      </w:r>
    </w:p>
    <w:p>
      <w:pPr>
        <w:pStyle w:val="Heading2"/>
        <w:keepNext/>
        <w:widowControl/>
      </w:pPr>
      <w:r>
        <w:t xml:space="preserve">5 Listing and transplant surgery</w:t>
      </w:r>
    </w:p>
    <w:p>
      <w:pPr>
        <w:pStyle w:val="Normal"/>
        <w:widowControl/>
        <w:numPr>
          <w:ilvl w:val="0"/>
          <w:numId w:val="3"/>
        </w:numPr>
      </w:pPr>
      <w:r>
        <w:t xml:space="preserve">Before activation, selection conference must sign the diagnosis and baseline map, final staging and AFP, tumor-control timeline, medical fitness, approved study stratum if applicable, actual allocation route and donor clearance. Any missing requirement keeps activation on hold.</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p>
    <w:p>
      <w:pPr>
        <w:pStyle w:val="Normal"/>
        <w:widowControl/>
        <w:numPr>
          <w:ilvl w:val="0"/>
          <w:numId w:val="3"/>
        </w:numPr>
      </w:pPr>
      <w:r>
        <w:t xml:space="preserve">Before incision, reassess interval clinical or imaging changes and confirm graft/vascular technical planning. Unexpected disseminated malignancy stops transplantation under this pathway. Explant assessment records viable burden, differentiation, vascular invasion and treatment response.</w:t>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N2RiY2RkYmUtNmYwNy01Njk4LWJkMGMtYjAzOTUzOGI0Yzg1IiB0aW1lc3RhbXA9IjE3OTI5MjEw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N2RiY2RkYmUtNmYwNy01Njk4LWJkMGMtYjAzOTUzOGI0Yzg1IiB0aW1lc3RhbXA9IjE3OTI5MjEw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p>
    <w:p>
      <w:pPr>
        <w:pStyle w:val="Heading3"/>
        <w:keepNext/>
        <w:widowControl/>
      </w:pPr>
      <w:bookmarkStart w:id="4" w:name="ALLOC_B1"/>
      <w: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Mi00NF08L0Rpc3BsYXlUZXh0PjxyZWNvcmQ+PHJlYy1udW1iZXI+NDQ8L3JlYy1udW1iZXI+PGZvcmVpZ24ta2V5cz48a2V5IGFwcD0iRU4iIGRiLWlkPSI3ZGJjZGRiZS02ZjA3LTU2OTgtYmQwYy1iMDM5NTM4YjRjODUiIHRpbWVzdGFtcD0iMTc5MjkyMTA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[V12-44]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Mi00NV08L0Rpc3BsYXlUZXh0PjxyZWNvcmQ+PHJlYy1udW1iZXI+NDU8L3JlYy1udW1iZXI+PGZvcmVpZ24ta2V5cz48a2V5IGFwcD0iRU4iIGRiLWlkPSI3ZGJjZGRiZS02ZjA3LTU2OTgtYmQwYy1iMDM5NTM4YjRjODUiIHRpbWVzdGFtcD0iMTc5MjkyMTA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[V12-45]</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yLTJdPC9EaXNwbGF5VGV4dD48cmVjb3JkPjxyZWMtbnVtYmVyPjI8L3JlYy1udW1iZXI+PGZvcmVpZ24ta2V5cz48a2V5IGFwcD0iRU4iIGRiLWlkPSI3ZGJjZGRiZS02ZjA3LTU2OTgtYmQwYy1iMDM5NTM4YjRjODUiIHRpbWVzdGFtcD0iMTc5MjkyMTA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RGVjZW1iZXIgMjAyNSBndWlkYW5jZSBwb3N0aW5nOyBORVQgcHAuOCYjODIxMTs5LCBDUkxNIHBwLjkmIzgyMTE7MTAuIE5vbmJpbmRpbmcgYWxsb2NhdGlvbi1yZXZpZXcgZ3VpZGFuY2U7IGNsaW5pY2FsIGVsaWdpYmlsaXR5IGFuZCBhY3R1YWwgYWxsb2NhdGlvbiBhcmUgc2VwYXJhdGUuPC9ub3Rlcz48dXJscz48cmVsYXRlZC11cmxzPjx1cmw+aHR0cHM6Ly93d3cuaHJzYS5nb3Yvc2l0ZXMvZGVmYXVsdC9maWxlcy9ocnNhL29wdG4vYWR1bHQtbWVsZC1leGNlcHRpb24tdHJhbnNwbGFudC1vbmNvbG9neS1yZXZpZXctZ3VpZGFuY2UucGRmPC91cmw+PC9yZWxhdGVkLXVybHM+PHBkZi11cmxzLz48L3VybHM+PC9yZWNvcmQ+PC9DaXRlPjwvRW5kTm90ZT4=</w:fldData>
        </w:fldChar>
      </w:r>
      <w:r>
        <w:instrText xml:space="preserve"> ADDIN EN.CITE.DATA </w:instrText>
      </w:r>
      <w:r>
        <w:fldChar w:fldCharType="end"/>
      </w:r>
      <w:r>
        <w:fldChar w:fldCharType="separate"/>
      </w:r>
      <w:r>
        <w:t xml:space="preserve">[V12-2]</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Mi00NF08L0Rpc3BsYXlUZXh0PjxyZWNvcmQ+PHJlYy1udW1iZXI+NDQ8L3JlYy1udW1iZXI+PGZvcmVpZ24ta2V5cz48a2V5IGFwcD0iRU4iIGRiLWlkPSI3ZGJjZGRiZS02ZjA3LTU2OTgtYmQwYy1iMDM5NTM4YjRjODUiIHRpbWVzdGFtcD0iMTc5MjkyMTA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[V12-44]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Mi00NV08L0Rpc3BsYXlUZXh0PjxyZWNvcmQ+PHJlYy1udW1iZXI+NDU8L3JlYy1udW1iZXI+PGZvcmVpZ24ta2V5cz48a2V5IGFwcD0iRU4iIGRiLWlkPSI3ZGJjZGRiZS02ZjA3LTU2OTgtYmQwYy1iMDM5NTM4YjRjODUiIHRpbWVzdGFtcD0iMTc5MjkyMTA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[V12-45]</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132">
        <w:r>
          <w:rPr>
            <w:color w:val="77230C"/>
            <w:sz w:val="20"/>
            <w:u w:val="single"/>
          </w:rPr>
          <w:t>Meeting record: ALLOC-B1</w:t>
        </w:r>
      </w:hyperlink>
      <w:r>
        <w:t xml:space="preserve">  |  </w:t>
      </w:r>
      <w:hyperlink r:id="rId13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2"/>
      <w: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Mi00NV08L0Rpc3BsYXlUZXh0PjxyZWNvcmQ+PHJlYy1udW1iZXI+NDU8L3JlYy1udW1iZXI+PGZvcmVpZ24ta2V5cz48a2V5IGFwcD0iRU4iIGRiLWlkPSI3ZGJjZGRiZS02ZjA3LTU2OTgtYmQwYy1iMDM5NTM4YjRjODUiIHRpbWVzdGFtcD0iMTc5MjkyMTA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[V12-45]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Q2PC9SZWNOdW0+PERpc3BsYXlUZXh0PltWMTItNDZdPC9EaXNwbGF5VGV4dD48cmVjb3JkPjxyZWMtbnVtYmVyPjQ2PC9yZWMtbnVtYmVyPjxmb3JlaWduLWtleXM+PGtleSBhcHA9IkVOIiBkYi1pZD0iN2RiY2RkYmUtNmYwNy01Njk4LWJkMGMtYjAzOTUzOGI0Yzg1IiB0aW1lc3RhbXA9IjE3OTI5MjEwODMiPjQ2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[V12-46]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Q2PC9SZWNOdW0+PERpc3BsYXlUZXh0PltWMTItNDZdPC9EaXNwbGF5VGV4dD48cmVjb3JkPjxyZWMtbnVtYmVyPjQ2PC9yZWMtbnVtYmVyPjxmb3JlaWduLWtleXM+PGtleSBhcHA9IkVOIiBkYi1pZD0iN2RiY2RkYmUtNmYwNy01Njk4LWJkMGMtYjAzOTUzOGI0Yzg1IiB0aW1lc3RhbXA9IjE3OTI5MjEwODMiPjQ2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</w:fldData>
        </w:fldChar>
      </w:r>
      <w:r>
        <w:instrText xml:space="preserve"> ADDIN EN.CITE.DATA </w:instrText>
      </w:r>
      <w:r>
        <w:fldChar w:fldCharType="end"/>
      </w:r>
      <w:r>
        <w:fldChar w:fldCharType="separate"/>
      </w:r>
      <w:r>
        <w:t xml:space="preserve">[V12-46]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Mi00NV08L0Rpc3BsYXlUZXh0PjxyZWNvcmQ+PHJlYy1udW1iZXI+NDU8L3JlYy1udW1iZXI+PGZvcmVpZ24ta2V5cz48a2V5IGFwcD0iRU4iIGRiLWlkPSI3ZGJjZGRiZS02ZjA3LTU2OTgtYmQwYy1iMDM5NTM4YjRjODUiIHRpbWVzdGFtcD0iMTc5MjkyMTA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</w:fldData>
        </w:fldChar>
      </w:r>
      <w:r>
        <w:instrText xml:space="preserve"> ADDIN EN.CITE.DATA </w:instrText>
      </w:r>
      <w:r>
        <w:fldChar w:fldCharType="end"/>
      </w:r>
      <w:r>
        <w:fldChar w:fldCharType="separate"/>
      </w:r>
      <w:r>
        <w:t xml:space="preserve">[V12-45]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Mi01XTwvRGlzcGxheVRleHQ+PHJlY29yZD48cmVjLW51bWJlcj41PC9yZWMtbnVtYmVyPjxmb3JlaWduLWtleXM+PGtleSBhcHA9IkVOIiBkYi1pZD0iN2RiY2RkYmUtNmYwNy01Njk4LWJkMGMtYjAzOTUzOGI0Yzg1IiB0aW1lc3RhbXA9IjE3OTI5MjEw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NzQgZW5yb2xsZWQsIDI5IGRyb3BwZWQgb3V0IGJlZm9yZSByYW5kb21pemF0aW9uOyA0NSByYW5kb21pemVkLiBGaXZlLXllYXIgT1MgNzcuNSUgdnMgMzEuMiUuIFN1cHBvcnRzIExUIGluIHNlbGVjdGVkIHJlc3BvbmRlcnMsIG5vdCBpbmRpc2NyaW1pbmF0ZSBlbnRyeSBvciBJQ0kvUFZUVCBzYWZldHkuPC9ub3Rlcz48dXJscz48cmVsYXRlZC11cmxzPjx1cmw+aHR0cHM6Ly9kb2kub3JnLzEwLjEwMTYvUzE0NzAtMjA0NSgyMCkzMDIyNC0y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134">
        <w:r>
          <w:rPr>
            <w:color w:val="77230C"/>
            <w:sz w:val="20"/>
            <w:u w:val="single"/>
          </w:rPr>
          <w:t>Meeting record: ALLOC-B2</w:t>
        </w:r>
      </w:hyperlink>
      <w:r>
        <w:t xml:space="preserve">  |  </w:t>
      </w:r>
      <w:hyperlink r:id="rId13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ALLOC_B3"/>
      <w: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NDg8L1JlY051bT48RGlzcGxheVRleHQ+W1YxMi00OF08L0Rpc3BsYXlUZXh0PjxyZWNvcmQ+PHJlYy1udW1iZXI+NDg8L3JlYy1udW1iZXI+PGZvcmVpZ24ta2V5cz48a2V5IGFwcD0iRU4iIGRiLWlkPSI3ZGJjZGRiZS02ZjA3LTU2OTgtYmQwYy1iMDM5NTM4YjRjODUiIHRpbWVzdGFtcD0iMTc5MjkyMTA4MyI+NDg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[V12-48]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NDk8L1JlY051bT48RGlzcGxheVRleHQ+W1YxMi00OV08L0Rpc3BsYXlUZXh0PjxyZWNvcmQ+PHJlYy1udW1iZXI+NDk8L3JlYy1udW1iZXI+PGZvcmVpZ24ta2V5cz48a2V5IGFwcD0iRU4iIGRiLWlkPSI3ZGJjZGRiZS02ZjA3LTU2OTgtYmQwYy1iMDM5NTM4YjRjODUiIHRpbWVzdGFtcD0iMTc5MjkyMTA4MyI+NDk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[V12-49]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UwPC9SZWNOdW0+PERpc3BsYXlUZXh0PltWMTItNTBdPC9EaXNwbGF5VGV4dD48cmVjb3JkPjxyZWMtbnVtYmVyPjUwPC9yZWMtbnVtYmVyPjxmb3JlaWduLWtleXM+PGtleSBhcHA9IkVOIiBkYi1pZD0iN2RiY2RkYmUtNmYwNy01Njk4LWJkMGMtYjAzOTUzOGI0Yzg1IiB0aW1lc3RhbXA9IjE3OTI5MjEwODMiPjUw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[V12-50]</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yLTFdPC9EaXNwbGF5VGV4dD48cmVjb3JkPjxyZWMtbnVtYmVyPjE8L3JlYy1udW1iZXI+PGZvcmVpZ24ta2V5cz48a2V5IGFwcD0iRU4iIGRiLWlkPSI3ZGJjZGRiZS02ZjA3LTU2OTgtYmQwYy1iMDM5NTM4YjRjODUiIHRpbWVzdGFtcD0iMTc5MjkyMTA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[V12-1]</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NDg8L1JlY051bT48RGlzcGxheVRleHQ+W1YxMi00OF08L0Rpc3BsYXlUZXh0PjxyZWNvcmQ+PHJlYy1udW1iZXI+NDg8L3JlYy1udW1iZXI+PGZvcmVpZ24ta2V5cz48a2V5IGFwcD0iRU4iIGRiLWlkPSI3ZGJjZGRiZS02ZjA3LTU2OTgtYmQwYy1iMDM5NTM4YjRjODUiIHRpbWVzdGFtcD0iMTc5MjkyMTA4MyI+NDg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[V12-48]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NDk8L1JlY051bT48RGlzcGxheVRleHQ+W1YxMi00OV08L0Rpc3BsYXlUZXh0PjxyZWNvcmQ+PHJlYy1udW1iZXI+NDk8L3JlYy1udW1iZXI+PGZvcmVpZ24ta2V5cz48a2V5IGFwcD0iRU4iIGRiLWlkPSI3ZGJjZGRiZS02ZjA3LTU2OTgtYmQwYy1iMDM5NTM4YjRjODUiIHRpbWVzdGFtcD0iMTc5MjkyMTA4MyI+NDk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[V12-49]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UwPC9SZWNOdW0+PERpc3BsYXlUZXh0PltWMTItNTBdPC9EaXNwbGF5VGV4dD48cmVjb3JkPjxyZWMtbnVtYmVyPjUwPC9yZWMtbnVtYmVyPjxmb3JlaWduLWtleXM+PGtleSBhcHA9IkVOIiBkYi1pZD0iN2RiY2RkYmUtNmYwNy01Njk4LWJkMGMtYjAzOTUzOGI0Yzg1IiB0aW1lc3RhbXA9IjE3OTI5MjEwODMiPjUw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[V12-50]</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136">
        <w:r>
          <w:rPr>
            <w:color w:val="77230C"/>
            <w:sz w:val="20"/>
            <w:u w:val="single"/>
          </w:rPr>
          <w:t>Meeting record: ALLOC-B3</w:t>
        </w:r>
      </w:hyperlink>
      <w:r>
        <w:t xml:space="preserve">  |  </w:t>
      </w:r>
      <w:hyperlink r:id="rId13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6 Post transplant immunosuppression and graft monitoring</w:t>
      </w:r>
    </w:p>
    <w:p>
      <w:pPr>
        <w:pStyle w:val="Normal"/>
        <w:widowControl/>
        <w:numPr>
          <w:ilvl w:val="0"/>
          <w:numId w:val="3"/>
        </w:numPr>
      </w:pPr>
      <w:r>
        <w:t xml:space="preserve">Use the approved institutional induction and maintenance regimen with individualized renal, rejection, infection and drug-interaction review. Do not mandate ATG, tacrolimus 12–15 ng/mL, accelerated steroid withdrawal or routine protocol biopsies solely because an ICI was previously given.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Mi02XTwvRGlzcGxheVRleHQ+PHJlY29yZD48cmVjLW51bWJlcj42PC9yZWMtbnVtYmVyPjxmb3JlaWduLWtleXM+PGtleSBhcHA9IkVOIiBkYi1pZD0iN2RiY2RkYmUtNmYwNy01Njk4LWJkMGMtYjAzOTUzOGI0Yzg1IiB0aW1lc3RhbXA9IjE3OTI5MjEw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[V12-6]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ItMzddPC9EaXNwbGF5VGV4dD48cmVjb3JkPjxyZWMtbnVtYmVyPjM3PC9yZWMtbnVtYmVyPjxmb3JlaWduLWtleXM+PGtleSBhcHA9IkVOIiBkYi1pZD0iN2RiY2RkYmUtNmYwNy01Njk4LWJkMGMtYjAzOTUzOGI0Yzg1IiB0aW1lc3RhbXA9IjE3OTI5MjEw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[V12-37]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yLTM2XTwvRGlzcGxheVRleHQ+PHJlY29yZD48cmVjLW51bWJlcj4zNjwvcmVjLW51bWJlcj48Zm9yZWlnbi1rZXlzPjxrZXkgYXBwPSJFTiIgZGItaWQ9IjdkYmNkZGJlLTZmMDctNTY5OC1iZDBjLWIwMzk1MzhiNGM4NSIgdGltZXN0YW1wPSIxNzkyOTIxMD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[V12-36]</w:t>
      </w:r>
      <w:r>
        <w:fldChar w:fldCharType="end"/>
      </w:r>
    </w:p>
    <w:p>
      <w:pPr>
        <w:pStyle w:val="Normal"/>
        <w:widowControl/>
        <w:numPr>
          <w:ilvl w:val="0"/>
          <w:numId w:val="3"/>
        </w:numPr>
      </w:pPr>
      <w:r>
        <w:t xml:space="preserve">Monitor liver tests, graft vascular patency, drug exposure and infection according to early LT practice; promptly investigate unexplained graft dysfunction and obtain for-cause biopsy when appropriate. Continue rejection vigilance beyond the first month: later events occur, and an early 7–10-day window is inadequate.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yLTM4XTwvRGlzcGxheVRleHQ+PHJlY29yZD48cmVjLW51bWJlcj4zODwvcmVjLW51bWJlcj48Zm9yZWlnbi1rZXlzPjxrZXkgYXBwPSJFTiIgZGItaWQ9IjdkYmNkZGJlLTZmMDctNTY5OC1iZDBjLWIwMzk1MzhiNGM4NSIgdGltZXN0YW1wPSIxNzkyOTIxMD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[V12-38]</w:t>
      </w:r>
      <w:r>
        <w:fldChar w:fldCharType="end"/>
      </w:r>
    </w:p>
    <w:p>
      <w:pPr>
        <w:pStyle w:val="Normal"/>
        <w:widowControl/>
        <w:numPr>
          <w:ilvl w:val="0"/>
          <w:numId w:val="3"/>
        </w:numPr>
      </w:pPr>
      <w:r>
        <w:t xml:space="preserve">Consider mTOR-based modification only after appropriate healing and vascular assessment, using the current product label and transplant-pharmacy plan. Do not promise recurrence prevention: the SiLVER trial did not demonstrate a significant long-term primary recurrence-free-survival benefit.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</w:fldData>
        </w:fldChar>
      </w:r>
      <w:r>
        <w:instrText xml:space="preserve"> ADDIN EN.CITE.DATA </w:instrText>
      </w:r>
      <w:r>
        <w:fldChar w:fldCharType="end"/>
      </w:r>
      <w:r>
        <w:fldChar w:fldCharType="separate"/>
      </w:r>
      <w:r>
        <w:t xml:space="preserve">[V12-51]</w:t>
      </w:r>
      <w:r>
        <w:fldChar w:fldCharType="end"/>
      </w:r>
    </w:p>
    <w:p>
      <w:pPr>
        <w:pStyle w:val="Normal"/>
        <w:widowControl/>
        <w:numPr>
          <w:ilvl w:val="0"/>
          <w:numId w:val="3"/>
        </w:numPr>
      </w:pPr>
      <w:r>
        <w:t xml:space="preserve">PD-L1, lymphocyte subsets and other immune markers remain optional research correlates, not validated clearance tests.</w:t>
      </w:r>
    </w:p>
    <w:p>
      <w:pPr>
        <w:pStyle w:val="Heading2"/>
        <w:keepNext/>
        <w:widowControl/>
      </w:pPr>
      <w:r>
        <w:t xml:space="preserve">7 Post transplant oncologic surveillance</w:t>
      </w:r>
    </w:p>
    <w:p>
      <w:pPr>
        <w:pStyle w:val="Normal"/>
        <w:widowControl/>
        <w:numPr>
          <w:ilvl w:val="0"/>
          <w:numId w:val="3"/>
        </w:numPr>
      </w:pPr>
      <w:r>
        <w:t xml:space="preserve">Proposed local schedule for approval: chest CT and contrast liver CT/MRI with AFP every three months for the first two years, then every six months through year five; subsequent surveillance is individualized. Adjust modality to renal function and MRI/CT suitability. This is an operational proposal, not a proven optimal schedule.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Use explant risk assessment, including RETREAT where applicable, to inform discussion. RETREAT was not validated as a prospective eligibility rule for treated PVTT. Investigate a sustained AFP rise or suspicious lesion; ctDNA alone neither diagnoses recurrence nor authorizes treatment.</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Heading2"/>
        <w:keepNext/>
        <w:widowControl/>
      </w:pPr>
      <w:r>
        <w:t xml:space="preserve">8 Management of recurrence</w:t>
      </w:r>
    </w:p>
    <w:p>
      <w:pPr>
        <w:pStyle w:val="Normal"/>
        <w:widowControl/>
        <w:numPr>
          <w:ilvl w:val="0"/>
          <w:numId w:val="3"/>
        </w:numPr>
      </w:pPr>
      <w:r>
        <w:t xml:space="preserve">Confirm recurrence and restage in the transplant-oncology MDT. Consider resection, ablation or radiation for selected limited disease and systemic therapy for disseminated disease, accounting for graft function, drug interactions and patient priorities.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yLTNdPC9EaXNwbGF5VGV4dD48cmVjb3JkPjxyZWMtbnVtYmVyPjM8L3JlYy1udW1iZXI+PGZvcmVpZ24ta2V5cz48a2V5IGFwcD0iRU4iIGRiLWlkPSI3ZGJjZGRiZS02ZjA3LTU2OTgtYmQwYy1iMDM5NTM4YjRjODUiIHRpbWVzdGFtcD0iMTc5MjkyMTA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</w:fldData>
        </w:fldChar>
      </w:r>
      <w:r>
        <w:instrText xml:space="preserve"> ADDIN EN.CITE.DATA </w:instrText>
      </w:r>
      <w:r>
        <w:fldChar w:fldCharType="end"/>
      </w:r>
      <w:r>
        <w:fldChar w:fldCharType="separate"/>
      </w:r>
      <w:r>
        <w:t xml:space="preserve">[V12-3]</w:t>
      </w:r>
      <w:r>
        <w:fldChar w:fldCharType="end"/>
      </w:r>
    </w:p>
    <w:p>
      <w:pPr>
        <w:pStyle w:val="Normal"/>
        <w:widowControl/>
        <w:numPr>
          <w:ilvl w:val="0"/>
          <w:numId w:val="3"/>
        </w:numPr>
      </w:pPr>
      <w:r>
        <w:t xml:space="preserve">Post-LT ICI administration is a different risk setting from pre-LT exposure. It is not routine care and may cause rejection, graft loss and death. Any exceptional use requires a documented transplant-oncology risk assessment and monitoring plan; do not quote pre-LT rejection rates as its risk estimate.</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NTI8L1JlY051bT48RGlzcGxheVRleHQ+W1YxMi01Ml08L0Rpc3BsYXlUZXh0PjxyZWNvcmQ+PHJlYy1udW1iZXI+NTI8L3JlYy1udW1iZXI+PGZvcmVpZ24ta2V5cz48a2V5IGFwcD0iRU4iIGRiLWlkPSI3ZGJjZGRiZS02ZjA3LTU2OTgtYmQwYy1iMDM5NTM4YjRjODUiIHRpbWVzdGFtcD0iMTc5MjkyMTA4MyI+NTI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[V12-52]</w:t>
      </w:r>
      <w:r>
        <w:fldChar w:fldCharType="end"/>
      </w:r>
    </w:p>
    <w:p>
      <w:pPr>
        <w:pStyle w:val="Normal"/>
        <w:widowControl/>
        <w:numPr>
          <w:ilvl w:val="0"/>
          <w:numId w:val="3"/>
        </w:numPr>
      </w:pPr>
      <w:r>
        <w:t xml:space="preserve">Individualize immunosuppression reduction with hepatology; do not sacrifice graft safety for an unproven anticancer effect.</w:t>
      </w:r>
    </w:p>
    <w:p>
      <w:pPr>
        <w:pStyle w:val="Heading2"/>
        <w:keepNext/>
        <w:widowControl/>
      </w:pPr>
      <w:r>
        <w:t xml:space="preserve">9 Data collection and safety oversight</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7" w:name="ALLOC_B4"/>
      <w: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41MzwvUmVjTnVtPjxEaXNwbGF5VGV4dD5bVjEyLTUzXTwvRGlzcGxheVRleHQ+PHJlY29yZD48cmVjLW51bWJlcj41MzwvcmVjLW51bWJlcj48Zm9yZWlnbi1rZXlzPjxrZXkgYXBwPSJFTiIgZGItaWQ9IjdkYmNkZGJlLTZmMDctNTY5OC1iZDBjLWIwMzk1MzhiNGM4NSIgdGltZXN0YW1wPSIxNzkyOTIxMDgzIj41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[V12-53]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Mi00NF08L0Rpc3BsYXlUZXh0PjxyZWNvcmQ+PHJlYy1udW1iZXI+NDQ8L3JlYy1udW1iZXI+PGZvcmVpZ24ta2V5cz48a2V5IGFwcD0iRU4iIGRiLWlkPSI3ZGJjZGRiZS02ZjA3LTU2OTgtYmQwYy1iMDM5NTM4YjRjODUiIHRpbWVzdGFtcD0iMTc5MjkyMTA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[V12-44]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U0PC9SZWNOdW0+PERpc3BsYXlUZXh0PltWMTItNTRdPC9EaXNwbGF5VGV4dD48cmVjb3JkPjxyZWMtbnVtYmVyPjU0PC9yZWMtbnVtYmVyPjxmb3JlaWduLWtleXM+PGtleSBhcHA9IkVOIiBkYi1pZD0iN2RiY2RkYmUtNmYwNy01Njk4LWJkMGMtYjAzOTUzOGI0Yzg1IiB0aW1lc3RhbXA9IjE3OTI5MjEwODMiPjU0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[V12-54]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41NTwvUmVjTnVtPjxEaXNwbGF5VGV4dD5bVjEyLTU1XTwvRGlzcGxheVRleHQ+PHJlY29yZD48cmVjLW51bWJlcj41NTwvcmVjLW51bWJlcj48Zm9yZWlnbi1rZXlzPjxrZXkgYXBwPSJFTiIgZGItaWQ9IjdkYmNkZGJlLTZmMDctNTY5OC1iZDBjLWIwMzk1MzhiNGM4NSIgdGltZXN0YW1wPSIxNzkyOTIxMDgzIj41N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[V12-55]</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Mi0xM108L0Rpc3BsYXlUZXh0PjxyZWNvcmQ+PHJlYy1udW1iZXI+MTM8L3JlYy1udW1iZXI+PGZvcmVpZ24ta2V5cz48a2V5IGFwcD0iRU4iIGRiLWlkPSI3ZGJjZGRiZS02ZjA3LTU2OTgtYmQwYy1iMDM5NTM4YjRjODUiIHRpbWVzdGFtcD0iMTc5MjkyMTA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[V12-13]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41MzwvUmVjTnVtPjxEaXNwbGF5VGV4dD5bVjEyLTUzXTwvRGlzcGxheVRleHQ+PHJlY29yZD48cmVjLW51bWJlcj41MzwvcmVjLW51bWJlcj48Zm9yZWlnbi1rZXlzPjxrZXkgYXBwPSJFTiIgZGItaWQ9IjdkYmNkZGJlLTZmMDctNTY5OC1iZDBjLWIwMzk1MzhiNGM4NSIgdGltZXN0YW1wPSIxNzkyOTIxMDgzIj41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[V12-53]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Mi00NF08L0Rpc3BsYXlUZXh0PjxyZWNvcmQ+PHJlYy1udW1iZXI+NDQ8L3JlYy1udW1iZXI+PGZvcmVpZ24ta2V5cz48a2V5IGFwcD0iRU4iIGRiLWlkPSI3ZGJjZGRiZS02ZjA3LTU2OTgtYmQwYy1iMDM5NTM4YjRjODUiIHRpbWVzdGFtcD0iMTc5MjkyMTA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</w:fldData>
        </w:fldChar>
      </w:r>
      <w:r>
        <w:instrText xml:space="preserve"> ADDIN EN.CITE.DATA </w:instrText>
      </w:r>
      <w:r>
        <w:fldChar w:fldCharType="end"/>
      </w:r>
      <w:r>
        <w:fldChar w:fldCharType="separate"/>
      </w:r>
      <w:r>
        <w:t xml:space="preserve">[V12-44]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yLTQzXTwvRGlzcGxheVRleHQ+PHJlY29yZD48cmVjLW51bWJlcj40MzwvcmVjLW51bWJlcj48Zm9yZWlnbi1rZXlzPjxrZXkgYXBwPSJFTiIgZGItaWQ9IjdkYmNkZGJlLTZmMDctNTY5OC1iZDBjLWIwMzk1MzhiNGM4NSIgdGltZXN0YW1wPSIxNzkyOTIxMD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[V12-43]</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U0PC9SZWNOdW0+PERpc3BsYXlUZXh0PltWMTItNTRdPC9EaXNwbGF5VGV4dD48cmVjb3JkPjxyZWMtbnVtYmVyPjU0PC9yZWMtbnVtYmVyPjxmb3JlaWduLWtleXM+PGtleSBhcHA9IkVOIiBkYi1pZD0iN2RiY2RkYmUtNmYwNy01Njk4LWJkMGMtYjAzOTUzOGI0Yzg1IiB0aW1lc3RhbXA9IjE3OTI5MjEwODMiPjU0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XZpZXdlZCAxMyBzZWxlY3RlZCBwYXRpZW50czsgbmluZSBkcm9wb3V0cywgZm91ciBMVCB3aXRoIHVuZXF1YWwgZm9sbG93LXVwLiBQcmVkb21pbmFudGx5IHNpbmdsZSBidWxreSBwaGVub3R5cGU7IGZvdXIgc3Vydml2b3JzIGRvIG5vdCBkZWZpbmUgYSBmaXZlLXllYXIgc3Vydml2YWwgcmF0ZS48L25vdGVzPjx1cmxzPjxyZWxhdGVkLXVybHM+PHVybD5odHRwczovL2RvaS5vcmcvMTAuMzM4OS90aS4yMDI0LjEzNjQxPC91cmw+PC9yZWxhdGVkLXVybHM+PHBkZi11cmxzLz48L3VybHM+PC9yZWNvcmQ+PC9DaXRlPjwvRW5kTm90ZT4=</w:fldData>
        </w:fldChar>
      </w:r>
      <w:r>
        <w:instrText xml:space="preserve"> ADDIN EN.CITE.DATA </w:instrText>
      </w:r>
      <w:r>
        <w:fldChar w:fldCharType="end"/>
      </w:r>
      <w:r>
        <w:fldChar w:fldCharType="separate"/>
      </w:r>
      <w:r>
        <w:t xml:space="preserve">[V12-54]</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41NTwvUmVjTnVtPjxEaXNwbGF5VGV4dD5bVjEyLTU1XTwvRGlzcGxheVRleHQ+PHJlY29yZD48cmVjLW51bWJlcj41NTwvcmVjLW51bWJlcj48Zm9yZWlnbi1rZXlzPjxrZXkgYXBwPSJFTiIgZGItaWQ9IjdkYmNkZGJlLTZmMDctNTY5OC1iZDBjLWIwMzk1MzhiNGM4NSIgdGltZXN0YW1wPSIxNzkyOTIxMDgzIj41N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[V12-55]</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138">
        <w:r>
          <w:rPr>
            <w:color w:val="77230C"/>
            <w:sz w:val="20"/>
            <w:u w:val="single"/>
          </w:rPr>
          <w:t>Meeting record: ALLOC-B4</w:t>
        </w:r>
      </w:hyperlink>
      <w:r>
        <w:t xml:space="preserve">  |  </w:t>
      </w:r>
      <w:hyperlink r:id="rId13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10 Remaining decisions before expansion</w:t>
      </w:r>
    </w:p>
    <w:p>
      <w:pPr>
        <w:pStyle w:val="Heading3"/>
        <w:keepNext/>
        <w:widowControl/>
      </w:pPr>
      <w:bookmarkStart w:id="8" w:name="HCC_B4"/>
      <w:r>
        <w:t xml:space="preserve">HCC-B4 — Can a survival-benefit score influence organ priority?</w:t>
      </w:r>
      <w:bookmarkEnd w:id="8"/>
    </w:p>
    <w:p>
      <w:pPr>
        <w:pStyle w:val="Heading3"/>
        <w:keepNext/>
        <w:widowControl/>
      </w:pPr>
      <w:r>
        <w:t xml:space="preserve">Question and comparison</w:t>
      </w:r>
    </w:p>
    <w:p>
      <w:pPr>
        <w:pStyle w:val="Normal"/>
        <w:widowControl/>
        <w:spacing w:before="60" w:after="20"/>
      </w:pPr>
      <w:r>
        <w:t xml:space="preserve">HCC candidates under existing US allocation pathways, including whether results can transport to expanded-risk or LDLT cohorts; compare model-informed eligibility/priority with current policy. Evaluate calibration, causal estimand, treatment timing, clinical utility, equity and prospective impact—not only discrimination or correlation.</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p>
          <w:p>
            <w:pPr>
              <w:pStyle w:val="Normal"/>
              <w:widowControl/>
              <w:spacing w:before="60" w:after="20"/>
            </w:pPr>
            <w:r>
              <w:t xml:space="preserve">SRTR 2002–2022 HCC cohort restricted to Milan: 30,565 candidates, randomly split into development 15,282 and internal validation 15,283. Table 1 records 19,997 LT and 8,249 dropout events.</w:t>
            </w:r>
          </w:p>
          <w:p>
            <w:pPr>
              <w:pStyle w:val="Normal"/>
              <w:widowControl/>
              <w:spacing w:before="60" w:after="20"/>
            </w:pPr>
            <w:hyperlink r:id="rId140">
              <w:r>
                <w:rPr>
                  <w:color w:val="77230C"/>
                  <w:sz w:val="20"/>
                  <w:u w:val="single"/>
                </w:rPr>
                <w:t>Primary source</w:t>
              </w:r>
            </w:hyperlink>
            <w:r>
              <w:t xml:space="preserve"> | </w:t>
            </w:r>
            <w:hyperlink r:id="rId141">
              <w:r>
                <w:rPr>
                  <w:color w:val="77230C"/>
                  <w:sz w:val="20"/>
                  <w:u w:val="single"/>
                </w:rPr>
                <w:t>Full-text PDF</w:t>
              </w:r>
            </w:hyperlink>
          </w:p>
          <w:p>
            <w:pPr>
              <w:pStyle w:val="Normal"/>
              <w:widowControl/>
              <w:spacing w:before="60" w:after="20"/>
            </w:pPr>
            <w:r>
              <w:t xml:space="preserve">Locator: Complete local PDF pp2–5, §§1.3, 1.6, 1.8 and 2.3, Table 1.</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Proposed score: 0.65×(C-MELD−6)+1.99×(TBS−2.25)+0.68×log2(AFP). Reported internal correlation .93, R² .87 and C-index .91.</w:t>
            </w:r>
          </w:p>
          <w:p>
            <w:pPr>
              <w:pStyle w:val="Normal"/>
              <w:widowControl/>
              <w:spacing w:before="60" w:after="20"/>
            </w:pPr>
            <w:r>
              <w:rPr>
                <w:b/>
              </w:rPr>
              <w:t xml:space="preserve">Do not infer: </w:t>
            </w:r>
            <w:r>
              <w:t xml:space="preserve">Internal split is not external validation. Abstract refers to MELD 3.0 while Methods §1.6 gives an original-MELD formulation; authors/code clarification is needed. Listing versus post-LT time origins, benefit units and model implementation require reproducibility audit. These are audit questions, not proof of a specific bias. No validated transport to PVTT, LDLT or other cancers.</w:t>
            </w:r>
          </w:p>
        </w:tc>
      </w:tr>
      <w:tr>
        <w:trPr/>
        <w:tc>
          <w:tcPr>
            <w:tcW w:w="3400" w:type="dxa"/>
            <w:tcMar>
              <w:top w:w="90" w:type="dxa"/>
              <w:left w:w="90" w:type="dxa"/>
              <w:bottom w:w="90" w:type="dxa"/>
              <w:right w:w="90" w:type="dxa"/>
            </w:tcMar>
          </w:tcPr>
          <w:p>
            <w:pPr>
              <w:pStyle w:val="Normal"/>
              <w:widowControl/>
              <w:spacing w:before="60" w:after="20"/>
            </w:pPr>
            <w:r>
              <w:rPr>
                <w:b/>
              </w:rPr>
              <w:t xml:space="preserve">Liu 2025</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Mi01N108L0Rpc3BsYXlUZXh0PjxyZWNvcmQ+PHJlYy1udW1iZXI+NTc8L3JlYy1udW1iZXI+PGZvcmVpZ24ta2V5cz48a2V5IGFwcD0iRU4iIGRiLWlkPSI3ZGJjZGRiZS02ZjA3LTU2OTgtYmQwYy1iMDM5NTM4YjRjODUiIHRpbWVzdGFtcD0iMTc5MjkyMTA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[V12-57]</w:t>
            </w:r>
            <w:r>
              <w:fldChar w:fldCharType="end"/>
            </w:r>
          </w:p>
          <w:p>
            <w:pPr>
              <w:pStyle w:val="Normal"/>
              <w:widowControl/>
              <w:spacing w:before="60" w:after="20"/>
            </w:pPr>
            <w:r>
              <w:t xml:space="preserve">SRTR cohort of 36,634 adult HCC exception applicants listed during 2002–2019, followed through December 2023. TBS = sqrt (largest diameter squared + lesion count squared) at first exception; groups ≤3 (19,403), &gt;3 to ≤5 (14,689), and &gt;5 (2,542). Of all candidates, 91.0% were within Milan, 5.3% beyond Milan but within UCSF, and 3.6% beyond UCSF.</w:t>
            </w:r>
          </w:p>
          <w:p>
            <w:pPr>
              <w:pStyle w:val="Normal"/>
              <w:widowControl/>
              <w:spacing w:before="60" w:after="20"/>
            </w:pPr>
            <w:hyperlink r:id="rId142">
              <w:r>
                <w:rPr>
                  <w:color w:val="77230C"/>
                  <w:sz w:val="20"/>
                  <w:u w:val="single"/>
                </w:rPr>
                <w:t>Primary source</w:t>
              </w:r>
            </w:hyperlink>
            <w:r>
              <w:t xml:space="preserve"> | </w:t>
            </w:r>
            <w:hyperlink r:id="rId143">
              <w:r>
                <w:rPr>
                  <w:color w:val="77230C"/>
                  <w:sz w:val="20"/>
                  <w:u w:val="single"/>
                </w:rPr>
                <w:t>Full-text PDF</w:t>
              </w:r>
            </w:hyperlink>
          </w:p>
          <w:p>
            <w:pPr>
              <w:pStyle w:val="Normal"/>
              <w:widowControl/>
              <w:spacing w:before="60" w:after="20"/>
            </w:pPr>
            <w:r>
              <w:t xml:space="preserve">Locator: PDF pp 4–5 methods/time origins; p 6 Figure 1 and results; p 7 Table 1; pp 8–11 Figures 2–4, Table 2 caption and limitations</w:t>
            </w:r>
          </w:p>
          <w:p>
            <w:pPr>
              <w:pStyle w:val="Normal"/>
              <w:widowControl/>
              <w:spacing w:before="60" w:after="20"/>
            </w:pPr>
            <w:r>
              <w:t xml:space="preserve">Review depth: Complete main-paper full text reviewed; image-based Table 2 also visually inspected;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unadjusted restricted mean differences were 15.7, 22.1 and 25.0 months for low/intermediate/high TBS. Adjusted five-year survival-probability differences were 21.9, 34.5 and 39.4 percentage points. Five-year post-LT OS was 77.2%, 72.9% and 70.9%. Crude dropout counts were 4,585/19,403, 4,178/14,689 and 819/2,542. Time-dependent LT interaction HR 0.68 (95% CI 0.59–0.78); adjusted LT-associated death HRs 0.36, 0.27 and 0.22 by ascending TBS. Safety: Higher tumor burden was associated with higher dropout and modestly worse recipient survival/RFS. This is not an intervention trial and does not quantify harms caused by a new allocation policy.</w:t>
            </w:r>
          </w:p>
          <w:p>
            <w:pPr>
              <w:pStyle w:val="Normal"/>
              <w:widowControl/>
              <w:spacing w:before="60" w:after="20"/>
            </w:pPr>
            <w:r>
              <w:rPr>
                <w:b/>
              </w:rPr>
              <w:t xml:space="preserve">Do not infer: </w:t>
            </w:r>
            <w:r>
              <w:t xml:space="preserve">Registry association with residual selection, changing allocation/treatment eras, missingness and limited tumor-response/pathology data. Unadjusted curve differences do not share a common treatment-decision time origin; the time-dependent interaction analysis should not be misdescribed as ignoring transplant timing. No prospective deployment or validation in prior PVTT/ICI-expanded cohorts. Text reports median follow-up 53.9 months while Figure 1 reports 31.0; the text describes imputation but Figure 1 excludes 706 recipient records. Figure 2 risk-table group counts differ from Table 1 and increase across some times, so do not reuse those risk counts. Figure 4 uncertainty is called IQR in the caption/text but CI within the graphic.</w:t>
            </w:r>
          </w:p>
        </w:tc>
      </w:tr>
      <w:tr>
        <w:trPr/>
        <w:tc>
          <w:tcPr>
            <w:tcW w:w="3400" w:type="dxa"/>
            <w:tcMar>
              <w:top w:w="90" w:type="dxa"/>
              <w:left w:w="90" w:type="dxa"/>
              <w:bottom w:w="90" w:type="dxa"/>
              <w:right w:w="90" w:type="dxa"/>
            </w:tcMar>
          </w:tcPr>
          <w:p>
            <w:pPr>
              <w:pStyle w:val="Normal"/>
              <w:widowControl/>
              <w:spacing w:before="60" w:after="20"/>
            </w:pPr>
            <w:r>
              <w:rPr>
                <w:b/>
              </w:rPr>
              <w:t xml:space="preserve">Lai 2017</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Mi01OF08L0Rpc3BsYXlUZXh0PjxyZWNvcmQ+PHJlYy1udW1iZXI+NTg8L3JlYy1udW1iZXI+PGZvcmVpZ24ta2V5cz48a2V5IGFwcD0iRU4iIGRiLWlkPSI3ZGJjZGRiZS02ZjA3LTU2OTgtYmQwYy1iMDM5NTM4YjRjODUiIHRpbWVzdGFtcD0iMTc5MjkyMTA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[V12-58]</w:t>
            </w:r>
            <w:r>
              <w:fldChar w:fldCharType="end"/>
            </w:r>
          </w:p>
          <w:p>
            <w:pPr>
              <w:pStyle w:val="Normal"/>
              <w:widowControl/>
              <w:spacing w:before="60" w:after="20"/>
            </w:pPr>
            <w:r>
              <w:t xml:space="preserve">Ten-European-center retrospective cohort of 2,103 adults listed during 1987–2015 who had either undergone LT or dropped out during that period. There were 636 initially beyond-Milan patients and 1,754 treated with locoregional therapy; 1,857 underwent LT and 246 dropped out. Center selection remained within UCSF, up-to-seven or Tokyo criteria, with maximal observed target diameter 6.5 cm and 10 nodules.</w:t>
            </w:r>
          </w:p>
          <w:p>
            <w:pPr>
              <w:pStyle w:val="Normal"/>
              <w:widowControl/>
              <w:spacing w:before="60" w:after="20"/>
            </w:pPr>
            <w:hyperlink r:id="rId144">
              <w:r>
                <w:rPr>
                  <w:color w:val="77230C"/>
                  <w:sz w:val="20"/>
                  <w:u w:val="single"/>
                </w:rPr>
                <w:t>Primary source</w:t>
              </w:r>
            </w:hyperlink>
            <w:r>
              <w:t xml:space="preserve"> | </w:t>
            </w:r>
            <w:hyperlink r:id="rId145">
              <w:r>
                <w:rPr>
                  <w:color w:val="77230C"/>
                  <w:sz w:val="20"/>
                  <w:u w:val="single"/>
                </w:rPr>
                <w:t>Full-text PDF</w:t>
              </w:r>
            </w:hyperlink>
          </w:p>
          <w:p>
            <w:pPr>
              <w:pStyle w:val="Normal"/>
              <w:widowControl/>
              <w:spacing w:before="60" w:after="20"/>
            </w:pPr>
            <w:r>
              <w:t xml:space="preserve">Locator: PDF pp 2–4 selection, model construction and Table 1; pp 5–7 Tables 2–3 and benefit strata; pp 8–9 delisting claims and limitations</w:t>
            </w:r>
          </w:p>
          <w:p>
            <w:pPr>
              <w:pStyle w:val="Normal"/>
              <w:widowControl/>
              <w:spacing w:before="60" w:after="20"/>
            </w:pPr>
            <w:r>
              <w:t xml:space="preserve">Review depth: Complete main-paper full text reviewed; separate supporting data/models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derived strata contained 405 patients (19.2%) with rounded estimated benefit 0 months, 897 (42.7%) with 20 months, 693 (33.0%) with 40 months, and 108 (5.1%) with 60 months. The four low-benefit factors were MELD ≤13, within-Milan status, mRECIST progression OR complete response, and AFP ≥1,000 ng/mL. There were 242 recurrences among 1,857 recipients (13.0%); 16.1% uses only 1,504 recipients with &gt;1-year follow-up. Safety: The paper proposes delisting its modelled no-benefit group, including complete responders with low MELD; this was not prospectively tested and could deny benefit to patients with residual occult disease or future decompensation.</w:t>
            </w:r>
          </w:p>
          <w:p>
            <w:pPr>
              <w:pStyle w:val="Normal"/>
              <w:widowControl/>
              <w:spacing w:before="60" w:after="20"/>
            </w:pPr>
            <w:r>
              <w:rPr>
                <w:b/>
              </w:rPr>
              <w:t xml:space="preserve">Do not infer: </w:t>
            </w:r>
            <w:r>
              <w:t xml:space="preserve">Non-LT survival is externally model-imputed rather than directly observed; last-evaluation covariates can encode information unavailable at initial listing. Retrospective 30-year cohort, heterogeneous selection and treatment, and no independent validation of the derived benefit strata or prospective delisting policy. The article alternately calls some subgroup summaries means and medians; avoid false numerical precision. Full coefficients/assumptions are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Goudsmit 2023</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yLTU5XTwvRGlzcGxheVRleHQ+PHJlY29yZD48cmVjLW51bWJlcj41OTwvcmVjLW51bWJlcj48Zm9yZWlnbi1rZXlzPjxrZXkgYXBwPSJFTiIgZGItaWQ9IjdkYmNkZGJlLTZmMDctNTY5OC1iZDBjLWIwMzk1MzhiNGM4NSIgdGltZXN0YW1wPSIxNzkyOTIxMD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[V12-59]</w:t>
            </w:r>
            <w:r>
              <w:fldChar w:fldCharType="end"/>
            </w:r>
          </w:p>
          <w:p>
            <w:pPr>
              <w:pStyle w:val="Normal"/>
              <w:widowControl/>
              <w:spacing w:before="60" w:after="20"/>
            </w:pPr>
            <w:r>
              <w:t xml:space="preserve">US UNOS first-LT candidates, 2010–April 2019; graphical abstract reports 83,395 eligible listed patients. Exclusions included previous LT, acute liver failure, living-donor listings, multiorgan LT, non-HCC malignancy and non-HCC exception indications. Recipient Table 1 reports 24,503 non-HCC, 6,922 T2 HCC and 5,448 HCC initially outside Milan.</w:t>
            </w:r>
          </w:p>
          <w:p>
            <w:pPr>
              <w:pStyle w:val="Normal"/>
              <w:widowControl/>
              <w:spacing w:before="60" w:after="20"/>
            </w:pPr>
            <w:hyperlink r:id="rId146">
              <w:r>
                <w:rPr>
                  <w:color w:val="77230C"/>
                  <w:sz w:val="20"/>
                  <w:u w:val="single"/>
                </w:rPr>
                <w:t>Primary source</w:t>
              </w:r>
            </w:hyperlink>
            <w:r>
              <w:t xml:space="preserve"> | </w:t>
            </w:r>
            <w:hyperlink r:id="rId147">
              <w:r>
                <w:rPr>
                  <w:color w:val="77230C"/>
                  <w:sz w:val="20"/>
                  <w:u w:val="single"/>
                </w:rPr>
                <w:t>Full-text PDF</w:t>
              </w:r>
            </w:hyperlink>
          </w:p>
          <w:p>
            <w:pPr>
              <w:pStyle w:val="Normal"/>
              <w:widowControl/>
              <w:spacing w:before="60" w:after="20"/>
            </w:pPr>
            <w:r>
              <w:t xml:space="preserve">Locator: PDF p 3 methods and exclusions; p 4 calculator restriction/Table 1; pp 5–6 performance and Table 2; pp 7–8 discussion/limitations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Mean five-year estimated benefit was 2.30 years for non-HCC, 1.19 for T2 HCC and 1.45 for initially outside-Milan HCC. At the same MELD (-Na) below 30, HCC patients had more estimated benefit than non-HCC, but HCC recipients generally had lower MELD. Waiting-list AUROC was 0.86; post-LT AUROC approximately 0.619. Simplified calculator optimism-corrected R² was 0.93 against model-generated benefit, not a directly observed individual causal benefit. Safety: Allocation opportunity cost is inferred from the recipient case mix; the study did not implement a new policy or measure harms from model-led allocation. Low liver reserve and high tumor burden can lower recipient outcomes even when estimated no-LT survival is poor.</w:t>
            </w:r>
          </w:p>
          <w:p>
            <w:pPr>
              <w:pStyle w:val="Normal"/>
              <w:widowControl/>
              <w:spacing w:before="60" w:after="20"/>
            </w:pPr>
            <w:r>
              <w:rPr>
                <w:b/>
              </w:rPr>
              <w:t xml:space="preserve">Do not infer: </w:t>
            </w:r>
            <w:r>
              <w:t xml:space="preserve">No prospective or geographically independent deployment validation; excludes living-donor and non-HCC exception populations. Registry limits include incomplete five-year follow-up, policy-era change and inadequate recurrence detail. HCC MELD ≥30 estimates are sparse. Table 2 totals T2 HCC as 6,992 versus Table 1's 6,922, and its HCC strata have duplicated benefit values despite differing overall means; avoid reconstructing a calculator from printed aggregate tables. Model R² measures approximation of model outputs, not calibration of individual causal benefit.</w:t>
            </w:r>
          </w:p>
        </w:tc>
      </w:tr>
      <w:tr>
        <w:trPr/>
        <w:tc>
          <w:tcPr>
            <w:tcW w:w="3400" w:type="dxa"/>
            <w:tcMar>
              <w:top w:w="90" w:type="dxa"/>
              <w:left w:w="90" w:type="dxa"/>
              <w:bottom w:w="90" w:type="dxa"/>
              <w:right w:w="90" w:type="dxa"/>
            </w:tcMar>
          </w:tcPr>
          <w:p>
            <w:pPr>
              <w:pStyle w:val="Normal"/>
              <w:widowControl/>
              <w:spacing w:before="60" w:after="20"/>
            </w:pPr>
            <w:r>
              <w:rPr>
                <w:b/>
              </w:rPr>
              <w:t xml:space="preserve">Allen 2024</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p>
          <w:p>
            <w:pPr>
              <w:pStyle w:val="Normal"/>
              <w:widowControl/>
              <w:spacing w:before="60" w:after="20"/>
            </w:pPr>
            <w:r>
              <w:t xml:space="preserve">UK National Liver Offering Scheme development and before/after implementation study. Waiting-list models: 3,859 non-cancer and 660 cancer registrations; post-LT models: 2,495 non-cancer and 430 cancer recipients. The separate 2013 simulation cohort comprised 1,287 registrations and 629 donors.</w:t>
            </w:r>
          </w:p>
          <w:p>
            <w:pPr>
              <w:pStyle w:val="Normal"/>
              <w:widowControl/>
              <w:spacing w:before="60" w:after="20"/>
            </w:pPr>
            <w:hyperlink r:id="rId148">
              <w:r>
                <w:rPr>
                  <w:color w:val="77230C"/>
                  <w:sz w:val="20"/>
                  <w:u w:val="single"/>
                </w:rPr>
                <w:t>Primary source</w:t>
              </w:r>
            </w:hyperlink>
            <w:r>
              <w:t xml:space="preserve"> | </w:t>
            </w:r>
            <w:hyperlink r:id="rId149">
              <w:r>
                <w:rPr>
                  <w:color w:val="77230C"/>
                  <w:sz w:val="20"/>
                  <w:u w:val="single"/>
                </w:rPr>
                <w:t>Full-text PDF</w:t>
              </w:r>
            </w:hyperlink>
          </w:p>
          <w:p>
            <w:pPr>
              <w:pStyle w:val="Normal"/>
              <w:widowControl/>
              <w:spacing w:before="60" w:after="20"/>
            </w:pPr>
            <w:r>
              <w:t xml:space="preserve">Locator: PDF pp 3–5: cohorts, censoring, endpoints and simulation assumptions; p 6 Tables 2–3; p 7 Table 4/Figure 1 and HCC subgroup; pp 8–9 limitations/revision</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Simulation: observed 2013 allocation had 93 deaths/removals and 4,581 patient-years; benefit-based simulation predicted 48 deaths/removals and 5,262 patient-years. Need-based simulation predicted the same 48 deaths/removals and 5,187 patient-years. Actual six-month death/deterioration removals fell from 118/1,395 (8%) to 66/1,480 (4%). Six-month survival from listing rose from 86% to 91% (P = .0049), but the HCC-specific comparison was not statistically significant. In the first two years, 68% of DBD livers were offered using the score. Safety: The model can disadvantage particular groups; the authors describe concerns that transplant-free survival in HCC was overestimated and report subsequent model revision. DBD median cold ischemia increased from 8.6 to 9.0 hours in descriptive monitoring; this is not an isolated causal score effect.</w:t>
            </w:r>
          </w:p>
          <w:p>
            <w:pPr>
              <w:pStyle w:val="Normal"/>
              <w:widowControl/>
              <w:spacing w:before="60" w:after="20"/>
            </w:pPr>
            <w:r>
              <w:rPr>
                <w:b/>
              </w:rPr>
              <w:t xml:space="preserve">Do not infer: </w:t>
            </w:r>
            <w:r>
              <w:t xml:space="preserve">Simulated patient-years are not observed life-years gained. The implementation was a multifaceted national process change without randomization. Figure 1 labels the post cohort 1,489 whereas Table 4 and the 2,875 total imply 1,480. Model cancer groups included several indications; no validation specifically establishes safety for US expanded HCC, treated PVTT, or an individual living donor decision. HCC-specific survival improvement was nonsignificant. Detailed coefficients and subgroup results reside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Prosepe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ItNjBdPC9EaXNwbGF5VGV4dD48cmVjb3JkPjxyZWMtbnVtYmVyPjYwPC9yZWMtbnVtYmVyPjxmb3JlaWduLWtleXM+PGtleSBhcHA9IkVOIiBkYi1pZD0iN2RiY2RkYmUtNmYwNy01Njk4LWJkMGMtYjAzOTUzOGI0Yzg1IiB0aW1lc3RhbXA9IjE3OTI5MjEw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[V12-60]</w:t>
            </w:r>
            <w:r>
              <w:fldChar w:fldCharType="end"/>
            </w:r>
          </w:p>
          <w:p>
            <w:pPr>
              <w:pStyle w:val="Normal"/>
              <w:widowControl/>
              <w:spacing w:before="60" w:after="20"/>
            </w:pPr>
            <w:r>
              <w:t xml:space="preserve">Methodological study with 200 simulations of 2,500 patients and an application to 9,868 Eurotransplant chronic-cirrhosis patients followed during 2007–2019. Of the clinical cohort, 4,998 received LT, 3,013 died before LT, and 1,361 died within three years after LT. Detailed selection criteria are in the separate supplement.</w:t>
            </w:r>
          </w:p>
          <w:p>
            <w:pPr>
              <w:pStyle w:val="Normal"/>
              <w:widowControl/>
              <w:spacing w:before="60" w:after="20"/>
            </w:pPr>
            <w:hyperlink r:id="rId150">
              <w:r>
                <w:rPr>
                  <w:color w:val="77230C"/>
                  <w:sz w:val="20"/>
                  <w:u w:val="single"/>
                </w:rPr>
                <w:t>Primary source</w:t>
              </w:r>
            </w:hyperlink>
            <w:r>
              <w:t xml:space="preserve"> | </w:t>
            </w:r>
            <w:hyperlink r:id="rId151">
              <w:r>
                <w:rPr>
                  <w:color w:val="77230C"/>
                  <w:sz w:val="20"/>
                  <w:u w:val="single"/>
                </w:rPr>
                <w:t>Full-text PDF</w:t>
              </w:r>
            </w:hyperlink>
          </w:p>
          <w:p>
            <w:pPr>
              <w:pStyle w:val="Normal"/>
              <w:widowControl/>
              <w:spacing w:before="60" w:after="20"/>
            </w:pPr>
            <w:r>
              <w:t xml:space="preserve">Locator: PDF pp 3–6 estimand and identifiability assumptions; pp 7–9 simulation; pp 9–11 registry application and projected gain; pp 12–13 limitations and missing oncologic variables</w:t>
            </w:r>
          </w:p>
          <w:p>
            <w:pPr>
              <w:pStyle w:val="Normal"/>
              <w:widowControl/>
              <w:spacing w:before="60" w:after="20"/>
            </w:pPr>
            <w:r>
              <w:t xml:space="preserve">Review depth: Complete main-paper full text reviewed; mathematical proof, selection details and model coefficients in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proposed weighted method reduced simulation bias relative to baseline-only and unweighted cross-section methods. Applying the fitted model back to the same registry data, selecting the highest predicted benefit rather than highest MELD yielded an estimated extra 0.46 life-years per organ over a three-year horizon. The extrapolated approximately 2,300 life-years is a model projection over roughly 5,000 transplants, not observed benefit. Safety: The model does not directly establish the opportunity costs or population dynamics of changing allocation across future dates. Maximizing benefit at each current offer is not necessarily the optimal longitudinal national policy.</w:t>
            </w:r>
          </w:p>
          <w:p>
            <w:pPr>
              <w:pStyle w:val="Normal"/>
              <w:widowControl/>
              <w:spacing w:before="60" w:after="20"/>
            </w:pPr>
            <w:r>
              <w:rPr>
                <w:b/>
              </w:rPr>
              <w:t xml:space="preserve">Do not infer: </w:t>
            </w:r>
            <w:r>
              <w:t xml:space="preserve">Causal interpretation requires consistency, positivity, conditional exchangeability and correct treatment/outcome models. Performance was not externally validated; real-data predictions were applied to the same patients/dates. Oncologic parameters, sodium and albumin were not routinely collected and omitted. There is no demonstrated calibration in HCC-expanded/PVTT or post-ICI candidates. Full application selection and coefficients remain in the unread supplement. Scarcity dynamics, future organ availability and quality-of-life indications need separate modeling.</w:t>
            </w:r>
          </w:p>
        </w:tc>
      </w:tr>
    </w:tbl>
    <w:p>
      <w:pPr>
        <w:pStyle w:val="Heading3"/>
        <w:keepNext/>
        <w:widowControl/>
      </w:pPr>
      <w:r>
        <w:t xml:space="preserve">Synthesis and evidence that challenges the proposal</w:t>
      </w:r>
    </w:p>
    <w:p>
      <w:pPr>
        <w:pStyle w:val="Normal"/>
        <w:widowControl/>
        <w:spacing w:before="60" w:after="20"/>
      </w:pPr>
      <w:r>
        <w:t xml:space="preserve">Benefit estimands differ: Liu reports both restricted-mean months and adjusted survival-probability percentage points; Lai uses MESIAH-imputed no-LT median survival; Goudsmit estimates recipient-conditioned five-year life-years at LT; Prosepe estimates three-year conditional benefit at donor availability. Allen provides real national implementation monitoring but no significant HCC-specific survival improvement and no validation in US expanded HCC/PVTT. These are not interchangeable scores.</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Mi01N108L0Rpc3BsYXlUZXh0PjxyZWNvcmQ+PHJlYy1udW1iZXI+NTc8L3JlYy1udW1iZXI+PGZvcmVpZ24ta2V5cz48a2V5IGFwcD0iRU4iIGRiLWlkPSI3ZGJjZGRiZS02ZjA3LTU2OTgtYmQwYy1iMDM5NTM4YjRjODUiIHRpbWVzdGFtcD0iMTc5MjkyMTA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[V12-57]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Mi01OF08L0Rpc3BsYXlUZXh0PjxyZWNvcmQ+PHJlYy1udW1iZXI+NTg8L3JlYy1udW1iZXI+PGZvcmVpZ24ta2V5cz48a2V5IGFwcD0iRU4iIGRiLWlkPSI3ZGJjZGRiZS02ZjA3LTU2OTgtYmQwYy1iMDM5NTM4YjRjODUiIHRpbWVzdGFtcD0iMTc5MjkyMTA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[V12-58]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yLTU5XTwvRGlzcGxheVRleHQ+PHJlY29yZD48cmVjLW51bWJlcj41OTwvcmVjLW51bWJlcj48Zm9yZWlnbi1rZXlzPjxrZXkgYXBwPSJFTiIgZGItaWQ9IjdkYmNkZGJlLTZmMDctNTY5OC1iZDBjLWIwMzk1MzhiNGM4NSIgdGltZXN0YW1wPSIxNzkyOTIxMD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[V12-59]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ItNjBdPC9EaXNwbGF5VGV4dD48cmVjb3JkPjxyZWMtbnVtYmVyPjYwPC9yZWMtbnVtYmVyPjxmb3JlaWduLWtleXM+PGtleSBhcHA9IkVOIiBkYi1pZD0iN2RiY2RkYmUtNmYwNy01Njk4LWJkMGMtYjAzOTUzOGI0Yzg1IiB0aW1lc3RhbXA9IjE3OTI5MjEw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[V12-60]</w:t>
      </w:r>
      <w:r>
        <w:fldChar w:fldCharType="end"/>
      </w:r>
    </w:p>
    <w:p>
      <w:pPr>
        <w:pStyle w:val="Normal"/>
        <w:widowControl/>
        <w:numPr>
          <w:ilvl w:val="0"/>
          <w:numId w:val="3"/>
        </w:numPr>
        <w:spacing w:before="60" w:after="20"/>
      </w:pPr>
      <w:r>
        <w:t xml:space="preserve">The UK implementation and longitudinal causal methods show that benefit-based allocation need not remain hypothetical. Favorable internal performance and the larger-benefit signal at higher tumor burden justify further evaluation, not automatic adoption. Conversely, an imputed nontransplant counterfactual, recipient-only scope or overlapping registry sample cannot serve as independent validation. The proper critique is specific to estimand, calibration and transport—not a blanket claim that observational modeling is invalid or that time-dependent LT was never considered.</w:t>
      </w:r>
    </w:p>
    <w:p>
      <w:pPr>
        <w:pStyle w:val="Normal"/>
        <w:widowControl/>
        <w:spacing w:before="60" w:after="20"/>
      </w:pPr>
      <w:r>
        <w:rPr>
          <w:b/>
        </w:rPr>
        <w:t xml:space="preserve">Certainty / applicability: </w:t>
      </w:r>
      <w:r>
        <w:t xml:space="preserve">Moderate that benefit-based allocation is feasible within an established national governance system; low that any particular observational score improves individual HCC decisions; very low for deployment of the 2026 Liu score in expanded-risk/PVTT/LDLT patients. No independent prospective impact or external high-risk calibration study of that exact score was identified in this bounded search.</w:t>
      </w:r>
    </w:p>
    <w:p>
      <w:pPr>
        <w:pStyle w:val="Heading3"/>
        <w:keepNext/>
        <w:widowControl/>
      </w:pPr>
      <w:r>
        <w:t xml:space="preserve">Where each proposed threshold comes from</w:t>
      </w:r>
    </w:p>
    <w:p>
      <w:pPr>
        <w:pStyle w:val="Normal"/>
        <w:widowControl/>
        <w:numPr>
          <w:ilvl w:val="0"/>
          <w:numId w:val="3"/>
        </w:numPr>
        <w:spacing w:before="60" w:after="20"/>
      </w:pPr>
      <w:r>
        <w:t xml:space="preserve">Zero current decision weight is a proposed governance rule, not a published numerical efficacy threshold. No arbitrary calibration/C-index cutoff is endorsed here. Acceptance criteria should be prespecified with biostatistics and allocation stakeholders using clinically meaningful calibration error, decision consequences and equity, then independently tested. Findings in within-Milan DDLT cannot simply be extrapolated to PVTT or LDLT.</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p>
          <w:p>
            <w:pPr>
              <w:pStyle w:val="Normal"/>
              <w:widowControl/>
              <w:spacing w:before="60" w:after="20"/>
            </w:pPr>
            <w:r>
              <w:t xml:space="preserve">“developed and internally validated”</w:t>
            </w:r>
          </w:p>
          <w:p>
            <w:pPr>
              <w:pStyle w:val="Normal"/>
              <w:widowControl/>
              <w:spacing w:before="60" w:after="20"/>
            </w:pPr>
            <w:r>
              <w:t xml:space="preserve">Published PDF p2, introduction</w:t>
            </w:r>
          </w:p>
          <w:p>
            <w:pPr>
              <w:pStyle w:val="Normal"/>
              <w:widowControl/>
              <w:spacing w:before="60" w:after="20"/>
            </w:pPr>
            <w:hyperlink r:id="rId152">
              <w:r>
                <w:rPr>
                  <w:color w:val="77230C"/>
                  <w:sz w:val="20"/>
                  <w:u w:val="single"/>
                </w:rPr>
                <w:t>Source</w:t>
              </w:r>
            </w:hyperlink>
            <w:r>
              <w:t xml:space="preserve"> | </w:t>
            </w:r>
            <w:hyperlink r:id="rId15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split-sample internal assessment is not independent external validation.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p>
          <w:p>
            <w:pPr>
              <w:pStyle w:val="Normal"/>
              <w:widowControl/>
              <w:spacing w:before="60" w:after="20"/>
            </w:pPr>
            <w:r>
              <w:t xml:space="preserve">“Recipients of living donor liver transplantation (LDLT) were excluded”</w:t>
            </w:r>
          </w:p>
          <w:p>
            <w:pPr>
              <w:pStyle w:val="Normal"/>
              <w:widowControl/>
              <w:spacing w:before="60" w:after="20"/>
            </w:pPr>
            <w:r>
              <w:t xml:space="preserve">Published PDF p2, section 1.3</w:t>
            </w:r>
          </w:p>
          <w:p>
            <w:pPr>
              <w:pStyle w:val="Normal"/>
              <w:widowControl/>
              <w:spacing w:before="60" w:after="20"/>
            </w:pPr>
            <w:hyperlink r:id="rId154">
              <w:r>
                <w:rPr>
                  <w:color w:val="77230C"/>
                  <w:sz w:val="20"/>
                  <w:u w:val="single"/>
                </w:rPr>
                <w:t>Source</w:t>
              </w:r>
            </w:hyperlink>
            <w:r>
              <w:t xml:space="preserve"> | </w:t>
            </w:r>
            <w:hyperlink r:id="rId15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LDLT decisions are outside this model’s evaluated population.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Give the survival-benefit score zero clinical or allocation weight now; evaluate it in shadow mode only.</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Mi01Nl08L0Rpc3BsYXlUZXh0PjxyZWNvcmQ+PHJlYy1udW1iZXI+NTY8L3JlYy1udW1iZXI+PGZvcmVpZ24ta2V5cz48a2V5IGFwcD0iRU4iIGRiLWlkPSI3ZGJjZGRiZS02ZjA3LTU2OTgtYmQwYy1iMDM5NTM4YjRjODUiIHRpbWVzdGFtcD0iMTc5MjkyMTA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[V12-56]</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Mi01N108L0Rpc3BsYXlUZXh0PjxyZWNvcmQ+PHJlYy1udW1iZXI+NTc8L3JlYy1udW1iZXI+PGZvcmVpZ24ta2V5cz48a2V5IGFwcD0iRU4iIGRiLWlkPSI3ZGJjZGRiZS02ZjA3LTU2OTgtYmQwYy1iMDM5NTM4YjRjODUiIHRpbWVzdGFtcD0iMTc5MjkyMTA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[V12-57]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Mi01OF08L0Rpc3BsYXlUZXh0PjxyZWNvcmQ+PHJlYy1udW1iZXI+NTg8L3JlYy1udW1iZXI+PGZvcmVpZ24ta2V5cz48a2V5IGFwcD0iRU4iIGRiLWlkPSI3ZGJjZGRiZS02ZjA3LTU2OTgtYmQwYy1iMDM5NTM4YjRjODUiIHRpbWVzdGFtcD0iMTc5MjkyMTA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[V12-58]</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yLTU5XTwvRGlzcGxheVRleHQ+PHJlY29yZD48cmVjLW51bWJlcj41OTwvcmVjLW51bWJlcj48Zm9yZWlnbi1rZXlzPjxrZXkgYXBwPSJFTiIgZGItaWQ9IjdkYmNkZGJlLTZmMDctNTY5OC1iZDBjLWIwMzk1MzhiNGM4NSIgdGltZXN0YW1wPSIxNzkyOTIxMD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[V12-59]</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yLTQ3XTwvRGlzcGxheVRleHQ+PHJlY29yZD48cmVjLW51bWJlcj40NzwvcmVjLW51bWJlcj48Zm9yZWlnbi1rZXlzPjxrZXkgYXBwPSJFTiIgZGItaWQ9IjdkYmNkZGJlLTZmMDctNTY5OC1iZDBjLWIwMzk1MzhiNGM4NSIgdGltZXN0YW1wPSIxNzkyOTIxMD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[V12-47]</w:t>
      </w:r>
      <w:r>
        <w:fldChar w:fldCharType="end"/>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ItNjBdPC9EaXNwbGF5VGV4dD48cmVjb3JkPjxyZWMtbnVtYmVyPjYwPC9yZWMtbnVtYmVyPjxmb3JlaWduLWtleXM+PGtleSBhcHA9IkVOIiBkYi1pZD0iN2RiY2RkYmUtNmYwNy01Njk4LWJkMGMtYjAzOTUzOGI0Yzg1IiB0aW1lc3RhbXA9IjE3OTI5MjEw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[V12-60]</w:t>
      </w:r>
      <w:r>
        <w:fldChar w:fldCharType="end"/>
      </w:r>
    </w:p>
    <w:p>
      <w:pPr>
        <w:pStyle w:val="Normal"/>
        <w:widowControl/>
        <w:numPr>
          <w:ilvl w:val="0"/>
          <w:numId w:val="3"/>
        </w:numPr>
      </w:pPr>
      <w:r>
        <w:t xml:space="preserve">Proposed decision threshold: no score-driven listing, exclusion, exception priority, organ acceptance, LDLT selection or treatment change before external validation and prospective impact review.</w:t>
      </w:r>
    </w:p>
    <w:p>
      <w:pPr>
        <w:pStyle w:val="Normal"/>
        <w:widowControl/>
        <w:numPr>
          <w:ilvl w:val="0"/>
          <w:numId w:val="3"/>
        </w:numPr>
      </w:pPr>
      <w:r>
        <w:t xml:space="preserve">Require a locked reproducible formula and data dictionary, clarification of the MELD/AFP definitions and time zero, independent external calibration and utility testing against current care, equity assessment, and appropriate policy authorization before deployment.</w:t>
      </w:r>
    </w:p>
    <w:p>
      <w:pPr>
        <w:pStyle w:val="Normal"/>
        <w:widowControl/>
        <w:numPr>
          <w:ilvl w:val="0"/>
          <w:numId w:val="3"/>
        </w:numPr>
      </w:pPr>
      <w:r>
        <w:t xml:space="preserve">Do not extrapolate the within-Milan, non-LDLT model to PVTT, LDLT or other cancers.</w:t>
      </w:r>
    </w:p>
    <w:p>
      <w:pPr>
        <w:pStyle w:val="Normal"/>
        <w:widowControl/>
        <w:numPr>
          <w:ilvl w:val="1"/>
          <w:numId w:val="3"/>
        </w:numPr>
        <w:spacing w:before="60" w:after="20"/>
      </w:pPr>
      <w:r>
        <w:t xml:space="preserve">No numerical score cutoff is proposed because its clinical use is not yet justified.</w:t>
      </w:r>
    </w:p>
    <w:p>
      <w:pPr>
        <w:pStyle w:val="Normal"/>
        <w:widowControl/>
        <w:spacing w:before="60" w:after="20"/>
      </w:pPr>
      <w:r>
        <w:rPr>
          <w:b/>
        </w:rPr>
        <w:t xml:space="preserve">Why retain or change it: </w:t>
      </w:r>
      <w:r>
        <w:t xml:space="preserve">Retain zero direct clinical/allocation weight in a shadow registry. Lock the exact model, units, decision time, donor assumptions and intended population. Before deployment require independent calibration, missing-data handling, decision-utility and equity analyses, prospective monitoring and institutional/allocation approval. No current model result overrides OPTN policy, donor protection or the biological eligibility gates.</w:t>
      </w:r>
    </w:p>
    <w:p>
      <w:pPr>
        <w:pStyle w:val="Heading3"/>
        <w:keepNext/>
        <w:widowControl/>
      </w:pPr>
      <w:r>
        <w:t xml:space="preserve">Information required before the decision</w:t>
      </w:r>
    </w:p>
    <w:p>
      <w:pPr>
        <w:pStyle w:val="Normal"/>
        <w:widowControl/>
        <w:spacing w:before="60" w:after="20"/>
      </w:pPr>
      <w:r>
        <w:t xml:space="preserve">Reproducible model code; independent cohort; time-dependent transplant analysis; competing-event definitions; calibration, utility and subgroup audit.</w:t>
      </w:r>
    </w:p>
    <w:p>
      <w:pPr>
        <w:pStyle w:val="Normal"/>
        <w:widowControl/>
        <w:spacing w:before="60" w:after="20"/>
      </w:pPr>
      <w:r>
        <w:rPr>
          <w:b/>
        </w:rPr>
        <w:t xml:space="preserve">Clinical versus allocation: </w:t>
      </w:r>
      <w:r>
        <w:t xml:space="preserve">Neither a model estimate nor an internal committee can independently rewrite national allocation priority.</w:t>
      </w:r>
    </w:p>
    <w:p>
      <w:pPr>
        <w:pStyle w:val="Normal"/>
        <w:widowControl/>
        <w:spacing w:before="60" w:after="20"/>
      </w:pPr>
      <w:r>
        <w:rPr>
          <w:b/>
        </w:rPr>
        <w:t xml:space="preserve">Roadmap / protocol reconciliation: </w:t>
      </w:r>
      <w:r>
        <w:t xml:space="preserve">Use the score only as a research output; the current clinical roadmap remains the decision authority.</w:t>
      </w:r>
    </w:p>
    <w:p>
      <w:pPr>
        <w:pStyle w:val="Normal"/>
        <w:widowControl/>
        <w:spacing w:before="60" w:after="20"/>
      </w:pPr>
      <w:hyperlink r:id="rId156">
        <w:r>
          <w:rPr>
            <w:color w:val="77230C"/>
            <w:sz w:val="20"/>
            <w:u w:val="single"/>
          </w:rPr>
          <w:t>Meeting record: HCC-B4</w:t>
        </w:r>
      </w:hyperlink>
      <w:r>
        <w:t xml:space="preserve">  |  </w:t>
      </w:r>
      <w:hyperlink r:id="rId15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pPr>
      <w:r>
        <w:t xml:space="preserve">The group must record its final wording, owner, date and approvals for HCC-B1–B4 and ALLOC-B1–B4. This edition implements evidence corrections and makes the unresolved choices visible; it does not record a committee decision that has not occurred.</w:t>
      </w:r>
    </w:p>
    <w:p>
      <w:pPr>
        <w:pStyle w:val="Normal"/>
        <w:widowControl/>
      </w:pPr>
      <w:r>
        <w:t xml:space="preserve">Evidence review record: </w:t>
      </w:r>
      <w:hyperlink r:id="rId158">
        <w:r>
          <w:rPr>
            <w:color w:val="77230C"/>
            <w:sz w:val="20"/>
            <w:u w:val="single"/>
          </w:rPr>
          <w:t>Five analyst comments and reconciliation</w:t>
        </w:r>
      </w:hyperlink>
      <w:r>
        <w:t xml:space="preserve">  |  </w:t>
      </w:r>
      <w:hyperlink r:id="rId159">
        <w:r>
          <w:rPr>
            <w:color w:val="77230C"/>
            <w:sz w:val="20"/>
            <w:u w:val="single"/>
          </w:rPr>
          <w:t>Prospective outcomes dataset</w:t>
        </w:r>
      </w:hyperlink>
    </w:p>
    <w:p>
      <w:pPr>
        <w:pStyle w:val="Heading1"/>
        <w:keepNext/>
        <w:widowControl/>
        <w:keepLines/>
      </w:pPr>
      <w:r>
        <w:t xml:space="preserve">Revision note</w:t>
      </w:r>
    </w:p>
    <w:p>
      <w:pPr>
        <w:pStyle w:val="Normal"/>
        <w:keepNext/>
        <w:widowControl/>
        <w:keepLines/>
      </w:pPr>
      <w:r>
        <w:t xml:space="preserve">Revised 2026-10-24 14:05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Several summaries mixed baseline and ever-beyond-Milan populations, selected-recipient and entry outcomes, or excluded early deaths. </w:t>
      </w:r>
      <w:r>
        <w:rPr>
          <w:b/>
        </w:rPr>
        <w:t xml:space="preserve">Correction and reason: </w:t>
      </w:r>
      <w:r>
        <w:t xml:space="preserve">Corrected VITALITY, ImmunoXXL and PVTT denominators, time origins, rejection/retransplant harms and Soin all-recipient outcomes. Cutoffs remain OPEN local proposals, not validated safety thresholds.</w:t>
      </w:r>
    </w:p>
    <w:p>
      <w:pPr>
        <w:pStyle w:val="Normal"/>
        <w:keepNext/>
        <w:widowControl/>
        <w:keepLines/>
      </w:pPr>
      <w:r>
        <w:rPr>
          <w:b/>
        </w:rPr>
        <w:t xml:space="preserve">Problem: </w:t>
      </w:r>
      <w:r>
        <w:t xml:space="preserve">Sposito 2026 was cited from the abstract and its PDF was listed as missing; death handling, pathway attrition, surgical harms and nonuniform selection were unresolved. </w:t>
      </w:r>
      <w:r>
        <w:rPr>
          <w:b/>
        </w:rPr>
        <w:t xml:space="preserve">Correction and reason: </w:t>
      </w:r>
      <w:r>
        <w:t xml:space="preserve">Added and reviewed the 94457 full PDF. Separated 240 treated, 61 downstaged and 37 transplanted; clarified death-censored RFS, six recurrences, four perioperative deaths and 13 major complications; qualified observation/anatomy thresholds and removed the missing-PDF claim. Standard eligibility is unchanged and HCC-B2 remains OPEN.</w:t>
      </w:r>
    </w:p>
    <w:p>
      <w:pPr>
        <w:pStyle w:val="Normal"/>
        <w:keepNext/>
        <w:widowControl/>
        <w:keepLines/>
      </w:pPr>
      <w:r>
        <w:rPr>
          <w:b/>
        </w:rPr>
        <w:t xml:space="preserve">Problem: </w:t>
      </w:r>
      <w:r>
        <w:t xml:space="preserve">Full-text evidence needed to precede clinical proposals. </w:t>
      </w:r>
      <w:r>
        <w:rPr>
          <w:b/>
        </w:rPr>
        <w:t xml:space="preserve">Correction and reason: </w:t>
      </w:r>
      <w:r>
        <w:t xml:space="preserve">Retained the existing evidence-first review and blank OPEN decisions; this revision changes the Sposito/Y90 extraction, not the other HCC evidence or approved eligibility.</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Normal"/>
        <w:widowControl/>
        <w:spacing w:after="120"/>
        <w:keepLines/>
      </w:pPr>
      <w:r>
        <w:t xml:space="preserve">Revision note — balanced treatment content. 2026-10-24 18:49 CDT. Problem: duplicated general treatment review. Correction: keep transplant-specific actions and link regimen comparisons to the roadmap. Why: balanced coverage without repetition. Eligibility, allocation rules and B-decision cutoffs are unchanged.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Organ Procurement and Transplantation Network. OPTN Policies: liver allocation and living donation. HRSA/OPTN. 2026. </w:t>
      </w:r>
      <w:hyperlink r:id="rId574">
        <w:r>
          <w:rPr>
            <w:color w:val="0563C1"/>
            <w:u w:val="single"/>
          </w:rPr>
          <w:t>Source</w:t>
        </w:r>
      </w:hyperlink>
      <w:r>
        <w:t xml:space="preserve"> | </w:t>
      </w:r>
      <w:hyperlink r:id="rId575">
        <w:r>
          <w:rPr>
            <w:color w:val="0563C1"/>
            <w:u w:val="single"/>
          </w:rPr>
          <w:t>Full-text access</w:t>
        </w:r>
      </w:hyperlink>
    </w:p>
    <w:p>
      <w:pPr>
        <w:pStyle w:val="Normal"/>
        <w:widowControl/>
        <w:spacing w:after="120"/>
      </w:pPr>
      <w:r>
        <w:t xml:space="preserve"/>
      </w:r>
      <w:r>
        <w:t xml:space="preserve">[V12-2] Organ Procurement and Transplantation Network. Adult MELD Exceptions for Transplant Oncology. HRSA/OPTN. 2025. </w:t>
      </w:r>
      <w:hyperlink r:id="rId576">
        <w:r>
          <w:rPr>
            <w:color w:val="0563C1"/>
            <w:u w:val="single"/>
          </w:rPr>
          <w:t>Source</w:t>
        </w:r>
      </w:hyperlink>
      <w:r>
        <w:t xml:space="preserve"> | </w:t>
      </w:r>
      <w:hyperlink r:id="rId577">
        <w:r>
          <w:rPr>
            <w:color w:val="0563C1"/>
            <w:u w:val="single"/>
          </w:rPr>
          <w:t>Full-text access</w:t>
        </w:r>
      </w:hyperlink>
    </w:p>
    <w:p>
      <w:pPr>
        <w:pStyle w:val="Normal"/>
        <w:widowControl/>
        <w:spacing w:after="120"/>
      </w:pPr>
      <w:r>
        <w:t xml:space="preserve"/>
      </w:r>
      <w:r>
        <w:t xml:space="preserve">[V12-3] Singal, Amit G; Llovet, Josep M; Yarchoan, Mark; et al. AASLD Practice Guidance on prevention, diagnosis, and treatment of hepatocellular carcinoma. Hepatology (Baltimore, Md.). 2023; 78(6):1922-1965. </w:t>
      </w:r>
      <w:hyperlink r:id="rId578">
        <w:r>
          <w:rPr>
            <w:color w:val="0563C1"/>
            <w:u w:val="single"/>
          </w:rPr>
          <w:t>Source</w:t>
        </w:r>
      </w:hyperlink>
      <w:r>
        <w:t xml:space="preserve"> | </w:t>
      </w:r>
      <w:hyperlink r:id="rId579">
        <w:r>
          <w:rPr>
            <w:color w:val="0563C1"/>
            <w:u w:val="single"/>
          </w:rPr>
          <w:t>Full-text access</w:t>
        </w:r>
      </w:hyperlink>
    </w:p>
    <w:p>
      <w:pPr>
        <w:pStyle w:val="Normal"/>
        <w:widowControl/>
        <w:spacing w:after="120"/>
      </w:pPr>
      <w:r>
        <w:t xml:space="preserve"/>
      </w:r>
      <w:r>
        <w:t xml:space="preserve">[V12-4] Xu, Edison; Tabrizian, Parissa; Gutierrez, Julio; et al. Downstaging of hepatocellular carcinoma before liver transplantation: Results from a national multicenter prospective cohort study. Hepatology (Baltimore, Md.). 2025; 82(3):612-625. </w:t>
      </w:r>
      <w:hyperlink r:id="rId580">
        <w:r>
          <w:rPr>
            <w:color w:val="0563C1"/>
            <w:u w:val="single"/>
          </w:rPr>
          <w:t>Source</w:t>
        </w:r>
      </w:hyperlink>
      <w:r>
        <w:t xml:space="preserve"> | </w:t>
      </w:r>
      <w:hyperlink r:id="rId581">
        <w:r>
          <w:rPr>
            <w:color w:val="0563C1"/>
            <w:u w:val="single"/>
          </w:rPr>
          <w:t>Full-text access</w:t>
        </w:r>
      </w:hyperlink>
    </w:p>
    <w:p>
      <w:pPr>
        <w:pStyle w:val="Normal"/>
        <w:widowControl/>
        <w:spacing w:after="120"/>
      </w:pPr>
      <w:r>
        <w:t xml:space="preserve"/>
      </w:r>
      <w:r>
        <w:t xml:space="preserve">[V12-5] Mazzaferro, Vincenzo; Citterio, Davide; Bhoori, Sherrie; et al. Liver transplantation in hepatocellular carcinoma after tumour downstaging (XXL): a randomised, controlled, phase 2b/3 trial. The Lancet Oncology. 2020; 21(7):947-956. </w:t>
      </w:r>
      <w:hyperlink r:id="rId582">
        <w:r>
          <w:rPr>
            <w:color w:val="0563C1"/>
            <w:u w:val="single"/>
          </w:rPr>
          <w:t>Source</w:t>
        </w:r>
      </w:hyperlink>
      <w:r>
        <w:t xml:space="preserve"> | </w:t>
      </w:r>
      <w:hyperlink r:id="rId583">
        <w:r>
          <w:rPr>
            <w:color w:val="0563C1"/>
            <w:u w:val="single"/>
          </w:rPr>
          <w:t>Full-text access</w:t>
        </w:r>
      </w:hyperlink>
    </w:p>
    <w:p>
      <w:pPr>
        <w:pStyle w:val="Normal"/>
        <w:widowControl/>
        <w:spacing w:after="120"/>
      </w:pPr>
      <w:r>
        <w:t xml:space="preserve"/>
      </w:r>
      <w:r>
        <w:t xml:space="preserve">[V12-6] Dove, Lorna; Chadha, Ryan M.; Lai, Jennifer C.; et al. AASLD AST Practice Guideline on adult liver transplantation: Candidate evaluation. Hepatology. 2026; 83(6):1609-1645. </w:t>
      </w:r>
      <w:hyperlink r:id="rId584">
        <w:r>
          <w:rPr>
            <w:color w:val="0563C1"/>
            <w:u w:val="single"/>
          </w:rPr>
          <w:t>Source</w:t>
        </w:r>
      </w:hyperlink>
      <w:r>
        <w:t xml:space="preserve"> | </w:t>
      </w:r>
      <w:hyperlink r:id="rId585">
        <w:r>
          <w:rPr>
            <w:color w:val="0563C1"/>
            <w:u w:val="single"/>
          </w:rPr>
          <w:t>Full-text access</w:t>
        </w:r>
      </w:hyperlink>
    </w:p>
    <w:p>
      <w:pPr>
        <w:pStyle w:val="Normal"/>
        <w:widowControl/>
        <w:spacing w:after="120"/>
      </w:pPr>
      <w:r>
        <w:t xml:space="preserve"/>
      </w:r>
      <w:r>
        <w:t xml:space="preserve">[V12-7] Yao, Francis Y.; Mehta, Neil; Flemming, Jennifer; et al. Downstaging of hepatocellular cancer before liver transplant: Long‐term outcome compared to tumors within Milan criteria. Hepatology. 2015; 61(6):1968-1977. </w:t>
      </w:r>
      <w:hyperlink r:id="rId586">
        <w:r>
          <w:rPr>
            <w:color w:val="0563C1"/>
            <w:u w:val="single"/>
          </w:rPr>
          <w:t>Source</w:t>
        </w:r>
      </w:hyperlink>
      <w:r>
        <w:t xml:space="preserve"> | </w:t>
      </w:r>
      <w:hyperlink r:id="rId587">
        <w:r>
          <w:rPr>
            <w:color w:val="0563C1"/>
            <w:u w:val="single"/>
          </w:rPr>
          <w:t>Full-text access</w:t>
        </w:r>
      </w:hyperlink>
    </w:p>
    <w:p>
      <w:pPr>
        <w:pStyle w:val="Normal"/>
        <w:widowControl/>
        <w:spacing w:after="120"/>
      </w:pPr>
      <w:r>
        <w:t xml:space="preserve"/>
      </w:r>
      <w:r>
        <w:t xml:space="preserve">[V12-8] Mehta, Neil; Frenette, Catherine; Tabrizian, Parissa; et al. Downstaging Outcomes for Hepatocellular Carcinoma: Results From the Multicenter Evaluation of Reduction in Tumor Size before Liver Transplantation (MERITS-LT) Consortium. Gastroenterology. 2021; 161(5):1502-1512. </w:t>
      </w:r>
      <w:hyperlink r:id="rId588">
        <w:r>
          <w:rPr>
            <w:color w:val="0563C1"/>
            <w:u w:val="single"/>
          </w:rPr>
          <w:t>Source</w:t>
        </w:r>
      </w:hyperlink>
      <w:r>
        <w:t xml:space="preserve"> | </w:t>
      </w:r>
      <w:hyperlink r:id="rId589">
        <w:r>
          <w:rPr>
            <w:color w:val="0563C1"/>
            <w:u w:val="single"/>
          </w:rPr>
          <w:t>Full-text access</w:t>
        </w:r>
      </w:hyperlink>
    </w:p>
    <w:p>
      <w:pPr>
        <w:pStyle w:val="Normal"/>
        <w:widowControl/>
        <w:spacing w:after="120"/>
      </w:pPr>
      <w:r>
        <w:t xml:space="preserve"/>
      </w:r>
      <w:r>
        <w:t xml:space="preserve">[V12-9] Sinha, Jasmine; Mehta, Neil; Dodge, Jennifer L.; et al. Are There Upper Limits in Tumor Burden for Down‐Staging of Hepatocellular Carcinoma to Liver Transplant? Analysis of the All‐Comers Protocol. Hepatology. 2019; 70(4):1185-1196. </w:t>
      </w:r>
      <w:hyperlink r:id="rId590">
        <w:r>
          <w:rPr>
            <w:color w:val="0563C1"/>
            <w:u w:val="single"/>
          </w:rPr>
          <w:t>Source</w:t>
        </w:r>
      </w:hyperlink>
      <w:r>
        <w:t xml:space="preserve"> | </w:t>
      </w:r>
      <w:hyperlink r:id="rId591">
        <w:r>
          <w:rPr>
            <w:color w:val="0563C1"/>
            <w:u w:val="single"/>
          </w:rPr>
          <w:t>Full-text access</w:t>
        </w:r>
      </w:hyperlink>
    </w:p>
    <w:p>
      <w:pPr>
        <w:pStyle w:val="Normal"/>
        <w:widowControl/>
        <w:spacing w:after="120"/>
      </w:pPr>
      <w:r>
        <w:t xml:space="preserve"/>
      </w:r>
      <w:r>
        <w:t xml:space="preserve">[V12-10] Natarajan, Brahma; Tabrizian, Parissa; Hoteit, Maarouf; et al. Downstaging hepatocellular carcinoma before liver transplantation: A multicenter analysis of the “all-comers” protocol in the Multicenter Evaluation of Reduction in Tumor Size before Liver Transplantation (MERITS-LT) consortium. American Journal of Transplantation. 2023; 23(11):1771-1780. </w:t>
      </w:r>
      <w:hyperlink r:id="rId592">
        <w:r>
          <w:rPr>
            <w:color w:val="0563C1"/>
            <w:u w:val="single"/>
          </w:rPr>
          <w:t>Source</w:t>
        </w:r>
      </w:hyperlink>
      <w:r>
        <w:t xml:space="preserve"> | </w:t>
      </w:r>
      <w:hyperlink r:id="rId593">
        <w:r>
          <w:rPr>
            <w:color w:val="0563C1"/>
            <w:u w:val="single"/>
          </w:rPr>
          <w:t>Full-text access</w:t>
        </w:r>
      </w:hyperlink>
    </w:p>
    <w:p>
      <w:pPr>
        <w:pStyle w:val="Normal"/>
        <w:widowControl/>
        <w:spacing w:after="120"/>
      </w:pPr>
      <w:r>
        <w:t xml:space="preserve"/>
      </w:r>
      <w:r>
        <w:t xml:space="preserve">[V12-11] Huang, Annsa C.; Dodge, Jennifer L.; Yao, Francis Y.; et al. National Experience on Waitlist Outcomes for Down-Staging of Hepatocellular Carcinoma: High Dropout Rate in All-Comers. Clinical Gastroenterology and Hepatology. 2023; 21(6):1581-1589. </w:t>
      </w:r>
      <w:hyperlink r:id="rId594">
        <w:r>
          <w:rPr>
            <w:color w:val="0563C1"/>
            <w:u w:val="single"/>
          </w:rPr>
          <w:t>Source</w:t>
        </w:r>
      </w:hyperlink>
      <w:r>
        <w:t xml:space="preserve"> | </w:t>
      </w:r>
      <w:hyperlink r:id="rId595">
        <w:r>
          <w:rPr>
            <w:color w:val="0563C1"/>
            <w:u w:val="single"/>
          </w:rPr>
          <w:t>Full-text access</w:t>
        </w:r>
      </w:hyperlink>
    </w:p>
    <w:p>
      <w:pPr>
        <w:pStyle w:val="Normal"/>
        <w:widowControl/>
        <w:spacing w:after="120"/>
      </w:pPr>
      <w:r>
        <w:t xml:space="preserve"/>
      </w:r>
      <w:r>
        <w:t xml:space="preserve">[V12-12] Tabrizian, Parissa; Holzner, Matthew L.; Mehta, Neil; et al. Ten-Year Outcomes of Liver Transplant and Downstaging for Hepatocellular Carcinoma. JAMA Surgery. 2022; 157(9):779-788. </w:t>
      </w:r>
      <w:hyperlink r:id="rId596">
        <w:r>
          <w:rPr>
            <w:color w:val="0563C1"/>
            <w:u w:val="single"/>
          </w:rPr>
          <w:t>Source</w:t>
        </w:r>
      </w:hyperlink>
      <w:r>
        <w:t xml:space="preserve"> | </w:t>
      </w:r>
      <w:hyperlink r:id="rId597">
        <w:r>
          <w:rPr>
            <w:color w:val="0563C1"/>
            <w:u w:val="single"/>
          </w:rPr>
          <w:t>Full-text access</w:t>
        </w:r>
      </w:hyperlink>
    </w:p>
    <w:p>
      <w:pPr>
        <w:pStyle w:val="Normal"/>
        <w:widowControl/>
        <w:spacing w:after="120"/>
      </w:pPr>
      <w:r>
        <w:t xml:space="preserve"/>
      </w:r>
      <w:r>
        <w:t xml:space="preserve">[V12-13] Llovet, Josep M; Mauro, Ezequiel; Rimassa, Lorenza; et al. Trial design and end points in hepatocellular carcinoma: an EASL-AASLD-ILCA consensus statement. Nature reviews. Clinical oncology. 2026; 23(8):619-647. </w:t>
      </w:r>
      <w:hyperlink r:id="rId598">
        <w:r>
          <w:rPr>
            <w:color w:val="0563C1"/>
            <w:u w:val="single"/>
          </w:rPr>
          <w:t>Source</w:t>
        </w:r>
      </w:hyperlink>
      <w:r>
        <w:t xml:space="preserve"> | </w:t>
      </w:r>
      <w:hyperlink r:id="rId599">
        <w:r>
          <w:rPr>
            <w:color w:val="0563C1"/>
            <w:u w:val="single"/>
          </w:rPr>
          <w:t>Full-text access</w:t>
        </w:r>
      </w:hyperlink>
    </w:p>
    <w:p>
      <w:pPr>
        <w:pStyle w:val="Normal"/>
        <w:widowControl/>
        <w:spacing w:after="120"/>
      </w:pPr>
      <w:r>
        <w:t xml:space="preserve"/>
      </w:r>
      <w:r>
        <w:t xml:space="preserve">[V12-14] Yoon, Young-In; Moon, Deok-Bog; Lee, Sung-Gyu; et al. Living-donor liver transplantation in hepatocellular carcinoma with portal-vein tumor thrombosis. International Journal of Surgery. 2026; 112(3):7259-7270. </w:t>
      </w:r>
      <w:hyperlink r:id="rId600">
        <w:r>
          <w:rPr>
            <w:color w:val="0563C1"/>
            <w:u w:val="single"/>
          </w:rPr>
          <w:t>Source</w:t>
        </w:r>
      </w:hyperlink>
      <w:r>
        <w:t xml:space="preserve"> | </w:t>
      </w:r>
      <w:hyperlink r:id="rId601">
        <w:r>
          <w:rPr>
            <w:color w:val="0563C1"/>
            <w:u w:val="single"/>
          </w:rPr>
          <w:t>Full-text access</w:t>
        </w:r>
      </w:hyperlink>
    </w:p>
    <w:p>
      <w:pPr>
        <w:pStyle w:val="Normal"/>
        <w:widowControl/>
        <w:spacing w:after="120"/>
      </w:pPr>
      <w:r>
        <w:t xml:space="preserve"/>
      </w:r>
      <w:r>
        <w:t xml:space="preserve">[V12-15] Choi, Ho Joong; Kim, Dong Goo; Na, Gun Hyung; et al. The clinical outcomes of patients with portal vein tumor thrombi after living donor liver transplantation. Liver Transplantation. 2017; 23(8):1023-1031. </w:t>
      </w:r>
      <w:hyperlink r:id="rId602">
        <w:r>
          <w:rPr>
            <w:color w:val="0563C1"/>
            <w:u w:val="single"/>
          </w:rPr>
          <w:t>Source</w:t>
        </w:r>
      </w:hyperlink>
      <w:r>
        <w:t xml:space="preserve"> | </w:t>
      </w:r>
      <w:hyperlink r:id="rId603">
        <w:r>
          <w:rPr>
            <w:color w:val="0563C1"/>
            <w:u w:val="single"/>
          </w:rPr>
          <w:t>Full-text access</w:t>
        </w:r>
      </w:hyperlink>
    </w:p>
    <w:p>
      <w:pPr>
        <w:pStyle w:val="Normal"/>
        <w:widowControl/>
        <w:spacing w:after="120"/>
      </w:pPr>
      <w:r>
        <w:t xml:space="preserve"/>
      </w:r>
      <w:r>
        <w:t xml:space="preserve">[V12-16] Yang, Z; Luo, FZ; Wang, S; et al. Alpha-fetoprotein and 18F-FDG standard uptake value predict tumor recurrence after liver transplantation for hepatocellular carcinoma with portal vein tumor thrombosis: Preliminary experience. Hepatobiliary &amp; Pancreatic Diseases International. 2020; 19(3):229-234. </w:t>
      </w:r>
      <w:hyperlink r:id="rId604">
        <w:r>
          <w:rPr>
            <w:color w:val="0563C1"/>
            <w:u w:val="single"/>
          </w:rPr>
          <w:t>Source</w:t>
        </w:r>
      </w:hyperlink>
      <w:r>
        <w:t xml:space="preserve"> | </w:t>
      </w:r>
      <w:hyperlink r:id="rId605">
        <w:r>
          <w:rPr>
            <w:color w:val="0563C1"/>
            <w:u w:val="single"/>
          </w:rPr>
          <w:t>Full-text access</w:t>
        </w:r>
      </w:hyperlink>
    </w:p>
    <w:p>
      <w:pPr>
        <w:pStyle w:val="Normal"/>
        <w:widowControl/>
        <w:spacing w:after="120"/>
      </w:pPr>
      <w:r>
        <w:t xml:space="preserve"/>
      </w:r>
      <w:r>
        <w:t xml:space="preserve">[V12-17] Ye, Zhaodan; Zhuang, Li; Liu, Xiangyan; et al. The clinical outcomes of patients with vascular invasion after deceased donor liver transplantation. Journal of Gastrointestinal Oncology. 2024; 15(4). </w:t>
      </w:r>
      <w:hyperlink r:id="rId606">
        <w:r>
          <w:rPr>
            <w:color w:val="0563C1"/>
            <w:u w:val="single"/>
          </w:rPr>
          <w:t>Source</w:t>
        </w:r>
      </w:hyperlink>
      <w:r>
        <w:t xml:space="preserve"> | </w:t>
      </w:r>
      <w:hyperlink r:id="rId607">
        <w:r>
          <w:rPr>
            <w:color w:val="0563C1"/>
            <w:u w:val="single"/>
          </w:rPr>
          <w:t>Full-text access</w:t>
        </w:r>
      </w:hyperlink>
    </w:p>
    <w:p>
      <w:pPr>
        <w:pStyle w:val="Normal"/>
        <w:widowControl/>
        <w:spacing w:after="120"/>
      </w:pPr>
      <w:r>
        <w:t xml:space="preserve"/>
      </w:r>
      <w:r>
        <w:t xml:space="preserve">[V12-18] Soin, Arvinder S; Bhangui, Prashant; Kataria, Tejinder; et al. Experience With LDLT in Patients With Hepatocellular Carcinoma and Portal Vein Tumor Thrombosis Postdownstaging. Transplantation. 2020; 104(11):2334-2345. </w:t>
      </w:r>
      <w:hyperlink r:id="rId608">
        <w:r>
          <w:rPr>
            <w:color w:val="0563C1"/>
            <w:u w:val="single"/>
          </w:rPr>
          <w:t>Source</w:t>
        </w:r>
      </w:hyperlink>
      <w:r>
        <w:t xml:space="preserve"> | </w:t>
      </w:r>
      <w:hyperlink r:id="rId609">
        <w:r>
          <w:rPr>
            <w:color w:val="0563C1"/>
            <w:u w:val="single"/>
          </w:rPr>
          <w:t>Full-text access</w:t>
        </w:r>
      </w:hyperlink>
    </w:p>
    <w:p>
      <w:pPr>
        <w:pStyle w:val="Normal"/>
        <w:widowControl/>
        <w:spacing w:after="120"/>
      </w:pPr>
      <w:r>
        <w:t xml:space="preserve"/>
      </w:r>
      <w:r>
        <w:t xml:space="preserve">[V12-19] Assalino, Michela; Terraz, Sylvain; Grat, Michal; et al. Liver transplantation for hepatocellular carcinoma after successful treatment of macrovascular invasion – a multi‐center retrospective cohort study. Transplant International. 2020; 33(5):567-575. </w:t>
      </w:r>
      <w:hyperlink r:id="rId610">
        <w:r>
          <w:rPr>
            <w:color w:val="0563C1"/>
            <w:u w:val="single"/>
          </w:rPr>
          <w:t>Source</w:t>
        </w:r>
      </w:hyperlink>
      <w:r>
        <w:t xml:space="preserve"> | </w:t>
      </w:r>
      <w:hyperlink r:id="rId611">
        <w:r>
          <w:rPr>
            <w:color w:val="0563C1"/>
            <w:u w:val="single"/>
          </w:rPr>
          <w:t>Full-text access</w:t>
        </w:r>
      </w:hyperlink>
    </w:p>
    <w:p>
      <w:pPr>
        <w:pStyle w:val="Normal"/>
        <w:widowControl/>
        <w:spacing w:after="120"/>
      </w:pPr>
      <w:r>
        <w:t xml:space="preserve"/>
      </w:r>
      <w:r>
        <w:t xml:space="preserve">[V12-20] Sposito, Carlo; Berardi, Giammauro; Viganò, Mauro; et al. Outcomes of Y90-radioembolization as downstaging to liver transplantation in patients with hepatocellular carcinoma and tumoral portal vein thrombosis. Hepatology. 2026. </w:t>
      </w:r>
      <w:hyperlink r:id="rId612">
        <w:r>
          <w:rPr>
            <w:color w:val="0563C1"/>
            <w:u w:val="single"/>
          </w:rPr>
          <w:t>Source</w:t>
        </w:r>
      </w:hyperlink>
      <w:r>
        <w:t xml:space="preserve"> | </w:t>
      </w:r>
      <w:hyperlink r:id="rId613">
        <w:r>
          <w:rPr>
            <w:color w:val="0563C1"/>
            <w:u w:val="single"/>
          </w:rPr>
          <w:t>Full-text access</w:t>
        </w:r>
      </w:hyperlink>
    </w:p>
    <w:p>
      <w:pPr>
        <w:pStyle w:val="Normal"/>
        <w:widowControl/>
        <w:spacing w:after="120"/>
      </w:pPr>
      <w:r>
        <w:t xml:space="preserve"/>
      </w:r>
      <w:r>
        <w:t xml:space="preserve">[V12-21]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614">
        <w:r>
          <w:rPr>
            <w:color w:val="0563C1"/>
            <w:u w:val="single"/>
          </w:rPr>
          <w:t>Source</w:t>
        </w:r>
      </w:hyperlink>
      <w:r>
        <w:t xml:space="preserve"> | </w:t>
      </w:r>
      <w:hyperlink r:id="rId615">
        <w:r>
          <w:rPr>
            <w:color w:val="0563C1"/>
            <w:u w:val="single"/>
          </w:rPr>
          <w:t>Full-text access</w:t>
        </w:r>
      </w:hyperlink>
    </w:p>
    <w:p>
      <w:pPr>
        <w:pStyle w:val="Normal"/>
        <w:widowControl/>
        <w:spacing w:after="120"/>
      </w:pPr>
      <w:r>
        <w:t xml:space="preserve"/>
      </w:r>
      <w:r>
        <w:t xml:space="preserve">[V12-22] Mehta N; Dodge JL; Roberts JP; et al. Alpha-Fetoprotein Decrease from &gt; 1,000 to &lt; 500 ng/mL in Patients with Hepatocellular Carcinoma Leads to Improved Posttransplant Outcomes.. Hepatology (Baltimore, Md.). 2019; 69(3):1193-1205. </w:t>
      </w:r>
      <w:hyperlink r:id="rId616">
        <w:r>
          <w:rPr>
            <w:color w:val="0563C1"/>
            <w:u w:val="single"/>
          </w:rPr>
          <w:t>Source</w:t>
        </w:r>
      </w:hyperlink>
      <w:r>
        <w:t xml:space="preserve"> | </w:t>
      </w:r>
      <w:hyperlink r:id="rId617">
        <w:r>
          <w:rPr>
            <w:color w:val="0563C1"/>
            <w:u w:val="single"/>
          </w:rPr>
          <w:t>Full-text access</w:t>
        </w:r>
      </w:hyperlink>
    </w:p>
    <w:p>
      <w:pPr>
        <w:pStyle w:val="Normal"/>
        <w:widowControl/>
        <w:spacing w:after="120"/>
      </w:pPr>
      <w:r>
        <w:t xml:space="preserve"/>
      </w:r>
      <w:r>
        <w:t xml:space="preserve">[V12-23] Halazun KJ; Rosenblatt RE; Mehta N; et al. Dynamic α-Fetoprotein Response and Outcomes After Liver Transplant for Hepatocellular Carcinoma.. JAMA surgery. 2021; 156(6):559-567. </w:t>
      </w:r>
      <w:hyperlink r:id="rId618">
        <w:r>
          <w:rPr>
            <w:color w:val="0563C1"/>
            <w:u w:val="single"/>
          </w:rPr>
          <w:t>Source</w:t>
        </w:r>
      </w:hyperlink>
      <w:r>
        <w:t xml:space="preserve"> | </w:t>
      </w:r>
      <w:hyperlink r:id="rId619">
        <w:r>
          <w:rPr>
            <w:color w:val="0563C1"/>
            <w:u w:val="single"/>
          </w:rPr>
          <w:t>Full-text access</w:t>
        </w:r>
      </w:hyperlink>
    </w:p>
    <w:p>
      <w:pPr>
        <w:pStyle w:val="Normal"/>
        <w:widowControl/>
        <w:spacing w:after="120"/>
      </w:pPr>
      <w:r>
        <w:t xml:space="preserve"/>
      </w:r>
      <w:r>
        <w:t xml:space="preserve">[V12-24] Moriyama M; Tateishi R; Matsushita Y; et al. Management and Prognosis of HCC Patients With Elevated Tumor Markers but no Imaging Recurrence After Radiofrequency Ablation.. Cancer medicine. 2026; 15(4):e71812. </w:t>
      </w:r>
      <w:hyperlink r:id="rId620">
        <w:r>
          <w:rPr>
            <w:color w:val="0563C1"/>
            <w:u w:val="single"/>
          </w:rPr>
          <w:t>Source</w:t>
        </w:r>
      </w:hyperlink>
      <w:r>
        <w:t xml:space="preserve"> | </w:t>
      </w:r>
      <w:hyperlink r:id="rId621">
        <w:r>
          <w:rPr>
            <w:color w:val="0563C1"/>
            <w:u w:val="single"/>
          </w:rPr>
          <w:t>Full-text access</w:t>
        </w:r>
      </w:hyperlink>
    </w:p>
    <w:p>
      <w:pPr>
        <w:pStyle w:val="Normal"/>
        <w:widowControl/>
        <w:spacing w:after="120"/>
      </w:pPr>
      <w:r>
        <w:t xml:space="preserve"/>
      </w:r>
      <w:r>
        <w:t xml:space="preserve">[V12-25]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622">
        <w:r>
          <w:rPr>
            <w:color w:val="0563C1"/>
            <w:u w:val="single"/>
          </w:rPr>
          <w:t>Source</w:t>
        </w:r>
      </w:hyperlink>
      <w:r>
        <w:t xml:space="preserve"> | </w:t>
      </w:r>
      <w:hyperlink r:id="rId623">
        <w:r>
          <w:rPr>
            <w:color w:val="0563C1"/>
            <w:u w:val="single"/>
          </w:rPr>
          <w:t>Full-text access</w:t>
        </w:r>
      </w:hyperlink>
    </w:p>
    <w:p>
      <w:pPr>
        <w:pStyle w:val="Normal"/>
        <w:widowControl/>
        <w:spacing w:after="120"/>
      </w:pPr>
      <w:r>
        <w:t xml:space="preserve"/>
      </w:r>
      <w:r>
        <w:t xml:space="preserve">[V12-26] Giard JM; Mehta N; Dodge JL; et al. Alpha-Fetoprotein Slope &gt;7.5 ng/mL per Month Predicts Microvascular Invasion and Tumor Recurrence After Liver Transplantation for Hepatocellular Carcinoma.. Transplantation. 2018; 102(5):816-822. </w:t>
      </w:r>
      <w:hyperlink r:id="rId624">
        <w:r>
          <w:rPr>
            <w:color w:val="0563C1"/>
            <w:u w:val="single"/>
          </w:rPr>
          <w:t>Source</w:t>
        </w:r>
      </w:hyperlink>
      <w:r>
        <w:t xml:space="preserve"> | </w:t>
      </w:r>
      <w:hyperlink r:id="rId625">
        <w:r>
          <w:rPr>
            <w:color w:val="0563C1"/>
            <w:u w:val="single"/>
          </w:rPr>
          <w:t>Full-text access</w:t>
        </w:r>
      </w:hyperlink>
    </w:p>
    <w:p>
      <w:pPr>
        <w:pStyle w:val="Normal"/>
        <w:widowControl/>
        <w:spacing w:after="120"/>
      </w:pPr>
      <w:r>
        <w:t xml:space="preserve"/>
      </w:r>
      <w:r>
        <w:t xml:space="preserve">[V12-27] Sangro, Bruno; Argemi, Josepmaria; Ronot, Maxime; et al. EASL Clinical Practice Guidelines on the management of hepatocellular carcinoma. Journal of Hepatology. 2025; 82(2):315-374. </w:t>
      </w:r>
      <w:hyperlink r:id="rId626">
        <w:r>
          <w:rPr>
            <w:color w:val="0563C1"/>
            <w:u w:val="single"/>
          </w:rPr>
          <w:t>Source</w:t>
        </w:r>
      </w:hyperlink>
      <w:r>
        <w:t xml:space="preserve"> | </w:t>
      </w:r>
      <w:hyperlink r:id="rId627">
        <w:r>
          <w:rPr>
            <w:color w:val="0563C1"/>
            <w:u w:val="single"/>
          </w:rPr>
          <w:t>Full-text access</w:t>
        </w:r>
      </w:hyperlink>
    </w:p>
    <w:p>
      <w:pPr>
        <w:pStyle w:val="Normal"/>
        <w:widowControl/>
        <w:spacing w:after="120"/>
      </w:pPr>
      <w:r>
        <w:t xml:space="preserve"/>
      </w:r>
      <w:r>
        <w:t xml:space="preserve">[V12-28] Apisarnthanarax, Smith; Barry, Aisling; Cao, Minsong; et al. External Beam Radiation Therapy for Primary Liver Cancers: An ASTRO Clinical Practice Guideline. Practical Radiation Oncology. 2022; 12(1):28-51. </w:t>
      </w:r>
      <w:hyperlink r:id="rId628">
        <w:r>
          <w:rPr>
            <w:color w:val="0563C1"/>
            <w:u w:val="single"/>
          </w:rPr>
          <w:t>Source</w:t>
        </w:r>
      </w:hyperlink>
      <w:r>
        <w:t xml:space="preserve"> | </w:t>
      </w:r>
      <w:hyperlink r:id="rId629">
        <w:r>
          <w:rPr>
            <w:color w:val="0563C1"/>
            <w:u w:val="single"/>
          </w:rPr>
          <w:t>Full-text access</w:t>
        </w:r>
      </w:hyperlink>
    </w:p>
    <w:p>
      <w:pPr>
        <w:pStyle w:val="Normal"/>
        <w:widowControl/>
        <w:spacing w:after="120"/>
      </w:pPr>
      <w:r>
        <w:t xml:space="preserve"/>
      </w:r>
      <w:r>
        <w:t xml:space="preserve">[V12-29] National Comprehensive Cancer Network. NCCN Clinical Practice Guidelines in Oncology: Hepatocellular Carcinoma, Version 2.2026 (14 August 2026). . 2026. </w:t>
      </w:r>
      <w:hyperlink r:id="rId630">
        <w:r>
          <w:rPr>
            <w:color w:val="0563C1"/>
            <w:u w:val="single"/>
          </w:rPr>
          <w:t>Source</w:t>
        </w:r>
      </w:hyperlink>
      <w:r>
        <w:t xml:space="preserve"> | </w:t>
      </w:r>
      <w:hyperlink r:id="rId631">
        <w:r>
          <w:rPr>
            <w:color w:val="0563C1"/>
            <w:u w:val="single"/>
          </w:rPr>
          <w:t>Full-text access</w:t>
        </w:r>
      </w:hyperlink>
    </w:p>
    <w:p>
      <w:pPr>
        <w:pStyle w:val="Normal"/>
        <w:widowControl/>
        <w:spacing w:after="120"/>
      </w:pPr>
      <w:r>
        <w:t xml:space="preserve"/>
      </w:r>
      <w:r>
        <w:t xml:space="preserve">[V12-30] American College of Radiology. LI RADS CT MRI Radiation Treatment Response Assessment version 2024 Core. ACR. 2024. </w:t>
      </w:r>
      <w:hyperlink r:id="rId632">
        <w:r>
          <w:rPr>
            <w:color w:val="0563C1"/>
            <w:u w:val="single"/>
          </w:rPr>
          <w:t>Source</w:t>
        </w:r>
      </w:hyperlink>
      <w:r>
        <w:t xml:space="preserve"> | </w:t>
      </w:r>
      <w:hyperlink r:id="rId633">
        <w:r>
          <w:rPr>
            <w:color w:val="0563C1"/>
            <w:u w:val="single"/>
          </w:rPr>
          <w:t>Full-text access</w:t>
        </w:r>
      </w:hyperlink>
    </w:p>
    <w:p>
      <w:pPr>
        <w:pStyle w:val="Normal"/>
        <w:widowControl/>
        <w:spacing w:after="120"/>
      </w:pPr>
      <w:r>
        <w:t xml:space="preserve"/>
      </w:r>
      <w:r>
        <w:t xml:space="preserve">[V12-31] Moeckli, Beat; Wassmer, Charles-Henri; El Hajji, Sofia; et al. Determining safe washout period for immune checkpoint inhibitors prior to liver transplantation: An international retrospective cohort study. Hepatology. 2025; 82(5):1122-1137. </w:t>
      </w:r>
      <w:hyperlink r:id="rId634">
        <w:r>
          <w:rPr>
            <w:color w:val="0563C1"/>
            <w:u w:val="single"/>
          </w:rPr>
          <w:t>Source</w:t>
        </w:r>
      </w:hyperlink>
      <w:r>
        <w:t xml:space="preserve"> | </w:t>
      </w:r>
      <w:hyperlink r:id="rId635">
        <w:r>
          <w:rPr>
            <w:color w:val="0563C1"/>
            <w:u w:val="single"/>
          </w:rPr>
          <w:t>Full-text access</w:t>
        </w:r>
      </w:hyperlink>
    </w:p>
    <w:p>
      <w:pPr>
        <w:pStyle w:val="Normal"/>
        <w:widowControl/>
        <w:spacing w:after="120"/>
      </w:pPr>
      <w:r>
        <w:t xml:space="preserve"/>
      </w:r>
      <w:r>
        <w:t xml:space="preserve">[V12-32] Tabrizian, Parissa; Holzner, Matthew L.; Ajmera, Veeral; et al. Intention-to-treat outcomes of patients with hepatocellular carcinoma receiving immunotherapy before liver transplant: The multicenter VITALITY study. Journal of Hepatology. 2025; 82(3):512-522. </w:t>
      </w:r>
      <w:hyperlink r:id="rId636">
        <w:r>
          <w:rPr>
            <w:color w:val="0563C1"/>
            <w:u w:val="single"/>
          </w:rPr>
          <w:t>Source</w:t>
        </w:r>
      </w:hyperlink>
      <w:r>
        <w:t xml:space="preserve"> | </w:t>
      </w:r>
      <w:hyperlink r:id="rId637">
        <w:r>
          <w:rPr>
            <w:color w:val="0563C1"/>
            <w:u w:val="single"/>
          </w:rPr>
          <w:t>Full-text access</w:t>
        </w:r>
      </w:hyperlink>
    </w:p>
    <w:p>
      <w:pPr>
        <w:pStyle w:val="Normal"/>
        <w:widowControl/>
        <w:spacing w:after="120"/>
      </w:pPr>
      <w:r>
        <w:t xml:space="preserve"/>
      </w:r>
      <w:r>
        <w:t xml:space="preserve">[V12-33] Genentech. Avastin bevacizumab US prescribing information. US prescribing information. 2022. </w:t>
      </w:r>
      <w:hyperlink r:id="rId638">
        <w:r>
          <w:rPr>
            <w:color w:val="0563C1"/>
            <w:u w:val="single"/>
          </w:rPr>
          <w:t>Source</w:t>
        </w:r>
      </w:hyperlink>
      <w:r>
        <w:t xml:space="preserve"> | </w:t>
      </w:r>
      <w:hyperlink r:id="rId639">
        <w:r>
          <w:rPr>
            <w:color w:val="0563C1"/>
            <w:u w:val="single"/>
          </w:rPr>
          <w:t>Full-text access</w:t>
        </w:r>
      </w:hyperlink>
    </w:p>
    <w:p>
      <w:pPr>
        <w:pStyle w:val="Normal"/>
        <w:widowControl/>
        <w:spacing w:after="120"/>
      </w:pPr>
      <w:r>
        <w:t xml:space="preserve"/>
      </w:r>
      <w:r>
        <w:t xml:space="preserve">[V12-34] Wassmer, Charles-Henri; El Hajji, Sofia; Papazarkadas, Xenofon; et al. Immunotherapy and Liver Transplantation: A Narrative Review of Basic and Clinical Data. Cancers. 2023; 15(18):4574. </w:t>
      </w:r>
      <w:hyperlink r:id="rId640">
        <w:r>
          <w:rPr>
            <w:color w:val="0563C1"/>
            <w:u w:val="single"/>
          </w:rPr>
          <w:t>Source</w:t>
        </w:r>
      </w:hyperlink>
      <w:r>
        <w:t xml:space="preserve"> | </w:t>
      </w:r>
      <w:hyperlink r:id="rId641">
        <w:r>
          <w:rPr>
            <w:color w:val="0563C1"/>
            <w:u w:val="single"/>
          </w:rPr>
          <w:t>Full-text access</w:t>
        </w:r>
      </w:hyperlink>
    </w:p>
    <w:p>
      <w:pPr>
        <w:pStyle w:val="Normal"/>
        <w:widowControl/>
        <w:spacing w:after="120"/>
      </w:pPr>
      <w:r>
        <w:t xml:space="preserve"/>
      </w:r>
      <w:r>
        <w:t xml:space="preserve">[V12-35] Bhoori, Sherrie; Rivoltini, Licia; Pinato, David J.; et al. Efficacy of liver transplantation after response to atezolizumab-bevacizumab downstaging of intermediate and advanced hepatocellular carcinoma (ImmunoXXL). Journal of Hepatology. 2026; 85(1):117-129. </w:t>
      </w:r>
      <w:hyperlink r:id="rId642">
        <w:r>
          <w:rPr>
            <w:color w:val="0563C1"/>
            <w:u w:val="single"/>
          </w:rPr>
          <w:t>Source</w:t>
        </w:r>
      </w:hyperlink>
      <w:r>
        <w:t xml:space="preserve"> | </w:t>
      </w:r>
      <w:hyperlink r:id="rId643">
        <w:r>
          <w:rPr>
            <w:color w:val="0563C1"/>
            <w:u w:val="single"/>
          </w:rPr>
          <w:t>Full-text access</w:t>
        </w:r>
      </w:hyperlink>
    </w:p>
    <w:p>
      <w:pPr>
        <w:pStyle w:val="Normal"/>
        <w:widowControl/>
        <w:spacing w:after="120"/>
      </w:pPr>
      <w:r>
        <w:t xml:space="preserve"/>
      </w:r>
      <w:r>
        <w:t xml:space="preserve">[V12-36] Rezaee-Zavareh, Mohammad Saeid; Yeo, Yee Hui; Wang, Tielong; et al. Impact of pre-transplant immune checkpoint inhibitor use on post-transplant outcomes in HCC: A systematic review and individual patient data meta-analysis. Journal of Hepatology. 2025; 82(1):107-119. </w:t>
      </w:r>
      <w:hyperlink r:id="rId644">
        <w:r>
          <w:rPr>
            <w:color w:val="0563C1"/>
            <w:u w:val="single"/>
          </w:rPr>
          <w:t>Source</w:t>
        </w:r>
      </w:hyperlink>
      <w:r>
        <w:t xml:space="preserve"> | </w:t>
      </w:r>
      <w:hyperlink r:id="rId645">
        <w:r>
          <w:rPr>
            <w:color w:val="0563C1"/>
            <w:u w:val="single"/>
          </w:rPr>
          <w:t>Full-text access</w:t>
        </w:r>
      </w:hyperlink>
    </w:p>
    <w:p>
      <w:pPr>
        <w:pStyle w:val="Normal"/>
        <w:widowControl/>
        <w:spacing w:after="120"/>
      </w:pPr>
      <w:r>
        <w:t xml:space="preserve"/>
      </w:r>
      <w:r>
        <w:t xml:space="preserve">[V12-37] Fang, Jun; Zhong, Siyi; Wang, Tielong; et al. Immune-related adverse events are a potent predictor of post-transplant rejection in HCC: a multicentre retrospective cohort study. Gut. 2026; 75(6):1201-1210. </w:t>
      </w:r>
      <w:hyperlink r:id="rId646">
        <w:r>
          <w:rPr>
            <w:color w:val="0563C1"/>
            <w:u w:val="single"/>
          </w:rPr>
          <w:t>Source</w:t>
        </w:r>
      </w:hyperlink>
      <w:r>
        <w:t xml:space="preserve"> | </w:t>
      </w:r>
      <w:hyperlink r:id="rId647">
        <w:r>
          <w:rPr>
            <w:color w:val="0563C1"/>
            <w:u w:val="single"/>
          </w:rPr>
          <w:t>Full-text access</w:t>
        </w:r>
      </w:hyperlink>
    </w:p>
    <w:p>
      <w:pPr>
        <w:pStyle w:val="Normal"/>
        <w:widowControl/>
        <w:spacing w:after="120"/>
      </w:pPr>
      <w:r>
        <w:t xml:space="preserve"/>
      </w:r>
      <w:r>
        <w:t xml:space="preserve">[V12-38] Aceituno, L.; Magyar, C.; Tabrizian, P.; et al. Safety of Immune Checkpoint Inhibitors Prior to Liver Transplantation in Hepatocellular Carcinoma. Alimentary Pharmacology &amp; Therapeutics. 2026; 63(10):1369-1379. </w:t>
      </w:r>
      <w:hyperlink r:id="rId648">
        <w:r>
          <w:rPr>
            <w:color w:val="0563C1"/>
            <w:u w:val="single"/>
          </w:rPr>
          <w:t>Source</w:t>
        </w:r>
      </w:hyperlink>
      <w:r>
        <w:t xml:space="preserve"> | </w:t>
      </w:r>
      <w:hyperlink r:id="rId649">
        <w:r>
          <w:rPr>
            <w:color w:val="0563C1"/>
            <w:u w:val="single"/>
          </w:rPr>
          <w:t>Full-text access</w:t>
        </w:r>
      </w:hyperlink>
    </w:p>
    <w:p>
      <w:pPr>
        <w:pStyle w:val="Normal"/>
        <w:widowControl/>
        <w:spacing w:after="120"/>
      </w:pPr>
      <w:r>
        <w:t xml:space="preserve"/>
      </w:r>
      <w:r>
        <w:t xml:space="preserve">[V12-39] Bauer, Ulrike; Troppmair, Maria R; Khaled, Najib Ben; et al. Liver Transplantation After Immune Checkpoint Inhibition in Hepatocellular Carcinoma-Data From the Multinational LITCHI Registry. Liver international : official journal of the International Association for the Study of the Liver. 2026; 46(6):e70692. </w:t>
      </w:r>
      <w:hyperlink r:id="rId650">
        <w:r>
          <w:rPr>
            <w:color w:val="0563C1"/>
            <w:u w:val="single"/>
          </w:rPr>
          <w:t>Source</w:t>
        </w:r>
      </w:hyperlink>
      <w:r>
        <w:t xml:space="preserve"> | </w:t>
      </w:r>
      <w:hyperlink r:id="rId651">
        <w:r>
          <w:rPr>
            <w:color w:val="0563C1"/>
            <w:u w:val="single"/>
          </w:rPr>
          <w:t>Full-text access</w:t>
        </w:r>
      </w:hyperlink>
    </w:p>
    <w:p>
      <w:pPr>
        <w:pStyle w:val="Normal"/>
        <w:widowControl/>
        <w:spacing w:after="120"/>
      </w:pPr>
      <w:r>
        <w:t xml:space="preserve"/>
      </w:r>
      <w:r>
        <w:t xml:space="preserve">[V12-40] Ong, Meiching; He, Kang; Wang, Feng; et al. Immune Checkpoint Inhibitor–Based Downstaging Therapy for Hepatocellular Carcinoma. JAMA Oncology. 2026. </w:t>
      </w:r>
      <w:hyperlink r:id="rId652">
        <w:r>
          <w:rPr>
            <w:color w:val="0563C1"/>
            <w:u w:val="single"/>
          </w:rPr>
          <w:t>Source</w:t>
        </w:r>
      </w:hyperlink>
      <w:r>
        <w:t xml:space="preserve"> | </w:t>
      </w:r>
      <w:hyperlink r:id="rId653">
        <w:r>
          <w:rPr>
            <w:color w:val="0563C1"/>
            <w:u w:val="single"/>
          </w:rPr>
          <w:t>Full-text access</w:t>
        </w:r>
      </w:hyperlink>
    </w:p>
    <w:p>
      <w:pPr>
        <w:pStyle w:val="Normal"/>
        <w:widowControl/>
        <w:spacing w:after="120"/>
      </w:pPr>
      <w:r>
        <w:t xml:space="preserve"/>
      </w:r>
      <w:r>
        <w:t xml:space="preserve">[V12-41] Kulkarni, Anand V.; Singal, Amit G.; Reddy, K. Rajender. Review Article: Liver Transplantation for Hepatocellular Carcinoma in the Era of Immune Checkpoint Inhibitors. Alimentary Pharmacology &amp; Therapeutics. 2025; 62(6):585-601. </w:t>
      </w:r>
      <w:hyperlink r:id="rId654">
        <w:r>
          <w:rPr>
            <w:color w:val="0563C1"/>
            <w:u w:val="single"/>
          </w:rPr>
          <w:t>Source</w:t>
        </w:r>
      </w:hyperlink>
      <w:r>
        <w:t xml:space="preserve"> | </w:t>
      </w:r>
      <w:hyperlink r:id="rId655">
        <w:r>
          <w:rPr>
            <w:color w:val="0563C1"/>
            <w:u w:val="single"/>
          </w:rPr>
          <w:t>Full-text access</w:t>
        </w:r>
      </w:hyperlink>
    </w:p>
    <w:p>
      <w:pPr>
        <w:pStyle w:val="Normal"/>
        <w:widowControl/>
        <w:spacing w:after="120"/>
      </w:pPr>
      <w:r>
        <w:t xml:space="preserve"/>
      </w:r>
      <w:r>
        <w:t xml:space="preserve">[V12-42] Demirors, Berkay; Lin, Matthew Yu-Sheng; Spitz, Francis J.; et al. Balancing Tumor Response and Rejection Risk After Pre-Transplant Immunotherapy: A Scoping Review. Cancers. 2026; 18(8):1284. </w:t>
      </w:r>
      <w:hyperlink r:id="rId656">
        <w:r>
          <w:rPr>
            <w:color w:val="0563C1"/>
            <w:u w:val="single"/>
          </w:rPr>
          <w:t>Source</w:t>
        </w:r>
      </w:hyperlink>
      <w:r>
        <w:t xml:space="preserve"> | </w:t>
      </w:r>
      <w:hyperlink r:id="rId657">
        <w:r>
          <w:rPr>
            <w:color w:val="0563C1"/>
            <w:u w:val="single"/>
          </w:rPr>
          <w:t>Full-text access</w:t>
        </w:r>
      </w:hyperlink>
    </w:p>
    <w:p>
      <w:pPr>
        <w:pStyle w:val="Normal"/>
        <w:widowControl/>
        <w:spacing w:after="120"/>
      </w:pPr>
      <w:r>
        <w:t xml:space="preserve"/>
      </w:r>
      <w:r>
        <w:t xml:space="preserve">[V12-43] Kelly, Morgan E.; Truby, Tianna M.; Lai, Jennifer C.; et al. Three Decades of Living Liver Donor Outcomes: A National Cohort Analysis of Patterns in Mortality and Recovery. Journal of Transplantation. 2026; 2026(1):2545887. </w:t>
      </w:r>
      <w:hyperlink r:id="rId658">
        <w:r>
          <w:rPr>
            <w:color w:val="0563C1"/>
            <w:u w:val="single"/>
          </w:rPr>
          <w:t>Source</w:t>
        </w:r>
      </w:hyperlink>
      <w:r>
        <w:t xml:space="preserve"> | </w:t>
      </w:r>
      <w:hyperlink r:id="rId659">
        <w:r>
          <w:rPr>
            <w:color w:val="0563C1"/>
            <w:u w:val="single"/>
          </w:rPr>
          <w:t>Full-text access</w:t>
        </w:r>
      </w:hyperlink>
    </w:p>
    <w:p>
      <w:pPr>
        <w:pStyle w:val="Normal"/>
        <w:widowControl/>
        <w:spacing w:after="120"/>
      </w:pPr>
      <w:r>
        <w:t xml:space="preserve"/>
      </w:r>
      <w:r>
        <w:t xml:space="preserve">[V12-44] US Department of Health and Human Services. 45 CFR 46.111: Criteria for IRB approval of research. . 2018. </w:t>
      </w:r>
      <w:hyperlink r:id="rId660">
        <w:r>
          <w:rPr>
            <w:color w:val="0563C1"/>
            <w:u w:val="single"/>
          </w:rPr>
          <w:t>Source</w:t>
        </w:r>
      </w:hyperlink>
      <w:r>
        <w:t xml:space="preserve"> | Local PDF not available in this update</w:t>
      </w:r>
    </w:p>
    <w:p>
      <w:pPr>
        <w:pStyle w:val="Normal"/>
        <w:widowControl/>
        <w:spacing w:after="120"/>
      </w:pPr>
      <w:r>
        <w:t xml:space="preserve"/>
      </w:r>
      <w:r>
        <w:t xml:space="preserve">[V12-45] OPTN Ethics Committee. Ethical Principles in the Allocation of Human Organs. . 2015. </w:t>
      </w:r>
      <w:hyperlink r:id="rId661">
        <w:r>
          <w:rPr>
            <w:color w:val="0563C1"/>
            <w:u w:val="single"/>
          </w:rPr>
          <w:t>Source</w:t>
        </w:r>
      </w:hyperlink>
      <w:r>
        <w:t xml:space="preserve"> | Local PDF not available in this update</w:t>
      </w:r>
    </w:p>
    <w:p>
      <w:pPr>
        <w:pStyle w:val="Normal"/>
        <w:widowControl/>
        <w:spacing w:after="120"/>
      </w:pPr>
      <w:r>
        <w:t xml:space="preserve"/>
      </w:r>
      <w:r>
        <w:t xml:space="preserve">[V12-46]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662">
        <w:r>
          <w:rPr>
            <w:color w:val="0563C1"/>
            <w:u w:val="single"/>
          </w:rPr>
          <w:t>Source</w:t>
        </w:r>
      </w:hyperlink>
      <w:r>
        <w:t xml:space="preserve"> | </w:t>
      </w:r>
      <w:hyperlink r:id="rId663">
        <w:r>
          <w:rPr>
            <w:color w:val="0563C1"/>
            <w:u w:val="single"/>
          </w:rPr>
          <w:t>Full-text access</w:t>
        </w:r>
      </w:hyperlink>
    </w:p>
    <w:p>
      <w:pPr>
        <w:pStyle w:val="Normal"/>
        <w:widowControl/>
        <w:spacing w:after="120"/>
      </w:pPr>
      <w:r>
        <w:t xml:space="preserve"/>
      </w:r>
      <w:r>
        <w:t xml:space="preserve">[V12-47] Allen, Elisa; Taylor, Rhiannon; Gimson, Alexander; et al. Transplant benefit-based offering of deceased donor livers in the United Kingdom. Journal of Hepatology. 2024; 81(3):471-478. </w:t>
      </w:r>
      <w:hyperlink r:id="rId664">
        <w:r>
          <w:rPr>
            <w:color w:val="0563C1"/>
            <w:u w:val="single"/>
          </w:rPr>
          <w:t>Source</w:t>
        </w:r>
      </w:hyperlink>
      <w:r>
        <w:t xml:space="preserve"> | </w:t>
      </w:r>
      <w:hyperlink r:id="rId665">
        <w:r>
          <w:rPr>
            <w:color w:val="0563C1"/>
            <w:u w:val="single"/>
          </w:rPr>
          <w:t>Full-text access</w:t>
        </w:r>
      </w:hyperlink>
    </w:p>
    <w:p>
      <w:pPr>
        <w:pStyle w:val="Normal"/>
        <w:widowControl/>
        <w:spacing w:after="120"/>
      </w:pPr>
      <w:r>
        <w:t xml:space="preserve"/>
      </w:r>
      <w:r>
        <w:t xml:space="preserve">[V12-48] Abecassis, M.M.; Fisher, R.A.; Olthoff, K.M.; et al. Complications of Living Donor Hepatic Lobectomy—A Comprehensive Report. American Journal of Transplantation. 2012; 12(5):1208-1217. </w:t>
      </w:r>
      <w:hyperlink r:id="rId666">
        <w:r>
          <w:rPr>
            <w:color w:val="0563C1"/>
            <w:u w:val="single"/>
          </w:rPr>
          <w:t>Source</w:t>
        </w:r>
      </w:hyperlink>
      <w:r>
        <w:t xml:space="preserve"> | </w:t>
      </w:r>
      <w:hyperlink r:id="rId667">
        <w:r>
          <w:rPr>
            <w:color w:val="0563C1"/>
            <w:u w:val="single"/>
          </w:rPr>
          <w:t>Full-text access</w:t>
        </w:r>
      </w:hyperlink>
    </w:p>
    <w:p>
      <w:pPr>
        <w:pStyle w:val="Normal"/>
        <w:widowControl/>
        <w:spacing w:after="120"/>
      </w:pPr>
      <w:r>
        <w:t xml:space="preserve"/>
      </w:r>
      <w:r>
        <w:t xml:space="preserve">[V12-49] DiMartini, A.; Dew, M.A.; Liu, Q.; et al. Social and Financial Outcomes of Living Liver Donation: A Prospective Investigation Within the Adult-to-Adult Living Donor Liver Transplantation Cohort Study 2 (A2ALL-2). American Journal of Transplantation. 2017; 17(4):1081-1096. </w:t>
      </w:r>
      <w:hyperlink r:id="rId668">
        <w:r>
          <w:rPr>
            <w:color w:val="0563C1"/>
            <w:u w:val="single"/>
          </w:rPr>
          <w:t>Source</w:t>
        </w:r>
      </w:hyperlink>
      <w:r>
        <w:t xml:space="preserve"> | </w:t>
      </w:r>
      <w:hyperlink r:id="rId669">
        <w:r>
          <w:rPr>
            <w:color w:val="0563C1"/>
            <w:u w:val="single"/>
          </w:rPr>
          <w:t>Full-text access</w:t>
        </w:r>
      </w:hyperlink>
    </w:p>
    <w:p>
      <w:pPr>
        <w:pStyle w:val="Normal"/>
        <w:widowControl/>
        <w:spacing w:after="120"/>
      </w:pPr>
      <w:r>
        <w:t xml:space="preserve"/>
      </w:r>
      <w:r>
        <w:t xml:space="preserve">[V12-50] Xiao, Jieling; Zeng, Rebecca Wenling; Lim, Wen Hui; et al. The incidence of adverse outcome in donors after living donor liver transplantation: A meta-analysis of 60,829 donors. Liver Transplantation. 2024; 30(5):493-504. </w:t>
      </w:r>
      <w:hyperlink r:id="rId670">
        <w:r>
          <w:rPr>
            <w:color w:val="0563C1"/>
            <w:u w:val="single"/>
          </w:rPr>
          <w:t>Source</w:t>
        </w:r>
      </w:hyperlink>
      <w:r>
        <w:t xml:space="preserve"> | </w:t>
      </w:r>
      <w:hyperlink r:id="rId671">
        <w:r>
          <w:rPr>
            <w:color w:val="0563C1"/>
            <w:u w:val="single"/>
          </w:rPr>
          <w:t>Full-text access</w:t>
        </w:r>
      </w:hyperlink>
    </w:p>
    <w:p>
      <w:pPr>
        <w:pStyle w:val="Normal"/>
        <w:widowControl/>
        <w:spacing w:after="120"/>
      </w:pPr>
      <w:r>
        <w:t xml:space="preserve"/>
      </w:r>
      <w:r>
        <w:t xml:space="preserve">[V12-51] Geissler, Edward K; Schnitzbauer, Andreas A; Zülke, Carl; et al. Sirolimus Use in Liver Transplant Recipients With Hepatocellular Carcinoma: A Randomized, Multicenter, Open-Label Phase 3 Trial. Transplantation. 2016; 100(1):116-25. </w:t>
      </w:r>
      <w:hyperlink r:id="rId672">
        <w:r>
          <w:rPr>
            <w:color w:val="0563C1"/>
            <w:u w:val="single"/>
          </w:rPr>
          <w:t>Source</w:t>
        </w:r>
      </w:hyperlink>
      <w:r>
        <w:t xml:space="preserve"> | </w:t>
      </w:r>
      <w:hyperlink r:id="rId673">
        <w:r>
          <w:rPr>
            <w:color w:val="0563C1"/>
            <w:u w:val="single"/>
          </w:rPr>
          <w:t>Full-text access</w:t>
        </w:r>
      </w:hyperlink>
    </w:p>
    <w:p>
      <w:pPr>
        <w:pStyle w:val="Normal"/>
        <w:widowControl/>
        <w:spacing w:after="120"/>
      </w:pPr>
      <w:r>
        <w:t xml:space="preserve"/>
      </w:r>
      <w:r>
        <w:t xml:space="preserve">[V12-52] De Martin, Eleonora; Antonini, Teresa Maria; Uguen, Thomas; et al. Immune checkpoint inhibitors after liver transplantation: The role of immunosuppressive management. American Journal of Transplantation. 2026; 26(8):1958-1971. </w:t>
      </w:r>
      <w:hyperlink r:id="rId674">
        <w:r>
          <w:rPr>
            <w:color w:val="0563C1"/>
            <w:u w:val="single"/>
          </w:rPr>
          <w:t>Source</w:t>
        </w:r>
      </w:hyperlink>
      <w:r>
        <w:t xml:space="preserve"> | </w:t>
      </w:r>
      <w:hyperlink r:id="rId675">
        <w:r>
          <w:rPr>
            <w:color w:val="0563C1"/>
            <w:u w:val="single"/>
          </w:rPr>
          <w:t>Full-text access</w:t>
        </w:r>
      </w:hyperlink>
    </w:p>
    <w:p>
      <w:pPr>
        <w:pStyle w:val="Normal"/>
        <w:widowControl/>
        <w:spacing w:after="120"/>
      </w:pPr>
      <w:r>
        <w:t xml:space="preserve"/>
      </w:r>
      <w:r>
        <w:t xml:space="preserve">[V12-53] Eldridge, Sandra M; Chan, Claire L; Campbell, Michael J; et al. CONSORT 2010 statement: extension to randomised pilot and feasibility trials. BMJ. 2016; :i5239. </w:t>
      </w:r>
      <w:hyperlink r:id="rId676">
        <w:r>
          <w:rPr>
            <w:color w:val="0563C1"/>
            <w:u w:val="single"/>
          </w:rPr>
          <w:t>Source</w:t>
        </w:r>
      </w:hyperlink>
      <w:r>
        <w:t xml:space="preserve"> | </w:t>
      </w:r>
      <w:hyperlink r:id="rId677">
        <w:r>
          <w:rPr>
            <w:color w:val="0563C1"/>
            <w:u w:val="single"/>
          </w:rPr>
          <w:t>Full-text access</w:t>
        </w:r>
      </w:hyperlink>
    </w:p>
    <w:p>
      <w:pPr>
        <w:pStyle w:val="Normal"/>
        <w:widowControl/>
        <w:spacing w:after="120"/>
      </w:pPr>
      <w:r>
        <w:t xml:space="preserve"/>
      </w:r>
      <w:r>
        <w:t xml:space="preserve">[V12-54]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678">
        <w:r>
          <w:rPr>
            <w:color w:val="0563C1"/>
            <w:u w:val="single"/>
          </w:rPr>
          <w:t>Source</w:t>
        </w:r>
      </w:hyperlink>
      <w:r>
        <w:t xml:space="preserve"> | </w:t>
      </w:r>
      <w:hyperlink r:id="rId679">
        <w:r>
          <w:rPr>
            <w:color w:val="0563C1"/>
            <w:u w:val="single"/>
          </w:rPr>
          <w:t>Full-text access</w:t>
        </w:r>
      </w:hyperlink>
    </w:p>
    <w:p>
      <w:pPr>
        <w:pStyle w:val="Normal"/>
        <w:widowControl/>
        <w:spacing w:after="120"/>
      </w:pPr>
      <w:r>
        <w:t xml:space="preserve"/>
      </w:r>
      <w:r>
        <w:t xml:space="preserve">[V12-55] Yaqub, Sheraz; Busund, Sondre; Smedman, Tor Magnus; et al. Liver transplantation for locally advanced non-resectable intrahepatic cholangiocarcinoma treated with neoadjuvant therapy: early results from the TESLA trial. British Journal of Surgery. 2025. </w:t>
      </w:r>
      <w:hyperlink r:id="rId680">
        <w:r>
          <w:rPr>
            <w:color w:val="0563C1"/>
            <w:u w:val="single"/>
          </w:rPr>
          <w:t>Source</w:t>
        </w:r>
      </w:hyperlink>
      <w:r>
        <w:t xml:space="preserve"> | </w:t>
      </w:r>
      <w:hyperlink r:id="rId681">
        <w:r>
          <w:rPr>
            <w:color w:val="0563C1"/>
            <w:u w:val="single"/>
          </w:rPr>
          <w:t>Full-text access</w:t>
        </w:r>
      </w:hyperlink>
    </w:p>
    <w:p>
      <w:pPr>
        <w:pStyle w:val="Normal"/>
        <w:widowControl/>
        <w:spacing w:after="120"/>
      </w:pPr>
      <w:r>
        <w:t xml:space="preserve"/>
      </w:r>
      <w:r>
        <w:t xml:space="preserve">[V12-56] Liu, Hao; Neckermann, Isabel; Mial‐Anthony, Jason; et al. Optimizing Liver Transplant Allocation for Hepatocellular Carcinoma: Development and Validation of a Survival Benefit‐Based Model. Clinical Transplantation. 2026; 40(3):e70488. </w:t>
      </w:r>
      <w:hyperlink r:id="rId682">
        <w:r>
          <w:rPr>
            <w:color w:val="0563C1"/>
            <w:u w:val="single"/>
          </w:rPr>
          <w:t>Source</w:t>
        </w:r>
      </w:hyperlink>
      <w:r>
        <w:t xml:space="preserve"> | </w:t>
      </w:r>
      <w:hyperlink r:id="rId683">
        <w:r>
          <w:rPr>
            <w:color w:val="0563C1"/>
            <w:u w:val="single"/>
          </w:rPr>
          <w:t>Full-text access</w:t>
        </w:r>
      </w:hyperlink>
    </w:p>
    <w:p>
      <w:pPr>
        <w:pStyle w:val="Normal"/>
        <w:widowControl/>
        <w:spacing w:after="120"/>
      </w:pPr>
      <w:r>
        <w:t xml:space="preserve"/>
      </w:r>
      <w:r>
        <w:t xml:space="preserve">[V12-57] Liu, Hao; Zhang, Wei; Di, Mengyang; et al. Survival benefit associated with liver transplantation for hepatocellular carcinoma based on tumor burden scores at listing. Hepatology Communications. 2025; 9(1):e0619. </w:t>
      </w:r>
      <w:hyperlink r:id="rId684">
        <w:r>
          <w:rPr>
            <w:color w:val="0563C1"/>
            <w:u w:val="single"/>
          </w:rPr>
          <w:t>Source</w:t>
        </w:r>
      </w:hyperlink>
      <w:r>
        <w:t xml:space="preserve"> | </w:t>
      </w:r>
      <w:hyperlink r:id="rId685">
        <w:r>
          <w:rPr>
            <w:color w:val="0563C1"/>
            <w:u w:val="single"/>
          </w:rPr>
          <w:t>Full-text access</w:t>
        </w:r>
      </w:hyperlink>
    </w:p>
    <w:p>
      <w:pPr>
        <w:pStyle w:val="Normal"/>
        <w:widowControl/>
        <w:spacing w:after="120"/>
      </w:pPr>
      <w:r>
        <w:t xml:space="preserve"/>
      </w:r>
      <w:r>
        <w:t xml:space="preserve">[V12-58] Lai, Quirino; Vitale, Alessandro; Iesari, Samuele; et al. Intention-to-Treat Survival Benefit of Liver Transplantation in Patients With Hepatocellular Cancer. Hepatology. 2017; 66(6):1910-1919. </w:t>
      </w:r>
      <w:hyperlink r:id="rId686">
        <w:r>
          <w:rPr>
            <w:color w:val="0563C1"/>
            <w:u w:val="single"/>
          </w:rPr>
          <w:t>Source</w:t>
        </w:r>
      </w:hyperlink>
      <w:r>
        <w:t xml:space="preserve"> | </w:t>
      </w:r>
      <w:hyperlink r:id="rId687">
        <w:r>
          <w:rPr>
            <w:color w:val="0563C1"/>
            <w:u w:val="single"/>
          </w:rPr>
          <w:t>Full-text access</w:t>
        </w:r>
      </w:hyperlink>
    </w:p>
    <w:p>
      <w:pPr>
        <w:pStyle w:val="Normal"/>
        <w:widowControl/>
        <w:spacing w:after="120"/>
      </w:pPr>
      <w:r>
        <w:t xml:space="preserve"/>
      </w:r>
      <w:r>
        <w:t xml:space="preserve">[V12-59] Goudsmit, Ben F.J.; Ilaria Prosepe, ; Tushuizen, Maarten E.; et al. Survival benefit from liver transplantation for patients with and without hepatocellular carcinoma. JHEP Reports. 2023; 5(12):100907. </w:t>
      </w:r>
      <w:hyperlink r:id="rId688">
        <w:r>
          <w:rPr>
            <w:color w:val="0563C1"/>
            <w:u w:val="single"/>
          </w:rPr>
          <w:t>Source</w:t>
        </w:r>
      </w:hyperlink>
      <w:r>
        <w:t xml:space="preserve"> | </w:t>
      </w:r>
      <w:hyperlink r:id="rId689">
        <w:r>
          <w:rPr>
            <w:color w:val="0563C1"/>
            <w:u w:val="single"/>
          </w:rPr>
          <w:t>Full-text access</w:t>
        </w:r>
      </w:hyperlink>
    </w:p>
    <w:p>
      <w:pPr>
        <w:pStyle w:val="Normal"/>
        <w:widowControl/>
        <w:spacing w:after="120"/>
      </w:pPr>
      <w:r>
        <w:t xml:space="preserve"/>
      </w:r>
      <w:r>
        <w:t xml:space="preserve">[V12-60] Prosepe, Ilaria; van Geloven, Nan; de Ferrante, Hans; et al. Estimating conditional survival benefit for the allocation of scarce resources. Statistical Methods in Medical Research. 2026; 35(4):812-826. </w:t>
      </w:r>
      <w:hyperlink r:id="rId690">
        <w:r>
          <w:rPr>
            <w:color w:val="0563C1"/>
            <w:u w:val="single"/>
          </w:rPr>
          <w:t>Source</w:t>
        </w:r>
      </w:hyperlink>
      <w:r>
        <w:t xml:space="preserve"> | </w:t>
      </w:r>
      <w:hyperlink r:id="rId691">
        <w:r>
          <w:rPr>
            <w:color w:val="0563C1"/>
            <w:u w:val="single"/>
          </w:rPr>
          <w:t>Full-text access</w:t>
        </w:r>
      </w:hyperlink>
      <w:r>
        <w:fldChar w:fldCharType="end"/>
      </w:r>
    </w:p>
    <w:p>
      <w:pPr>
        <w:pStyle w:val="Heading1"/>
        <w:widowControl/>
        <w:keepNext/>
      </w:pPr>
      <w:r>
        <w:t xml:space="preserve">V12 revision note</w:t>
      </w:r>
    </w:p>
    <w:p>
      <w:pPr>
        <w:pStyle w:val="Normal"/>
        <w:widowControl/>
        <w:spacing w:after="120"/>
      </w:pPr>
      <w:r>
        <w:t xml:space="preserve">2026-10-25 04:38 CDT. Problem and correction: Integrate HCC full-text findings at the treatment/selection interface. Separate systemic cancer control from transplant eligibility and allocation. Add HCC B1.1 AFP-only review with unapproved clinical cutoffs explicitly OPEN.</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6">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color="auto" w:fill="E84C2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color="auto" w:fill="FADAD2"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77230C" w:themeColor="accent1" w:themeShade="7F"/>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B43412" w:themeColor="accent1" w:themeShade="BF"/>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B43412" w:themeColor="accent1" w:themeShade="BF"/>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B43412" w:themeColor="accent1" w:themeShade="BF"/>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B43412" w:themeColor="accent1" w:themeShade="BF"/>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E84C2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8C56FB"/>
    <w:rPr>
      <w:b/>
      <w:bCs/>
      <w:caps/>
      <w:color w:val="FFFFFF" w:themeColor="background1"/>
      <w:spacing w:val="15"/>
      <w:shd w:val="clear" w:color="auto" w:fill="E84C22" w:themeFill="accent1"/>
    </w:rPr>
  </w:style>
  <w:style w:type="character" w:customStyle="1" w:styleId="Heading2Char">
    <w:name w:val="Heading 2 Char"/>
    <w:basedOn w:val="DefaultParagraphFont"/>
    <w:link w:val="Heading2"/>
    <w:uiPriority w:val="9"/>
    <w:rsid w:val="008C56FB"/>
    <w:rPr>
      <w:caps/>
      <w:spacing w:val="15"/>
      <w:shd w:val="clear" w:color="auto" w:fill="FADAD2" w:themeFill="accent1" w:themeFillTint="33"/>
    </w:rPr>
  </w:style>
  <w:style w:type="character" w:customStyle="1" w:styleId="Heading3Char">
    <w:name w:val="Heading 3 Char"/>
    <w:basedOn w:val="DefaultParagraphFont"/>
    <w:link w:val="Heading3"/>
    <w:uiPriority w:val="9"/>
    <w:rsid w:val="008C56FB"/>
    <w:rPr>
      <w:caps/>
      <w:color w:val="77230C" w:themeColor="accent1" w:themeShade="7F"/>
      <w:spacing w:val="15"/>
    </w:rPr>
  </w:style>
  <w:style w:type="character" w:customStyle="1" w:styleId="Heading4Char">
    <w:name w:val="Heading 4 Char"/>
    <w:basedOn w:val="DefaultParagraphFont"/>
    <w:link w:val="Heading4"/>
    <w:uiPriority w:val="9"/>
    <w:semiHidden/>
    <w:rsid w:val="008C56FB"/>
    <w:rPr>
      <w:caps/>
      <w:color w:val="B43412" w:themeColor="accent1" w:themeShade="BF"/>
      <w:spacing w:val="10"/>
    </w:rPr>
  </w:style>
  <w:style w:type="character" w:customStyle="1" w:styleId="Heading5Char">
    <w:name w:val="Heading 5 Char"/>
    <w:basedOn w:val="DefaultParagraphFont"/>
    <w:link w:val="Heading5"/>
    <w:uiPriority w:val="9"/>
    <w:semiHidden/>
    <w:rsid w:val="008C56FB"/>
    <w:rPr>
      <w:caps/>
      <w:color w:val="B43412" w:themeColor="accent1" w:themeShade="BF"/>
      <w:spacing w:val="10"/>
    </w:rPr>
  </w:style>
  <w:style w:type="character" w:customStyle="1" w:styleId="Heading6Char">
    <w:name w:val="Heading 6 Char"/>
    <w:basedOn w:val="DefaultParagraphFont"/>
    <w:link w:val="Heading6"/>
    <w:uiPriority w:val="9"/>
    <w:semiHidden/>
    <w:rsid w:val="008C56FB"/>
    <w:rPr>
      <w:caps/>
      <w:color w:val="B43412" w:themeColor="accent1" w:themeShade="BF"/>
      <w:spacing w:val="10"/>
    </w:rPr>
  </w:style>
  <w:style w:type="character" w:customStyle="1" w:styleId="Heading7Char">
    <w:name w:val="Heading 7 Char"/>
    <w:basedOn w:val="DefaultParagraphFont"/>
    <w:link w:val="Heading7"/>
    <w:uiPriority w:val="9"/>
    <w:semiHidden/>
    <w:rsid w:val="008C56FB"/>
    <w:rPr>
      <w:caps/>
      <w:color w:val="B43412" w:themeColor="accent1" w:themeShade="BF"/>
      <w:spacing w:val="10"/>
    </w:rPr>
  </w:style>
  <w:style w:type="character" w:customStyle="1" w:styleId="Heading8Char">
    <w:name w:val="Heading 8 Char"/>
    <w:basedOn w:val="DefaultParagraphFont"/>
    <w:link w:val="Heading8"/>
    <w:uiPriority w:val="9"/>
    <w:semiHidden/>
    <w:rsid w:val="008C56FB"/>
    <w:rPr>
      <w:caps/>
      <w:spacing w:val="10"/>
      <w:sz w:val="18"/>
      <w:szCs w:val="18"/>
    </w:rPr>
  </w:style>
  <w:style w:type="character" w:customStyle="1" w:styleId="Heading9Char">
    <w:name w:val="Heading 9 Char"/>
    <w:basedOn w:val="DefaultParagraphFont"/>
    <w:link w:val="Heading9"/>
    <w:uiPriority w:val="9"/>
    <w:semiHidden/>
    <w:rsid w:val="008C56FB"/>
    <w:rPr>
      <w:i/>
      <w:caps/>
      <w:spacing w:val="10"/>
      <w:sz w:val="18"/>
      <w:szCs w:val="18"/>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name w:val="Title Char"/>
    <w:basedOn w:val="DefaultParagraphFont"/>
    <w:link w:val="Title"/>
    <w:uiPriority w:val="10"/>
    <w:rsid w:val="008C56FB"/>
    <w:rPr>
      <w:caps/>
      <w:color w:val="E84C22" w:themeColor="accent1"/>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8C56FB"/>
    <w:rPr>
      <w:caps/>
      <w:color w:val="595959" w:themeColor="text1" w:themeTint="A6"/>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C56FB"/>
    <w:rPr>
      <w:sz w:val="20"/>
      <w:szCs w:val="20"/>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ybgbdklqbwdpu6srlaphp" Type="http://schemas.openxmlformats.org/officeDocument/2006/relationships/hyperlink" Target="https://pubmed.ncbi.nlm.nih.gov/38831488" TargetMode="External"/><Relationship Id="rIdvqiopdj-dlpf_wuew6sma" Type="http://schemas.openxmlformats.org/officeDocument/2006/relationships/hyperlink" Target="https://onlinelibrary.wiley.com/doi/10.1111/apt.70333" TargetMode="External"/><Relationship Id="rIdsgvtca97b5xentfxnbxwg" Type="http://schemas.openxmlformats.org/officeDocument/2006/relationships/hyperlink" Target="https://pubmed.ncbi.nlm.nih.gov/39808828" TargetMode="External"/><Relationship Id="rId51_v2-vvx5blwv4riwy4l" Type="http://schemas.openxmlformats.org/officeDocument/2006/relationships/hyperlink" Target="https://pubmed.ncbi.nlm.nih.gov/42294332" TargetMode="External"/><Relationship Id="rIduzsxgw8kypuxhw6yrny6c" Type="http://schemas.openxmlformats.org/officeDocument/2006/relationships/hyperlink" Target="https://www.ncbi.nlm.nih.gov/pmc/articles/PMC10663390/" TargetMode="External"/><Relationship Id="rIdjqh792dqvekp8tfse981a" Type="http://schemas.openxmlformats.org/officeDocument/2006/relationships/hyperlink" Target="https://pubmed.ncbi.nlm.nih.gov/39993401" TargetMode="External"/><Relationship Id="rIdqikuaj7ic8ydl5r_ltc8h" Type="http://schemas.openxmlformats.org/officeDocument/2006/relationships/hyperlink" Target="https://doi.org/10.1097/HEP.0000000000001644" TargetMode="External"/><Relationship Id="rId7kp3ps1xdujb6act9y8nu" Type="http://schemas.openxmlformats.org/officeDocument/2006/relationships/hyperlink" Target="https://www.nccn.org/professionals/physician_gls/pdf/hcc.pdf#page=23" TargetMode="External"/><Relationship Id="rId_xaxgzxuvccejmhbxwmdn" Type="http://schemas.openxmlformats.org/officeDocument/2006/relationships/hyperlink" Target="https://pubmed.ncbi.nlm.nih.gov/41490475" TargetMode="External"/><Relationship Id="rId23b4a3igkc_5hbkr63vol" Type="http://schemas.openxmlformats.org/officeDocument/2006/relationships/hyperlink" Target="https://meetings.asco.org/abstracts-presentations/249709" TargetMode="External"/><Relationship Id="rIdmg_eyoyiojukfxknuoio9" Type="http://schemas.openxmlformats.org/officeDocument/2006/relationships/hyperlink" Target="https://pubmed.ncbi.nlm.nih.gov/42073607" TargetMode="External"/><Relationship Id="rIdhr5wllefnif2_6by1e6j2" Type="http://schemas.openxmlformats.org/officeDocument/2006/relationships/hyperlink" Target="https://www.fda.gov/drugs/drug-approvals-and-databases/approved-drug-products-therapeutic-equivalence-evaluations-orange-book" TargetMode="External"/><Relationship Id="rIdzkqorrjwgzr4cgmfgq3j7" Type="http://schemas.openxmlformats.org/officeDocument/2006/relationships/hyperlink" Target="https://pubmed.ncbi.nlm.nih.gov/38996924" TargetMode="External"/><Relationship Id="rIdsje1ai0t758rlttuqqcgv" Type="http://schemas.openxmlformats.org/officeDocument/2006/relationships/hyperlink" Target="https://pubmed.ncbi.nlm.nih.gov/41855385" TargetMode="External"/><Relationship Id="rIdrer_whzoq7ihici8g5kja" Type="http://schemas.openxmlformats.org/officeDocument/2006/relationships/hyperlink" Target="https://pubmed.ncbi.nlm.nih.gov/41193174" TargetMode="External"/><Relationship Id="rIddbrlhyagrkgmbfflldyuc" Type="http://schemas.openxmlformats.org/officeDocument/2006/relationships/hyperlink" Target="https://pubmed.ncbi.nlm.nih.gov/38253289" TargetMode="External"/><Relationship Id="rIdxl57ukzeuicog554_kmok" Type="http://schemas.openxmlformats.org/officeDocument/2006/relationships/hyperlink" Target="https://onlinelibrary.wiley.com/doi/10.1111/apt.70528" TargetMode="External"/><Relationship Id="rIdernyecji2ykbls1cfotvh" Type="http://schemas.openxmlformats.org/officeDocument/2006/relationships/hyperlink" Target="https://doi.org/10.1097/LVT.0000000000000715" TargetMode="External"/><Relationship Id="rIdfblbaisctpslptrrqxqoi" Type="http://schemas.openxmlformats.org/officeDocument/2006/relationships/hyperlink" Target="https://pubmed.ncbi.nlm.nih.gov/41622628" TargetMode="External"/><Relationship Id="rIdpetrdyo4wmnge9u_ch6jo" Type="http://schemas.openxmlformats.org/officeDocument/2006/relationships/hyperlink" Target="https://pubmed.ncbi.nlm.nih.gov/30568386" TargetMode="External"/><Relationship Id="rIdcodunqyocaipzgbzse7i8" Type="http://schemas.openxmlformats.org/officeDocument/2006/relationships/hyperlink" Target="https://pubmed.ncbi.nlm.nih.gov/36160651" TargetMode="External"/><Relationship Id="rIdvtp-3y5ihff9zrxhzwnil" Type="http://schemas.openxmlformats.org/officeDocument/2006/relationships/hyperlink" Target="https://pubmed.ncbi.nlm.nih.gov/42073605" TargetMode="External"/><Relationship Id="rIdkex91tmzz_vlvwq1bv-7u" Type="http://schemas.openxmlformats.org/officeDocument/2006/relationships/hyperlink" Target="https://pubmed.ncbi.nlm.nih.gov/22047762" TargetMode="External"/><Relationship Id="rId29" Type="http://schemas.openxmlformats.org/officeDocument/2006/relationships/fontTable" Target="fontTable.xml"/><Relationship Id="rId30" Type="http://schemas.openxmlformats.org/officeDocument/2006/relationships/hyperlink" Target="https://doi.org/10.1002/hep.27752" TargetMode="External"/><Relationship Id="rId31" Type="http://schemas.openxmlformats.org/officeDocument/2006/relationships/hyperlink" Target="https://libkey.io/libraries/480/10.1002/hep.27752" TargetMode="External"/><Relationship Id="rId32" Type="http://schemas.openxmlformats.org/officeDocument/2006/relationships/hyperlink" Target="https://doi.org/10.1053/j.gastro.2021.07.033" TargetMode="External"/><Relationship Id="rId33" Type="http://schemas.openxmlformats.org/officeDocument/2006/relationships/hyperlink" Target="https://libkey.io/libraries/480/10.1053/j.gastro.2021.07.033" TargetMode="External"/><Relationship Id="rId34" Type="http://schemas.openxmlformats.org/officeDocument/2006/relationships/hyperlink" Target="https://doi.org/10.1002/hep.30570" TargetMode="External"/><Relationship Id="rId35" Type="http://schemas.openxmlformats.org/officeDocument/2006/relationships/hyperlink" Target="https://libkey.io/libraries/480/10.1002/hep.30570" TargetMode="External"/><Relationship Id="rId36" Type="http://schemas.openxmlformats.org/officeDocument/2006/relationships/hyperlink" Target="https://doi.org/10.1016/j.ajt.2023.07.021" TargetMode="External"/><Relationship Id="rId37" Type="http://schemas.openxmlformats.org/officeDocument/2006/relationships/hyperlink" Target="https://libkey.io/libraries/480/10.1016/j.ajt.2023.07.021" TargetMode="External"/><Relationship Id="rId38" Type="http://schemas.openxmlformats.org/officeDocument/2006/relationships/hyperlink" Target="https://doi.org/10.1097/HEP.0000000000001231" TargetMode="External"/><Relationship Id="rId39" Type="http://schemas.openxmlformats.org/officeDocument/2006/relationships/hyperlink" Target="https://libkey.io/libraries/480/10.1097/HEP.0000000000001231" TargetMode="External"/><Relationship Id="rId40" Type="http://schemas.openxmlformats.org/officeDocument/2006/relationships/hyperlink" Target="https://doi.org/10.1016/S1470-2045(20)30224-2" TargetMode="External"/><Relationship Id="rId41" Type="http://schemas.openxmlformats.org/officeDocument/2006/relationships/hyperlink" Target="https://libkey.io/libraries/480/10.1016/S1470-2045(20)30224-2" TargetMode="External"/><Relationship Id="rId42" Type="http://schemas.openxmlformats.org/officeDocument/2006/relationships/hyperlink" Target="https://doi.org/10.1016/j.cgh.2022.08.023" TargetMode="External"/><Relationship Id="rId43" Type="http://schemas.openxmlformats.org/officeDocument/2006/relationships/hyperlink" Target="https://libkey.io/libraries/480/10.1016/j.cgh.2022.08.023" TargetMode="External"/><Relationship Id="rId44" Type="http://schemas.openxmlformats.org/officeDocument/2006/relationships/hyperlink" Target="https://doi.org/10.1001/jamasurg.2022.2800" TargetMode="External"/><Relationship Id="rId45" Type="http://schemas.openxmlformats.org/officeDocument/2006/relationships/hyperlink" Target="https://libkey.io/libraries/480/10.1001/jamasurg.2022.2800" TargetMode="External"/><Relationship Id="rId46" Type="http://schemas.openxmlformats.org/officeDocument/2006/relationships/hyperlink" Target="https://doi.org/10.1097/HEP.0000000000001231" TargetMode="External"/><Relationship Id="rId47" Type="http://schemas.openxmlformats.org/officeDocument/2006/relationships/hyperlink" Target="https://libkey.io/libraries/480/10.1097/HEP.0000000000001231" TargetMode="External"/><Relationship Id="rId48" Type="http://schemas.openxmlformats.org/officeDocument/2006/relationships/hyperlink" Target="https://doi.org/10.1097/HEP.0000000000001231" TargetMode="External"/><Relationship Id="rId49" Type="http://schemas.openxmlformats.org/officeDocument/2006/relationships/hyperlink" Target="https://libkey.io/libraries/480/10.1097/HEP.0000000000001231" TargetMode="External"/><Relationship Id="rId50" Type="http://schemas.openxmlformats.org/officeDocument/2006/relationships/hyperlink" Target="https://doi.org/10.1097/HEP.0000000000000466" TargetMode="External"/><Relationship Id="rId51" Type="http://schemas.openxmlformats.org/officeDocument/2006/relationships/hyperlink" Target="https://libkey.io/libraries/480/10.1097/HEP.0000000000000466" TargetMode="External"/><Relationship Id="rId52" Type="http://schemas.openxmlformats.org/officeDocument/2006/relationships/hyperlink" Target="https://drliuhao.github.io/mh-liver-pathways/evidence/2026-10-25/docs/01_HCC_Alignment_and_Meeting_Decisions_v12.docx" TargetMode="External"/><Relationship Id="rId53" Type="http://schemas.openxmlformats.org/officeDocument/2006/relationships/hyperlink" Target="https://drliuhao.github.io/mh-liver-pathways/evidence/2026-10-25/" TargetMode="External"/><Relationship Id="rId54" Type="http://schemas.openxmlformats.org/officeDocument/2006/relationships/hyperlink" Target="https://doi.org/10.1097/JS9.0000000000004077" TargetMode="External"/><Relationship Id="rId55" Type="http://schemas.openxmlformats.org/officeDocument/2006/relationships/hyperlink" Target="https://libkey.io/libraries/480/10.1097/JS9.0000000000004077" TargetMode="External"/><Relationship Id="rId56" Type="http://schemas.openxmlformats.org/officeDocument/2006/relationships/hyperlink" Target="https://doi.org/10.1002/lt.24782" TargetMode="External"/><Relationship Id="rId57" Type="http://schemas.openxmlformats.org/officeDocument/2006/relationships/hyperlink" Target="https://libkey.io/libraries/480/10.1002/lt.24782" TargetMode="External"/><Relationship Id="rId58" Type="http://schemas.openxmlformats.org/officeDocument/2006/relationships/hyperlink" Target="https://doi.org/10.1016/j.hbpd.2020.03.009" TargetMode="External"/><Relationship Id="rId59" Type="http://schemas.openxmlformats.org/officeDocument/2006/relationships/hyperlink" Target="https://libkey.io/libraries/480/10.1016/j.hbpd.2020.03.009" TargetMode="External"/><Relationship Id="rId60" Type="http://schemas.openxmlformats.org/officeDocument/2006/relationships/hyperlink" Target="https://doi.org/10.21037/jgo-24-328" TargetMode="External"/><Relationship Id="rId61" Type="http://schemas.openxmlformats.org/officeDocument/2006/relationships/hyperlink" Target="https://libkey.io/libraries/480/10.21037/jgo-24-328" TargetMode="External"/><Relationship Id="rId62" Type="http://schemas.openxmlformats.org/officeDocument/2006/relationships/hyperlink" Target="https://doi.org/10.1097/TP.0000000000003162" TargetMode="External"/><Relationship Id="rId63" Type="http://schemas.openxmlformats.org/officeDocument/2006/relationships/hyperlink" Target="https://libkey.io/libraries/480/10.1097/TP.0000000000003162" TargetMode="External"/><Relationship Id="rId64" Type="http://schemas.openxmlformats.org/officeDocument/2006/relationships/hyperlink" Target="https://doi.org/10.1111/tri.13586" TargetMode="External"/><Relationship Id="rId65" Type="http://schemas.openxmlformats.org/officeDocument/2006/relationships/hyperlink" Target="https://libkey.io/libraries/480/10.1111/tri.13586" TargetMode="External"/><Relationship Id="rId66" Type="http://schemas.openxmlformats.org/officeDocument/2006/relationships/hyperlink" Target="https://doi.org/10.1097/HEP.0000000000001801" TargetMode="External"/><Relationship Id="rId67" Type="http://schemas.openxmlformats.org/officeDocument/2006/relationships/hyperlink" Target="https://libkey.io/libraries/480/10.1097/HEP.0000000000001801" TargetMode="External"/><Relationship Id="rId68" Type="http://schemas.openxmlformats.org/officeDocument/2006/relationships/hyperlink" Target="https://doi.org/10.1097/JS9.0000000000004077" TargetMode="External"/><Relationship Id="rId69" Type="http://schemas.openxmlformats.org/officeDocument/2006/relationships/hyperlink" Target="https://libkey.io/libraries/480/10.1097/JS9.0000000000004077" TargetMode="External"/><Relationship Id="rId70" Type="http://schemas.openxmlformats.org/officeDocument/2006/relationships/hyperlink" Target="https://doi.org/10.1002/lt.24782" TargetMode="External"/><Relationship Id="rId71" Type="http://schemas.openxmlformats.org/officeDocument/2006/relationships/hyperlink" Target="https://libkey.io/libraries/480/10.1002/lt.24782" TargetMode="External"/><Relationship Id="rId72" Type="http://schemas.openxmlformats.org/officeDocument/2006/relationships/hyperlink" Target="https://doi.org/10.1016/j.hbpd.2020.03.009" TargetMode="External"/><Relationship Id="rId73" Type="http://schemas.openxmlformats.org/officeDocument/2006/relationships/hyperlink" Target="https://libkey.io/libraries/480/10.1016/j.hbpd.2020.03.009" TargetMode="External"/><Relationship Id="rId74" Type="http://schemas.openxmlformats.org/officeDocument/2006/relationships/hyperlink" Target="https://doi.org/10.21037/jgo-24-328" TargetMode="External"/><Relationship Id="rId75" Type="http://schemas.openxmlformats.org/officeDocument/2006/relationships/hyperlink" Target="https://libkey.io/libraries/480/10.21037/jgo-24-328" TargetMode="External"/><Relationship Id="rId76" Type="http://schemas.openxmlformats.org/officeDocument/2006/relationships/hyperlink" Target="https://doi.org/10.1097/TP.0000000000003162" TargetMode="External"/><Relationship Id="rId77" Type="http://schemas.openxmlformats.org/officeDocument/2006/relationships/hyperlink" Target="https://libkey.io/libraries/480/10.1097/TP.0000000000003162" TargetMode="External"/><Relationship Id="rId78" Type="http://schemas.openxmlformats.org/officeDocument/2006/relationships/hyperlink" Target="https://doi.org/10.1097/JS9.0000000000004077" TargetMode="External"/><Relationship Id="rId79" Type="http://schemas.openxmlformats.org/officeDocument/2006/relationships/hyperlink" Target="https://libkey.io/libraries/480/10.1097/JS9.0000000000004077" TargetMode="External"/><Relationship Id="rId80" Type="http://schemas.openxmlformats.org/officeDocument/2006/relationships/hyperlink" Target="https://doi.org/10.1097/JS9.0000000000004077" TargetMode="External"/><Relationship Id="rId81" Type="http://schemas.openxmlformats.org/officeDocument/2006/relationships/hyperlink" Target="https://libkey.io/libraries/480/10.1097/JS9.0000000000004077" TargetMode="External"/><Relationship Id="rId82" Type="http://schemas.openxmlformats.org/officeDocument/2006/relationships/hyperlink" Target="https://doi.org/10.21037/jgo-24-328" TargetMode="External"/><Relationship Id="rId83" Type="http://schemas.openxmlformats.org/officeDocument/2006/relationships/hyperlink" Target="https://libkey.io/libraries/480/10.21037/jgo-24-328" TargetMode="External"/><Relationship Id="rId84" Type="http://schemas.openxmlformats.org/officeDocument/2006/relationships/hyperlink" Target="https://doi.org/10.1002/lt.24782" TargetMode="External"/><Relationship Id="rId85" Type="http://schemas.openxmlformats.org/officeDocument/2006/relationships/hyperlink" Target="https://libkey.io/libraries/480/10.1002/lt.24782" TargetMode="External"/><Relationship Id="rId86" Type="http://schemas.openxmlformats.org/officeDocument/2006/relationships/hyperlink" Target="https://doi.org/10.1016/j.hbpd.2020.03.009" TargetMode="External"/><Relationship Id="rId87" Type="http://schemas.openxmlformats.org/officeDocument/2006/relationships/hyperlink" Target="https://libkey.io/libraries/480/10.1016/j.hbpd.2020.03.009" TargetMode="External"/><Relationship Id="rId88" Type="http://schemas.openxmlformats.org/officeDocument/2006/relationships/hyperlink" Target="https://doi.org/10.1097/TP.0000000000003162" TargetMode="External"/><Relationship Id="rId89" Type="http://schemas.openxmlformats.org/officeDocument/2006/relationships/hyperlink" Target="https://libkey.io/libraries/480/10.1097/TP.0000000000003162" TargetMode="External"/><Relationship Id="rId90" Type="http://schemas.openxmlformats.org/officeDocument/2006/relationships/hyperlink" Target="https://doi.org/10.1097/HEP.0000000000001801" TargetMode="External"/><Relationship Id="rId91" Type="http://schemas.openxmlformats.org/officeDocument/2006/relationships/hyperlink" Target="https://libkey.io/libraries/480/10.1097/HEP.0000000000001801" TargetMode="External"/><Relationship Id="rId92" Type="http://schemas.openxmlformats.org/officeDocument/2006/relationships/hyperlink" Target="https://doi.org/10.1097/JS9.0000000000004077" TargetMode="External"/><Relationship Id="rId93" Type="http://schemas.openxmlformats.org/officeDocument/2006/relationships/hyperlink" Target="https://libkey.io/libraries/480/10.1097/JS9.0000000000004077" TargetMode="External"/><Relationship Id="rId94" Type="http://schemas.openxmlformats.org/officeDocument/2006/relationships/hyperlink" Target="https://doi.org/10.1097/JS9.0000000000004077" TargetMode="External"/><Relationship Id="rId95" Type="http://schemas.openxmlformats.org/officeDocument/2006/relationships/hyperlink" Target="https://libkey.io/libraries/480/10.1097/JS9.0000000000004077" TargetMode="External"/><Relationship Id="rId96" Type="http://schemas.openxmlformats.org/officeDocument/2006/relationships/hyperlink" Target="https://doi.org/10.21037/jgo-24-328" TargetMode="External"/><Relationship Id="rId97" Type="http://schemas.openxmlformats.org/officeDocument/2006/relationships/hyperlink" Target="https://libkey.io/libraries/480/10.21037/jgo-24-328" TargetMode="External"/><Relationship Id="rId98" Type="http://schemas.openxmlformats.org/officeDocument/2006/relationships/hyperlink" Target="https://www.hrsa.gov/sites/default/files/hrsa/optn/adult-meld-exception-transplant-oncology-review-guidance.pdf" TargetMode="External"/><Relationship Id="rId99" Type="http://schemas.openxmlformats.org/officeDocument/2006/relationships/hyperlink" Target="https://drliuhao.github.io/mh-liver-pathways/evidence/2026-10-25/" TargetMode="External"/><Relationship Id="rId100" Type="http://schemas.openxmlformats.org/officeDocument/2006/relationships/hyperlink" Target="https://doi.org/10.1097/HEP.0000000000001801" TargetMode="External"/><Relationship Id="rId101" Type="http://schemas.openxmlformats.org/officeDocument/2006/relationships/hyperlink" Target="https://libkey.io/libraries/480/10.1097/HEP.0000000000001801" TargetMode="External"/><Relationship Id="rId102" Type="http://schemas.openxmlformats.org/officeDocument/2006/relationships/hyperlink" Target="https://doi.org/10.1097/HEP.0000000000001801" TargetMode="External"/><Relationship Id="rId103" Type="http://schemas.openxmlformats.org/officeDocument/2006/relationships/hyperlink" Target="https://libkey.io/libraries/480/10.1097/HEP.0000000000001801" TargetMode="External"/><Relationship Id="rId104" Type="http://schemas.openxmlformats.org/officeDocument/2006/relationships/hyperlink" Target="https://drliuhao.github.io/mh-liver-pathways/evidence/2026-10-25/docs/01_HCC_Alignment_and_Meeting_Decisions_v12.docx" TargetMode="External"/><Relationship Id="rId105" Type="http://schemas.openxmlformats.org/officeDocument/2006/relationships/hyperlink" Target="https://drliuhao.github.io/mh-liver-pathways/evidence/2026-10-25/" TargetMode="External"/><Relationship Id="rId106" Type="http://schemas.openxmlformats.org/officeDocument/2006/relationships/hyperlink" Target="https://doi.org/10.1016/j.jhep.2024.09.003" TargetMode="External"/><Relationship Id="rId107" Type="http://schemas.openxmlformats.org/officeDocument/2006/relationships/hyperlink" Target="https://libkey.io/libraries/480/10.1016/j.jhep.2024.09.003" TargetMode="External"/><Relationship Id="rId108" Type="http://schemas.openxmlformats.org/officeDocument/2006/relationships/hyperlink" Target="https://doi.org/10.1016/j.jhep.2026.02.019" TargetMode="External"/><Relationship Id="rId109" Type="http://schemas.openxmlformats.org/officeDocument/2006/relationships/hyperlink" Target="https://libkey.io/libraries/480/10.1016/j.jhep.2026.02.019" TargetMode="External"/><Relationship Id="rId110" Type="http://schemas.openxmlformats.org/officeDocument/2006/relationships/hyperlink" Target="https://doi.org/10.1097/HEP.0000000000001289" TargetMode="External"/><Relationship Id="rId111" Type="http://schemas.openxmlformats.org/officeDocument/2006/relationships/hyperlink" Target="https://libkey.io/libraries/480/10.1097/HEP.0000000000001289" TargetMode="External"/><Relationship Id="rId112" Type="http://schemas.openxmlformats.org/officeDocument/2006/relationships/hyperlink" Target="https://doi.org/10.1016/j.jhep.2024.06.042" TargetMode="External"/><Relationship Id="rId113" Type="http://schemas.openxmlformats.org/officeDocument/2006/relationships/hyperlink" Target="https://libkey.io/libraries/480/10.1016/j.jhep.2024.06.042" TargetMode="External"/><Relationship Id="rId114" Type="http://schemas.openxmlformats.org/officeDocument/2006/relationships/hyperlink" Target="https://doi.org/10.1136/gutjnl-2025-336719" TargetMode="External"/><Relationship Id="rId115" Type="http://schemas.openxmlformats.org/officeDocument/2006/relationships/hyperlink" Target="https://libkey.io/libraries/480/10.1136/gutjnl-2025-336719" TargetMode="External"/><Relationship Id="rId116" Type="http://schemas.openxmlformats.org/officeDocument/2006/relationships/hyperlink" Target="https://doi.org/10.1111/apt.70528" TargetMode="External"/><Relationship Id="rId117" Type="http://schemas.openxmlformats.org/officeDocument/2006/relationships/hyperlink" Target="https://libkey.io/libraries/480/10.1111/apt.70528" TargetMode="External"/><Relationship Id="rId118" Type="http://schemas.openxmlformats.org/officeDocument/2006/relationships/hyperlink" Target="https://doi.org/10.1111/liv.70692" TargetMode="External"/><Relationship Id="rId119" Type="http://schemas.openxmlformats.org/officeDocument/2006/relationships/hyperlink" Target="https://libkey.io/libraries/480/10.1111/liv.70692" TargetMode="External"/><Relationship Id="rId120" Type="http://schemas.openxmlformats.org/officeDocument/2006/relationships/hyperlink" Target="https://doi.org/10.1001/jamaoncol.2026.3901" TargetMode="External"/><Relationship Id="rId121" Type="http://schemas.openxmlformats.org/officeDocument/2006/relationships/hyperlink" Target="https://libkey.io/libraries/480/10.1001/jamaoncol.2026.3901" TargetMode="External"/><Relationship Id="rId122" Type="http://schemas.openxmlformats.org/officeDocument/2006/relationships/hyperlink" Target="https://onlinelibrary.wiley.com/doi/10.1111/apt.70333" TargetMode="External"/><Relationship Id="rId123" Type="http://schemas.openxmlformats.org/officeDocument/2006/relationships/hyperlink" Target="https://libkey.io/libraries/480/10.1111/apt.70333" TargetMode="External"/><Relationship Id="rId124" Type="http://schemas.openxmlformats.org/officeDocument/2006/relationships/hyperlink" Target="https://pubmed.ncbi.nlm.nih.gov/42073607" TargetMode="External"/><Relationship Id="rId125" Type="http://schemas.openxmlformats.org/officeDocument/2006/relationships/hyperlink" Target="https://libkey.io/libraries/480/10.3390/cancers18081284" TargetMode="External"/><Relationship Id="rId126" Type="http://schemas.openxmlformats.org/officeDocument/2006/relationships/hyperlink" Target="https://doi.org/10.1016/j.jhep.2024.06.042" TargetMode="External"/><Relationship Id="rId127" Type="http://schemas.openxmlformats.org/officeDocument/2006/relationships/hyperlink" Target="https://libkey.io/libraries/480/10.1016/j.jhep.2024.06.042" TargetMode="External"/><Relationship Id="rId128" Type="http://schemas.openxmlformats.org/officeDocument/2006/relationships/hyperlink" Target="https://doi.org/10.1136/gutjnl-2025-336719" TargetMode="External"/><Relationship Id="rId129" Type="http://schemas.openxmlformats.org/officeDocument/2006/relationships/hyperlink" Target="https://libkey.io/libraries/480/10.1136/gutjnl-2025-336719" TargetMode="External"/><Relationship Id="rId130" Type="http://schemas.openxmlformats.org/officeDocument/2006/relationships/hyperlink" Target="https://drliuhao.github.io/mh-liver-pathways/evidence/2026-10-25/docs/01_HCC_Alignment_and_Meeting_Decisions_v12.docx" TargetMode="External"/><Relationship Id="rId131" Type="http://schemas.openxmlformats.org/officeDocument/2006/relationships/hyperlink" Target="https://drliuhao.github.io/mh-liver-pathways/evidence/2026-10-25/" TargetMode="External"/><Relationship Id="rId132" Type="http://schemas.openxmlformats.org/officeDocument/2006/relationships/hyperlink" Target="https://drliuhao.github.io/mh-liver-pathways/evidence/2026-10-25/" TargetMode="External"/><Relationship Id="rId133" Type="http://schemas.openxmlformats.org/officeDocument/2006/relationships/hyperlink" Target="https://drliuhao.github.io/mh-liver-pathways/evidence/2026-10-25/" TargetMode="External"/><Relationship Id="rId134" Type="http://schemas.openxmlformats.org/officeDocument/2006/relationships/hyperlink" Target="https://drliuhao.github.io/mh-liver-pathways/evidence/2026-10-25/" TargetMode="External"/><Relationship Id="rId135" Type="http://schemas.openxmlformats.org/officeDocument/2006/relationships/hyperlink" Target="https://drliuhao.github.io/mh-liver-pathways/evidence/2026-10-25/" TargetMode="External"/><Relationship Id="rId136" Type="http://schemas.openxmlformats.org/officeDocument/2006/relationships/hyperlink" Target="https://drliuhao.github.io/mh-liver-pathways/evidence/2026-10-25/" TargetMode="External"/><Relationship Id="rId137" Type="http://schemas.openxmlformats.org/officeDocument/2006/relationships/hyperlink" Target="https://drliuhao.github.io/mh-liver-pathways/evidence/2026-10-25/" TargetMode="External"/><Relationship Id="rId138" Type="http://schemas.openxmlformats.org/officeDocument/2006/relationships/hyperlink" Target="https://drliuhao.github.io/mh-liver-pathways/evidence/2026-10-25/" TargetMode="External"/><Relationship Id="rId139" Type="http://schemas.openxmlformats.org/officeDocument/2006/relationships/hyperlink" Target="https://drliuhao.github.io/mh-liver-pathways/evidence/2026-10-25/" TargetMode="External"/><Relationship Id="rId140" Type="http://schemas.openxmlformats.org/officeDocument/2006/relationships/hyperlink" Target="https://doi.org/10.1111/ctr.70488" TargetMode="External"/><Relationship Id="rId141" Type="http://schemas.openxmlformats.org/officeDocument/2006/relationships/hyperlink" Target="https://libkey.io/libraries/480/10.1111/ctr.70488" TargetMode="External"/><Relationship Id="rId142" Type="http://schemas.openxmlformats.org/officeDocument/2006/relationships/hyperlink" Target="https://doi.org/10.1097/HC9.0000000000000619" TargetMode="External"/><Relationship Id="rId143" Type="http://schemas.openxmlformats.org/officeDocument/2006/relationships/hyperlink" Target="https://libkey.io/libraries/480/10.1097/HC9.0000000000000619" TargetMode="External"/><Relationship Id="rId144" Type="http://schemas.openxmlformats.org/officeDocument/2006/relationships/hyperlink" Target="https://doi.org/10.1002/hep.29342" TargetMode="External"/><Relationship Id="rId145" Type="http://schemas.openxmlformats.org/officeDocument/2006/relationships/hyperlink" Target="https://libkey.io/libraries/480/10.1002/hep.29342" TargetMode="External"/><Relationship Id="rId146" Type="http://schemas.openxmlformats.org/officeDocument/2006/relationships/hyperlink" Target="https://doi.org/10.1016/j.jhepr.2023.100907" TargetMode="External"/><Relationship Id="rId147" Type="http://schemas.openxmlformats.org/officeDocument/2006/relationships/hyperlink" Target="https://libkey.io/libraries/480/10.1016/j.jhepr.2023.100907" TargetMode="External"/><Relationship Id="rId148" Type="http://schemas.openxmlformats.org/officeDocument/2006/relationships/hyperlink" Target="https://doi.org/10.1016/j.jhep.2024.03.020" TargetMode="External"/><Relationship Id="rId149" Type="http://schemas.openxmlformats.org/officeDocument/2006/relationships/hyperlink" Target="https://libkey.io/libraries/480/10.1016/j.jhep.2024.03.020" TargetMode="External"/><Relationship Id="rId150" Type="http://schemas.openxmlformats.org/officeDocument/2006/relationships/hyperlink" Target="https://doi.org/10.1177/09622802261420699" TargetMode="External"/><Relationship Id="rId151" Type="http://schemas.openxmlformats.org/officeDocument/2006/relationships/hyperlink" Target="https://libkey.io/libraries/480/10.1177/09622802261420699" TargetMode="External"/><Relationship Id="rId152" Type="http://schemas.openxmlformats.org/officeDocument/2006/relationships/hyperlink" Target="https://doi.org/10.1111/ctr.70488" TargetMode="External"/><Relationship Id="rId153" Type="http://schemas.openxmlformats.org/officeDocument/2006/relationships/hyperlink" Target="https://libkey.io/libraries/480/10.1111/ctr.70488" TargetMode="External"/><Relationship Id="rId154" Type="http://schemas.openxmlformats.org/officeDocument/2006/relationships/hyperlink" Target="https://doi.org/10.1111/ctr.70488" TargetMode="External"/><Relationship Id="rId155" Type="http://schemas.openxmlformats.org/officeDocument/2006/relationships/hyperlink" Target="https://libkey.io/libraries/480/10.1111/ctr.70488" TargetMode="External"/><Relationship Id="rId156" Type="http://schemas.openxmlformats.org/officeDocument/2006/relationships/hyperlink" Target="https://drliuhao.github.io/mh-liver-pathways/evidence/2026-10-25/docs/01_HCC_Alignment_and_Meeting_Decisions_v12.docx" TargetMode="External"/><Relationship Id="rId157" Type="http://schemas.openxmlformats.org/officeDocument/2006/relationships/hyperlink" Target="https://drliuhao.github.io/mh-liver-pathways/evidence/2026-10-25/" TargetMode="External"/><Relationship Id="rId158" Type="http://schemas.openxmlformats.org/officeDocument/2006/relationships/hyperlink" Target="https://drliuhao.github.io/mh-liver-pathways/evidence/2026-10-25/" TargetMode="External"/><Relationship Id="rId159" Type="http://schemas.openxmlformats.org/officeDocument/2006/relationships/hyperlink" Target="https://drliuhao.github.io/mh-liver-pathways/evidence/2026-10-25/" TargetMode="External"/><Relationship Id="rId160" Type="http://schemas.openxmlformats.org/officeDocument/2006/relationships/hyperlink" Target="https://www.hrsa.gov/sites/default/files/hrsa/optn/optn_policies.pdf" TargetMode="External"/><Relationship Id="rId161" Type="http://schemas.openxmlformats.org/officeDocument/2006/relationships/hyperlink" Target="https://drliuhao.github.io/mh-liver-pathways/evidence/2026-10-25/" TargetMode="External"/><Relationship Id="rId162" Type="http://schemas.openxmlformats.org/officeDocument/2006/relationships/hyperlink" Target="https://www.hrsa.gov/sites/default/files/hrsa/optn/adult-meld-exception-transplant-oncology-review-guidance.pdf" TargetMode="External"/><Relationship Id="rId163" Type="http://schemas.openxmlformats.org/officeDocument/2006/relationships/hyperlink" Target="https://drliuhao.github.io/mh-liver-pathways/evidence/2026-10-25/" TargetMode="External"/><Relationship Id="rId164" Type="http://schemas.openxmlformats.org/officeDocument/2006/relationships/hyperlink" Target="https://doi.org/10.1097/HEP.0000000000000466" TargetMode="External"/><Relationship Id="rId165" Type="http://schemas.openxmlformats.org/officeDocument/2006/relationships/hyperlink" Target="https://libkey.io/libraries/480/10.1097/HEP.0000000000000466" TargetMode="External"/><Relationship Id="rId166" Type="http://schemas.openxmlformats.org/officeDocument/2006/relationships/hyperlink" Target="https://doi.org/10.1097/HEP.0000000000001231" TargetMode="External"/><Relationship Id="rId167" Type="http://schemas.openxmlformats.org/officeDocument/2006/relationships/hyperlink" Target="https://libkey.io/libraries/480/10.1097/HEP.0000000000001231" TargetMode="External"/><Relationship Id="rId168" Type="http://schemas.openxmlformats.org/officeDocument/2006/relationships/hyperlink" Target="https://doi.org/10.1016/S1470-2045(20)30224-2" TargetMode="External"/><Relationship Id="rId169" Type="http://schemas.openxmlformats.org/officeDocument/2006/relationships/hyperlink" Target="https://libkey.io/libraries/480/10.1016/S1470-2045(20)30224-2" TargetMode="External"/><Relationship Id="rId170" Type="http://schemas.openxmlformats.org/officeDocument/2006/relationships/hyperlink" Target="https://doi.org/10.1097/HEP.0000000000001644" TargetMode="External"/><Relationship Id="rId171" Type="http://schemas.openxmlformats.org/officeDocument/2006/relationships/hyperlink" Target="https://libkey.io/libraries/480/10.1097/HEP.0000000000001644" TargetMode="External"/><Relationship Id="rId172" Type="http://schemas.openxmlformats.org/officeDocument/2006/relationships/hyperlink" Target="https://doi.org/10.1002/hep.27752" TargetMode="External"/><Relationship Id="rId173" Type="http://schemas.openxmlformats.org/officeDocument/2006/relationships/hyperlink" Target="https://libkey.io/libraries/480/10.1002/hep.27752" TargetMode="External"/><Relationship Id="rId174" Type="http://schemas.openxmlformats.org/officeDocument/2006/relationships/hyperlink" Target="https://doi.org/10.1053/j.gastro.2021.07.033" TargetMode="External"/><Relationship Id="rId175" Type="http://schemas.openxmlformats.org/officeDocument/2006/relationships/hyperlink" Target="https://libkey.io/libraries/480/10.1053/j.gastro.2021.07.033" TargetMode="External"/><Relationship Id="rId176" Type="http://schemas.openxmlformats.org/officeDocument/2006/relationships/hyperlink" Target="https://doi.org/10.1002/hep.30570" TargetMode="External"/><Relationship Id="rId177" Type="http://schemas.openxmlformats.org/officeDocument/2006/relationships/hyperlink" Target="https://libkey.io/libraries/480/10.1002/hep.30570" TargetMode="External"/><Relationship Id="rId178" Type="http://schemas.openxmlformats.org/officeDocument/2006/relationships/hyperlink" Target="https://doi.org/10.1016/j.ajt.2023.07.021" TargetMode="External"/><Relationship Id="rId179" Type="http://schemas.openxmlformats.org/officeDocument/2006/relationships/hyperlink" Target="https://libkey.io/libraries/480/10.1016/j.ajt.2023.07.021" TargetMode="External"/><Relationship Id="rId180" Type="http://schemas.openxmlformats.org/officeDocument/2006/relationships/hyperlink" Target="https://doi.org/10.1016/j.cgh.2022.08.023" TargetMode="External"/><Relationship Id="rId181" Type="http://schemas.openxmlformats.org/officeDocument/2006/relationships/hyperlink" Target="https://libkey.io/libraries/480/10.1016/j.cgh.2022.08.023" TargetMode="External"/><Relationship Id="rId182" Type="http://schemas.openxmlformats.org/officeDocument/2006/relationships/hyperlink" Target="https://doi.org/10.1001/jamasurg.2022.2800" TargetMode="External"/><Relationship Id="rId183" Type="http://schemas.openxmlformats.org/officeDocument/2006/relationships/hyperlink" Target="https://libkey.io/libraries/480/10.1001/jamasurg.2022.2800" TargetMode="External"/><Relationship Id="rId184" Type="http://schemas.openxmlformats.org/officeDocument/2006/relationships/hyperlink" Target="https://doi.org/10.1038/s41571-026-01160-z" TargetMode="External"/><Relationship Id="rId185" Type="http://schemas.openxmlformats.org/officeDocument/2006/relationships/hyperlink" Target="https://libkey.io/libraries/480/10.1038/s41571-026-01160-z" TargetMode="External"/><Relationship Id="rId186" Type="http://schemas.openxmlformats.org/officeDocument/2006/relationships/hyperlink" Target="https://doi.org/10.1097/JS9.0000000000004077" TargetMode="External"/><Relationship Id="rId187" Type="http://schemas.openxmlformats.org/officeDocument/2006/relationships/hyperlink" Target="https://libkey.io/libraries/480/10.1097/JS9.0000000000004077" TargetMode="External"/><Relationship Id="rId188" Type="http://schemas.openxmlformats.org/officeDocument/2006/relationships/hyperlink" Target="https://doi.org/10.1002/lt.24782" TargetMode="External"/><Relationship Id="rId189" Type="http://schemas.openxmlformats.org/officeDocument/2006/relationships/hyperlink" Target="https://libkey.io/libraries/480/10.1002/lt.24782" TargetMode="External"/><Relationship Id="rId190" Type="http://schemas.openxmlformats.org/officeDocument/2006/relationships/hyperlink" Target="https://doi.org/10.1016/j.hbpd.2020.03.009" TargetMode="External"/><Relationship Id="rId191" Type="http://schemas.openxmlformats.org/officeDocument/2006/relationships/hyperlink" Target="https://libkey.io/libraries/480/10.1016/j.hbpd.2020.03.009" TargetMode="External"/><Relationship Id="rId192" Type="http://schemas.openxmlformats.org/officeDocument/2006/relationships/hyperlink" Target="https://doi.org/10.21037/jgo-24-328" TargetMode="External"/><Relationship Id="rId193" Type="http://schemas.openxmlformats.org/officeDocument/2006/relationships/hyperlink" Target="https://libkey.io/libraries/480/10.21037/jgo-24-328" TargetMode="External"/><Relationship Id="rId194" Type="http://schemas.openxmlformats.org/officeDocument/2006/relationships/hyperlink" Target="https://doi.org/10.1097/TP.0000000000003162" TargetMode="External"/><Relationship Id="rId195" Type="http://schemas.openxmlformats.org/officeDocument/2006/relationships/hyperlink" Target="https://libkey.io/libraries/480/10.1097/TP.0000000000003162" TargetMode="External"/><Relationship Id="rId196" Type="http://schemas.openxmlformats.org/officeDocument/2006/relationships/hyperlink" Target="https://doi.org/10.1111/tri.13586" TargetMode="External"/><Relationship Id="rId197" Type="http://schemas.openxmlformats.org/officeDocument/2006/relationships/hyperlink" Target="https://libkey.io/libraries/480/10.1111/tri.13586" TargetMode="External"/><Relationship Id="rId198" Type="http://schemas.openxmlformats.org/officeDocument/2006/relationships/hyperlink" Target="https://doi.org/10.1097/HEP.0000000000001801" TargetMode="External"/><Relationship Id="rId199" Type="http://schemas.openxmlformats.org/officeDocument/2006/relationships/hyperlink" Target="https://libkey.io/libraries/480/10.1097/HEP.0000000000001801" TargetMode="External"/><Relationship Id="rId200" Type="http://schemas.openxmlformats.org/officeDocument/2006/relationships/hyperlink" Target="https://doi.org/10.1097/LVT.0000000000000589" TargetMode="External"/><Relationship Id="rId201" Type="http://schemas.openxmlformats.org/officeDocument/2006/relationships/hyperlink" Target="https://libkey.io/libraries/480/10.1097/LVT.0000000000000589" TargetMode="External"/><Relationship Id="rId202" Type="http://schemas.openxmlformats.org/officeDocument/2006/relationships/hyperlink" Target="https://doi.org/10.1016/j.jhep.2024.09.003" TargetMode="External"/><Relationship Id="rId203" Type="http://schemas.openxmlformats.org/officeDocument/2006/relationships/hyperlink" Target="https://libkey.io/libraries/480/10.1016/j.jhep.2024.09.003" TargetMode="External"/><Relationship Id="rId204" Type="http://schemas.openxmlformats.org/officeDocument/2006/relationships/hyperlink" Target="https://doi.org/10.1016/j.jhep.2026.02.019" TargetMode="External"/><Relationship Id="rId205" Type="http://schemas.openxmlformats.org/officeDocument/2006/relationships/hyperlink" Target="https://libkey.io/libraries/480/10.1016/j.jhep.2026.02.019" TargetMode="External"/><Relationship Id="rId206" Type="http://schemas.openxmlformats.org/officeDocument/2006/relationships/hyperlink" Target="https://doi.org/10.1097/HEP.0000000000001289" TargetMode="External"/><Relationship Id="rId207" Type="http://schemas.openxmlformats.org/officeDocument/2006/relationships/hyperlink" Target="https://libkey.io/libraries/480/10.1097/HEP.0000000000001289" TargetMode="External"/><Relationship Id="rId208" Type="http://schemas.openxmlformats.org/officeDocument/2006/relationships/hyperlink" Target="https://doi.org/10.1016/j.jhep.2024.06.042" TargetMode="External"/><Relationship Id="rId209" Type="http://schemas.openxmlformats.org/officeDocument/2006/relationships/hyperlink" Target="https://libkey.io/libraries/480/10.1016/j.jhep.2024.06.042" TargetMode="External"/><Relationship Id="rId210" Type="http://schemas.openxmlformats.org/officeDocument/2006/relationships/hyperlink" Target="https://doi.org/10.1136/gutjnl-2025-336719" TargetMode="External"/><Relationship Id="rId211" Type="http://schemas.openxmlformats.org/officeDocument/2006/relationships/hyperlink" Target="https://libkey.io/libraries/480/10.1136/gutjnl-2025-336719" TargetMode="External"/><Relationship Id="rId212" Type="http://schemas.openxmlformats.org/officeDocument/2006/relationships/hyperlink" Target="https://doi.org/10.1111/apt.70528" TargetMode="External"/><Relationship Id="rId213" Type="http://schemas.openxmlformats.org/officeDocument/2006/relationships/hyperlink" Target="https://libkey.io/libraries/480/10.1111/apt.70528" TargetMode="External"/><Relationship Id="rId214" Type="http://schemas.openxmlformats.org/officeDocument/2006/relationships/hyperlink" Target="https://doi.org/10.1111/liv.70692" TargetMode="External"/><Relationship Id="rId215" Type="http://schemas.openxmlformats.org/officeDocument/2006/relationships/hyperlink" Target="https://libkey.io/libraries/480/10.1111/liv.70692" TargetMode="External"/><Relationship Id="rId216" Type="http://schemas.openxmlformats.org/officeDocument/2006/relationships/hyperlink" Target="https://doi.org/10.1001/jamaoncol.2026.3901" TargetMode="External"/><Relationship Id="rId217" Type="http://schemas.openxmlformats.org/officeDocument/2006/relationships/hyperlink" Target="https://libkey.io/libraries/480/10.1001/jamaoncol.2026.3901" TargetMode="External"/><Relationship Id="rId218" Type="http://schemas.openxmlformats.org/officeDocument/2006/relationships/hyperlink" Target="https://onlinelibrary.wiley.com/doi/10.1111/apt.70333" TargetMode="External"/><Relationship Id="rId219" Type="http://schemas.openxmlformats.org/officeDocument/2006/relationships/hyperlink" Target="https://libkey.io/libraries/480/10.1111/apt.70333" TargetMode="External"/><Relationship Id="rId220" Type="http://schemas.openxmlformats.org/officeDocument/2006/relationships/hyperlink" Target="https://pubmed.ncbi.nlm.nih.gov/42073607" TargetMode="External"/><Relationship Id="rId221" Type="http://schemas.openxmlformats.org/officeDocument/2006/relationships/hyperlink" Target="https://libkey.io/libraries/480/10.3390/cancers18081284" TargetMode="External"/><Relationship Id="rId222" Type="http://schemas.openxmlformats.org/officeDocument/2006/relationships/hyperlink" Target="https://doi.org/10.1155/joot/2545887" TargetMode="External"/><Relationship Id="rId223" Type="http://schemas.openxmlformats.org/officeDocument/2006/relationships/hyperlink" Target="https://libkey.io/libraries/480/10.1155/joot/2545887" TargetMode="External"/><Relationship Id="rId224" Type="http://schemas.openxmlformats.org/officeDocument/2006/relationships/hyperlink" Target="https://www.ecfr.gov/current/title-45/subtitle-A/subchapter-A/part-46/subpart-A/section-46.111" TargetMode="External"/><Relationship Id="rId225" Type="http://schemas.openxmlformats.org/officeDocument/2006/relationships/hyperlink" Target="https://www.hrsa.gov/optn/professionals/resources/ethical-considerations/ethical-principles-in-the-allocation-of-human-organs" TargetMode="External"/><Relationship Id="rId226" Type="http://schemas.openxmlformats.org/officeDocument/2006/relationships/hyperlink" Target="https://doi.org/10.1016/S0140-6736(24)01595-2" TargetMode="External"/><Relationship Id="rId227" Type="http://schemas.openxmlformats.org/officeDocument/2006/relationships/hyperlink" Target="https://libkey.io/libraries/480/10.1016/S0140-6736(24)01595-2" TargetMode="External"/><Relationship Id="rId228" Type="http://schemas.openxmlformats.org/officeDocument/2006/relationships/hyperlink" Target="https://doi.org/10.1016/j.jhep.2024.03.020" TargetMode="External"/><Relationship Id="rId229" Type="http://schemas.openxmlformats.org/officeDocument/2006/relationships/hyperlink" Target="https://libkey.io/libraries/480/10.1016/j.jhep.2024.03.020" TargetMode="External"/><Relationship Id="rId230" Type="http://schemas.openxmlformats.org/officeDocument/2006/relationships/hyperlink" Target="https://doi.org/10.1111/j.1600-6143.2011.03972.x" TargetMode="External"/><Relationship Id="rId231" Type="http://schemas.openxmlformats.org/officeDocument/2006/relationships/hyperlink" Target="https://libkey.io/libraries/480/10.1111/j.1600-6143.2011.03972.x" TargetMode="External"/><Relationship Id="rId232" Type="http://schemas.openxmlformats.org/officeDocument/2006/relationships/hyperlink" Target="https://doi.org/10.1111/ajt.14055" TargetMode="External"/><Relationship Id="rId233" Type="http://schemas.openxmlformats.org/officeDocument/2006/relationships/hyperlink" Target="https://libkey.io/libraries/480/10.1111/ajt.14055" TargetMode="External"/><Relationship Id="rId234" Type="http://schemas.openxmlformats.org/officeDocument/2006/relationships/hyperlink" Target="https://doi.org/10.1097/LVT.0000000000000303" TargetMode="External"/><Relationship Id="rId235" Type="http://schemas.openxmlformats.org/officeDocument/2006/relationships/hyperlink" Target="https://libkey.io/libraries/480/10.1097/LVT.0000000000000303" TargetMode="External"/><Relationship Id="rId236" Type="http://schemas.openxmlformats.org/officeDocument/2006/relationships/hyperlink" Target="https://doi.org/10.1097/TP.0000000000000965" TargetMode="External"/><Relationship Id="rId237" Type="http://schemas.openxmlformats.org/officeDocument/2006/relationships/hyperlink" Target="https://libkey.io/libraries/480/10.1097/TP.0000000000000965" TargetMode="External"/><Relationship Id="rId238" Type="http://schemas.openxmlformats.org/officeDocument/2006/relationships/hyperlink" Target="https://doi.org/10.1016/j.ajt.2026.02.010" TargetMode="External"/><Relationship Id="rId239" Type="http://schemas.openxmlformats.org/officeDocument/2006/relationships/hyperlink" Target="https://libkey.io/libraries/480/10.1016/j.ajt.2026.02.010" TargetMode="External"/><Relationship Id="rId240" Type="http://schemas.openxmlformats.org/officeDocument/2006/relationships/hyperlink" Target="https://doi.org/10.1136/bmj.i5239" TargetMode="External"/><Relationship Id="rId241" Type="http://schemas.openxmlformats.org/officeDocument/2006/relationships/hyperlink" Target="https://libkey.io/libraries/480/10.1136/bmj.i5239" TargetMode="External"/><Relationship Id="rId242" Type="http://schemas.openxmlformats.org/officeDocument/2006/relationships/hyperlink" Target="https://doi.org/10.3389/ti.2024.13641" TargetMode="External"/><Relationship Id="rId243" Type="http://schemas.openxmlformats.org/officeDocument/2006/relationships/hyperlink" Target="https://libkey.io/libraries/480/10.3389/ti.2024.13641" TargetMode="External"/><Relationship Id="rId244" Type="http://schemas.openxmlformats.org/officeDocument/2006/relationships/hyperlink" Target="https://academic.oup.com/bjs/article/112/3/znaf054/8083032" TargetMode="External"/><Relationship Id="rId245" Type="http://schemas.openxmlformats.org/officeDocument/2006/relationships/hyperlink" Target="https://libkey.io/libraries/480/10.1093/bjs/znaf054" TargetMode="External"/><Relationship Id="rId246" Type="http://schemas.openxmlformats.org/officeDocument/2006/relationships/hyperlink" Target="https://doi.org/10.1111/ctr.70488" TargetMode="External"/><Relationship Id="rId247" Type="http://schemas.openxmlformats.org/officeDocument/2006/relationships/hyperlink" Target="https://libkey.io/libraries/480/10.1111/ctr.70488" TargetMode="External"/><Relationship Id="rId248" Type="http://schemas.openxmlformats.org/officeDocument/2006/relationships/hyperlink" Target="https://doi.org/10.1097/HC9.0000000000000619" TargetMode="External"/><Relationship Id="rId249" Type="http://schemas.openxmlformats.org/officeDocument/2006/relationships/hyperlink" Target="https://libkey.io/libraries/480/10.1097/HC9.0000000000000619" TargetMode="External"/><Relationship Id="rId250" Type="http://schemas.openxmlformats.org/officeDocument/2006/relationships/hyperlink" Target="https://doi.org/10.1002/hep.29342" TargetMode="External"/><Relationship Id="rId251" Type="http://schemas.openxmlformats.org/officeDocument/2006/relationships/hyperlink" Target="https://libkey.io/libraries/480/10.1002/hep.29342" TargetMode="External"/><Relationship Id="rId252" Type="http://schemas.openxmlformats.org/officeDocument/2006/relationships/hyperlink" Target="https://doi.org/10.1016/j.jhepr.2023.100907" TargetMode="External"/><Relationship Id="rId253" Type="http://schemas.openxmlformats.org/officeDocument/2006/relationships/hyperlink" Target="https://libkey.io/libraries/480/10.1016/j.jhepr.2023.100907" TargetMode="External"/><Relationship Id="rId254" Type="http://schemas.openxmlformats.org/officeDocument/2006/relationships/hyperlink" Target="https://doi.org/10.1177/09622802261420699" TargetMode="External"/><Relationship Id="rId255" Type="http://schemas.openxmlformats.org/officeDocument/2006/relationships/hyperlink" Target="https://libkey.io/libraries/480/10.1177/09622802261420699" TargetMode="External"/><Relationship Id="rId256" Type="http://schemas.openxmlformats.org/officeDocument/2006/relationships/hyperlink" Target="https://www.hrsa.gov/sites/default/files/hrsa/optn/optn_policies.pdf" TargetMode="External"/><Relationship Id="rId257" Type="http://schemas.openxmlformats.org/officeDocument/2006/relationships/hyperlink" Target="https://drliuhao.github.io/mh-liver-pathways/evidence/2026-10-25/" TargetMode="External"/><Relationship Id="rId258" Type="http://schemas.openxmlformats.org/officeDocument/2006/relationships/hyperlink" Target="https://www.hrsa.gov/sites/default/files/hrsa/optn/adult-meld-exception-transplant-oncology-review-guidance.pdf" TargetMode="External"/><Relationship Id="rId259" Type="http://schemas.openxmlformats.org/officeDocument/2006/relationships/hyperlink" Target="https://drliuhao.github.io/mh-liver-pathways/evidence/2026-10-25/" TargetMode="External"/><Relationship Id="rId260" Type="http://schemas.openxmlformats.org/officeDocument/2006/relationships/hyperlink" Target="https://doi.org/10.1097/HEP.0000000000000466" TargetMode="External"/><Relationship Id="rId261" Type="http://schemas.openxmlformats.org/officeDocument/2006/relationships/hyperlink" Target="https://libkey.io/libraries/480/10.1097/HEP.0000000000000466" TargetMode="External"/><Relationship Id="rId262" Type="http://schemas.openxmlformats.org/officeDocument/2006/relationships/hyperlink" Target="https://doi.org/10.1097/HEP.0000000000001231" TargetMode="External"/><Relationship Id="rId263" Type="http://schemas.openxmlformats.org/officeDocument/2006/relationships/hyperlink" Target="https://libkey.io/libraries/480/10.1097/HEP.0000000000001231" TargetMode="External"/><Relationship Id="rId264" Type="http://schemas.openxmlformats.org/officeDocument/2006/relationships/hyperlink" Target="https://doi.org/10.1016/S1470-2045(20)30224-2" TargetMode="External"/><Relationship Id="rId265" Type="http://schemas.openxmlformats.org/officeDocument/2006/relationships/hyperlink" Target="https://libkey.io/libraries/480/10.1016/S1470-2045(20)30224-2" TargetMode="External"/><Relationship Id="rId266" Type="http://schemas.openxmlformats.org/officeDocument/2006/relationships/hyperlink" Target="https://doi.org/10.1097/HEP.0000000000001644" TargetMode="External"/><Relationship Id="rId267" Type="http://schemas.openxmlformats.org/officeDocument/2006/relationships/hyperlink" Target="https://libkey.io/libraries/480/10.1097/HEP.0000000000001644" TargetMode="External"/><Relationship Id="rId268" Type="http://schemas.openxmlformats.org/officeDocument/2006/relationships/hyperlink" Target="https://doi.org/10.1002/hep.27752" TargetMode="External"/><Relationship Id="rId269" Type="http://schemas.openxmlformats.org/officeDocument/2006/relationships/hyperlink" Target="https://libkey.io/libraries/480/10.1002/hep.27752" TargetMode="External"/><Relationship Id="rId270" Type="http://schemas.openxmlformats.org/officeDocument/2006/relationships/hyperlink" Target="https://doi.org/10.1053/j.gastro.2021.07.033" TargetMode="External"/><Relationship Id="rId271" Type="http://schemas.openxmlformats.org/officeDocument/2006/relationships/hyperlink" Target="https://libkey.io/libraries/480/10.1053/j.gastro.2021.07.033" TargetMode="External"/><Relationship Id="rId272" Type="http://schemas.openxmlformats.org/officeDocument/2006/relationships/hyperlink" Target="https://doi.org/10.1002/hep.30570" TargetMode="External"/><Relationship Id="rId273" Type="http://schemas.openxmlformats.org/officeDocument/2006/relationships/hyperlink" Target="https://libkey.io/libraries/480/10.1002/hep.30570" TargetMode="External"/><Relationship Id="rId274" Type="http://schemas.openxmlformats.org/officeDocument/2006/relationships/hyperlink" Target="https://doi.org/10.1016/j.ajt.2023.07.021" TargetMode="External"/><Relationship Id="rId275" Type="http://schemas.openxmlformats.org/officeDocument/2006/relationships/hyperlink" Target="https://libkey.io/libraries/480/10.1016/j.ajt.2023.07.021" TargetMode="External"/><Relationship Id="rId276" Type="http://schemas.openxmlformats.org/officeDocument/2006/relationships/hyperlink" Target="https://doi.org/10.1016/j.cgh.2022.08.023" TargetMode="External"/><Relationship Id="rId277" Type="http://schemas.openxmlformats.org/officeDocument/2006/relationships/hyperlink" Target="https://libkey.io/libraries/480/10.1016/j.cgh.2022.08.023" TargetMode="External"/><Relationship Id="rId278" Type="http://schemas.openxmlformats.org/officeDocument/2006/relationships/hyperlink" Target="https://doi.org/10.1001/jamasurg.2022.2800" TargetMode="External"/><Relationship Id="rId279" Type="http://schemas.openxmlformats.org/officeDocument/2006/relationships/hyperlink" Target="https://libkey.io/libraries/480/10.1001/jamasurg.2022.2800" TargetMode="External"/><Relationship Id="rId280" Type="http://schemas.openxmlformats.org/officeDocument/2006/relationships/hyperlink" Target="https://doi.org/10.1038/s41571-026-01160-z" TargetMode="External"/><Relationship Id="rId281" Type="http://schemas.openxmlformats.org/officeDocument/2006/relationships/hyperlink" Target="https://libkey.io/libraries/480/10.1038/s41571-026-01160-z" TargetMode="External"/><Relationship Id="rId282" Type="http://schemas.openxmlformats.org/officeDocument/2006/relationships/hyperlink" Target="https://doi.org/10.1097/JS9.0000000000004077" TargetMode="External"/><Relationship Id="rId283" Type="http://schemas.openxmlformats.org/officeDocument/2006/relationships/hyperlink" Target="https://libkey.io/libraries/480/10.1097/JS9.0000000000004077" TargetMode="External"/><Relationship Id="rId284" Type="http://schemas.openxmlformats.org/officeDocument/2006/relationships/hyperlink" Target="https://doi.org/10.1002/lt.24782" TargetMode="External"/><Relationship Id="rId285" Type="http://schemas.openxmlformats.org/officeDocument/2006/relationships/hyperlink" Target="https://libkey.io/libraries/480/10.1002/lt.24782" TargetMode="External"/><Relationship Id="rId286" Type="http://schemas.openxmlformats.org/officeDocument/2006/relationships/hyperlink" Target="https://doi.org/10.1016/j.hbpd.2020.03.009" TargetMode="External"/><Relationship Id="rId287" Type="http://schemas.openxmlformats.org/officeDocument/2006/relationships/hyperlink" Target="https://libkey.io/libraries/480/10.1016/j.hbpd.2020.03.009" TargetMode="External"/><Relationship Id="rId288" Type="http://schemas.openxmlformats.org/officeDocument/2006/relationships/hyperlink" Target="https://doi.org/10.21037/jgo-24-328" TargetMode="External"/><Relationship Id="rId289" Type="http://schemas.openxmlformats.org/officeDocument/2006/relationships/hyperlink" Target="https://libkey.io/libraries/480/10.21037/jgo-24-328" TargetMode="External"/><Relationship Id="rId290" Type="http://schemas.openxmlformats.org/officeDocument/2006/relationships/hyperlink" Target="https://doi.org/10.1097/TP.0000000000003162" TargetMode="External"/><Relationship Id="rId291" Type="http://schemas.openxmlformats.org/officeDocument/2006/relationships/hyperlink" Target="https://libkey.io/libraries/480/10.1097/TP.0000000000003162" TargetMode="External"/><Relationship Id="rId292" Type="http://schemas.openxmlformats.org/officeDocument/2006/relationships/hyperlink" Target="https://doi.org/10.1111/tri.13586" TargetMode="External"/><Relationship Id="rId293" Type="http://schemas.openxmlformats.org/officeDocument/2006/relationships/hyperlink" Target="https://libkey.io/libraries/480/10.1111/tri.13586" TargetMode="External"/><Relationship Id="rId294" Type="http://schemas.openxmlformats.org/officeDocument/2006/relationships/hyperlink" Target="https://doi.org/10.1097/HEP.0000000000001801" TargetMode="External"/><Relationship Id="rId295" Type="http://schemas.openxmlformats.org/officeDocument/2006/relationships/hyperlink" Target="https://libkey.io/libraries/480/10.1097/HEP.0000000000001801" TargetMode="External"/><Relationship Id="rId296" Type="http://schemas.openxmlformats.org/officeDocument/2006/relationships/hyperlink" Target="https://doi.org/10.1097/LVT.0000000000000589" TargetMode="External"/><Relationship Id="rId297" Type="http://schemas.openxmlformats.org/officeDocument/2006/relationships/hyperlink" Target="https://libkey.io/libraries/480/10.1097/LVT.0000000000000589" TargetMode="External"/><Relationship Id="rId298" Type="http://schemas.openxmlformats.org/officeDocument/2006/relationships/hyperlink" Target="https://doi.org/10.1016/j.jhep.2024.08.028" TargetMode="External"/><Relationship Id="rId299" Type="http://schemas.openxmlformats.org/officeDocument/2006/relationships/hyperlink" Target="https://libkey.io/libraries/480/10.1016/j.jhep.2024.08.028" TargetMode="External"/><Relationship Id="rId300" Type="http://schemas.openxmlformats.org/officeDocument/2006/relationships/hyperlink" Target="https://www.nccn.org/professionals/physician_gls/pdf/hcc.pdf#page=10" TargetMode="External"/><Relationship Id="rId301" Type="http://schemas.openxmlformats.org/officeDocument/2006/relationships/hyperlink" Target="https://drliuhao.github.io/mh-liver-pathways/evidence/2026-10-25/" TargetMode="External"/><Relationship Id="rId302" Type="http://schemas.openxmlformats.org/officeDocument/2006/relationships/hyperlink" Target="https://doi.org/10.1016/S2468-1253(22)00091-7" TargetMode="External"/><Relationship Id="rId303" Type="http://schemas.openxmlformats.org/officeDocument/2006/relationships/hyperlink" Target="https://libkey.io/libraries/480/10.1016/S2468-1253(22)00091-7" TargetMode="External"/><Relationship Id="rId304" Type="http://schemas.openxmlformats.org/officeDocument/2006/relationships/hyperlink" Target="https://doi.org/10.1002/hep.31819" TargetMode="External"/><Relationship Id="rId305" Type="http://schemas.openxmlformats.org/officeDocument/2006/relationships/hyperlink" Target="https://libkey.io/libraries/480/10.1002/hep.31819" TargetMode="External"/><Relationship Id="rId306" Type="http://schemas.openxmlformats.org/officeDocument/2006/relationships/hyperlink" Target="https://doi.org/10.1016/j.prro.2021.09.004" TargetMode="External"/><Relationship Id="rId307" Type="http://schemas.openxmlformats.org/officeDocument/2006/relationships/hyperlink" Target="https://libkey.io/libraries/480/10.1016/j.prro.2021.09.004" TargetMode="External"/><Relationship Id="rId308" Type="http://schemas.openxmlformats.org/officeDocument/2006/relationships/hyperlink" Target="https://doi.org/10.1200/JCO.21.01963" TargetMode="External"/><Relationship Id="rId309" Type="http://schemas.openxmlformats.org/officeDocument/2006/relationships/hyperlink" Target="https://libkey.io/libraries/480/10.1200/JCO.21.01963" TargetMode="External"/><Relationship Id="rId310" Type="http://schemas.openxmlformats.org/officeDocument/2006/relationships/hyperlink" Target="https://doi.org/10.1148/radiol.233051" TargetMode="External"/><Relationship Id="rId311" Type="http://schemas.openxmlformats.org/officeDocument/2006/relationships/hyperlink" Target="https://libkey.io/libraries/480/10.1148/radiol.233051" TargetMode="External"/><Relationship Id="rId312" Type="http://schemas.openxmlformats.org/officeDocument/2006/relationships/hyperlink" Target="https://edge.sitecorecloud.io/americancoldf5f-acrorgf92a-productioncb02-3650/media/ACR/Files/RADS/LI-RADS/LI-RADS-CTMR-Radiation-TRA-v2024-Core.pdf" TargetMode="External"/><Relationship Id="rId313" Type="http://schemas.openxmlformats.org/officeDocument/2006/relationships/hyperlink" Target="https://drliuhao.github.io/mh-liver-pathways/evidence/2026-10-25/" TargetMode="External"/><Relationship Id="rId314" Type="http://schemas.openxmlformats.org/officeDocument/2006/relationships/hyperlink" Target="https://www.gene.com/download/pdf/avastin_prescribing.pdf" TargetMode="External"/><Relationship Id="rId315" Type="http://schemas.openxmlformats.org/officeDocument/2006/relationships/hyperlink" Target="https://drliuhao.github.io/mh-liver-pathways/evidence/2026-10-25/" TargetMode="External"/><Relationship Id="rId316" Type="http://schemas.openxmlformats.org/officeDocument/2006/relationships/hyperlink" Target="https://www.accessdata.fda.gov/drugsatfda_docs/label/2025/125554s129lbl.pdf" TargetMode="External"/><Relationship Id="rId317" Type="http://schemas.openxmlformats.org/officeDocument/2006/relationships/hyperlink" Target="https://drliuhao.github.io/mh-liver-pathways/evidence/2026-10-25/" TargetMode="External"/><Relationship Id="rId318" Type="http://schemas.openxmlformats.org/officeDocument/2006/relationships/hyperlink" Target="https://doi.org/10.1056/NEJMoa1915745" TargetMode="External"/><Relationship Id="rId319" Type="http://schemas.openxmlformats.org/officeDocument/2006/relationships/hyperlink" Target="https://libkey.io/libraries/480/10.1056/NEJMoa1915745" TargetMode="External"/><Relationship Id="rId320" Type="http://schemas.openxmlformats.org/officeDocument/2006/relationships/hyperlink" Target="https://doi.org/10.1016/j.jhep.2021.11.030" TargetMode="External"/><Relationship Id="rId321" Type="http://schemas.openxmlformats.org/officeDocument/2006/relationships/hyperlink" Target="https://libkey.io/libraries/480/10.1016/j.jhep.2021.11.030" TargetMode="External"/><Relationship Id="rId322" Type="http://schemas.openxmlformats.org/officeDocument/2006/relationships/hyperlink" Target="https://doi.org/10.1056/EVIDoa2100070" TargetMode="External"/><Relationship Id="rId323" Type="http://schemas.openxmlformats.org/officeDocument/2006/relationships/hyperlink" Target="https://libkey.io/libraries/480/10.1056/EVIDoa2100070" TargetMode="External"/><Relationship Id="rId324" Type="http://schemas.openxmlformats.org/officeDocument/2006/relationships/hyperlink" Target="https://doi.org/10.1016/S0140-6736(25)00403-9" TargetMode="External"/><Relationship Id="rId325" Type="http://schemas.openxmlformats.org/officeDocument/2006/relationships/hyperlink" Target="https://libkey.io/libraries/480/10.1016/S0140-6736(25)00403-9" TargetMode="External"/><Relationship Id="rId326" Type="http://schemas.openxmlformats.org/officeDocument/2006/relationships/hyperlink" Target="https://www.accessdata.fda.gov/drugsatfda_docs/label/2026/761232s018lbl.pdf" TargetMode="External"/><Relationship Id="rId327" Type="http://schemas.openxmlformats.org/officeDocument/2006/relationships/hyperlink" Target="https://drliuhao.github.io/mh-liver-pathways/evidence/2026-10-25/" TargetMode="External"/><Relationship Id="rId328" Type="http://schemas.openxmlformats.org/officeDocument/2006/relationships/hyperlink" Target="https://www.accessdata.fda.gov/drugsatfda_docs/label/2025/125514s178lbl.pdf" TargetMode="External"/><Relationship Id="rId329" Type="http://schemas.openxmlformats.org/officeDocument/2006/relationships/hyperlink" Target="https://drliuhao.github.io/mh-liver-pathways/evidence/2026-10-25/" TargetMode="External"/><Relationship Id="rId330" Type="http://schemas.openxmlformats.org/officeDocument/2006/relationships/hyperlink" Target="https://doi.org/10.1056/NEJMoa1717002" TargetMode="External"/><Relationship Id="rId331" Type="http://schemas.openxmlformats.org/officeDocument/2006/relationships/hyperlink" Target="https://libkey.io/libraries/480/10.1056/NEJMoa1717002" TargetMode="External"/><Relationship Id="rId332" Type="http://schemas.openxmlformats.org/officeDocument/2006/relationships/hyperlink" Target="https://doi.org/10.1016/S0140-6736(16)32453-9" TargetMode="External"/><Relationship Id="rId333" Type="http://schemas.openxmlformats.org/officeDocument/2006/relationships/hyperlink" Target="https://libkey.io/libraries/480/10.1016/S0140-6736(16)32453-9" TargetMode="External"/><Relationship Id="rId334" Type="http://schemas.openxmlformats.org/officeDocument/2006/relationships/hyperlink" Target="https://doi.org/10.1016/S1470-2045(18)30937-9" TargetMode="External"/><Relationship Id="rId335" Type="http://schemas.openxmlformats.org/officeDocument/2006/relationships/hyperlink" Target="https://libkey.io/libraries/480/10.1016/S1470-2045(18)30937-9" TargetMode="External"/><Relationship Id="rId336" Type="http://schemas.openxmlformats.org/officeDocument/2006/relationships/hyperlink" Target="https://doi.org/10.1200/JCO.22.00620" TargetMode="External"/><Relationship Id="rId337" Type="http://schemas.openxmlformats.org/officeDocument/2006/relationships/hyperlink" Target="https://libkey.io/libraries/480/10.1200/JCO.22.00620" TargetMode="External"/><Relationship Id="rId338" Type="http://schemas.openxmlformats.org/officeDocument/2006/relationships/hyperlink" Target="https://doi.org/10.1016/S0140-6736(24)02575-3" TargetMode="External"/><Relationship Id="rId339" Type="http://schemas.openxmlformats.org/officeDocument/2006/relationships/hyperlink" Target="https://libkey.io/libraries/480/10.1016/S0140-6736(24)02575-3" TargetMode="External"/><Relationship Id="rId340" Type="http://schemas.openxmlformats.org/officeDocument/2006/relationships/hyperlink" Target="https://doi.org/10.1016/S0140-6736(24)02551-0" TargetMode="External"/><Relationship Id="rId341" Type="http://schemas.openxmlformats.org/officeDocument/2006/relationships/hyperlink" Target="https://libkey.io/libraries/480/10.1016/S0140-6736(24)02551-0" TargetMode="External"/><Relationship Id="rId342" Type="http://schemas.openxmlformats.org/officeDocument/2006/relationships/hyperlink" Target="https://doi.org/10.1016/S1470-2045(26)00278-0" TargetMode="External"/><Relationship Id="rId343" Type="http://schemas.openxmlformats.org/officeDocument/2006/relationships/hyperlink" Target="https://libkey.io/libraries/480/10.1016/S1470-2045(26)00278-0" TargetMode="External"/><Relationship Id="rId344" Type="http://schemas.openxmlformats.org/officeDocument/2006/relationships/hyperlink" Target="https://doi.org/10.1097/HEP.0000000000001269" TargetMode="External"/><Relationship Id="rId345" Type="http://schemas.openxmlformats.org/officeDocument/2006/relationships/hyperlink" Target="https://libkey.io/libraries/480/10.1097/HEP.0000000000001269" TargetMode="External"/><Relationship Id="rId346" Type="http://schemas.openxmlformats.org/officeDocument/2006/relationships/hyperlink" Target="https://doi.org/10.1016/j.jhep.2026.01.006" TargetMode="External"/><Relationship Id="rId347" Type="http://schemas.openxmlformats.org/officeDocument/2006/relationships/hyperlink" Target="https://libkey.io/libraries/480/10.1016/j.jhep.2026.01.006" TargetMode="External"/><Relationship Id="rId348" Type="http://schemas.openxmlformats.org/officeDocument/2006/relationships/hyperlink" Target="https://doi.org/10.1016/j.jhep.2024.06.042" TargetMode="External"/><Relationship Id="rId349" Type="http://schemas.openxmlformats.org/officeDocument/2006/relationships/hyperlink" Target="https://libkey.io/libraries/480/10.1016/j.jhep.2024.06.042" TargetMode="External"/><Relationship Id="rId350" Type="http://schemas.openxmlformats.org/officeDocument/2006/relationships/hyperlink" Target="https://doi.org/10.1097/HEP.0000000000001289" TargetMode="External"/><Relationship Id="rId351" Type="http://schemas.openxmlformats.org/officeDocument/2006/relationships/hyperlink" Target="https://libkey.io/libraries/480/10.1097/HEP.0000000000001289" TargetMode="External"/><Relationship Id="rId352" Type="http://schemas.openxmlformats.org/officeDocument/2006/relationships/hyperlink" Target="https://doi.org/10.1016/j.jhep.2024.09.003" TargetMode="External"/><Relationship Id="rId353" Type="http://schemas.openxmlformats.org/officeDocument/2006/relationships/hyperlink" Target="https://libkey.io/libraries/480/10.1016/j.jhep.2024.09.003" TargetMode="External"/><Relationship Id="rId354" Type="http://schemas.openxmlformats.org/officeDocument/2006/relationships/hyperlink" Target="https://doi.org/10.1016/j.jhep.2026.02.019" TargetMode="External"/><Relationship Id="rId355" Type="http://schemas.openxmlformats.org/officeDocument/2006/relationships/hyperlink" Target="https://libkey.io/libraries/480/10.1016/j.jhep.2026.02.019" TargetMode="External"/><Relationship Id="rId356" Type="http://schemas.openxmlformats.org/officeDocument/2006/relationships/hyperlink" Target="https://doi.org/10.1136/gutjnl-2025-336719" TargetMode="External"/><Relationship Id="rId357" Type="http://schemas.openxmlformats.org/officeDocument/2006/relationships/hyperlink" Target="https://libkey.io/libraries/480/10.1136/gutjnl-2025-336719" TargetMode="External"/><Relationship Id="rId358" Type="http://schemas.openxmlformats.org/officeDocument/2006/relationships/hyperlink" Target="https://doi.org/10.1111/apt.70528" TargetMode="External"/><Relationship Id="rId359" Type="http://schemas.openxmlformats.org/officeDocument/2006/relationships/hyperlink" Target="https://libkey.io/libraries/480/10.1111/apt.70528" TargetMode="External"/><Relationship Id="rId360" Type="http://schemas.openxmlformats.org/officeDocument/2006/relationships/hyperlink" Target="https://doi.org/10.1111/liv.70692" TargetMode="External"/><Relationship Id="rId361" Type="http://schemas.openxmlformats.org/officeDocument/2006/relationships/hyperlink" Target="https://libkey.io/libraries/480/10.1111/liv.70692" TargetMode="External"/><Relationship Id="rId362" Type="http://schemas.openxmlformats.org/officeDocument/2006/relationships/hyperlink" Target="https://doi.org/10.1001/jamaoncol.2026.3901" TargetMode="External"/><Relationship Id="rId363" Type="http://schemas.openxmlformats.org/officeDocument/2006/relationships/hyperlink" Target="https://libkey.io/libraries/480/10.1001/jamaoncol.2026.3901" TargetMode="External"/><Relationship Id="rId364" Type="http://schemas.openxmlformats.org/officeDocument/2006/relationships/hyperlink" Target="https://onlinelibrary.wiley.com/doi/10.1111/apt.70333" TargetMode="External"/><Relationship Id="rId365" Type="http://schemas.openxmlformats.org/officeDocument/2006/relationships/hyperlink" Target="https://libkey.io/libraries/480/10.1111/apt.70333" TargetMode="External"/><Relationship Id="rId366" Type="http://schemas.openxmlformats.org/officeDocument/2006/relationships/hyperlink" Target="https://pubmed.ncbi.nlm.nih.gov/42073607" TargetMode="External"/><Relationship Id="rId367" Type="http://schemas.openxmlformats.org/officeDocument/2006/relationships/hyperlink" Target="https://libkey.io/libraries/480/10.3390/cancers18081284" TargetMode="External"/><Relationship Id="rId368" Type="http://schemas.openxmlformats.org/officeDocument/2006/relationships/hyperlink" Target="https://doi.org/10.1155/joot/2545887" TargetMode="External"/><Relationship Id="rId369" Type="http://schemas.openxmlformats.org/officeDocument/2006/relationships/hyperlink" Target="https://libkey.io/libraries/480/10.1155/joot/2545887" TargetMode="External"/><Relationship Id="rId370" Type="http://schemas.openxmlformats.org/officeDocument/2006/relationships/hyperlink" Target="https://www.ecfr.gov/current/title-45/subtitle-A/subchapter-A/part-46/subpart-A/section-46.111" TargetMode="External"/><Relationship Id="rId371" Type="http://schemas.openxmlformats.org/officeDocument/2006/relationships/hyperlink" Target="https://www.hrsa.gov/optn/professionals/resources/ethical-considerations/ethical-principles-in-the-allocation-of-human-organs" TargetMode="External"/><Relationship Id="rId372" Type="http://schemas.openxmlformats.org/officeDocument/2006/relationships/hyperlink" Target="https://doi.org/10.1016/S0140-6736(24)01595-2" TargetMode="External"/><Relationship Id="rId373" Type="http://schemas.openxmlformats.org/officeDocument/2006/relationships/hyperlink" Target="https://libkey.io/libraries/480/10.1016/S0140-6736(24)01595-2" TargetMode="External"/><Relationship Id="rId374" Type="http://schemas.openxmlformats.org/officeDocument/2006/relationships/hyperlink" Target="https://doi.org/10.1016/j.jhep.2024.03.020" TargetMode="External"/><Relationship Id="rId375" Type="http://schemas.openxmlformats.org/officeDocument/2006/relationships/hyperlink" Target="https://libkey.io/libraries/480/10.1016/j.jhep.2024.03.020" TargetMode="External"/><Relationship Id="rId376" Type="http://schemas.openxmlformats.org/officeDocument/2006/relationships/hyperlink" Target="https://doi.org/10.1111/j.1600-6143.2011.03972.x" TargetMode="External"/><Relationship Id="rId377" Type="http://schemas.openxmlformats.org/officeDocument/2006/relationships/hyperlink" Target="https://libkey.io/libraries/480/10.1111/j.1600-6143.2011.03972.x" TargetMode="External"/><Relationship Id="rId378" Type="http://schemas.openxmlformats.org/officeDocument/2006/relationships/hyperlink" Target="https://doi.org/10.1111/ajt.14055" TargetMode="External"/><Relationship Id="rId379" Type="http://schemas.openxmlformats.org/officeDocument/2006/relationships/hyperlink" Target="https://libkey.io/libraries/480/10.1111/ajt.14055" TargetMode="External"/><Relationship Id="rId380" Type="http://schemas.openxmlformats.org/officeDocument/2006/relationships/hyperlink" Target="https://doi.org/10.1097/LVT.0000000000000303" TargetMode="External"/><Relationship Id="rId381" Type="http://schemas.openxmlformats.org/officeDocument/2006/relationships/hyperlink" Target="https://libkey.io/libraries/480/10.1097/LVT.0000000000000303" TargetMode="External"/><Relationship Id="rId382" Type="http://schemas.openxmlformats.org/officeDocument/2006/relationships/hyperlink" Target="https://doi.org/10.1097/TP.0000000000000965" TargetMode="External"/><Relationship Id="rId383" Type="http://schemas.openxmlformats.org/officeDocument/2006/relationships/hyperlink" Target="https://libkey.io/libraries/480/10.1097/TP.0000000000000965" TargetMode="External"/><Relationship Id="rId384" Type="http://schemas.openxmlformats.org/officeDocument/2006/relationships/hyperlink" Target="https://doi.org/10.1016/j.ajt.2026.02.010" TargetMode="External"/><Relationship Id="rId385" Type="http://schemas.openxmlformats.org/officeDocument/2006/relationships/hyperlink" Target="https://libkey.io/libraries/480/10.1016/j.ajt.2026.02.010" TargetMode="External"/><Relationship Id="rId386" Type="http://schemas.openxmlformats.org/officeDocument/2006/relationships/hyperlink" Target="https://doi.org/10.1136/bmj.i5239" TargetMode="External"/><Relationship Id="rId387" Type="http://schemas.openxmlformats.org/officeDocument/2006/relationships/hyperlink" Target="https://libkey.io/libraries/480/10.1136/bmj.i5239" TargetMode="External"/><Relationship Id="rId388" Type="http://schemas.openxmlformats.org/officeDocument/2006/relationships/hyperlink" Target="https://doi.org/10.3389/ti.2024.13641" TargetMode="External"/><Relationship Id="rId389" Type="http://schemas.openxmlformats.org/officeDocument/2006/relationships/hyperlink" Target="https://libkey.io/libraries/480/10.3389/ti.2024.13641" TargetMode="External"/><Relationship Id="rId390" Type="http://schemas.openxmlformats.org/officeDocument/2006/relationships/hyperlink" Target="https://academic.oup.com/bjs/article/112/3/znaf054/8083032" TargetMode="External"/><Relationship Id="rId391" Type="http://schemas.openxmlformats.org/officeDocument/2006/relationships/hyperlink" Target="https://libkey.io/libraries/480/10.1093/bjs/znaf054" TargetMode="External"/><Relationship Id="rId392" Type="http://schemas.openxmlformats.org/officeDocument/2006/relationships/hyperlink" Target="https://doi.org/10.1111/ctr.70488" TargetMode="External"/><Relationship Id="rId393" Type="http://schemas.openxmlformats.org/officeDocument/2006/relationships/hyperlink" Target="https://libkey.io/libraries/480/10.1111/ctr.70488" TargetMode="External"/><Relationship Id="rId394" Type="http://schemas.openxmlformats.org/officeDocument/2006/relationships/hyperlink" Target="https://doi.org/10.1097/HC9.0000000000000619" TargetMode="External"/><Relationship Id="rId395" Type="http://schemas.openxmlformats.org/officeDocument/2006/relationships/hyperlink" Target="https://libkey.io/libraries/480/10.1097/HC9.0000000000000619" TargetMode="External"/><Relationship Id="rId396" Type="http://schemas.openxmlformats.org/officeDocument/2006/relationships/hyperlink" Target="https://doi.org/10.1002/hep.29342" TargetMode="External"/><Relationship Id="rId397" Type="http://schemas.openxmlformats.org/officeDocument/2006/relationships/hyperlink" Target="https://libkey.io/libraries/480/10.1002/hep.29342" TargetMode="External"/><Relationship Id="rId398" Type="http://schemas.openxmlformats.org/officeDocument/2006/relationships/hyperlink" Target="https://doi.org/10.1016/j.jhepr.2023.100907" TargetMode="External"/><Relationship Id="rId399" Type="http://schemas.openxmlformats.org/officeDocument/2006/relationships/hyperlink" Target="https://libkey.io/libraries/480/10.1016/j.jhepr.2023.100907" TargetMode="External"/><Relationship Id="rId400" Type="http://schemas.openxmlformats.org/officeDocument/2006/relationships/hyperlink" Target="https://doi.org/10.1177/09622802261420699" TargetMode="External"/><Relationship Id="rId401" Type="http://schemas.openxmlformats.org/officeDocument/2006/relationships/hyperlink" Target="https://libkey.io/libraries/480/10.1177/09622802261420699" TargetMode="External"/><Relationship Id="rId402" Type="http://schemas.openxmlformats.org/officeDocument/2006/relationships/hyperlink" Target="https://drliuhao.github.io/mh-liver-pathways/evidence/2026-10-25/docs/Memorial_Hermann_HCC_System_Roadmap_v12.docx" TargetMode="External"/><Relationship Id="rId403" Type="http://schemas.openxmlformats.org/officeDocument/2006/relationships/hyperlink" Target="https://drliuhao.github.io/mh-liver-pathways/evidence/2026-10-25/" TargetMode="External"/><Relationship Id="rId404" Type="http://schemas.openxmlformats.org/officeDocument/2006/relationships/hyperlink" Target="https://www.hrsa.gov/sites/default/files/hrsa/optn/optn_policies.pdf" TargetMode="External"/><Relationship Id="rId405" Type="http://schemas.openxmlformats.org/officeDocument/2006/relationships/hyperlink" Target="https://drliuhao.github.io/mh-liver-pathways/evidence/2026-10-25/" TargetMode="External"/><Relationship Id="rId406" Type="http://schemas.openxmlformats.org/officeDocument/2006/relationships/hyperlink" Target="https://www.hrsa.gov/sites/default/files/hrsa/optn/adult-meld-exception-transplant-oncology-review-guidance.pdf" TargetMode="External"/><Relationship Id="rId407" Type="http://schemas.openxmlformats.org/officeDocument/2006/relationships/hyperlink" Target="https://drliuhao.github.io/mh-liver-pathways/evidence/2026-10-25/" TargetMode="External"/><Relationship Id="rId408" Type="http://schemas.openxmlformats.org/officeDocument/2006/relationships/hyperlink" Target="https://doi.org/10.1097/HEP.0000000000000466" TargetMode="External"/><Relationship Id="rId409" Type="http://schemas.openxmlformats.org/officeDocument/2006/relationships/hyperlink" Target="https://libkey.io/libraries/480/10.1097/HEP.0000000000000466" TargetMode="External"/><Relationship Id="rId410" Type="http://schemas.openxmlformats.org/officeDocument/2006/relationships/hyperlink" Target="https://doi.org/10.1097/HEP.0000000000001231" TargetMode="External"/><Relationship Id="rId411" Type="http://schemas.openxmlformats.org/officeDocument/2006/relationships/hyperlink" Target="https://libkey.io/libraries/480/10.1097/HEP.0000000000001231" TargetMode="External"/><Relationship Id="rId412" Type="http://schemas.openxmlformats.org/officeDocument/2006/relationships/hyperlink" Target="https://doi.org/10.1016/S1470-2045(20)30224-2" TargetMode="External"/><Relationship Id="rId413" Type="http://schemas.openxmlformats.org/officeDocument/2006/relationships/hyperlink" Target="https://libkey.io/libraries/480/10.1016/S1470-2045(20)30224-2" TargetMode="External"/><Relationship Id="rId414" Type="http://schemas.openxmlformats.org/officeDocument/2006/relationships/hyperlink" Target="https://doi.org/10.1097/HEP.0000000000001644" TargetMode="External"/><Relationship Id="rId415" Type="http://schemas.openxmlformats.org/officeDocument/2006/relationships/hyperlink" Target="https://libkey.io/libraries/480/10.1097/HEP.0000000000001644" TargetMode="External"/><Relationship Id="rId416" Type="http://schemas.openxmlformats.org/officeDocument/2006/relationships/hyperlink" Target="https://doi.org/10.1002/hep.27752" TargetMode="External"/><Relationship Id="rId417" Type="http://schemas.openxmlformats.org/officeDocument/2006/relationships/hyperlink" Target="https://libkey.io/libraries/480/10.1002/hep.27752" TargetMode="External"/><Relationship Id="rId418" Type="http://schemas.openxmlformats.org/officeDocument/2006/relationships/hyperlink" Target="https://doi.org/10.1053/j.gastro.2021.07.033" TargetMode="External"/><Relationship Id="rId419" Type="http://schemas.openxmlformats.org/officeDocument/2006/relationships/hyperlink" Target="https://libkey.io/libraries/480/10.1053/j.gastro.2021.07.033" TargetMode="External"/><Relationship Id="rId420" Type="http://schemas.openxmlformats.org/officeDocument/2006/relationships/hyperlink" Target="https://doi.org/10.1002/hep.30570" TargetMode="External"/><Relationship Id="rId421" Type="http://schemas.openxmlformats.org/officeDocument/2006/relationships/hyperlink" Target="https://libkey.io/libraries/480/10.1002/hep.30570" TargetMode="External"/><Relationship Id="rId422" Type="http://schemas.openxmlformats.org/officeDocument/2006/relationships/hyperlink" Target="https://doi.org/10.1016/j.ajt.2023.07.021" TargetMode="External"/><Relationship Id="rId423" Type="http://schemas.openxmlformats.org/officeDocument/2006/relationships/hyperlink" Target="https://libkey.io/libraries/480/10.1016/j.ajt.2023.07.021" TargetMode="External"/><Relationship Id="rId424" Type="http://schemas.openxmlformats.org/officeDocument/2006/relationships/hyperlink" Target="https://doi.org/10.1016/j.cgh.2022.08.023" TargetMode="External"/><Relationship Id="rId425" Type="http://schemas.openxmlformats.org/officeDocument/2006/relationships/hyperlink" Target="https://libkey.io/libraries/480/10.1016/j.cgh.2022.08.023" TargetMode="External"/><Relationship Id="rId426" Type="http://schemas.openxmlformats.org/officeDocument/2006/relationships/hyperlink" Target="https://doi.org/10.1001/jamasurg.2022.2800" TargetMode="External"/><Relationship Id="rId427" Type="http://schemas.openxmlformats.org/officeDocument/2006/relationships/hyperlink" Target="https://libkey.io/libraries/480/10.1001/jamasurg.2022.2800" TargetMode="External"/><Relationship Id="rId428" Type="http://schemas.openxmlformats.org/officeDocument/2006/relationships/hyperlink" Target="https://doi.org/10.1038/s41571-026-01160-z" TargetMode="External"/><Relationship Id="rId429" Type="http://schemas.openxmlformats.org/officeDocument/2006/relationships/hyperlink" Target="https://libkey.io/libraries/480/10.1038/s41571-026-01160-z" TargetMode="External"/><Relationship Id="rId430" Type="http://schemas.openxmlformats.org/officeDocument/2006/relationships/hyperlink" Target="https://doi.org/10.1097/JS9.0000000000004077" TargetMode="External"/><Relationship Id="rId431" Type="http://schemas.openxmlformats.org/officeDocument/2006/relationships/hyperlink" Target="https://libkey.io/libraries/480/10.1097/JS9.0000000000004077" TargetMode="External"/><Relationship Id="rId432" Type="http://schemas.openxmlformats.org/officeDocument/2006/relationships/hyperlink" Target="https://doi.org/10.1002/lt.24782" TargetMode="External"/><Relationship Id="rId433" Type="http://schemas.openxmlformats.org/officeDocument/2006/relationships/hyperlink" Target="https://libkey.io/libraries/480/10.1002/lt.24782" TargetMode="External"/><Relationship Id="rId434" Type="http://schemas.openxmlformats.org/officeDocument/2006/relationships/hyperlink" Target="https://doi.org/10.1016/j.hbpd.2020.03.009" TargetMode="External"/><Relationship Id="rId435" Type="http://schemas.openxmlformats.org/officeDocument/2006/relationships/hyperlink" Target="https://libkey.io/libraries/480/10.1016/j.hbpd.2020.03.009" TargetMode="External"/><Relationship Id="rId436" Type="http://schemas.openxmlformats.org/officeDocument/2006/relationships/hyperlink" Target="https://doi.org/10.21037/jgo-24-328" TargetMode="External"/><Relationship Id="rId437" Type="http://schemas.openxmlformats.org/officeDocument/2006/relationships/hyperlink" Target="https://libkey.io/libraries/480/10.21037/jgo-24-328" TargetMode="External"/><Relationship Id="rId438" Type="http://schemas.openxmlformats.org/officeDocument/2006/relationships/hyperlink" Target="https://doi.org/10.1097/TP.0000000000003162" TargetMode="External"/><Relationship Id="rId439" Type="http://schemas.openxmlformats.org/officeDocument/2006/relationships/hyperlink" Target="https://libkey.io/libraries/480/10.1097/TP.0000000000003162" TargetMode="External"/><Relationship Id="rId440" Type="http://schemas.openxmlformats.org/officeDocument/2006/relationships/hyperlink" Target="https://doi.org/10.1111/tri.13586" TargetMode="External"/><Relationship Id="rId441" Type="http://schemas.openxmlformats.org/officeDocument/2006/relationships/hyperlink" Target="https://libkey.io/libraries/480/10.1111/tri.13586" TargetMode="External"/><Relationship Id="rId442" Type="http://schemas.openxmlformats.org/officeDocument/2006/relationships/hyperlink" Target="https://doi.org/10.1097/HEP.0000000000001801" TargetMode="External"/><Relationship Id="rId443" Type="http://schemas.openxmlformats.org/officeDocument/2006/relationships/hyperlink" Target="https://libkey.io/libraries/480/10.1097/HEP.0000000000001801" TargetMode="External"/><Relationship Id="rId444" Type="http://schemas.openxmlformats.org/officeDocument/2006/relationships/hyperlink" Target="https://doi.org/10.1097/LVT.0000000000000589" TargetMode="External"/><Relationship Id="rId445" Type="http://schemas.openxmlformats.org/officeDocument/2006/relationships/hyperlink" Target="https://libkey.io/libraries/480/10.1097/LVT.0000000000000589" TargetMode="External"/><Relationship Id="rId446" Type="http://schemas.openxmlformats.org/officeDocument/2006/relationships/hyperlink" Target="https://doi.org/10.1016/j.jhep.2024.08.028" TargetMode="External"/><Relationship Id="rId447" Type="http://schemas.openxmlformats.org/officeDocument/2006/relationships/hyperlink" Target="https://libkey.io/libraries/480/10.1016/j.jhep.2024.08.028" TargetMode="External"/><Relationship Id="rId448" Type="http://schemas.openxmlformats.org/officeDocument/2006/relationships/hyperlink" Target="https://doi.org/10.1016/j.prro.2021.09.004" TargetMode="External"/><Relationship Id="rId449" Type="http://schemas.openxmlformats.org/officeDocument/2006/relationships/hyperlink" Target="https://libkey.io/libraries/480/10.1016/j.prro.2021.09.004" TargetMode="External"/><Relationship Id="rId450" Type="http://schemas.openxmlformats.org/officeDocument/2006/relationships/hyperlink" Target="https://www.nccn.org/professionals/physician_gls/pdf/hcc.pdf#page=10" TargetMode="External"/><Relationship Id="rId451" Type="http://schemas.openxmlformats.org/officeDocument/2006/relationships/hyperlink" Target="https://drliuhao.github.io/mh-liver-pathways/evidence/2026-10-25/" TargetMode="External"/><Relationship Id="rId452" Type="http://schemas.openxmlformats.org/officeDocument/2006/relationships/hyperlink" Target="https://edge.sitecorecloud.io/americancoldf5f-acrorgf92a-productioncb02-3650/media/ACR/Files/RADS/LI-RADS/LI-RADS-CTMR-Radiation-TRA-v2024-Core.pdf" TargetMode="External"/><Relationship Id="rId453" Type="http://schemas.openxmlformats.org/officeDocument/2006/relationships/hyperlink" Target="https://drliuhao.github.io/mh-liver-pathways/evidence/2026-10-25/" TargetMode="External"/><Relationship Id="rId454" Type="http://schemas.openxmlformats.org/officeDocument/2006/relationships/hyperlink" Target="https://doi.org/10.1097/HEP.0000000000001289" TargetMode="External"/><Relationship Id="rId455" Type="http://schemas.openxmlformats.org/officeDocument/2006/relationships/hyperlink" Target="https://libkey.io/libraries/480/10.1097/HEP.0000000000001289" TargetMode="External"/><Relationship Id="rId456" Type="http://schemas.openxmlformats.org/officeDocument/2006/relationships/hyperlink" Target="https://doi.org/10.1016/j.jhep.2024.09.003" TargetMode="External"/><Relationship Id="rId457" Type="http://schemas.openxmlformats.org/officeDocument/2006/relationships/hyperlink" Target="https://libkey.io/libraries/480/10.1016/j.jhep.2024.09.003" TargetMode="External"/><Relationship Id="rId458" Type="http://schemas.openxmlformats.org/officeDocument/2006/relationships/hyperlink" Target="https://www.gene.com/download/pdf/avastin_prescribing.pdf" TargetMode="External"/><Relationship Id="rId459" Type="http://schemas.openxmlformats.org/officeDocument/2006/relationships/hyperlink" Target="https://drliuhao.github.io/mh-liver-pathways/evidence/2026-10-25/" TargetMode="External"/><Relationship Id="rId460" Type="http://schemas.openxmlformats.org/officeDocument/2006/relationships/hyperlink" Target="https://pubmed.ncbi.nlm.nih.gov/37760542" TargetMode="External"/><Relationship Id="rId461" Type="http://schemas.openxmlformats.org/officeDocument/2006/relationships/hyperlink" Target="https://libkey.io/libraries/480/10.3390/cancers15184574" TargetMode="External"/><Relationship Id="rId462" Type="http://schemas.openxmlformats.org/officeDocument/2006/relationships/hyperlink" Target="https://doi.org/10.1016/j.jhep.2026.02.019" TargetMode="External"/><Relationship Id="rId463" Type="http://schemas.openxmlformats.org/officeDocument/2006/relationships/hyperlink" Target="https://libkey.io/libraries/480/10.1016/j.jhep.2026.02.019" TargetMode="External"/><Relationship Id="rId464" Type="http://schemas.openxmlformats.org/officeDocument/2006/relationships/hyperlink" Target="https://doi.org/10.1016/j.jhep.2024.06.042" TargetMode="External"/><Relationship Id="rId465" Type="http://schemas.openxmlformats.org/officeDocument/2006/relationships/hyperlink" Target="https://libkey.io/libraries/480/10.1016/j.jhep.2024.06.042" TargetMode="External"/><Relationship Id="rId466" Type="http://schemas.openxmlformats.org/officeDocument/2006/relationships/hyperlink" Target="https://doi.org/10.1136/gutjnl-2025-336719" TargetMode="External"/><Relationship Id="rId467" Type="http://schemas.openxmlformats.org/officeDocument/2006/relationships/hyperlink" Target="https://libkey.io/libraries/480/10.1136/gutjnl-2025-336719" TargetMode="External"/><Relationship Id="rId468" Type="http://schemas.openxmlformats.org/officeDocument/2006/relationships/hyperlink" Target="https://doi.org/10.1111/apt.70528" TargetMode="External"/><Relationship Id="rId469" Type="http://schemas.openxmlformats.org/officeDocument/2006/relationships/hyperlink" Target="https://libkey.io/libraries/480/10.1111/apt.70528" TargetMode="External"/><Relationship Id="rId470" Type="http://schemas.openxmlformats.org/officeDocument/2006/relationships/hyperlink" Target="https://doi.org/10.1111/liv.70692" TargetMode="External"/><Relationship Id="rId471" Type="http://schemas.openxmlformats.org/officeDocument/2006/relationships/hyperlink" Target="https://libkey.io/libraries/480/10.1111/liv.70692" TargetMode="External"/><Relationship Id="rId472" Type="http://schemas.openxmlformats.org/officeDocument/2006/relationships/hyperlink" Target="https://doi.org/10.1001/jamaoncol.2026.3901" TargetMode="External"/><Relationship Id="rId473" Type="http://schemas.openxmlformats.org/officeDocument/2006/relationships/hyperlink" Target="https://libkey.io/libraries/480/10.1001/jamaoncol.2026.3901" TargetMode="External"/><Relationship Id="rId474" Type="http://schemas.openxmlformats.org/officeDocument/2006/relationships/hyperlink" Target="https://onlinelibrary.wiley.com/doi/10.1111/apt.70333" TargetMode="External"/><Relationship Id="rId475" Type="http://schemas.openxmlformats.org/officeDocument/2006/relationships/hyperlink" Target="https://libkey.io/libraries/480/10.1111/apt.70333" TargetMode="External"/><Relationship Id="rId476" Type="http://schemas.openxmlformats.org/officeDocument/2006/relationships/hyperlink" Target="https://pubmed.ncbi.nlm.nih.gov/42073607" TargetMode="External"/><Relationship Id="rId477" Type="http://schemas.openxmlformats.org/officeDocument/2006/relationships/hyperlink" Target="https://libkey.io/libraries/480/10.3390/cancers18081284" TargetMode="External"/><Relationship Id="rId478" Type="http://schemas.openxmlformats.org/officeDocument/2006/relationships/hyperlink" Target="https://doi.org/10.1155/joot/2545887" TargetMode="External"/><Relationship Id="rId479" Type="http://schemas.openxmlformats.org/officeDocument/2006/relationships/hyperlink" Target="https://libkey.io/libraries/480/10.1155/joot/2545887" TargetMode="External"/><Relationship Id="rId480" Type="http://schemas.openxmlformats.org/officeDocument/2006/relationships/hyperlink" Target="https://www.ecfr.gov/current/title-45/subtitle-A/subchapter-A/part-46/subpart-A/section-46.111" TargetMode="External"/><Relationship Id="rId481" Type="http://schemas.openxmlformats.org/officeDocument/2006/relationships/hyperlink" Target="https://www.hrsa.gov/optn/professionals/resources/ethical-considerations/ethical-principles-in-the-allocation-of-human-organs" TargetMode="External"/><Relationship Id="rId482" Type="http://schemas.openxmlformats.org/officeDocument/2006/relationships/hyperlink" Target="https://doi.org/10.1016/S0140-6736(24)01595-2" TargetMode="External"/><Relationship Id="rId483" Type="http://schemas.openxmlformats.org/officeDocument/2006/relationships/hyperlink" Target="https://libkey.io/libraries/480/10.1016/S0140-6736(24)01595-2" TargetMode="External"/><Relationship Id="rId484" Type="http://schemas.openxmlformats.org/officeDocument/2006/relationships/hyperlink" Target="https://doi.org/10.1016/j.jhep.2024.03.020" TargetMode="External"/><Relationship Id="rId485" Type="http://schemas.openxmlformats.org/officeDocument/2006/relationships/hyperlink" Target="https://libkey.io/libraries/480/10.1016/j.jhep.2024.03.020" TargetMode="External"/><Relationship Id="rId486" Type="http://schemas.openxmlformats.org/officeDocument/2006/relationships/hyperlink" Target="https://doi.org/10.1111/j.1600-6143.2011.03972.x" TargetMode="External"/><Relationship Id="rId487" Type="http://schemas.openxmlformats.org/officeDocument/2006/relationships/hyperlink" Target="https://libkey.io/libraries/480/10.1111/j.1600-6143.2011.03972.x" TargetMode="External"/><Relationship Id="rId488" Type="http://schemas.openxmlformats.org/officeDocument/2006/relationships/hyperlink" Target="https://doi.org/10.1111/ajt.14055" TargetMode="External"/><Relationship Id="rId489" Type="http://schemas.openxmlformats.org/officeDocument/2006/relationships/hyperlink" Target="https://libkey.io/libraries/480/10.1111/ajt.14055" TargetMode="External"/><Relationship Id="rId490" Type="http://schemas.openxmlformats.org/officeDocument/2006/relationships/hyperlink" Target="https://doi.org/10.1097/LVT.0000000000000303" TargetMode="External"/><Relationship Id="rId491" Type="http://schemas.openxmlformats.org/officeDocument/2006/relationships/hyperlink" Target="https://libkey.io/libraries/480/10.1097/LVT.0000000000000303" TargetMode="External"/><Relationship Id="rId492" Type="http://schemas.openxmlformats.org/officeDocument/2006/relationships/hyperlink" Target="https://doi.org/10.1097/TP.0000000000000965" TargetMode="External"/><Relationship Id="rId493" Type="http://schemas.openxmlformats.org/officeDocument/2006/relationships/hyperlink" Target="https://libkey.io/libraries/480/10.1097/TP.0000000000000965" TargetMode="External"/><Relationship Id="rId494" Type="http://schemas.openxmlformats.org/officeDocument/2006/relationships/hyperlink" Target="https://doi.org/10.1016/j.ajt.2026.02.010" TargetMode="External"/><Relationship Id="rId495" Type="http://schemas.openxmlformats.org/officeDocument/2006/relationships/hyperlink" Target="https://libkey.io/libraries/480/10.1016/j.ajt.2026.02.010" TargetMode="External"/><Relationship Id="rId496" Type="http://schemas.openxmlformats.org/officeDocument/2006/relationships/hyperlink" Target="https://doi.org/10.1136/bmj.i5239" TargetMode="External"/><Relationship Id="rId497" Type="http://schemas.openxmlformats.org/officeDocument/2006/relationships/hyperlink" Target="https://libkey.io/libraries/480/10.1136/bmj.i5239" TargetMode="External"/><Relationship Id="rId498" Type="http://schemas.openxmlformats.org/officeDocument/2006/relationships/hyperlink" Target="https://doi.org/10.3389/ti.2024.13641" TargetMode="External"/><Relationship Id="rId499" Type="http://schemas.openxmlformats.org/officeDocument/2006/relationships/hyperlink" Target="https://libkey.io/libraries/480/10.3389/ti.2024.13641" TargetMode="External"/><Relationship Id="rId500" Type="http://schemas.openxmlformats.org/officeDocument/2006/relationships/hyperlink" Target="https://academic.oup.com/bjs/article/112/3/znaf054/8083032" TargetMode="External"/><Relationship Id="rId501" Type="http://schemas.openxmlformats.org/officeDocument/2006/relationships/hyperlink" Target="https://libkey.io/libraries/480/10.1093/bjs/znaf054" TargetMode="External"/><Relationship Id="rId502" Type="http://schemas.openxmlformats.org/officeDocument/2006/relationships/hyperlink" Target="https://doi.org/10.1111/ctr.70488" TargetMode="External"/><Relationship Id="rId503" Type="http://schemas.openxmlformats.org/officeDocument/2006/relationships/hyperlink" Target="https://libkey.io/libraries/480/10.1111/ctr.70488" TargetMode="External"/><Relationship Id="rId504" Type="http://schemas.openxmlformats.org/officeDocument/2006/relationships/hyperlink" Target="https://doi.org/10.1097/HC9.0000000000000619" TargetMode="External"/><Relationship Id="rId505" Type="http://schemas.openxmlformats.org/officeDocument/2006/relationships/hyperlink" Target="https://libkey.io/libraries/480/10.1097/HC9.0000000000000619" TargetMode="External"/><Relationship Id="rId506" Type="http://schemas.openxmlformats.org/officeDocument/2006/relationships/hyperlink" Target="https://doi.org/10.1002/hep.29342" TargetMode="External"/><Relationship Id="rId507" Type="http://schemas.openxmlformats.org/officeDocument/2006/relationships/hyperlink" Target="https://libkey.io/libraries/480/10.1002/hep.29342" TargetMode="External"/><Relationship Id="rId508" Type="http://schemas.openxmlformats.org/officeDocument/2006/relationships/hyperlink" Target="https://doi.org/10.1016/j.jhepr.2023.100907" TargetMode="External"/><Relationship Id="rId509" Type="http://schemas.openxmlformats.org/officeDocument/2006/relationships/hyperlink" Target="https://libkey.io/libraries/480/10.1016/j.jhepr.2023.100907" TargetMode="External"/><Relationship Id="rId510" Type="http://schemas.openxmlformats.org/officeDocument/2006/relationships/hyperlink" Target="https://doi.org/10.1177/09622802261420699" TargetMode="External"/><Relationship Id="rId511" Type="http://schemas.openxmlformats.org/officeDocument/2006/relationships/hyperlink" Target="https://libkey.io/libraries/480/10.1177/09622802261420699" TargetMode="External"/><Relationship Id="rId512" Type="http://schemas.openxmlformats.org/officeDocument/2006/relationships/hyperlink" Target="https://drliuhao.github.io/mh-liver-pathways/evidence/2026-10-25/docs/HCC_B1_1_AFP_Evidence_and_Open_Meeting_Record_v12.docx" TargetMode="External"/><Relationship Id="rId513" Type="http://schemas.openxmlformats.org/officeDocument/2006/relationships/hyperlink" Target="https://drliuhao.github.io/mh-liver-pathways/evidence/2026-10-25/docs/HPB_Cross_Tumor_Systemic_Treatment_Matrix_2026-10-25.docx" TargetMode="External"/><Relationship Id="rId514" Type="http://schemas.openxmlformats.org/officeDocument/2006/relationships/hyperlink" Target="https://www.hrsa.gov/sites/default/files/hrsa/optn/optn_policies.pdf" TargetMode="External"/><Relationship Id="rId515" Type="http://schemas.openxmlformats.org/officeDocument/2006/relationships/hyperlink" Target="https://drliuhao.github.io/mh-liver-pathways/evidence/2026-10-25/" TargetMode="External"/><Relationship Id="rId516" Type="http://schemas.openxmlformats.org/officeDocument/2006/relationships/hyperlink" Target="https://www.hrsa.gov/sites/default/files/hrsa/optn/adult-meld-exception-transplant-oncology-review-guidance.pdf" TargetMode="External"/><Relationship Id="rId517" Type="http://schemas.openxmlformats.org/officeDocument/2006/relationships/hyperlink" Target="https://drliuhao.github.io/mh-liver-pathways/evidence/2026-10-25/" TargetMode="External"/><Relationship Id="rId518" Type="http://schemas.openxmlformats.org/officeDocument/2006/relationships/hyperlink" Target="https://doi.org/10.1002/hep.30413" TargetMode="External"/><Relationship Id="rId519" Type="http://schemas.openxmlformats.org/officeDocument/2006/relationships/hyperlink" Target="https://libkey.io/libraries/480/10.1002/hep.30413" TargetMode="External"/><Relationship Id="rId520" Type="http://schemas.openxmlformats.org/officeDocument/2006/relationships/hyperlink" Target="https://doi.org/10.1001/jamasurg.2021.0954" TargetMode="External"/><Relationship Id="rId521" Type="http://schemas.openxmlformats.org/officeDocument/2006/relationships/hyperlink" Target="https://libkey.io/libraries/480/10.1001/jamasurg.2021.0954" TargetMode="External"/><Relationship Id="rId522" Type="http://schemas.openxmlformats.org/officeDocument/2006/relationships/hyperlink" Target="https://doi.org/10.1097/HEP.0000000000000466" TargetMode="External"/><Relationship Id="rId523" Type="http://schemas.openxmlformats.org/officeDocument/2006/relationships/hyperlink" Target="https://libkey.io/libraries/480/10.1097/HEP.0000000000000466" TargetMode="External"/><Relationship Id="rId524" Type="http://schemas.openxmlformats.org/officeDocument/2006/relationships/hyperlink" Target="https://doi.org/10.1002/cam4.71812" TargetMode="External"/><Relationship Id="rId525" Type="http://schemas.openxmlformats.org/officeDocument/2006/relationships/hyperlink" Target="https://libkey.io/libraries/480/10.1002/cam4.71812" TargetMode="External"/><Relationship Id="rId526" Type="http://schemas.openxmlformats.org/officeDocument/2006/relationships/hyperlink" Target="https://www.hrsa.gov/sites/default/files/hrsa/optn/optn_policies.pdf" TargetMode="External"/><Relationship Id="rId527" Type="http://schemas.openxmlformats.org/officeDocument/2006/relationships/hyperlink" Target="https://drliuhao.github.io/mh-liver-pathways/evidence/2026-10-25/" TargetMode="External"/><Relationship Id="rId528" Type="http://schemas.openxmlformats.org/officeDocument/2006/relationships/hyperlink" Target="https://www.hrsa.gov/sites/default/files/hrsa/optn/adult-meld-exception-transplant-oncology-review-guidance.pdf" TargetMode="External"/><Relationship Id="rId529" Type="http://schemas.openxmlformats.org/officeDocument/2006/relationships/hyperlink" Target="https://drliuhao.github.io/mh-liver-pathways/evidence/2026-10-25/" TargetMode="External"/><Relationship Id="rId530" Type="http://schemas.openxmlformats.org/officeDocument/2006/relationships/hyperlink" Target="https://doi.org/10.1002/hep.30413" TargetMode="External"/><Relationship Id="rId531" Type="http://schemas.openxmlformats.org/officeDocument/2006/relationships/hyperlink" Target="https://libkey.io/libraries/480/10.1002/hep.30413" TargetMode="External"/><Relationship Id="rId532" Type="http://schemas.openxmlformats.org/officeDocument/2006/relationships/hyperlink" Target="https://doi.org/10.1002/lt.26392" TargetMode="External"/><Relationship Id="rId533" Type="http://schemas.openxmlformats.org/officeDocument/2006/relationships/hyperlink" Target="https://libkey.io/libraries/480/10.1002/lt.26392" TargetMode="External"/><Relationship Id="rId534" Type="http://schemas.openxmlformats.org/officeDocument/2006/relationships/hyperlink" Target="https://doi.org/10.1097/TP.0000000000002094" TargetMode="External"/><Relationship Id="rId535" Type="http://schemas.openxmlformats.org/officeDocument/2006/relationships/hyperlink" Target="https://libkey.io/libraries/480/10.1097/TP.0000000000002094" TargetMode="External"/><Relationship Id="rId536" Type="http://schemas.openxmlformats.org/officeDocument/2006/relationships/hyperlink" Target="https://doi.org/10.1001/jamasurg.2021.0954" TargetMode="External"/><Relationship Id="rId537" Type="http://schemas.openxmlformats.org/officeDocument/2006/relationships/hyperlink" Target="https://libkey.io/libraries/480/10.1001/jamasurg.2021.0954" TargetMode="External"/><Relationship Id="rId538" Type="http://schemas.openxmlformats.org/officeDocument/2006/relationships/hyperlink" Target="https://doi.org/10.1002/cam4.71812" TargetMode="External"/><Relationship Id="rId539" Type="http://schemas.openxmlformats.org/officeDocument/2006/relationships/hyperlink" Target="https://libkey.io/libraries/480/10.1002/cam4.71812" TargetMode="External"/><Relationship Id="rId540" Type="http://schemas.openxmlformats.org/officeDocument/2006/relationships/hyperlink" Target="https://www.hrsa.gov/sites/default/files/hrsa/optn/optn_policies.pdf" TargetMode="External"/><Relationship Id="rId541" Type="http://schemas.openxmlformats.org/officeDocument/2006/relationships/hyperlink" Target="https://drliuhao.github.io/mh-liver-pathways/evidence/2026-10-25/" TargetMode="External"/><Relationship Id="rId542" Type="http://schemas.openxmlformats.org/officeDocument/2006/relationships/hyperlink" Target="https://www.hrsa.gov/sites/default/files/hrsa/optn/adult-meld-exception-transplant-oncology-review-guidance.pdf" TargetMode="External"/><Relationship Id="rId543" Type="http://schemas.openxmlformats.org/officeDocument/2006/relationships/hyperlink" Target="https://drliuhao.github.io/mh-liver-pathways/evidence/2026-10-25/" TargetMode="External"/><Relationship Id="rId544" Type="http://schemas.openxmlformats.org/officeDocument/2006/relationships/hyperlink" Target="https://doi.org/10.1097/TP.0000000000002094" TargetMode="External"/><Relationship Id="rId545" Type="http://schemas.openxmlformats.org/officeDocument/2006/relationships/hyperlink" Target="https://libkey.io/libraries/480/10.1097/TP.0000000000002094" TargetMode="External"/><Relationship Id="rId546" Type="http://schemas.openxmlformats.org/officeDocument/2006/relationships/hyperlink" Target="https://doi.org/10.1097/HEP.0000000000000466" TargetMode="External"/><Relationship Id="rId547" Type="http://schemas.openxmlformats.org/officeDocument/2006/relationships/hyperlink" Target="https://libkey.io/libraries/480/10.1097/HEP.0000000000000466" TargetMode="External"/><Relationship Id="rId548" Type="http://schemas.openxmlformats.org/officeDocument/2006/relationships/hyperlink" Target="https://doi.org/10.1097/HEP.0000000000000466" TargetMode="External"/><Relationship Id="rId549" Type="http://schemas.openxmlformats.org/officeDocument/2006/relationships/hyperlink" Target="https://libkey.io/libraries/480/10.1097/HEP.0000000000000466" TargetMode="External"/><Relationship Id="rId550" Type="http://schemas.openxmlformats.org/officeDocument/2006/relationships/hyperlink" Target="https://doi.org/10.1097/HEP.0000000000000466" TargetMode="External"/><Relationship Id="rId551" Type="http://schemas.openxmlformats.org/officeDocument/2006/relationships/hyperlink" Target="https://libkey.io/libraries/480/10.1097/HEP.0000000000000466" TargetMode="External"/><Relationship Id="rId552" Type="http://schemas.openxmlformats.org/officeDocument/2006/relationships/hyperlink" Target="https://www.hrsa.gov/sites/default/files/hrsa/optn/optn_policies.pdf" TargetMode="External"/><Relationship Id="rId553" Type="http://schemas.openxmlformats.org/officeDocument/2006/relationships/hyperlink" Target="https://drliuhao.github.io/mh-liver-pathways/evidence/2026-10-25/" TargetMode="External"/><Relationship Id="rId554" Type="http://schemas.openxmlformats.org/officeDocument/2006/relationships/hyperlink" Target="https://www.hrsa.gov/sites/default/files/hrsa/optn/adult-meld-exception-transplant-oncology-review-guidance.pdf" TargetMode="External"/><Relationship Id="rId555" Type="http://schemas.openxmlformats.org/officeDocument/2006/relationships/hyperlink" Target="https://drliuhao.github.io/mh-liver-pathways/evidence/2026-10-25/" TargetMode="External"/><Relationship Id="rId556" Type="http://schemas.openxmlformats.org/officeDocument/2006/relationships/hyperlink" Target="https://www.hrsa.gov/sites/default/files/hrsa/optn/optn_policies.pdf" TargetMode="External"/><Relationship Id="rId557" Type="http://schemas.openxmlformats.org/officeDocument/2006/relationships/hyperlink" Target="https://drliuhao.github.io/mh-liver-pathways/evidence/2026-10-25/" TargetMode="External"/><Relationship Id="rId558" Type="http://schemas.openxmlformats.org/officeDocument/2006/relationships/hyperlink" Target="https://www.hrsa.gov/sites/default/files/hrsa/optn/adult-meld-exception-transplant-oncology-review-guidance.pdf" TargetMode="External"/><Relationship Id="rId559" Type="http://schemas.openxmlformats.org/officeDocument/2006/relationships/hyperlink" Target="https://drliuhao.github.io/mh-liver-pathways/evidence/2026-10-25/" TargetMode="External"/><Relationship Id="rId560" Type="http://schemas.openxmlformats.org/officeDocument/2006/relationships/hyperlink" Target="https://doi.org/10.1002/lt.26392" TargetMode="External"/><Relationship Id="rId561" Type="http://schemas.openxmlformats.org/officeDocument/2006/relationships/hyperlink" Target="https://libkey.io/libraries/480/10.1002/lt.26392" TargetMode="External"/><Relationship Id="rId562" Type="http://schemas.openxmlformats.org/officeDocument/2006/relationships/hyperlink" Target="https://doi.org/10.1097/HEP.0000000000000466" TargetMode="External"/><Relationship Id="rId563" Type="http://schemas.openxmlformats.org/officeDocument/2006/relationships/hyperlink" Target="https://libkey.io/libraries/480/10.1097/HEP.0000000000000466" TargetMode="External"/><Relationship Id="rId564" Type="http://schemas.openxmlformats.org/officeDocument/2006/relationships/hyperlink" Target="https://doi.org/10.1097/TP.0000000000002094" TargetMode="External"/><Relationship Id="rId565" Type="http://schemas.openxmlformats.org/officeDocument/2006/relationships/hyperlink" Target="https://libkey.io/libraries/480/10.1097/TP.0000000000002094" TargetMode="External"/><Relationship Id="rId566" Type="http://schemas.openxmlformats.org/officeDocument/2006/relationships/hyperlink" Target="https://doi.org/10.1097/TP.0000000000002094" TargetMode="External"/><Relationship Id="rId567" Type="http://schemas.openxmlformats.org/officeDocument/2006/relationships/hyperlink" Target="https://libkey.io/libraries/480/10.1097/TP.0000000000002094" TargetMode="External"/><Relationship Id="rId568" Type="http://schemas.openxmlformats.org/officeDocument/2006/relationships/hyperlink" Target="https://doi.org/10.1002/hep.30413" TargetMode="External"/><Relationship Id="rId569" Type="http://schemas.openxmlformats.org/officeDocument/2006/relationships/hyperlink" Target="https://libkey.io/libraries/480/10.1002/hep.30413" TargetMode="External"/><Relationship Id="rId570" Type="http://schemas.openxmlformats.org/officeDocument/2006/relationships/hyperlink" Target="https://doi.org/10.1002/lt.26392" TargetMode="External"/><Relationship Id="rId571" Type="http://schemas.openxmlformats.org/officeDocument/2006/relationships/hyperlink" Target="https://libkey.io/libraries/480/10.1002/lt.26392" TargetMode="External"/><Relationship Id="rId572" Type="http://schemas.openxmlformats.org/officeDocument/2006/relationships/hyperlink" Target="https://doi.org/10.1097/HEP.0000000000000466" TargetMode="External"/><Relationship Id="rId573" Type="http://schemas.openxmlformats.org/officeDocument/2006/relationships/hyperlink" Target="https://libkey.io/libraries/480/10.1097/HEP.0000000000000466" TargetMode="External"/><Relationship Id="rId574" Type="http://schemas.openxmlformats.org/officeDocument/2006/relationships/hyperlink" Target="https://www.hrsa.gov/sites/default/files/hrsa/optn/optn_policies.pdf" TargetMode="External"/><Relationship Id="rId575" Type="http://schemas.openxmlformats.org/officeDocument/2006/relationships/hyperlink" Target="https://drliuhao.github.io/mh-liver-pathways/evidence/2026-10-25/" TargetMode="External"/><Relationship Id="rId576" Type="http://schemas.openxmlformats.org/officeDocument/2006/relationships/hyperlink" Target="https://www.hrsa.gov/sites/default/files/hrsa/optn/adult-meld-exception-transplant-oncology-review-guidance.pdf" TargetMode="External"/><Relationship Id="rId577" Type="http://schemas.openxmlformats.org/officeDocument/2006/relationships/hyperlink" Target="https://drliuhao.github.io/mh-liver-pathways/evidence/2026-10-25/" TargetMode="External"/><Relationship Id="rId578" Type="http://schemas.openxmlformats.org/officeDocument/2006/relationships/hyperlink" Target="https://doi.org/10.1097/HEP.0000000000000466" TargetMode="External"/><Relationship Id="rId579" Type="http://schemas.openxmlformats.org/officeDocument/2006/relationships/hyperlink" Target="https://libkey.io/libraries/480/10.1097/HEP.0000000000000466" TargetMode="External"/><Relationship Id="rId580" Type="http://schemas.openxmlformats.org/officeDocument/2006/relationships/hyperlink" Target="https://doi.org/10.1097/HEP.0000000000001231" TargetMode="External"/><Relationship Id="rId581" Type="http://schemas.openxmlformats.org/officeDocument/2006/relationships/hyperlink" Target="https://libkey.io/libraries/480/10.1097/HEP.0000000000001231" TargetMode="External"/><Relationship Id="rId582" Type="http://schemas.openxmlformats.org/officeDocument/2006/relationships/hyperlink" Target="https://doi.org/10.1016/S1470-2045(20)30224-2" TargetMode="External"/><Relationship Id="rId583" Type="http://schemas.openxmlformats.org/officeDocument/2006/relationships/hyperlink" Target="https://libkey.io/libraries/480/10.1016/S1470-2045(20)30224-2" TargetMode="External"/><Relationship Id="rId584" Type="http://schemas.openxmlformats.org/officeDocument/2006/relationships/hyperlink" Target="https://doi.org/10.1097/HEP.0000000000001644" TargetMode="External"/><Relationship Id="rId585" Type="http://schemas.openxmlformats.org/officeDocument/2006/relationships/hyperlink" Target="https://libkey.io/libraries/480/10.1097/HEP.0000000000001644" TargetMode="External"/><Relationship Id="rId586" Type="http://schemas.openxmlformats.org/officeDocument/2006/relationships/hyperlink" Target="https://doi.org/10.1002/hep.27752" TargetMode="External"/><Relationship Id="rId587" Type="http://schemas.openxmlformats.org/officeDocument/2006/relationships/hyperlink" Target="https://libkey.io/libraries/480/10.1002/hep.27752" TargetMode="External"/><Relationship Id="rId588" Type="http://schemas.openxmlformats.org/officeDocument/2006/relationships/hyperlink" Target="https://doi.org/10.1053/j.gastro.2021.07.033" TargetMode="External"/><Relationship Id="rId589" Type="http://schemas.openxmlformats.org/officeDocument/2006/relationships/hyperlink" Target="https://libkey.io/libraries/480/10.1053/j.gastro.2021.07.033" TargetMode="External"/><Relationship Id="rId590" Type="http://schemas.openxmlformats.org/officeDocument/2006/relationships/hyperlink" Target="https://doi.org/10.1002/hep.30570" TargetMode="External"/><Relationship Id="rId591" Type="http://schemas.openxmlformats.org/officeDocument/2006/relationships/hyperlink" Target="https://libkey.io/libraries/480/10.1002/hep.30570" TargetMode="External"/><Relationship Id="rId592" Type="http://schemas.openxmlformats.org/officeDocument/2006/relationships/hyperlink" Target="https://doi.org/10.1016/j.ajt.2023.07.021" TargetMode="External"/><Relationship Id="rId593" Type="http://schemas.openxmlformats.org/officeDocument/2006/relationships/hyperlink" Target="https://libkey.io/libraries/480/10.1016/j.ajt.2023.07.021" TargetMode="External"/><Relationship Id="rId594" Type="http://schemas.openxmlformats.org/officeDocument/2006/relationships/hyperlink" Target="https://doi.org/10.1016/j.cgh.2022.08.023" TargetMode="External"/><Relationship Id="rId595" Type="http://schemas.openxmlformats.org/officeDocument/2006/relationships/hyperlink" Target="https://libkey.io/libraries/480/10.1016/j.cgh.2022.08.023" TargetMode="External"/><Relationship Id="rId596" Type="http://schemas.openxmlformats.org/officeDocument/2006/relationships/hyperlink" Target="https://doi.org/10.1001/jamasurg.2022.2800" TargetMode="External"/><Relationship Id="rId597" Type="http://schemas.openxmlformats.org/officeDocument/2006/relationships/hyperlink" Target="https://libkey.io/libraries/480/10.1001/jamasurg.2022.2800" TargetMode="External"/><Relationship Id="rId598" Type="http://schemas.openxmlformats.org/officeDocument/2006/relationships/hyperlink" Target="https://doi.org/10.1038/s41571-026-01160-z" TargetMode="External"/><Relationship Id="rId599" Type="http://schemas.openxmlformats.org/officeDocument/2006/relationships/hyperlink" Target="https://libkey.io/libraries/480/10.1038/s41571-026-01160-z" TargetMode="External"/><Relationship Id="rId600" Type="http://schemas.openxmlformats.org/officeDocument/2006/relationships/hyperlink" Target="https://doi.org/10.1097/JS9.0000000000004077" TargetMode="External"/><Relationship Id="rId601" Type="http://schemas.openxmlformats.org/officeDocument/2006/relationships/hyperlink" Target="https://libkey.io/libraries/480/10.1097/JS9.0000000000004077" TargetMode="External"/><Relationship Id="rId602" Type="http://schemas.openxmlformats.org/officeDocument/2006/relationships/hyperlink" Target="https://doi.org/10.1002/lt.24782" TargetMode="External"/><Relationship Id="rId603" Type="http://schemas.openxmlformats.org/officeDocument/2006/relationships/hyperlink" Target="https://libkey.io/libraries/480/10.1002/lt.24782" TargetMode="External"/><Relationship Id="rId604" Type="http://schemas.openxmlformats.org/officeDocument/2006/relationships/hyperlink" Target="https://doi.org/10.1016/j.hbpd.2020.03.009" TargetMode="External"/><Relationship Id="rId605" Type="http://schemas.openxmlformats.org/officeDocument/2006/relationships/hyperlink" Target="https://libkey.io/libraries/480/10.1016/j.hbpd.2020.03.009" TargetMode="External"/><Relationship Id="rId606" Type="http://schemas.openxmlformats.org/officeDocument/2006/relationships/hyperlink" Target="https://doi.org/10.21037/jgo-24-328" TargetMode="External"/><Relationship Id="rId607" Type="http://schemas.openxmlformats.org/officeDocument/2006/relationships/hyperlink" Target="https://libkey.io/libraries/480/10.21037/jgo-24-328" TargetMode="External"/><Relationship Id="rId608" Type="http://schemas.openxmlformats.org/officeDocument/2006/relationships/hyperlink" Target="https://doi.org/10.1097/TP.0000000000003162" TargetMode="External"/><Relationship Id="rId609" Type="http://schemas.openxmlformats.org/officeDocument/2006/relationships/hyperlink" Target="https://libkey.io/libraries/480/10.1097/TP.0000000000003162" TargetMode="External"/><Relationship Id="rId610" Type="http://schemas.openxmlformats.org/officeDocument/2006/relationships/hyperlink" Target="https://doi.org/10.1111/tri.13586" TargetMode="External"/><Relationship Id="rId611" Type="http://schemas.openxmlformats.org/officeDocument/2006/relationships/hyperlink" Target="https://libkey.io/libraries/480/10.1111/tri.13586" TargetMode="External"/><Relationship Id="rId612" Type="http://schemas.openxmlformats.org/officeDocument/2006/relationships/hyperlink" Target="https://doi.org/10.1097/HEP.0000000000001801" TargetMode="External"/><Relationship Id="rId613" Type="http://schemas.openxmlformats.org/officeDocument/2006/relationships/hyperlink" Target="https://libkey.io/libraries/480/10.1097/HEP.0000000000001801" TargetMode="External"/><Relationship Id="rId614" Type="http://schemas.openxmlformats.org/officeDocument/2006/relationships/hyperlink" Target="https://doi.org/10.1097/LVT.0000000000000589" TargetMode="External"/><Relationship Id="rId615" Type="http://schemas.openxmlformats.org/officeDocument/2006/relationships/hyperlink" Target="https://libkey.io/libraries/480/10.1097/LVT.0000000000000589" TargetMode="External"/><Relationship Id="rId616" Type="http://schemas.openxmlformats.org/officeDocument/2006/relationships/hyperlink" Target="https://doi.org/10.1002/hep.30413" TargetMode="External"/><Relationship Id="rId617" Type="http://schemas.openxmlformats.org/officeDocument/2006/relationships/hyperlink" Target="https://libkey.io/libraries/480/10.1002/hep.30413" TargetMode="External"/><Relationship Id="rId618" Type="http://schemas.openxmlformats.org/officeDocument/2006/relationships/hyperlink" Target="https://doi.org/10.1001/jamasurg.2021.0954" TargetMode="External"/><Relationship Id="rId619" Type="http://schemas.openxmlformats.org/officeDocument/2006/relationships/hyperlink" Target="https://libkey.io/libraries/480/10.1001/jamasurg.2021.0954" TargetMode="External"/><Relationship Id="rId620" Type="http://schemas.openxmlformats.org/officeDocument/2006/relationships/hyperlink" Target="https://doi.org/10.1002/cam4.71812" TargetMode="External"/><Relationship Id="rId621" Type="http://schemas.openxmlformats.org/officeDocument/2006/relationships/hyperlink" Target="https://libkey.io/libraries/480/10.1002/cam4.71812" TargetMode="External"/><Relationship Id="rId622" Type="http://schemas.openxmlformats.org/officeDocument/2006/relationships/hyperlink" Target="https://doi.org/10.1002/lt.26392" TargetMode="External"/><Relationship Id="rId623" Type="http://schemas.openxmlformats.org/officeDocument/2006/relationships/hyperlink" Target="https://libkey.io/libraries/480/10.1002/lt.26392" TargetMode="External"/><Relationship Id="rId624" Type="http://schemas.openxmlformats.org/officeDocument/2006/relationships/hyperlink" Target="https://doi.org/10.1097/TP.0000000000002094" TargetMode="External"/><Relationship Id="rId625" Type="http://schemas.openxmlformats.org/officeDocument/2006/relationships/hyperlink" Target="https://libkey.io/libraries/480/10.1097/TP.0000000000002094" TargetMode="External"/><Relationship Id="rId626" Type="http://schemas.openxmlformats.org/officeDocument/2006/relationships/hyperlink" Target="https://doi.org/10.1016/j.jhep.2024.08.028" TargetMode="External"/><Relationship Id="rId627" Type="http://schemas.openxmlformats.org/officeDocument/2006/relationships/hyperlink" Target="https://libkey.io/libraries/480/10.1016/j.jhep.2024.08.028" TargetMode="External"/><Relationship Id="rId628" Type="http://schemas.openxmlformats.org/officeDocument/2006/relationships/hyperlink" Target="https://doi.org/10.1016/j.prro.2021.09.004" TargetMode="External"/><Relationship Id="rId629" Type="http://schemas.openxmlformats.org/officeDocument/2006/relationships/hyperlink" Target="https://libkey.io/libraries/480/10.1016/j.prro.2021.09.004" TargetMode="External"/><Relationship Id="rId630" Type="http://schemas.openxmlformats.org/officeDocument/2006/relationships/hyperlink" Target="https://www.nccn.org/professionals/physician_gls/pdf/hcc.pdf#page=10" TargetMode="External"/><Relationship Id="rId631" Type="http://schemas.openxmlformats.org/officeDocument/2006/relationships/hyperlink" Target="https://drliuhao.github.io/mh-liver-pathways/evidence/2026-10-25/" TargetMode="External"/><Relationship Id="rId632" Type="http://schemas.openxmlformats.org/officeDocument/2006/relationships/hyperlink" Target="https://edge.sitecorecloud.io/americancoldf5f-acrorgf92a-productioncb02-3650/media/ACR/Files/RADS/LI-RADS/LI-RADS-CTMR-Radiation-TRA-v2024-Core.pdf" TargetMode="External"/><Relationship Id="rId633" Type="http://schemas.openxmlformats.org/officeDocument/2006/relationships/hyperlink" Target="https://drliuhao.github.io/mh-liver-pathways/evidence/2026-10-25/" TargetMode="External"/><Relationship Id="rId634" Type="http://schemas.openxmlformats.org/officeDocument/2006/relationships/hyperlink" Target="https://doi.org/10.1097/HEP.0000000000001289" TargetMode="External"/><Relationship Id="rId635" Type="http://schemas.openxmlformats.org/officeDocument/2006/relationships/hyperlink" Target="https://libkey.io/libraries/480/10.1097/HEP.0000000000001289" TargetMode="External"/><Relationship Id="rId636" Type="http://schemas.openxmlformats.org/officeDocument/2006/relationships/hyperlink" Target="https://doi.org/10.1016/j.jhep.2024.09.003" TargetMode="External"/><Relationship Id="rId637" Type="http://schemas.openxmlformats.org/officeDocument/2006/relationships/hyperlink" Target="https://libkey.io/libraries/480/10.1016/j.jhep.2024.09.003" TargetMode="External"/><Relationship Id="rId638" Type="http://schemas.openxmlformats.org/officeDocument/2006/relationships/hyperlink" Target="https://www.gene.com/download/pdf/avastin_prescribing.pdf" TargetMode="External"/><Relationship Id="rId639" Type="http://schemas.openxmlformats.org/officeDocument/2006/relationships/hyperlink" Target="https://drliuhao.github.io/mh-liver-pathways/evidence/2026-10-25/" TargetMode="External"/><Relationship Id="rId640" Type="http://schemas.openxmlformats.org/officeDocument/2006/relationships/hyperlink" Target="https://pubmed.ncbi.nlm.nih.gov/37760542" TargetMode="External"/><Relationship Id="rId641" Type="http://schemas.openxmlformats.org/officeDocument/2006/relationships/hyperlink" Target="https://libkey.io/libraries/480/10.3390/cancers15184574" TargetMode="External"/><Relationship Id="rId642" Type="http://schemas.openxmlformats.org/officeDocument/2006/relationships/hyperlink" Target="https://doi.org/10.1016/j.jhep.2026.02.019" TargetMode="External"/><Relationship Id="rId643" Type="http://schemas.openxmlformats.org/officeDocument/2006/relationships/hyperlink" Target="https://libkey.io/libraries/480/10.1016/j.jhep.2026.02.019" TargetMode="External"/><Relationship Id="rId644" Type="http://schemas.openxmlformats.org/officeDocument/2006/relationships/hyperlink" Target="https://doi.org/10.1016/j.jhep.2024.06.042" TargetMode="External"/><Relationship Id="rId645" Type="http://schemas.openxmlformats.org/officeDocument/2006/relationships/hyperlink" Target="https://libkey.io/libraries/480/10.1016/j.jhep.2024.06.042" TargetMode="External"/><Relationship Id="rId646" Type="http://schemas.openxmlformats.org/officeDocument/2006/relationships/hyperlink" Target="https://doi.org/10.1136/gutjnl-2025-336719" TargetMode="External"/><Relationship Id="rId647" Type="http://schemas.openxmlformats.org/officeDocument/2006/relationships/hyperlink" Target="https://libkey.io/libraries/480/10.1136/gutjnl-2025-336719" TargetMode="External"/><Relationship Id="rId648" Type="http://schemas.openxmlformats.org/officeDocument/2006/relationships/hyperlink" Target="https://doi.org/10.1111/apt.70528" TargetMode="External"/><Relationship Id="rId649" Type="http://schemas.openxmlformats.org/officeDocument/2006/relationships/hyperlink" Target="https://libkey.io/libraries/480/10.1111/apt.70528" TargetMode="External"/><Relationship Id="rId650" Type="http://schemas.openxmlformats.org/officeDocument/2006/relationships/hyperlink" Target="https://doi.org/10.1111/liv.70692" TargetMode="External"/><Relationship Id="rId651" Type="http://schemas.openxmlformats.org/officeDocument/2006/relationships/hyperlink" Target="https://libkey.io/libraries/480/10.1111/liv.70692" TargetMode="External"/><Relationship Id="rId652" Type="http://schemas.openxmlformats.org/officeDocument/2006/relationships/hyperlink" Target="https://doi.org/10.1001/jamaoncol.2026.3901" TargetMode="External"/><Relationship Id="rId653" Type="http://schemas.openxmlformats.org/officeDocument/2006/relationships/hyperlink" Target="https://libkey.io/libraries/480/10.1001/jamaoncol.2026.3901" TargetMode="External"/><Relationship Id="rId654" Type="http://schemas.openxmlformats.org/officeDocument/2006/relationships/hyperlink" Target="https://onlinelibrary.wiley.com/doi/10.1111/apt.70333" TargetMode="External"/><Relationship Id="rId655" Type="http://schemas.openxmlformats.org/officeDocument/2006/relationships/hyperlink" Target="https://libkey.io/libraries/480/10.1111/apt.70333" TargetMode="External"/><Relationship Id="rId656" Type="http://schemas.openxmlformats.org/officeDocument/2006/relationships/hyperlink" Target="https://pubmed.ncbi.nlm.nih.gov/42073607" TargetMode="External"/><Relationship Id="rId657" Type="http://schemas.openxmlformats.org/officeDocument/2006/relationships/hyperlink" Target="https://libkey.io/libraries/480/10.3390/cancers18081284" TargetMode="External"/><Relationship Id="rId658" Type="http://schemas.openxmlformats.org/officeDocument/2006/relationships/hyperlink" Target="https://doi.org/10.1155/joot/2545887" TargetMode="External"/><Relationship Id="rId659" Type="http://schemas.openxmlformats.org/officeDocument/2006/relationships/hyperlink" Target="https://libkey.io/libraries/480/10.1155/joot/2545887" TargetMode="External"/><Relationship Id="rId660" Type="http://schemas.openxmlformats.org/officeDocument/2006/relationships/hyperlink" Target="https://www.ecfr.gov/current/title-45/subtitle-A/subchapter-A/part-46/subpart-A/section-46.111" TargetMode="External"/><Relationship Id="rId661" Type="http://schemas.openxmlformats.org/officeDocument/2006/relationships/hyperlink" Target="https://www.hrsa.gov/optn/professionals/resources/ethical-considerations/ethical-principles-in-the-allocation-of-human-organs" TargetMode="External"/><Relationship Id="rId662" Type="http://schemas.openxmlformats.org/officeDocument/2006/relationships/hyperlink" Target="https://doi.org/10.1016/S0140-6736(24)01595-2" TargetMode="External"/><Relationship Id="rId663" Type="http://schemas.openxmlformats.org/officeDocument/2006/relationships/hyperlink" Target="https://libkey.io/libraries/480/10.1016/S0140-6736(24)01595-2" TargetMode="External"/><Relationship Id="rId664" Type="http://schemas.openxmlformats.org/officeDocument/2006/relationships/hyperlink" Target="https://doi.org/10.1016/j.jhep.2024.03.020" TargetMode="External"/><Relationship Id="rId665" Type="http://schemas.openxmlformats.org/officeDocument/2006/relationships/hyperlink" Target="https://libkey.io/libraries/480/10.1016/j.jhep.2024.03.020" TargetMode="External"/><Relationship Id="rId666" Type="http://schemas.openxmlformats.org/officeDocument/2006/relationships/hyperlink" Target="https://doi.org/10.1111/j.1600-6143.2011.03972.x" TargetMode="External"/><Relationship Id="rId667" Type="http://schemas.openxmlformats.org/officeDocument/2006/relationships/hyperlink" Target="https://libkey.io/libraries/480/10.1111/j.1600-6143.2011.03972.x" TargetMode="External"/><Relationship Id="rId668" Type="http://schemas.openxmlformats.org/officeDocument/2006/relationships/hyperlink" Target="https://doi.org/10.1111/ajt.14055" TargetMode="External"/><Relationship Id="rId669" Type="http://schemas.openxmlformats.org/officeDocument/2006/relationships/hyperlink" Target="https://libkey.io/libraries/480/10.1111/ajt.14055" TargetMode="External"/><Relationship Id="rId670" Type="http://schemas.openxmlformats.org/officeDocument/2006/relationships/hyperlink" Target="https://doi.org/10.1097/LVT.0000000000000303" TargetMode="External"/><Relationship Id="rId671" Type="http://schemas.openxmlformats.org/officeDocument/2006/relationships/hyperlink" Target="https://libkey.io/libraries/480/10.1097/LVT.0000000000000303" TargetMode="External"/><Relationship Id="rId672" Type="http://schemas.openxmlformats.org/officeDocument/2006/relationships/hyperlink" Target="https://doi.org/10.1097/TP.0000000000000965" TargetMode="External"/><Relationship Id="rId673" Type="http://schemas.openxmlformats.org/officeDocument/2006/relationships/hyperlink" Target="https://libkey.io/libraries/480/10.1097/TP.0000000000000965" TargetMode="External"/><Relationship Id="rId674" Type="http://schemas.openxmlformats.org/officeDocument/2006/relationships/hyperlink" Target="https://doi.org/10.1016/j.ajt.2026.02.010" TargetMode="External"/><Relationship Id="rId675" Type="http://schemas.openxmlformats.org/officeDocument/2006/relationships/hyperlink" Target="https://libkey.io/libraries/480/10.1016/j.ajt.2026.02.010" TargetMode="External"/><Relationship Id="rId676" Type="http://schemas.openxmlformats.org/officeDocument/2006/relationships/hyperlink" Target="https://doi.org/10.1136/bmj.i5239" TargetMode="External"/><Relationship Id="rId677" Type="http://schemas.openxmlformats.org/officeDocument/2006/relationships/hyperlink" Target="https://libkey.io/libraries/480/10.1136/bmj.i5239" TargetMode="External"/><Relationship Id="rId678" Type="http://schemas.openxmlformats.org/officeDocument/2006/relationships/hyperlink" Target="https://doi.org/10.3389/ti.2024.13641" TargetMode="External"/><Relationship Id="rId679" Type="http://schemas.openxmlformats.org/officeDocument/2006/relationships/hyperlink" Target="https://libkey.io/libraries/480/10.3389/ti.2024.13641" TargetMode="External"/><Relationship Id="rId680" Type="http://schemas.openxmlformats.org/officeDocument/2006/relationships/hyperlink" Target="https://academic.oup.com/bjs/article/112/3/znaf054/8083032" TargetMode="External"/><Relationship Id="rId681" Type="http://schemas.openxmlformats.org/officeDocument/2006/relationships/hyperlink" Target="https://libkey.io/libraries/480/10.1093/bjs/znaf054" TargetMode="External"/><Relationship Id="rId682" Type="http://schemas.openxmlformats.org/officeDocument/2006/relationships/hyperlink" Target="https://doi.org/10.1111/ctr.70488" TargetMode="External"/><Relationship Id="rId683" Type="http://schemas.openxmlformats.org/officeDocument/2006/relationships/hyperlink" Target="https://libkey.io/libraries/480/10.1111/ctr.70488" TargetMode="External"/><Relationship Id="rId684" Type="http://schemas.openxmlformats.org/officeDocument/2006/relationships/hyperlink" Target="https://doi.org/10.1097/HC9.0000000000000619" TargetMode="External"/><Relationship Id="rId685" Type="http://schemas.openxmlformats.org/officeDocument/2006/relationships/hyperlink" Target="https://libkey.io/libraries/480/10.1097/HC9.0000000000000619" TargetMode="External"/><Relationship Id="rId686" Type="http://schemas.openxmlformats.org/officeDocument/2006/relationships/hyperlink" Target="https://doi.org/10.1002/hep.29342" TargetMode="External"/><Relationship Id="rId687" Type="http://schemas.openxmlformats.org/officeDocument/2006/relationships/hyperlink" Target="https://libkey.io/libraries/480/10.1002/hep.29342" TargetMode="External"/><Relationship Id="rId688" Type="http://schemas.openxmlformats.org/officeDocument/2006/relationships/hyperlink" Target="https://doi.org/10.1016/j.jhepr.2023.100907" TargetMode="External"/><Relationship Id="rId689" Type="http://schemas.openxmlformats.org/officeDocument/2006/relationships/hyperlink" Target="https://libkey.io/libraries/480/10.1016/j.jhepr.2023.100907" TargetMode="External"/><Relationship Id="rId690" Type="http://schemas.openxmlformats.org/officeDocument/2006/relationships/hyperlink" Target="https://doi.org/10.1177/09622802261420699" TargetMode="External"/><Relationship Id="rId691" Type="http://schemas.openxmlformats.org/officeDocument/2006/relationships/hyperlink" Target="https://libkey.io/libraries/480/10.1177/09622802261420699"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2026-07-15T23:23:12.542Z</dcterms:created>
  <dcterms:modified xsi:type="dcterms:W3CDTF">2026-10-25T09:38:04Z</dcterms:modified>
  <dc:title>UTHealth Houston and Memorial Hermann High Risk Liver Transplant Protocol for Hepatocellular Carcinoma V8</dc:title>
  <dc:subject>Investigational HCC pathway outside standardized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