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Perihilar Cholangiocarcinoma V12</w:t>
      </w:r>
    </w:p>
    <w:p>
      <w:pPr>
        <w:pStyle w:val="Normal"/>
        <w:widowControl/>
      </w:pPr>
      <w:r>
        <w:t xml:space="preserve">Preserve the established neoadjuvant and transplant pathway while separately evaluating larger radial tumors, previous primary-tumor biopsy, previously positive nodes and regimen changes. A high-risk feature within standard eligibility is not the same as an eligibility expansion.</w:t>
      </w:r>
    </w:p>
    <w:p>
      <w:pPr>
        <w:pStyle w:val="Normal"/>
        <w:widowControl/>
      </w:pPr>
      <w:r>
        <w:t xml:space="preserve">Version 12  |  Revised 2026-10-25 04:54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0OTNjNzgxNC1kMTM5LTU5MzctYjZlOC05NDRlZTAxMTViZjQiIHRpbWVzdGFtcD0iMTc5MjkyMTA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patient selection</w:t>
      </w:r>
    </w:p>
    <w:p>
      <w:pPr>
        <w:pStyle w:val="Heading3"/>
        <w:keepNext/>
        <w:widowControl/>
      </w:pPr>
      <w:r>
        <w:t xml:space="preserve">1.1 Identify the standard pathway before considering expansion</w:t>
      </w:r>
    </w:p>
    <w:p>
      <w:pPr>
        <w:pStyle w:val="Normal"/>
        <w:widowControl/>
        <w:numPr>
          <w:ilvl w:val="0"/>
          <w:numId w:val="3"/>
        </w:numPr>
      </w:pPr>
      <w:r>
        <w:t xml:space="preserve">Confirm the lesion is perihilar, not a distal bile-duct cancer or an intrahepatic primary. Document a malignant-appearing stricture on cholangiography plus the applicable diagnostic evidence: malignant cytology/biopsy, CA19-9 above 100 U/mL without cholangitis, aneuploidy, or the qualifying hilar mass. A negative brushing does not by itself exclude malignancy.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If a mass is present, standardized exception policy requires a single mass strictly less than 3 cm in radial diameter, measured perpendicular to the duct. Do not substitute longitudinal ductal extent or a less-than-or-equal-to threshold. A mass exactly 3.0 cm is outside that standardized criterion.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Obtain independent HPB review of technical resectability, vascular reconstruction, future liver remnant and underlying liver disease. Policy requires unresectability from technical considerations or liver disease; a resectable de novo tumor does not acquire a conventional transplant indication merely because an LT series reports favorable survival.</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Mi0zXTwvRGlzcGxheVRleHQ+PHJlY29yZD48cmVjLW51bWJlcj4zPC9yZWMtbnVtYmVyPjxmb3JlaWduLWtleXM+PGtleSBhcHA9IkVOIiBkYi1pZD0iNDkzYzc4MTQtZDEzOS01OTM3LWI2ZTgtOTQ0ZWUwMTE1YmY0IiB0aW1lc3RhbXA9IjE3OTI5MjEw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p>
    <w:p>
      <w:pPr>
        <w:pStyle w:val="Heading3"/>
        <w:keepNext/>
        <w:widowControl/>
      </w:pPr>
      <w:r>
        <w:t xml:space="preserve">1.2 Define each high risk feature separately</w:t>
      </w:r>
    </w:p>
    <w:p>
      <w:pPr>
        <w:pStyle w:val="Normal"/>
        <w:widowControl/>
        <w:numPr>
          <w:ilvl w:val="0"/>
          <w:numId w:val="3"/>
        </w:numPr>
      </w:pPr>
      <w:r>
        <w:t xml:space="preserve">Record radial size, de novo versus PSC-associated disease, CA19-9 after drainage and infection control, prior treatment, node station and pathology, primary biopsy route, and all evidence of metastasis. A CA19-9 above 500 U/mL is a risk finding to explain and discuss, not a threshold that qualifies the patient for transplantation.</w:t>
      </w:r>
    </w:p>
    <w:p>
      <w:pPr>
        <w:pStyle w:val="Normal"/>
        <w:widowControl/>
        <w:numPr>
          <w:ilvl w:val="0"/>
          <w:numId w:val="3"/>
        </w:numPr>
      </w:pPr>
      <w:r>
        <w:t xml:space="preserve">An indeterminate node requires resolution, not automatic exclusion or clearance. EUS sampling of a suspicious node is distinct from transperitoneal biopsy of the primary tumor. A negative nodal sample does not replace operative staging.</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ItNF08L0Rpc3BsYXlUZXh0PjxyZWNvcmQ+PHJlYy1udW1iZXI+NDwvcmVjLW51bWJlcj48Zm9yZWlnbi1rZXlzPjxrZXkgYXBwPSJFTiIgZGItaWQ9IjQ5M2M3ODE0LWQxMzktNTkzNy1iNmU4LTk0NGVlMDExNWJmNCIgdGltZXN0YW1wPSIxNzkyOTIxMD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pPr>
      <w:r>
        <w:t xml:space="preserve">The 12-center US experience included 287 pathway patients and 214 recipients. Five-year intention-to-treat survival was approximately 53%, while post-LT recurrence-free survival was approximately 65%; these are different endpoints and denominators. Larger masses were associated with worse outcomes. The old 3–5 cm entry band is not adopted as a validated extension.</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pStyle w:val="Heading3"/>
        <w:keepNext/>
        <w:widowControl/>
      </w:pPr>
      <w:bookmarkStart w:id="1" w:name="pCCA_B1"/>
      <w:r>
        <w:t xml:space="preserve">pCCA-B1 — Size, prior biopsy and prior nodes: one exclusion or separate research strata?</w:t>
      </w:r>
      <w:bookmarkEnd w:id="1"/>
    </w:p>
    <w:p>
      <w:pPr>
        <w:pStyle w:val="Heading3"/>
        <w:keepNext/>
        <w:widowControl/>
      </w:pPr>
      <w:r>
        <w:t xml:space="preserve">Question and comparison</w:t>
      </w:r>
    </w:p>
    <w:p>
      <w:pPr>
        <w:pStyle w:val="Normal"/>
        <w:widowControl/>
        <w:spacing w:before="60" w:after="20"/>
      </w:pPr>
      <w:r>
        <w:t xml:space="preserve">For potential pCCA transplant recipients, should a radial mass ≥ 3 cm, prior transperitoneal primary-tumor biopsy, or previously proven but apparently cleared malignant nodes be accepted as one expanded group or separate investigational strata?</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pStyle w:val="Normal"/>
              <w:widowControl/>
              <w:spacing w:before="60" w:after="20"/>
            </w:pPr>
            <w:r>
              <w:t xml:space="preserve">Retrospective 12-US-center NAT-to-LT cohort; 287 entered, 71 dropped out, 214 transplanted.</w:t>
            </w:r>
          </w:p>
          <w:p>
            <w:pPr>
              <w:pStyle w:val="Normal"/>
              <w:widowControl/>
              <w:spacing w:before="60" w:after="20"/>
            </w:pPr>
            <w:hyperlink r:id="rId28">
              <w:r>
                <w:rPr>
                  <w:color w:val="77230C"/>
                  <w:sz w:val="20"/>
                  <w:u w:val="single"/>
                </w:rPr>
                <w:t>Primary source</w:t>
              </w:r>
            </w:hyperlink>
            <w:r>
              <w:t xml:space="preserve"> | </w:t>
            </w:r>
            <w:hyperlink r:id="rId29">
              <w:r>
                <w:rPr>
                  <w:color w:val="77230C"/>
                  <w:sz w:val="20"/>
                  <w:u w:val="single"/>
                </w:rPr>
                <w:t>Full-text PDF</w:t>
              </w:r>
            </w:hyperlink>
          </w:p>
          <w:p>
            <w:pPr>
              <w:pStyle w:val="Normal"/>
              <w:widowControl/>
              <w:spacing w:before="60" w:after="20"/>
            </w:pPr>
            <w:r>
              <w:t xml:space="preserve">Locator: Gastroenterology 2012; 143: 88–98.e 3; Results, patient flow and selection-criteria recurrence analyses; local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treatment-pathway entry, 2-/5-year OS was 68%/53%; post-LT 2-/5-year recurrence-free survival 78%/65%. Among 21 transplanted patients with masses &gt;3 cm, 5-year RFS was 32% versus 69% for smaller tumors. The combined outside-criteria group had recurrence hazard ratio 2.98.</w:t>
            </w:r>
          </w:p>
          <w:p>
            <w:pPr>
              <w:pStyle w:val="Normal"/>
              <w:widowControl/>
              <w:spacing w:before="60" w:after="20"/>
            </w:pPr>
            <w:r>
              <w:rPr>
                <w:b/>
              </w:rPr>
              <w:t xml:space="preserve">Do not infer: </w:t>
            </w:r>
            <w:r>
              <w:t xml:space="preserve">Larger tumors were not randomized. Composite outside-criteria effect cannot be assigned separately to size, biopsy or metastasis. Small &gt;3-cm recipient subset; selection and center effects.</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Mi02XTwvRGlzcGxheVRleHQ+PHJlY29yZD48cmVjLW51bWJlcj42PC9yZWMtbnVtYmVyPjxmb3JlaWduLWtleXM+PGtleSBhcHA9IkVOIiBkYi1pZD0iNDkzYzc4MTQtZDEzOS01OTM3LWI2ZTgtOTQ0ZWUwMTE1YmY0IiB0aW1lc3RhbXA9IjE3OTI5MjEw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Mayo retrospective 1993–2010: 199 protocol entrants, 62 dropouts, 131 local LT recipients and six LT elsewhere. Clear radial masses &gt;3 cm were excluded. The recorded mass measurement could be maximal radial OR longitudinal diameter, and the authors explain that observed &gt;3-cm measurements were generally longitudinal extension.</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Complete Hepatology 2012 PDF, Transplantation and Recurrence sections.</w:t>
            </w:r>
          </w:p>
          <w:p>
            <w:pPr>
              <w:pStyle w:val="Normal"/>
              <w:widowControl/>
              <w:spacing w:before="60" w:after="20"/>
            </w:pPr>
            <w:r>
              <w:t xml:space="preserve">Review depth: Complete original article, Hepatology 2012; 56:972–981. Complete main paper reviewed; separate supplements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11/131 local recipients required retransplantation: six HAT, three primary nonfunction, one ischemic cholangiopathy and one recurrent PSC. Five-year post-LT OS was 71% and RFS 68%.</w:t>
            </w:r>
          </w:p>
          <w:p>
            <w:pPr>
              <w:pStyle w:val="Normal"/>
              <w:widowControl/>
              <w:spacing w:before="60" w:after="20"/>
            </w:pPr>
            <w:r>
              <w:rPr>
                <w:b/>
              </w:rPr>
              <w:t xml:space="preserve">Do not infer: </w:t>
            </w:r>
            <w:r>
              <w:t xml:space="preserve">Overlapping Mayo experience, not an independent additive safety denominator. Recurrence benefit must be discussed beside graft loss and retransplant use.</w:t>
            </w:r>
          </w:p>
        </w:tc>
      </w:tr>
      <w:tr>
        <w:trPr/>
        <w:tc>
          <w:tcPr>
            <w:tcW w:w="3400" w:type="dxa"/>
            <w:tcMar>
              <w:top w:w="90" w:type="dxa"/>
              <w:left w:w="90" w:type="dxa"/>
              <w:bottom w:w="90" w:type="dxa"/>
              <w:right w:w="90" w:type="dxa"/>
            </w:tcMar>
          </w:tcPr>
          <w:p>
            <w:pPr>
              <w:pStyle w:val="Normal"/>
              <w:widowControl/>
              <w:spacing w:before="60" w:after="20"/>
            </w:pPr>
            <w:r>
              <w:rPr>
                <w:b/>
              </w:rPr>
              <w:t xml:space="preserve">Heimbach 2011 · biopsy</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ItNF08L0Rpc3BsYXlUZXh0PjxyZWNvcmQ+PHJlYy1udW1iZXI+NDwvcmVjLW51bWJlcj48Zm9yZWlnbi1rZXlzPjxrZXkgYXBwPSJFTiIgZGItaWQ9IjQ5M2M3ODE0LWQxMzktNTkzNy1iNmU4LTk0NGVlMDExNWJmNCIgdGltZXN0YW1wPSIxNzkyOTIxMD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191 NAT-to-LT protocol entrants; 16 underwent primary-tumor TP-FNA.</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HPB 2011; 13: 356–360; Results and biopsy/staging table; local complete PDF.</w:t>
            </w:r>
          </w:p>
          <w:p>
            <w:pPr>
              <w:pStyle w:val="Normal"/>
              <w:widowControl/>
              <w:spacing w:before="60" w:after="20"/>
            </w:pPr>
            <w:r>
              <w:t xml:space="preserve">Review depth: PMC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Peritoneal metastases at staging: 5/6 with positive TP-FNA versus 14/175 without TP-FNA; 9 negative TP-FNA patients had none; one result was equivocal.</w:t>
            </w:r>
          </w:p>
          <w:p>
            <w:pPr>
              <w:pStyle w:val="Normal"/>
              <w:widowControl/>
              <w:spacing w:before="60" w:after="20"/>
            </w:pPr>
            <w:r>
              <w:rPr>
                <w:b/>
              </w:rPr>
              <w:t xml:space="preserve">Do not infer: </w:t>
            </w:r>
            <w:r>
              <w:t xml:space="preserve">Only six positive biopsies. Nonrandom sampling and more obvious tumor may confound association. Negative-biopsy subgroup is far too small to establish safety or equivalence.</w:t>
            </w:r>
          </w:p>
        </w:tc>
      </w:tr>
      <w:tr>
        <w:trPr/>
        <w:tc>
          <w:tcPr>
            <w:tcW w:w="3400" w:type="dxa"/>
            <w:tcMar>
              <w:top w:w="90" w:type="dxa"/>
              <w:left w:w="90" w:type="dxa"/>
              <w:bottom w:w="90" w:type="dxa"/>
              <w:right w:w="90" w:type="dxa"/>
            </w:tcMar>
          </w:tcPr>
          <w:p>
            <w:pPr>
              <w:pStyle w:val="Normal"/>
              <w:widowControl/>
              <w:spacing w:before="60" w:after="20"/>
            </w:pPr>
            <w:r>
              <w:rPr>
                <w:b/>
              </w:rPr>
              <w:t xml:space="preserve">Aveson 2022</w:t>
            </w:r>
            <w:r>
              <w:t xml:space="preserve"> </w:t>
            </w:r>
            <w:r>
              <w:t xml:space="preserve"> </w:t>
            </w:r>
            <w:r>
              <w:fldChar w:fldCharType="begin"/>
            </w:r>
            <w:r>
              <w:instrText xml:space="preserve"> ADDIN EN.CITE </w:instrText>
            </w:r>
            <w:r>
              <w:fldChar w:fldCharType="begin">
                <w:fldData>PEVuZE5vdGU+PENpdGU+PEF1dGhvcj5BdmVzb248L0F1dGhvcj48WWVhcj4yMDIyPC9ZZWFyPjxSZWNOdW0+NzwvUmVjTnVtPjxEaXNwbGF5VGV4dD5bVjEyLTddPC9EaXNwbGF5VGV4dD48cmVjb3JkPjxyZWMtbnVtYmVyPjc8L3JlYy1udW1iZXI+PGZvcmVpZ24ta2V5cz48a2V5IGFwcD0iRU4iIGRiLWlkPSI0OTNjNzgxNC1kMTM5LTU5MzctYjZlOC05NDRlZTAxMTViZjQiIHRpbWVzdGFtcD0iMTc5MjkyMTA4NCI+Nz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pStyle w:val="Normal"/>
              <w:widowControl/>
              <w:spacing w:before="60" w:after="20"/>
            </w:pPr>
            <w:r>
              <w:t xml:space="preserve">MSK retrospective planned-resection/exploration cohort, 1991–2014: 262 patients, 37 TP primary biopsies and 225 intraluminal/no biopsies; 155 R0/R1 resections, not 262 completed resections.</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Complete eight-page HPB 2022; 24:942–949 PDF; Methods, patient flow, Tables 1–3 and competing-risk results.</w:t>
            </w:r>
          </w:p>
          <w:p>
            <w:pPr>
              <w:pStyle w:val="Normal"/>
              <w:widowControl/>
              <w:spacing w:before="60" w:after="20"/>
            </w:pPr>
            <w:r>
              <w:t xml:space="preserve">Review depth: Complete original HPB 2022; 24:942–949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Index PM: 2/37 (5.4%) versus 17/225 (7.6%), p&gt;0.9.; 243 were initially PM-negative (35 exposed/208 unexposed); 72 subsequently developed PM.; Two-year cumulative PM 20.3% (95% CI 8.7–35.2) versus 20.1% (14.9–25.9), p=0.7.; Only 98 had R0 resections (14 TP/84 non-TP), with six PM-first recurrences; subgroup precision is limited.</w:t>
            </w:r>
          </w:p>
          <w:p>
            <w:pPr>
              <w:pStyle w:val="Normal"/>
              <w:widowControl/>
              <w:spacing w:before="60" w:after="20"/>
            </w:pPr>
            <w:r>
              <w:rPr>
                <w:b/>
              </w:rPr>
              <w:t xml:space="preserve">Do not infer: </w:t>
            </w:r>
            <w:r>
              <w:t xml:space="preserve">The absence of increased PM is genuine counterevidence to inevitable-seeding claims, but only 37 exposed patients, short 32-/38-day biopsy-to-operation intervals and no LT waiting/immunosuppression setting prevent a transplant-safety inference. Current policy is not overridden.</w:t>
            </w:r>
          </w:p>
        </w:tc>
      </w:tr>
      <w:tr>
        <w:trPr/>
        <w:tc>
          <w:tcPr>
            <w:tcW w:w="3400" w:type="dxa"/>
            <w:tcMar>
              <w:top w:w="90" w:type="dxa"/>
              <w:left w:w="90" w:type="dxa"/>
              <w:bottom w:w="90" w:type="dxa"/>
              <w:right w:w="90" w:type="dxa"/>
            </w:tcMar>
          </w:tcPr>
          <w:p>
            <w:pPr>
              <w:pStyle w:val="Normal"/>
              <w:widowControl/>
              <w:spacing w:before="60" w:after="20"/>
            </w:pPr>
            <w:r>
              <w:rPr>
                <w:b/>
              </w:rPr>
              <w:t xml:space="preserve">Soliman 2025 · GemCis</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Mi04XTwvRGlzcGxheVRleHQ+PHJlY29yZD48cmVjLW51bWJlcj44PC9yZWMtbnVtYmVyPjxmb3JlaWduLWtleXM+PGtleSBhcHA9IkVOIiBkYi1pZD0iNDkzYzc4MTQtZDEzOS01OTM3LWI2ZTgtOTQ0ZWUwMTE1YmY0IiB0aW1lc3RhbXA9IjE3OTI5MjEw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Houston recipient-only NAT comparison; 27 LT, 26 analyzed after one treatment-intolerance exclusion.</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Transplant Direct 2025; 11: e 1760; Tables 2–4, Recipient Posttransplant Outcomes, Figure 2.</w:t>
            </w:r>
          </w:p>
          <w:p>
            <w:pPr>
              <w:pStyle w:val="Normal"/>
              <w:widowControl/>
              <w:spacing w:before="60" w:after="20"/>
            </w:pPr>
            <w:r>
              <w:t xml:space="preserve">Review depth: PMC full-text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Occult positive nodes in 6/26(23.1%); nodal disease associated with worse OS and RFS. Nine recurrences overall; main-text 1-/3-year OS 83.0%/52.3% from LT.</w:t>
            </w:r>
          </w:p>
          <w:p>
            <w:pPr>
              <w:pStyle w:val="Normal"/>
              <w:widowControl/>
              <w:spacing w:before="60" w:after="20"/>
            </w:pPr>
            <w:r>
              <w:rPr>
                <w:b/>
              </w:rPr>
              <w:t xml:space="preserve">Do not infer: </w:t>
            </w:r>
            <w:r>
              <w:t xml:space="preserve">Occult nodes discovered after LT are not evidence supporting knowingly positive nodes cleared by therapy. No all referred or all-treated denominator. Abstract/body OS rounding differs; use full Results values.</w:t>
            </w:r>
          </w:p>
        </w:tc>
      </w:tr>
      <w:tr>
        <w:trPr/>
        <w:tc>
          <w:tcPr>
            <w:tcW w:w="34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Mi0zXTwvRGlzcGxheVRleHQ+PHJlY29yZD48cmVjLW51bWJlcj4zPC9yZWMtbnVtYmVyPjxmb3JlaWduLWtleXM+PGtleSBhcHA9IkVOIiBkYi1pZD0iNDkzYzc4MTQtZDEzOS01OTM3LWI2ZTgtOTQ0ZWUwMTE1YmY0IiB0aW1lc3RhbXA9IjE3OTI5MjEw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Mayo de-novo pCCA 1993–2023; 127 analyzed LT-pathway entrants, 52 dropouts, 75 LT.</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Hepatology 2026; institutional protocol, patient-flow Figure 1 and Results; local full PDF.</w:t>
            </w:r>
          </w:p>
          <w:p>
            <w:pPr>
              <w:pStyle w:val="Normal"/>
              <w:widowControl/>
              <w:spacing w:before="60" w:after="20"/>
            </w:pPr>
            <w:r>
              <w:t xml:space="preserve">Review depth: Complete publisher PDF reviewed, including institutional protocols and intention-to-treat comparison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Dropouts included 15 with regional nodal metastases and 34 with distant metastases; three medical deterioration.</w:t>
            </w:r>
          </w:p>
          <w:p>
            <w:pPr>
              <w:pStyle w:val="Normal"/>
              <w:widowControl/>
              <w:spacing w:before="60" w:after="20"/>
            </w:pPr>
            <w:r>
              <w:rPr>
                <w:b/>
              </w:rPr>
              <w:t xml:space="preserve">Do not infer: </w:t>
            </w:r>
            <w:r>
              <w:t xml:space="preserve">Provides the consequence of detecting nodes, not outcomes of clearing them and transplanting. Overlaps historical Mayo cohorts.</w:t>
            </w:r>
          </w:p>
        </w:tc>
      </w:tr>
      <w:tr>
        <w:trPr/>
        <w:tc>
          <w:tcPr>
            <w:tcW w:w="3400" w:type="dxa"/>
            <w:tcMar>
              <w:top w:w="90" w:type="dxa"/>
              <w:left w:w="90" w:type="dxa"/>
              <w:bottom w:w="90" w:type="dxa"/>
              <w:right w:w="90" w:type="dxa"/>
            </w:tcMar>
          </w:tcPr>
          <w:p>
            <w:pPr>
              <w:pStyle w:val="Normal"/>
              <w:widowControl/>
              <w:spacing w:before="60" w:after="20"/>
            </w:pPr>
            <w:r>
              <w:rPr>
                <w:b/>
              </w:rPr>
              <w:t xml:space="preserve">Bowlus 2022</w:t>
            </w:r>
            <w:r>
              <w:t xml:space="preserve"> </w:t>
            </w:r>
            <w:r>
              <w:t xml:space="preserve"> </w:t>
            </w:r>
            <w:r>
              <w:fldChar w:fldCharType="begin"/>
            </w:r>
            <w:r>
              <w:instrText xml:space="preserve"> ADDIN EN.CITE </w:instrText>
            </w:r>
            <w:r>
              <w:fldChar w:fldCharType="begin">
                <w:fldData>PEVuZE5vdGU+PENpdGU+PEF1dGhvcj5Cb3dsdXM8L0F1dGhvcj48WWVhcj4yMDIyPC9ZZWFyPjxSZWNOdW0+OTwvUmVjTnVtPjxEaXNwbGF5VGV4dD5bVjEyLTldPC9EaXNwbGF5VGV4dD48cmVjb3JkPjxyZWMtbnVtYmVyPjk8L3JlYy1udW1iZXI+PGZvcmVpZ24ta2V5cz48a2V5IGFwcD0iRU4iIGRiLWlkPSI0OTNjNzgxNC1kMTM5LTU5MzctYjZlOC05NDRlZTAxMTViZjQiIHRpbWVzdGFtcD0iMTc5MjkyMTA4NCI+OT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[V12-9]</w:t>
            </w:r>
            <w:r>
              <w:fldChar w:fldCharType="end"/>
            </w:r>
          </w:p>
          <w:p>
            <w:pPr>
              <w:pStyle w:val="Normal"/>
              <w:widowControl/>
              <w:spacing w:before="60" w:after="20"/>
            </w:pPr>
            <w:r>
              <w:t xml:space="preserve">AASLD practice guidance, published online 2022 and in the 2023 issue; no new trial denominator. Recommendations and their underlying studies must be distinguished.</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PDF p 24 guidance statement 33 and diagnostic workup; p 25 statements 39–40 and iCCA discussion; pp 26–28 pCCA biopsy, resection, NAT/LT and statement 48.</w:t>
            </w:r>
          </w:p>
          <w:p>
            <w:pPr>
              <w:pStyle w:val="Normal"/>
              <w:widowControl/>
              <w:spacing w:before="60" w:after="20"/>
            </w:pPr>
            <w:r>
              <w:t xml:space="preserve">Review depth: Targeted full-text review of all biliary cancer clinical sections in PDF pp 21–28, including diagnostic, resection and LT guidance and Figure 9. The unrelated remainder of the 44-page PSC guideline was not reread in full during this supplement.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iCCA diagnosis requires core biopsy and molecular characterization as appropriate; primary-tumor transperitoneal/EUS avoidance belongs to potential pCCA-LT candidates. EUS sampling of suspicious regional nodes is a different procedure.; R 0 resection with sufficient functional remnant remains the curative first route when feasible. The guidance's general remnant discussion is not a universal 40% numeric rule for every patient.; Guidance statement 48 uses pCCA radial size ≤3 cm, whereas current OPTN Policy 9.5.A requires a single mass, if present, &lt;3 cm. Exactly 3.0 cm is an explicit guideline/policy discrepancy, not an automatic standardized-exception case.; The guidance describes selected very-early iCCA evidence and keeps advanced iCCA in research; it does not turn incidental-cohort outcomes into a routine advanced-disease indication.; The guidance narrative mislabels the multicenter Murad 78% RFS as five-year; the primary article gives 78% at two years and 65% at five years. Its De Martin burden description also should not replace the primary largest-nodule measurement.</w:t>
            </w:r>
          </w:p>
          <w:p>
            <w:pPr>
              <w:pStyle w:val="Normal"/>
              <w:widowControl/>
              <w:spacing w:before="60" w:after="20"/>
            </w:pPr>
            <w:r>
              <w:rPr>
                <w:b/>
              </w:rPr>
              <w:t xml:space="preserve">Do not infer: </w:t>
            </w:r>
            <w:r>
              <w:t xml:space="preserve">Professional guidance is not allocation policy. Several secondary numerical summaries are inaccurate; use verified primary-study results. The systemic-treatment section predates newer trial updates and is not the sole source for 2026 non-LT therapy. Time origin: Not applicable to the guidance itself; use primary studies for outcome origins.</w:t>
            </w:r>
          </w:p>
        </w:tc>
      </w:tr>
      <w:tr>
        <w:trPr/>
        <w:tc>
          <w:tcPr>
            <w:tcW w:w="3400" w:type="dxa"/>
            <w:tcMar>
              <w:top w:w="90" w:type="dxa"/>
              <w:left w:w="90" w:type="dxa"/>
              <w:bottom w:w="90" w:type="dxa"/>
              <w:right w:w="90" w:type="dxa"/>
            </w:tcMar>
          </w:tcPr>
          <w:p>
            <w:pPr>
              <w:pStyle w:val="Normal"/>
              <w:widowControl/>
              <w:spacing w:before="60" w:after="20"/>
            </w:pPr>
            <w:r>
              <w:rPr>
                <w:b/>
              </w:rPr>
              <w:t xml:space="preserve">Loveday 2018</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ItMTBdPC9EaXNwbGF5VGV4dD48cmVjb3JkPjxyZWMtbnVtYmVyPjEwPC9yZWMtbnVtYmVyPjxmb3JlaWduLWtleXM+PGtleSBhcHA9IkVOIiBkYi1pZD0iNDkzYzc4MTQtZDEzOS01OTM3LWI2ZTgtOTQ0ZWUwMTE1YmY0IiB0aW1lc3RhbXA9IjE3OTI5MjEw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Prospective Toronto program, 2009–2015: 43 referred, 24 assessed in detail, 18 treated with neoadjuvant chemoradiation, six transplanted and one still awaiting LT. Initial radial limit &lt;3 cm was briefly increased to 3.5 cm, then returned to &lt;3 cm.</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pp 2–3 eligibility and regimen; pp 3–5/Table 2 and patient-flow diagram; pp 5–6 transplant outcomes and discussion.</w:t>
            </w:r>
          </w:p>
          <w:p>
            <w:pPr>
              <w:pStyle w:val="Normal"/>
              <w:widowControl/>
              <w:spacing w:before="60" w:after="20"/>
            </w:pPr>
            <w:r>
              <w:t xml:space="preserve">Review depth: Complete seven-page main article read, including selection changes, patient flow and operative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Eleven of 18 treated patients dropped out (61.1%); six received LT (three LDLT and three DDLT), with one waiting at analysis.; The full text describes one comorbidity-related dropout, so do not repeat the abstract's implication that all 11 were metastatic progression. Six of 16 patients who reached operative staging had metastatic disease, and three later progressed during maintenance.; Both treated tumors exceeding 3 cm during the expansion period were found to have metastatic disease at staging and did not receive LT. This is a tiny cautionary experience, not a validated cutoff comparison.; ITT median OS was 16.4 months, with one-/two-year OS 70.6%/35.3%. Post-LT one-/two-year OS was 83.3%/55.6%. One recipient died of pulmonary embolism on postoperative day 6; another recurred at 14.1 months and died at 16.4 months.; Only one of six explants had pCR. Five of six received an aortic arterial jump graft; no arterial-graft complication was reported. Treatment-associated cholangitis and readmissions were common.</w:t>
            </w:r>
          </w:p>
          <w:p>
            <w:pPr>
              <w:pStyle w:val="Normal"/>
              <w:widowControl/>
              <w:spacing w:before="60" w:after="20"/>
            </w:pPr>
            <w:r>
              <w:rPr>
                <w:b/>
              </w:rPr>
              <w:t xml:space="preserve">Do not infer: </w:t>
            </w:r>
            <w:r>
              <w:t xml:space="preserve">Very small single-center series, substantial all-pathway attrition, short recipient follow-up, selection and waiting-time differences from Mayo. Cholangitis count differs between body text and Table 2; avoid an unqualified exact rate. Radiation-unit typographical errors must not be copied into prescriptions. Time origin: ITT OS starts at initiation of neoadjuvant treatment. Recipient OS starts at LT. Median time from NAT initiation to LT was 37 weeks; median recipient follow-up was only 12.6 months.</w:t>
            </w:r>
          </w:p>
        </w:tc>
      </w:tr>
    </w:tbl>
    <w:p>
      <w:pPr>
        <w:pStyle w:val="Heading3"/>
        <w:keepNext/>
        <w:widowControl/>
      </w:pPr>
      <w:r>
        <w:t xml:space="preserve">Synthesis and evidence that challenges the proposal</w:t>
      </w:r>
    </w:p>
    <w:p>
      <w:pPr>
        <w:pStyle w:val="Normal"/>
        <w:widowControl/>
        <w:spacing w:before="60" w:after="20"/>
      </w:pPr>
      <w:r>
        <w:t xml:space="preserve">Size, primary-transperitoneal-biopsy exposure and previously proven malignant nodes are different questions. The Mayo predictor HR for a recorded &gt;3-cm mass did not test a radial &gt;3-cm expansion; direct radial-size outcome claims must cite their separate cohort. Biopsy evidence is conflicting across surgical and LT settings, so avoid inevitable-seeding language without overriding the restrictive standard pathway. No reviewed full text validates a cleared-malignant-node rescue arm. At exactly 3.0 cm there is a source discrepancy: AASLD statement 48 uses ≤3 cm, whereas current OPTN standardized CCA policy uses &lt;3 cm for radial mass diameter. The allocation gate remains the policy wording; measurement/rounding uncertainty requires explicit review, not automatic expansion. NCCN BTC v1.2026 EXTRA-1 footnote h also uses ≤3 cm, unlike the strict &lt;3-cm standardized OPTN policy. The clinical guideline cannot itself enlarge the exception category.</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Mi02XTwvRGlzcGxheVRleHQ+PHJlY29yZD48cmVjLW51bWJlcj42PC9yZWMtbnVtYmVyPjxmb3JlaWduLWtleXM+PGtleSBhcHA9IkVOIiBkYi1pZD0iNDkzYzc4MTQtZDEzOS01OTM3LWI2ZTgtOTQ0ZWUwMTE1YmY0IiB0aW1lc3RhbXA9IjE3OTI5MjEw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ItNF08L0Rpc3BsYXlUZXh0PjxyZWNvcmQ+PHJlYy1udW1iZXI+NDwvcmVjLW51bWJlcj48Zm9yZWlnbi1rZXlzPjxrZXkgYXBwPSJFTiIgZGItaWQ9IjQ5M2M3ODE0LWQxMzktNTkzNy1iNmU4LTk0NGVlMDExNWJmNCIgdGltZXN0YW1wPSIxNzkyOTIxMD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BdmVzb248L0F1dGhvcj48WWVhcj4yMDIyPC9ZZWFyPjxSZWNOdW0+NzwvUmVjTnVtPjxEaXNwbGF5VGV4dD5bVjEyLTddPC9EaXNwbGF5VGV4dD48cmVjb3JkPjxyZWMtbnVtYmVyPjc8L3JlYy1udW1iZXI+PGZvcmVpZ24ta2V5cz48a2V5IGFwcD0iRU4iIGRiLWlkPSI0OTNjNzgxNC1kMTM5LTU5MzctYjZlOC05NDRlZTAxMTViZjQiIHRpbWVzdGFtcD0iMTc5MjkyMTA4NCI+Nz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Mi04XTwvRGlzcGxheVRleHQ+PHJlY29yZD48cmVjLW51bWJlcj44PC9yZWMtbnVtYmVyPjxmb3JlaWduLWtleXM+PGtleSBhcHA9IkVOIiBkYi1pZD0iNDkzYzc4MTQtZDEzOS01OTM3LWI2ZTgtOTQ0ZWUwMTE1YmY0IiB0aW1lc3RhbXA9IjE3OTI5MjEw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Mi0zXTwvRGlzcGxheVRleHQ+PHJlY29yZD48cmVjLW51bWJlcj4zPC9yZWMtbnVtYmVyPjxmb3JlaWduLWtleXM+PGtleSBhcHA9IkVOIiBkYi1pZD0iNDkzYzc4MTQtZDEzOS01OTM3LWI2ZTgtOTQ0ZWUwMTE1YmY0IiB0aW1lc3RhbXA9IjE3OTI5MjEw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Cb3dsdXM8L0F1dGhvcj48WWVhcj4yMDIyPC9ZZWFyPjxSZWNOdW0+OTwvUmVjTnVtPjxEaXNwbGF5VGV4dD5bVjEyLTldPC9EaXNwbGF5VGV4dD48cmVjb3JkPjxyZWMtbnVtYmVyPjk8L3JlYy1udW1iZXI+PGZvcmVpZ24ta2V5cz48a2V5IGFwcD0iRU4iIGRiLWlkPSI0OTNjNzgxNC1kMTM5LTU5MzctYjZlOC05NDRlZTAxMTViZjQiIHRpbWVzdGFtcD0iMTc5MjkyMTA4NCI+OT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[V12-9]</w:t>
      </w:r>
      <w:r>
        <w:fldChar w:fldCharType="end"/>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ItMTBdPC9EaXNwbGF5VGV4dD48cmVjb3JkPjxyZWMtbnVtYmVyPjEwPC9yZWMtbnVtYmVyPjxmb3JlaWduLWtleXM+PGtleSBhcHA9IkVOIiBkYi1pZD0iNDkzYzc4MTQtZDEzOS01OTM3LWI2ZTgtOTQ0ZWUwMTE1YmY0IiB0aW1lc3RhbXA9IjE3OTI5MjEw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p>
    <w:p>
      <w:pPr>
        <w:pStyle w:val="Normal"/>
        <w:widowControl/>
        <w:numPr>
          <w:ilvl w:val="0"/>
          <w:numId w:val="3"/>
        </w:numPr>
        <w:spacing w:before="60" w:after="20"/>
      </w:pPr>
      <w:r>
        <w:t xml:space="preserve">Aveson challenges a universal causal inference from Heimbach. Absence of PM in nine negative TP-FNA cases does not establish safety. Soliman's occult-node recipients do not validate deliberate nodal expansion. The exact 3.0-cm boundary is a current policy boundary, not a biological discontinuity proven by these studies.</w:t>
      </w:r>
    </w:p>
    <w:p>
      <w:pPr>
        <w:pStyle w:val="Normal"/>
        <w:widowControl/>
        <w:spacing w:before="60" w:after="20"/>
      </w:pPr>
      <w:r>
        <w:rPr>
          <w:b/>
        </w:rPr>
        <w:t xml:space="preserve">Certainty / applicability: </w:t>
      </w:r>
      <w:r>
        <w:t xml:space="preserve">Moderate confidence that conventional selection yields better observed outcomes; low certainty for causal effects of size and biopsy; very low/no direct evidence for a previously positive-node clearance pathway.</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OPTN 9.5. A specifies radial mass &lt; 3 cm, unresectability, NAT and staging; primary TP-biopsy must be avoided. STUDY: &gt;3 cm associated with lower RFS; positive TP-FNA associated with PM in a very small LT cohort. LOCAL: closing all prior-biopsy and cleared-node strata is a conservative first-study choice, not proof of universal futility.</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OPTN policy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spacing w:before="60" w:after="20"/>
            </w:pPr>
            <w:r>
              <w:t xml:space="preserve">“single and less than three cm in radial (perpendicular to the duct) diameter.”</w:t>
            </w:r>
          </w:p>
          <w:p>
            <w:pPr>
              <w:pStyle w:val="Normal"/>
              <w:widowControl/>
              <w:spacing w:before="60" w:after="20"/>
            </w:pPr>
            <w:r>
              <w:t xml:space="preserve">Policy 9.5.A, printed p191; effective 1 October 2026</w:t>
            </w:r>
          </w:p>
          <w:p>
            <w:pPr>
              <w:pStyle w:val="Normal"/>
              <w:widowControl/>
              <w:spacing w:before="60" w:after="20"/>
            </w:pPr>
            <w:hyperlink r:id="rId44">
              <w:r>
                <w:rPr>
                  <w:color w:val="77230C"/>
                  <w:sz w:val="20"/>
                  <w:u w:val="single"/>
                </w:rPr>
                <w:t>Source</w:t>
              </w:r>
            </w:hyperlink>
            <w:r>
              <w:t xml:space="preserve"> | </w:t>
            </w:r>
            <w:hyperlink r:id="rId4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Binding standardized-exception mass wording; historical ≤3 cm study definitions are not identical.</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Heimbach 2011 · biopsy</w:t>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ItNF08L0Rpc3BsYXlUZXh0PjxyZWNvcmQ+PHJlYy1udW1iZXI+NDwvcmVjLW51bWJlcj48Zm9yZWlnbi1rZXlzPjxrZXkgYXBwPSJFTiIgZGItaWQ9IjQ5M2M3ODE0LWQxMzktNTkzNy1iNmU4LTk0NGVlMDExNWJmNCIgdGltZXN0YW1wPSIxNzkyOTIxMD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“5/6 (83%) had peritoneal metastases at operative staging.”</w:t>
            </w:r>
          </w:p>
          <w:p>
            <w:pPr>
              <w:pStyle w:val="Normal"/>
              <w:widowControl/>
              <w:spacing w:before="60" w:after="20"/>
            </w:pPr>
            <w:r>
              <w:t xml:space="preserve">Published PDF p1 / journal p356, abstract Results</w:t>
            </w:r>
          </w:p>
          <w:p>
            <w:pPr>
              <w:pStyle w:val="Normal"/>
              <w:widowControl/>
              <w:spacing w:before="60" w:after="20"/>
            </w:pPr>
            <w:hyperlink r:id="rId46">
              <w:r>
                <w:rPr>
                  <w:color w:val="77230C"/>
                  <w:sz w:val="20"/>
                  <w:u w:val="single"/>
                </w:rPr>
                <w:t>Source</w:t>
              </w:r>
            </w:hyperlink>
            <w:r>
              <w:t xml:space="preserve"> | </w:t>
            </w:r>
            <w:hyperlink r:id="rId4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This was the diagnostic-positive primary-FNA subgroup, not all biopsy-exposed patients.</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size expansion, primary transperitoneal-biopsy exposure and cleared malignant nodes as three separate closed transplant strata.</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ItNF08L0Rpc3BsYXlUZXh0PjxyZWNvcmQ+PHJlYy1udW1iZXI+NDwvcmVjLW51bWJlcj48Zm9yZWlnbi1rZXlzPjxrZXkgYXBwPSJFTiIgZGItaWQ9IjQ5M2M3ODE0LWQxMzktNTkzNy1iNmU4LTk0NGVlMDExNWJmNCIgdGltZXN0YW1wPSIxNzkyOTIxMD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Mi02XTwvRGlzcGxheVRleHQ+PHJlY29yZD48cmVjLW51bWJlcj42PC9yZWMtbnVtYmVyPjxmb3JlaWduLWtleXM+PGtleSBhcHA9IkVOIiBkYi1pZD0iNDkzYzc4MTQtZDEzOS01OTM3LWI2ZTgtOTQ0ZWUwMTE1YmY0IiB0aW1lc3RhbXA9IjE3OTI5MjEw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Mi04XTwvRGlzcGxheVRleHQ+PHJlY29yZD48cmVjLW51bWJlcj44PC9yZWMtbnVtYmVyPjxmb3JlaWduLWtleXM+PGtleSBhcHA9IkVOIiBkYi1pZD0iNDkzYzc4MTQtZDEzOS01OTM3LWI2ZTgtOTQ0ZWUwMTE1YmY0IiB0aW1lc3RhbXA9IjE3OTI5MjEw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Mi0zXTwvRGlzcGxheVRleHQ+PHJlY29yZD48cmVjLW51bWJlcj4zPC9yZWMtbnVtYmVyPjxmb3JlaWduLWtleXM+PGtleSBhcHA9IkVOIiBkYi1pZD0iNDkzYzc4MTQtZDEzOS01OTM3LWI2ZTgtOTQ0ZWUwMTE1YmY0IiB0aW1lc3RhbXA9IjE3OTI5MjEw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xPC9SZWNOdW0+PERpc3BsYXlUZXh0PltWMTItMTFdPC9EaXNwbGF5VGV4dD48cmVjb3JkPjxyZWMtbnVtYmVyPjExPC9yZWMtbnVtYmVyPjxmb3JlaWduLWtleXM+PGtleSBhcHA9IkVOIiBkYi1pZD0iNDkzYzc4MTQtZDEzOS01OTM3LWI2ZTgtOTQ0ZWUwMTE1YmY0IiB0aW1lc3RhbXA9IjE3OTI5MjEwODQiPjEx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t xml:space="preserve"> </w:t>
      </w:r>
      <w:r>
        <w:fldChar w:fldCharType="begin"/>
      </w:r>
      <w:r>
        <w:instrText xml:space="preserve"> ADDIN EN.CITE </w:instrText>
      </w:r>
      <w:r>
        <w:fldChar w:fldCharType="begin">
          <w:fldData>PEVuZE5vdGU+PENpdGU+PEF1dGhvcj5Cb3dsdXM8L0F1dGhvcj48WWVhcj4yMDIyPC9ZZWFyPjxSZWNOdW0+OTwvUmVjTnVtPjxEaXNwbGF5VGV4dD5bVjEyLTldPC9EaXNwbGF5VGV4dD48cmVjb3JkPjxyZWMtbnVtYmVyPjk8L3JlYy1udW1iZXI+PGZvcmVpZ24ta2V5cz48a2V5IGFwcD0iRU4iIGRiLWlkPSI0OTNjNzgxNC1kMTM5LTU5MzctYjZlOC05NDRlZTAxMTViZjQiIHRpbWVzdGFtcD0iMTc5MjkyMTA4NCI+OT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[V12-9]</w:t>
      </w:r>
      <w:r>
        <w:fldChar w:fldCharType="end"/>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ItMTBdPC9EaXNwbGF5VGV4dD48cmVjb3JkPjxyZWMtbnVtYmVyPjEwPC9yZWMtbnVtYmVyPjxmb3JlaWduLWtleXM+PGtleSBhcHA9IkVOIiBkYi1pZD0iNDkzYzc4MTQtZDEzOS01OTM3LWI2ZTgtOTQ0ZWUwMTE1YmY0IiB0aW1lc3RhbXA9IjE3OTI5MjEw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p>
    <w:p>
      <w:pPr>
        <w:pStyle w:val="Normal"/>
        <w:widowControl/>
        <w:numPr>
          <w:ilvl w:val="0"/>
          <w:numId w:val="3"/>
        </w:numPr>
      </w:pPr>
      <w:r>
        <w:t xml:space="preserve">For the conventional standardized-exception mass criterion, retain a single mass &lt;3.0 cm in radial diameter.</w:t>
      </w:r>
    </w:p>
    <w:p>
      <w:pPr>
        <w:pStyle w:val="Normal"/>
        <w:widowControl/>
        <w:numPr>
          <w:ilvl w:val="1"/>
          <w:numId w:val="3"/>
        </w:numPr>
        <w:spacing w:before="60" w:after="20"/>
      </w:pPr>
      <w:r>
        <w:t xml:space="preserve">Exactly 3.0 cm is not rounded down; obtain central measurement review.</w:t>
      </w:r>
    </w:p>
    <w:p>
      <w:pPr>
        <w:pStyle w:val="Normal"/>
        <w:widowControl/>
        <w:numPr>
          <w:ilvl w:val="1"/>
          <w:numId w:val="3"/>
        </w:numPr>
        <w:spacing w:before="60" w:after="20"/>
      </w:pPr>
      <w:r>
        <w:t xml:space="preserve">Do not activate a 3–5 cm expansion.</w:t>
      </w:r>
    </w:p>
    <w:p>
      <w:pPr>
        <w:pStyle w:val="Normal"/>
        <w:widowControl/>
        <w:numPr>
          <w:ilvl w:val="0"/>
          <w:numId w:val="3"/>
        </w:numPr>
      </w:pPr>
      <w:r>
        <w:t xml:space="preserve">Exclude any prior transperitoneal primary-tumor biopsy exposure from the initial transplanting study.</w:t>
      </w:r>
    </w:p>
    <w:p>
      <w:pPr>
        <w:pStyle w:val="Normal"/>
        <w:widowControl/>
        <w:numPr>
          <w:ilvl w:val="1"/>
          <w:numId w:val="3"/>
        </w:numPr>
        <w:spacing w:before="60" w:after="20"/>
      </w:pPr>
      <w:r>
        <w:t xml:space="preserve">Record trajectory and whether pathology was positive, negative or nondiagnostic; this is a conservative selection rule, not proof of dissemination in every exposed patient.</w:t>
      </w:r>
    </w:p>
    <w:p>
      <w:pPr>
        <w:pStyle w:val="Normal"/>
        <w:widowControl/>
        <w:numPr>
          <w:ilvl w:val="0"/>
          <w:numId w:val="3"/>
        </w:numPr>
      </w:pPr>
      <w:r>
        <w:t xml:space="preserve">Exclude previously proven malignant nodes from the initial transplant cohort even after radiographic/pathologic clearance.</w:t>
      </w:r>
    </w:p>
    <w:p>
      <w:pPr>
        <w:pStyle w:val="Normal"/>
        <w:widowControl/>
        <w:numPr>
          <w:ilvl w:val="1"/>
          <w:numId w:val="3"/>
        </w:numPr>
        <w:spacing w:before="60" w:after="20"/>
      </w:pPr>
      <w:r>
        <w:t xml:space="preserve">Nodal EUS sampling that does not traverse the primary is distinct from primary-tumor biopsy.</w:t>
      </w:r>
    </w:p>
    <w:p>
      <w:pPr>
        <w:pStyle w:val="Normal"/>
        <w:widowControl/>
        <w:numPr>
          <w:ilvl w:val="1"/>
          <w:numId w:val="3"/>
        </w:numPr>
        <w:spacing w:before="60" w:after="20"/>
      </w:pPr>
      <w:r>
        <w:t xml:space="preserve">Do not stack these adverse strata.</w:t>
      </w:r>
    </w:p>
    <w:p>
      <w:pPr>
        <w:pStyle w:val="Normal"/>
        <w:widowControl/>
        <w:numPr>
          <w:ilvl w:val="0"/>
          <w:numId w:val="3"/>
        </w:numPr>
      </w:pPr>
      <w:r>
        <w:t xml:space="preserve">Keep radial size expansion, primary-biopsy exposure and cleared-node rescue as separately recorded closed strata in the initial proposed transplanting arm.</w:t>
      </w:r>
    </w:p>
    <w:p>
      <w:pPr>
        <w:pStyle w:val="Normal"/>
        <w:widowControl/>
        <w:numPr>
          <w:ilvl w:val="0"/>
          <w:numId w:val="3"/>
        </w:numPr>
      </w:pPr>
      <w:r>
        <w:t xml:space="preserve">Distinguish EUS regional-node sampling from primary-tumor TP biopsy and preserve exact current policy terminology.</w:t>
      </w:r>
    </w:p>
    <w:p>
      <w:pPr>
        <w:pStyle w:val="Normal"/>
        <w:widowControl/>
        <w:numPr>
          <w:ilvl w:val="0"/>
          <w:numId w:val="3"/>
        </w:numPr>
      </w:pPr>
      <w:r>
        <w:t xml:space="preserve">Record the exactly-3.0-cm AASLD-versus-OPTN wording discrepancy and measurement method.</w:t>
      </w:r>
    </w:p>
    <w:p>
      <w:pPr>
        <w:pStyle w:val="Normal"/>
        <w:widowControl/>
        <w:numPr>
          <w:ilvl w:val="1"/>
          <w:numId w:val="3"/>
        </w:numPr>
        <w:spacing w:before="60" w:after="20"/>
      </w:pPr>
      <w:r>
        <w:t xml:space="preserve">Preserve the &lt;3-cm policy gate for standardized exception; the meeting must not silently convert it to ≤3 cm.</w:t>
      </w:r>
    </w:p>
    <w:p>
      <w:pPr>
        <w:pStyle w:val="Normal"/>
        <w:widowControl/>
        <w:spacing w:before="60" w:after="20"/>
      </w:pPr>
      <w:r>
        <w:rPr>
          <w:b/>
        </w:rPr>
        <w:t xml:space="preserve">Why retain or change it: </w:t>
      </w:r>
      <w:r>
        <w:t xml:space="preserve">OPEN Analyst A proposal: initial study retains a single radial mass &lt; 3.0 cm and no nodal/extrahepatic disease. Do not open a 3–5 cm arm. Keep prior primary TP-biopsy exposure outside the initial arm, recorded as positive, negative or nondiagnostic rather than called inevitably disseminated. Keep previously proven malignant nodes outside the initial arm even when imaging clears. Permit EUS sampling of suspicious regional nodes when the needle does not traverse the primary tumor. An unexpected prior biopsy triggers specialist/policy review, not an assertion that every transplant is legally prohibited.</w:t>
      </w:r>
    </w:p>
    <w:p>
      <w:pPr>
        <w:pStyle w:val="Heading3"/>
        <w:keepNext/>
        <w:widowControl/>
      </w:pPr>
      <w:r>
        <w:t xml:space="preserve">Information required before the decision</w:t>
      </w:r>
    </w:p>
    <w:p>
      <w:pPr>
        <w:pStyle w:val="Normal"/>
        <w:widowControl/>
        <w:spacing w:before="60" w:after="20"/>
      </w:pPr>
      <w:r>
        <w:t xml:space="preserve">Original MRI/MRCP or CT with perpendicular radial measurement; full biopsy reports/needle trajectory; node station and original pathology; operative staging plan; resection assessment. Record whether EUS sampled a regional node or traversed the primary mass, the route, pathology result and date. These are not equivalent exposures.</w:t>
      </w:r>
    </w:p>
    <w:p>
      <w:pPr>
        <w:pStyle w:val="Normal"/>
        <w:widowControl/>
        <w:spacing w:before="60" w:after="20"/>
      </w:pPr>
      <w:r>
        <w:rPr>
          <w:b/>
        </w:rPr>
        <w:t xml:space="preserve">Clinical versus allocation: </w:t>
      </w:r>
      <w:r>
        <w:t xml:space="preserve">Clinical review, standardized exception eligibility and research expansion are separate. A favorable response or living donor does not erase the original size/biopsy/node history.</w:t>
      </w:r>
    </w:p>
    <w:p>
      <w:pPr>
        <w:pStyle w:val="Normal"/>
        <w:widowControl/>
        <w:spacing w:before="60" w:after="20"/>
      </w:pPr>
      <w:r>
        <w:rPr>
          <w:b/>
        </w:rPr>
        <w:t xml:space="preserve">Roadmap / protocol reconciliation: </w:t>
      </w:r>
      <w:r>
        <w:t xml:space="preserve">Preserve the pCCA roadmap’s early transplant consultation and primary-biopsy protection. Reconcile the roadmap’s stale summary that calls pCCA nonstandardized: Policy 9.5.A provides a standardized pathway for qualifying cases.</w:t>
      </w:r>
    </w:p>
    <w:p>
      <w:pPr>
        <w:pStyle w:val="Normal"/>
        <w:widowControl/>
        <w:spacing w:before="60" w:after="20"/>
      </w:pPr>
      <w:hyperlink r:id="rId48">
        <w:r>
          <w:rPr>
            <w:color w:val="77230C"/>
            <w:sz w:val="20"/>
            <w:u w:val="single"/>
          </w:rPr>
          <w:t>Meeting record: pCCA-B1</w:t>
        </w:r>
      </w:hyperlink>
      <w:r>
        <w:t xml:space="preserve">  |  </w:t>
      </w:r>
      <w:hyperlink r:id="rId4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2" w:name="pCCA_B2"/>
      <w:r>
        <w:t xml:space="preserve">pCCA-B2 — When is resection a genuine competing curative option?</w:t>
      </w:r>
      <w:bookmarkEnd w:id="2"/>
    </w:p>
    <w:p>
      <w:pPr>
        <w:pStyle w:val="Heading3"/>
        <w:keepNext/>
        <w:widowControl/>
      </w:pPr>
      <w:r>
        <w:t xml:space="preserve">Question and comparison</w:t>
      </w:r>
    </w:p>
    <w:p>
      <w:pPr>
        <w:pStyle w:val="Normal"/>
        <w:widowControl/>
        <w:spacing w:before="60" w:after="20"/>
      </w:pPr>
      <w:r>
        <w:t xml:space="preserve">For de-novo pCCA potentially amenable to R 0 resection, does LT improve net outcomes enough to replace optimized resection, and how should marginal FLR or reconstructible vascular involvement affect the route?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Mi0zXTwvRGlzcGxheVRleHQ+PHJlY29yZD48cmVjLW51bWJlcj4zPC9yZWMtbnVtYmVyPjxmb3JlaWduLWtleXM+PGtleSBhcHA9IkVOIiBkYi1pZD0iNDkzYzc4MTQtZDEzOS01OTM3LWI2ZTgtOTQ0ZWUwMTE1YmY0IiB0aW1lc3RhbXA9IjE3OTI5MjEw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Single-center 1993–2023 de-novo pCCA; 288 intended resection (207 resected, 81 dropout) and 127 intended NAT/LT(75 LT, 52 dropout).</w:t>
            </w:r>
          </w:p>
          <w:p>
            <w:pPr>
              <w:pStyle w:val="Normal"/>
              <w:widowControl/>
              <w:spacing w:before="60" w:after="20"/>
            </w:pPr>
            <w:hyperlink r:id="rId50">
              <w:r>
                <w:rPr>
                  <w:color w:val="77230C"/>
                  <w:sz w:val="20"/>
                  <w:u w:val="single"/>
                </w:rPr>
                <w:t>Primary source</w:t>
              </w:r>
            </w:hyperlink>
            <w:r>
              <w:t xml:space="preserve"> | </w:t>
            </w:r>
            <w:hyperlink r:id="rId51">
              <w:r>
                <w:rPr>
                  <w:color w:val="77230C"/>
                  <w:sz w:val="20"/>
                  <w:u w:val="single"/>
                </w:rPr>
                <w:t>Full-text PDF</w:t>
              </w:r>
            </w:hyperlink>
          </w:p>
          <w:p>
            <w:pPr>
              <w:pStyle w:val="Normal"/>
              <w:widowControl/>
              <w:spacing w:before="60" w:after="20"/>
            </w:pPr>
            <w:r>
              <w:t xml:space="preserve">Locator: Hepatology 2026; 1128–1140; Methods Statistics, Figure 1 and OS/ITT analyses; PDFpp 3–8.</w:t>
            </w:r>
          </w:p>
          <w:p>
            <w:pPr>
              <w:pStyle w:val="Normal"/>
              <w:widowControl/>
              <w:spacing w:before="60" w:after="20"/>
            </w:pPr>
            <w:r>
              <w:t xml:space="preserve">Review depth: Complete publisher PDF reviewed, including institutional protocols and intention-to-treat comparison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As-treated median OS: LT 78 months, resection without vascular resection 58.2, with vascular resection 25.8; 5-year 58.6%, 49.6%, 26.7%. ITT median OS 38.5 months LT versus 31.7 resection (p=.19).</w:t>
            </w:r>
          </w:p>
          <w:p>
            <w:pPr>
              <w:pStyle w:val="Normal"/>
              <w:widowControl/>
              <w:spacing w:before="60" w:after="20"/>
            </w:pPr>
            <w:r>
              <w:rPr>
                <w:b/>
              </w:rPr>
              <w:t xml:space="preserve">Do not infer: </w:t>
            </w:r>
            <w:r>
              <w:t xml:space="preserve">Not equivalence and not proof resection is superior. Historical era, selection and dropout differ. Methods measure LT time from NAT enrollment but resection time from surgery, so even ITT clocks are not perfectly aligned; as-treated LT percentages must not be called purely post-LT.</w:t>
            </w:r>
          </w:p>
        </w:tc>
      </w:tr>
      <w:tr>
        <w:trPr/>
        <w:tc>
          <w:tcPr>
            <w:tcW w:w="3400" w:type="dxa"/>
            <w:tcMar>
              <w:top w:w="90" w:type="dxa"/>
              <w:left w:w="90" w:type="dxa"/>
              <w:bottom w:w="90" w:type="dxa"/>
              <w:right w:w="90" w:type="dxa"/>
            </w:tcMar>
          </w:tcPr>
          <w:p>
            <w:pPr>
              <w:pStyle w:val="Normal"/>
              <w:widowControl/>
              <w:spacing w:before="60" w:after="20"/>
            </w:pPr>
            <w:r>
              <w:rPr>
                <w:b/>
              </w:rPr>
              <w:t xml:space="preserve">Ethun 2018</w:t>
            </w:r>
            <w:r>
              <w:t xml:space="preserve"> </w:t>
            </w:r>
            <w:r>
              <w:t xml:space="preserve"> </w:t>
            </w:r>
            <w:r>
              <w:fldChar w:fldCharType="begin"/>
            </w:r>
            <w:r>
              <w:instrText xml:space="preserve"> ADDIN EN.CITE </w:instrText>
            </w:r>
            <w:r>
              <w:fldChar w:fldCharType="begin">
                <w:fldData>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p>
          <w:p>
            <w:pPr>
              <w:pStyle w:val="Normal"/>
              <w:widowControl/>
              <w:spacing w:before="60" w:after="20"/>
            </w:pPr>
            <w:r>
              <w:t xml:space="preserve">Multicenter resection (2000–2015) and LT (2005–2016) experience: 234 attempted/191 R0–R1 resections; 70 LT-protocol entrants, 46 completed LT, 41 confirmed-cancer recipients; 66 in ITT after four missing entry dates.</w:t>
            </w:r>
          </w:p>
          <w:p>
            <w:pPr>
              <w:pStyle w:val="Normal"/>
              <w:widowControl/>
              <w:spacing w:before="60" w:after="20"/>
            </w:pPr>
            <w:hyperlink r:id="rId52">
              <w:r>
                <w:rPr>
                  <w:color w:val="77230C"/>
                  <w:sz w:val="20"/>
                  <w:u w:val="single"/>
                </w:rPr>
                <w:t>Primary source</w:t>
              </w:r>
            </w:hyperlink>
            <w:r>
              <w:t xml:space="preserve"> | </w:t>
            </w:r>
            <w:hyperlink r:id="rId53">
              <w:r>
                <w:rPr>
                  <w:color w:val="77230C"/>
                  <w:sz w:val="20"/>
                  <w:u w:val="single"/>
                </w:rPr>
                <w:t>Full-text PDF</w:t>
              </w:r>
            </w:hyperlink>
          </w:p>
          <w:p>
            <w:pPr>
              <w:pStyle w:val="Normal"/>
              <w:widowControl/>
              <w:spacing w:before="60" w:after="20"/>
            </w:pPr>
            <w:r>
              <w:t xml:space="preserve">Locator: Complete PDF pp 2–7, Methods, Table 1, flow and survival/ITT figures; Ann Surg 2018; 267:797–805.</w:t>
            </w:r>
          </w:p>
          <w:p>
            <w:pPr>
              <w:pStyle w:val="Normal"/>
              <w:widowControl/>
              <w:spacing w:before="60" w:after="20"/>
            </w:pPr>
            <w:r>
              <w:t xml:space="preserve">Review depth: Complete original Ann Surg 2018; 267:797–805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Recipient three-/five-year OS: 72%/64% LT versus 33%/18% resection. Non-PSC, &lt;3-cm, N0 recipient comparison: five-year OS 54% versus 29%, p=.03. Restricted ITT, 35 LT-protocol versus 57 attempted resections: one-/three-/five-year OS 82%/46%/41% versus 72%/45%/27%, p=.049. Overall ITT, 66 versus 234: five-year OS 53% versus 17%.</w:t>
            </w:r>
          </w:p>
          <w:p>
            <w:pPr>
              <w:pStyle w:val="Normal"/>
              <w:widowControl/>
              <w:spacing w:before="60" w:after="20"/>
            </w:pPr>
            <w:r>
              <w:rPr>
                <w:b/>
              </w:rPr>
              <w:t xml:space="preserve">Do not infer: </w:t>
            </w:r>
            <w:r>
              <w:t xml:space="preserve">No multivariable adjustment; postoperative resection subgroups, clinical LT selection, unmatched entry clocks, era and treatment confounding. This is LT-favorable observational evidence, not proof of superiority over optimized R0 resection; compare explicitly with Dong.</w:t>
            </w:r>
          </w:p>
        </w:tc>
      </w:tr>
      <w:tr>
        <w:trPr/>
        <w:tc>
          <w:tcPr>
            <w:tcW w:w="3400" w:type="dxa"/>
            <w:tcMar>
              <w:top w:w="90" w:type="dxa"/>
              <w:left w:w="90" w:type="dxa"/>
              <w:bottom w:w="90" w:type="dxa"/>
              <w:right w:w="90" w:type="dxa"/>
            </w:tcMar>
          </w:tcPr>
          <w:p>
            <w:pPr>
              <w:pStyle w:val="Normal"/>
              <w:widowControl/>
              <w:spacing w:before="60" w:after="20"/>
            </w:pPr>
            <w:r>
              <w:rPr>
                <w:b/>
              </w:rPr>
              <w:t xml:space="preserve">Vugts 2021</w:t>
            </w:r>
            <w:r>
              <w:t xml:space="preserve"> </w:t>
            </w:r>
            <w:r>
              <w:t xml:space="preserve"> </w:t>
            </w:r>
            <w:r>
              <w:fldChar w:fldCharType="begin"/>
            </w:r>
            <w:r>
              <w:instrText xml:space="preserve"> ADDIN EN.CITE </w:instrText>
            </w:r>
            <w:r>
              <w:fldChar w:fldCharType="begin">
                <w:fldData>PEVuZE5vdGU+PENpdGU+PEF1dGhvcj5WdWd0czwvQXV0aG9yPjxZZWFyPjIwMjE8L1llYXI+PFJlY051bT4xMzwvUmVjTnVtPjxEaXNwbGF5VGV4dD5bVjEyLTEzXTwvRGlzcGxheVRleHQ+PHJlY29yZD48cmVjLW51bWJlcj4xMzwvcmVjLW51bWJlcj48Zm9yZWlnbi1rZXlzPjxrZXkgYXBwPSJFTiIgZGItaWQ9IjQ5M2M3ODE0LWQxMzktNTkzNy1iNmU4LTk0NGVlMDExNWJmNCIgdGltZXN0YW1wPSIxNzkyOTIxMD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NvbXBsZXRlIG9yaWdpbmFsIEFubiBTdXJnIE9uY29sIDIwMjE7IDI4OjE0ODMmIzgyMTE7MTQ5MiBhcnRpY2xlLCB3aXRoIGNvcnJlY3Rpb24gaW5mb3JtYXRpb24gaW4gdGhlIHNvdXJjZSByZWNvcmQuIEJ5dGUtaWRlbnRpY2FsIHRvIHRoZSBhbHJlYWR5IHZlcmlmaWVkIFY3IFBERjsgcmVyZWFkIGluIGZ1bGwuIFY4IGV4dHJhY3Rpb24gYW5kIGxpbWl0YXRpb25zOiBzb3VyY2UvYmlsaWFyeV9mdWxsdGV4dF9yZXZpZXcuanNvbjwvbm90ZXM+PHVybHM+PHJlbGF0ZWQtdXJscz48dXJsPmh0dHBzOi8vbGluay5zcHJpbmdlci5jb20vYXJ0aWNsZS8xMC4xMjQ1L3MxMDQzNC0wMjAtMDkwMDEtOD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r>
              <w:t xml:space="preserve">732 consecutive Dutch pCCA presentations, 2002–2014; 154 underwent resection. Retrospective Mayo screening identified 34 potentially eligible (5%); 335 excluded for suspected/confirmed nodal or distant disease and 50 solely for age &gt;70. Two of the 34 actually received LT.</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Complete PDF, Methods/statistical analysis, Results and survival; Ann Surg Oncol 2021; 28:1483–1492.</w:t>
            </w:r>
          </w:p>
          <w:p>
            <w:pPr>
              <w:pStyle w:val="Normal"/>
              <w:widowControl/>
              <w:spacing w:before="60" w:after="20"/>
            </w:pPr>
            <w:r>
              <w:t xml:space="preserve">Review depth: Complete original Ann Surg Oncol 2021; 28:1483–1492 article, with correction information in the source record. Byte-identical to the already verified V7 PDF;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Potentially eligible cohort median OS 13 months (95% CI 3–23) from first presentation at the tertiary center; one-/three-/five-year OS 56%/18%/11%.</w:t>
            </w:r>
          </w:p>
          <w:p>
            <w:pPr>
              <w:pStyle w:val="Normal"/>
              <w:widowControl/>
              <w:spacing w:before="60" w:after="20"/>
            </w:pPr>
            <w:r>
              <w:rPr>
                <w:b/>
              </w:rPr>
              <w:t xml:space="preserve">Do not infer: </w:t>
            </w:r>
            <w:r>
              <w:t xml:space="preserve">No matched modern comparator, incompletely reconstructible infection/staging criteria and no prospective NAT-tolerance assessment. Shows unmet need, not LT efficacy or superiority over R0 resection.</w:t>
            </w:r>
          </w:p>
        </w:tc>
      </w:tr>
      <w:tr>
        <w:trPr/>
        <w:tc>
          <w:tcPr>
            <w:tcW w:w="3400" w:type="dxa"/>
            <w:tcMar>
              <w:top w:w="90" w:type="dxa"/>
              <w:left w:w="90" w:type="dxa"/>
              <w:bottom w:w="90" w:type="dxa"/>
              <w:right w:w="90" w:type="dxa"/>
            </w:tcMar>
          </w:tcPr>
          <w:p>
            <w:pPr>
              <w:pStyle w:val="Normal"/>
              <w:widowControl/>
              <w:spacing w:before="60" w:after="20"/>
            </w:pPr>
            <w:r>
              <w:rPr>
                <w:b/>
              </w:rPr>
              <w:t xml:space="preserve">Olthof 2020</w:t>
            </w:r>
            <w:r>
              <w:t xml:space="preserve"> </w:t>
            </w:r>
            <w:r>
              <w:t xml:space="preserve"> </w:t>
            </w:r>
            <w:r>
              <w:fldChar w:fldCharType="begin"/>
            </w:r>
            <w:r>
              <w:instrText xml:space="preserve"> ADDIN EN.CITE </w:instrText>
            </w:r>
            <w:r>
              <w:fldChar w:fldCharType="begin">
                <w:fldData>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20-center retrospective dataset: 1667 records, 1484 combined hepatic/biliary resections after exclusion of 37 unresectable cases, 140 bile-duct-only resections and six LT. 298 PVE/1186 no PVE; complete volumetry in 510 (151/359), with propensity matching of 98 PVE and 98 controls.</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Complete PDF, matched cohort/Table 3 and Discussion; Ann Surg Oncol 2020; 27:2311–2318.</w:t>
            </w:r>
          </w:p>
          <w:p>
            <w:pPr>
              <w:pStyle w:val="Normal"/>
              <w:widowControl/>
              <w:spacing w:before="60" w:after="20"/>
            </w:pPr>
            <w:r>
              <w:t xml:space="preserve">Review depth: Complete original Ann Surg Oncol 2020; 27:2311–2318 article; byte-identical to the V7 PDF and reread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Among 98 matched pairs, PVE versus no PVE: ISGLS B/C liver failure 8/98 versus 35/98, 90-day mortality 7/98 versus 18/98, and bile leak 10/98 versus 34/98. Median relative FLR-volume growth was 42% after 22 days, distinct from approximately seven-percentage-point FLR-share growth. Major morbidity, 51% versus 54%, did not differ.</w:t>
            </w:r>
          </w:p>
          <w:p>
            <w:pPr>
              <w:pStyle w:val="Normal"/>
              <w:widowControl/>
              <w:spacing w:before="60" w:after="20"/>
            </w:pPr>
            <w:r>
              <w:rPr>
                <w:b/>
              </w:rPr>
              <w:t xml:space="preserve">Do not infer: </w:t>
            </w:r>
            <w:r>
              <w:t xml:space="preserve">Only operated patients and complete-data matching; the denominator failing to reach resection after PVE is unavailable. No validated universal FLR cutoff or mandatory day-22 clearance; assess function, cholestasis and infection.</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pStyle w:val="Normal"/>
              <w:widowControl/>
              <w:spacing w:before="60" w:after="20"/>
            </w:pPr>
            <w:r>
              <w:t xml:space="preserve">287 NAT/LT entrants across 12 US centers; 214 transplanted.</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Gastroenterology 2012; Results and survival figures;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5-year pathway-entry OS 53% and post-LT RFS 65% are useful feasibility benchmarks, but answer a different question from randomized LT-versus-resection benefit.</w:t>
            </w:r>
          </w:p>
          <w:p>
            <w:pPr>
              <w:pStyle w:val="Normal"/>
              <w:widowControl/>
              <w:spacing w:before="60" w:after="20"/>
            </w:pPr>
            <w:r>
              <w:rPr>
                <w:b/>
              </w:rPr>
              <w:t xml:space="preserve">Do not infer: </w:t>
            </w:r>
            <w:r>
              <w:t xml:space="preserve">Substantial overlap with Mayo comparisons; do not count as an independent comparative test.</w:t>
            </w:r>
          </w:p>
        </w:tc>
      </w:tr>
      <w:tr>
        <w:trPr/>
        <w:tc>
          <w:tcPr>
            <w:tcW w:w="3400" w:type="dxa"/>
            <w:tcMar>
              <w:top w:w="90" w:type="dxa"/>
              <w:left w:w="90" w:type="dxa"/>
              <w:bottom w:w="90" w:type="dxa"/>
              <w:right w:w="90" w:type="dxa"/>
            </w:tcMar>
          </w:tcPr>
          <w:p>
            <w:pPr>
              <w:pStyle w:val="Normal"/>
              <w:widowControl/>
              <w:spacing w:before="60" w:after="20"/>
            </w:pPr>
            <w:r>
              <w:rPr>
                <w:b/>
              </w:rPr>
              <w:t xml:space="preserve">Tan 2020</w:t>
            </w:r>
            <w:r>
              <w:t xml:space="preserve"> </w:t>
            </w:r>
            <w:r>
              <w:t xml:space="preserve"> </w:t>
            </w:r>
            <w:r>
              <w:fldChar w:fldCharType="begin"/>
            </w:r>
            <w:r>
              <w:instrText xml:space="preserve"> ADDIN EN.CITE </w:instrText>
            </w:r>
            <w:r>
              <w:fldChar w:fldCharType="begin">
                <w:fldData>PEVuZE5vdGU+PENpdGU+PEF1dGhvcj5UYW48L0F1dGhvcj48WWVhcj4yMDIwPC9ZZWFyPjxSZWNOdW0+MTU8L1JlY051bT48RGlzcGxheVRleHQ+W1YxMi0xNV08L0Rpc3BsYXlUZXh0PjxyZWNvcmQ+PHJlYy1udW1iZXI+MTU8L3JlYy1udW1iZXI+PGZvcmVpZ24ta2V5cz48a2V5IGFwcD0iRU4iIGRiLWlkPSI0OTNjNzgxNC1kMTM5LTU5MzctYjZlOC05NDRlZTAxMTViZjQiIHRpbWVzdGFtcD0iMTc5MjkyMTA4NCI+MTU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p>
          <w:p>
            <w:pPr>
              <w:pStyle w:val="Normal"/>
              <w:widowControl/>
              <w:spacing w:before="60" w:after="20"/>
            </w:pPr>
            <w:r>
              <w:t xml:space="preserve">Narrative Mayo expert review with an updated 349-entry/211-LT program experience from 1993–2018; extensive overlap with prior Mayo reports, not an independent validation cohort.</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PDF pp 1–2 historical/updated outcomes; pp 2–3 eligibility and NAT; pp 3–5 operative staging, transplant and complications; pp 5–6 resection comparison.</w:t>
            </w:r>
          </w:p>
          <w:p>
            <w:pPr>
              <w:pStyle w:val="Normal"/>
              <w:widowControl/>
              <w:spacing w:before="60" w:after="20"/>
            </w:pPr>
            <w:r>
              <w:t xml:space="preserve">Review depth: Complete eight-page PDF read: seven-page main review plus copyright page. No separate supplementary material claimed.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Reported ITT one-/five-/ten-year survival was 80%/51%/46%; corresponding recipient survival was 91%/69%/62%. PSC and de novo outcomes differ substantially and should not be pooled without context.; Selection requires a malignant-appearing stricture plus a specified diagnostic feature; the radial mass limit is &lt;3 cm. Longitudinal duct extent and vascular encasement are not equivalent to metastatic disease or tumor thrombus.; The review describes 45-Gy EBRT followed by a 9.3–16-Gy intraluminal brachytherapy boost, with alternatives where brachytherapy cannot be delivered. These technical prescriptions are not interchangeable with a generic 20–30-Gy range without radiation-oncology plan review.; Operative staging includes regional nodes and abdominal exploration; it may occur near DDLT or the day before LDLT. Recipient staging and donor-operation sequencing need a written safety workflow.; Reported late arterial and portal-venous complication risks justify transplant vascular planning and surveillance. Aortic conduits, indefinite aspirin and anticoagulation described by one center are not automatically universal orders.; The review explicitly notes that observational LT/resection comparisons do not resolve the best treatment for resectable de novo pCCA.</w:t>
            </w:r>
          </w:p>
          <w:p>
            <w:pPr>
              <w:pStyle w:val="Normal"/>
              <w:widowControl/>
              <w:spacing w:before="60" w:after="20"/>
            </w:pPr>
            <w:r>
              <w:rPr>
                <w:b/>
              </w:rPr>
              <w:t xml:space="preserve">Do not infer: </w:t>
            </w:r>
            <w:r>
              <w:t xml:space="preserve">Expert narrative, overlapping center data, treatment-era and selection effects, no randomized comparison of NAT, vascular reconstruction, anticoagulation or surveillance schedules. Time origin: ITT survival begins at program entry; recipient survival begins at LT. These are reported separately.</w:t>
            </w:r>
          </w:p>
        </w:tc>
      </w:tr>
    </w:tbl>
    <w:p>
      <w:pPr>
        <w:pStyle w:val="Heading3"/>
        <w:keepNext/>
        <w:widowControl/>
      </w:pPr>
      <w:r>
        <w:t xml:space="preserve">Synthesis and evidence that challenges the proposal</w:t>
      </w:r>
    </w:p>
    <w:p>
      <w:pPr>
        <w:pStyle w:val="Normal"/>
        <w:widowControl/>
        <w:spacing w:before="60" w:after="20"/>
      </w:pPr>
      <w:r>
        <w:t xml:space="preserve">Ethun favors LT after restricted UNADJUSTED ITT analysis, but used different entry clocks and selected postoperative resection strata. Dong's ITT comparison is less favorable to a transplant advantage. Neither resolves LT versus feasible optimized R0 resection. PVE can materially alter operative feasibility; FLR percentage or vessel involvement alone is not a transplant gate.</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Mi0zXTwvRGlzcGxheVRleHQ+PHJlY29yZD48cmVjLW51bWJlcj4zPC9yZWMtbnVtYmVyPjxmb3JlaWduLWtleXM+PGtleSBhcHA9IkVOIiBkYi1pZD0iNDkzYzc4MTQtZDEzOS01OTM3LWI2ZTgtOTQ0ZWUwMTE1YmY0IiB0aW1lc3RhbXA9IjE3OTI5MjEw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WdWd0czwvQXV0aG9yPjxZZWFyPjIwMjE8L1llYXI+PFJlY051bT4xMzwvUmVjTnVtPjxEaXNwbGF5VGV4dD5bVjEyLTEzXTwvRGlzcGxheVRleHQ+PHJlY29yZD48cmVjLW51bWJlcj4xMzwvcmVjLW51bWJlcj48Zm9yZWlnbi1rZXlzPjxrZXkgYXBwPSJFTiIgZGItaWQ9IjQ5M2M3ODE0LWQxMzktNTkzNy1iNmU4LTk0NGVlMDExNWJmNCIgdGltZXN0YW1wPSIxNzkyOTIxMD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NvbXBsZXRlIG9yaWdpbmFsIEFubiBTdXJnIE9uY29sIDIwMjE7IDI4OjE0ODMmIzgyMTE7MTQ5MiBhcnRpY2xlLCB3aXRoIGNvcnJlY3Rpb24gaW5mb3JtYXRpb24gaW4gdGhlIHNvdXJjZSByZWNvcmQuIEJ5dGUtaWRlbnRpY2FsIHRvIHRoZSBhbHJlYWR5IHZlcmlmaWVkIFY3IFBERjsgcmVyZWFkIGluIGZ1bGwuIFY4IGV4dHJhY3Rpb24gYW5kIGxpbWl0YXRpb25zOiBzb3VyY2UvYmlsaWFyeV9mdWxsdGV4dF9yZXZpZXcuanNvbjwvbm90ZXM+PHVybHM+PHJlbGF0ZWQtdXJscz48dXJsPmh0dHBzOi8vbGluay5zcHJpbmdlci5jb20vYXJ0aWNsZS8xMC4xMjQ1L3MxMDQzNC0wMjAtMDkwMDEtOD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UYW48L0F1dGhvcj48WWVhcj4yMDIwPC9ZZWFyPjxSZWNOdW0+MTU8L1JlY051bT48RGlzcGxheVRleHQ+W1YxMi0xNV08L0Rpc3BsYXlUZXh0PjxyZWNvcmQ+PHJlYy1udW1iZXI+MTU8L3JlYy1udW1iZXI+PGZvcmVpZ24ta2V5cz48a2V5IGFwcD0iRU4iIGRiLWlkPSI0OTNjNzgxNC1kMTM5LTU5MzctYjZlOC05NDRlZTAxMTViZjQiIHRpbWVzdGFtcD0iMTc5MjkyMTA4NCI+MTU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p>
    <w:p>
      <w:pPr>
        <w:pStyle w:val="Normal"/>
        <w:widowControl/>
        <w:numPr>
          <w:ilvl w:val="0"/>
          <w:numId w:val="3"/>
        </w:numPr>
        <w:spacing w:before="60" w:after="20"/>
      </w:pPr>
      <w:r>
        <w:t xml:space="preserve">Do not cite Dong's nonsignificant ITT p-value as equivalence or proof that resection must always be better. Conversely, recipient-only LT survival cannot erase donor opportunity cost, NAT dropout and wait-list hazards. Reconstructible vascular involvement or a correctable small FLR alone is not proof of permanent unresectability.</w:t>
      </w:r>
    </w:p>
    <w:p>
      <w:pPr>
        <w:pStyle w:val="Normal"/>
        <w:widowControl/>
        <w:spacing w:before="60" w:after="20"/>
      </w:pPr>
      <w:r>
        <w:rPr>
          <w:b/>
        </w:rPr>
        <w:t xml:space="preserve">Certainty / applicability: </w:t>
      </w:r>
      <w:r>
        <w:t xml:space="preserve">Low comparative certainty; stronger but still nonrandomized evidence for FLR optimization before declaring resection unsafe.</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standardized pCCA exception requires unresectability or underlying liver disease. STUDY: PVE growth was assessed at median 22 days in the matched study; comparisons remain observational. GUIDANCE: CIRSE supports higher remnant targets in cholestatic/cirrhotic liver. LOCAL: &gt;40% planning target, reassessment 2–4 weeks and required expert review are workflow proposals; inadequate function/infection can prevent surgery despite adequate volume.</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Dong 2026 · resection versus LT</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Mi0zXTwvRGlzcGxheVRleHQ+PHJlY29yZD48cmVjLW51bWJlcj4zPC9yZWMtbnVtYmVyPjxmb3JlaWduLWtleXM+PGtleSBhcHA9IkVOIiBkYi1pZD0iNDkzYzc4MTQtZDEzOS01OTM3LWI2ZTgtOTQ0ZWUwMTE1YmY0IiB0aW1lc3RhbXA9IjE3OTI5MjEw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“If the future liver remnant was insufficient, preoperative portal vein embolization was conducted to enhance hepatic reserve.”</w:t>
            </w:r>
          </w:p>
          <w:p>
            <w:pPr>
              <w:pStyle w:val="Normal"/>
              <w:widowControl/>
              <w:spacing w:before="60" w:after="20"/>
            </w:pPr>
            <w:r>
              <w:t xml:space="preserve">Published PDF p3 / journal p1130, institutional protocols</w:t>
            </w:r>
          </w:p>
          <w:p>
            <w:pPr>
              <w:pStyle w:val="Normal"/>
              <w:widowControl/>
              <w:spacing w:before="60" w:after="20"/>
            </w:pPr>
            <w:hyperlink r:id="rId62">
              <w:r>
                <w:rPr>
                  <w:color w:val="77230C"/>
                  <w:sz w:val="20"/>
                  <w:u w:val="single"/>
                </w:rPr>
                <w:t>Source</w:t>
              </w:r>
            </w:hyperlink>
            <w:r>
              <w:t xml:space="preserve"> | </w:t>
            </w:r>
            <w:hyperlink r:id="rId6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Resection optimization is part of the comparator, not a failure of transplant selection.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Bilhim 2024</w:t>
            </w:r>
            <w:r>
              <w:t xml:space="preserve"> </w:t>
            </w:r>
            <w:r>
              <w:t xml:space="preserve"> </w:t>
            </w:r>
            <w:r>
              <w:fldChar w:fldCharType="begin"/>
            </w:r>
            <w:r>
              <w:instrText xml:space="preserve"> ADDIN EN.CITE </w:instrText>
            </w:r>
            <w:r>
              <w:fldChar w:fldCharType="begin">
                <w:fldData>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</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r>
              <w:t xml:space="preserve">“&gt;40% for cirrhotic or cholestatic livers”</w:t>
            </w:r>
          </w:p>
          <w:p>
            <w:pPr>
              <w:pStyle w:val="Normal"/>
              <w:widowControl/>
              <w:spacing w:before="60" w:after="20"/>
            </w:pPr>
            <w:r>
              <w:t xml:space="preserve">CIRSE 2024, Table 2; spacing normalized</w:t>
            </w:r>
          </w:p>
          <w:p>
            <w:pPr>
              <w:pStyle w:val="Normal"/>
              <w:widowControl/>
              <w:spacing w:before="60" w:after="20"/>
            </w:pPr>
            <w:hyperlink r:id="rId64">
              <w:r>
                <w:rPr>
                  <w:color w:val="77230C"/>
                  <w:sz w:val="20"/>
                  <w:u w:val="single"/>
                </w:rPr>
                <w:t>Source</w:t>
              </w:r>
            </w:hyperlink>
            <w:r>
              <w:t xml:space="preserve"> | </w:t>
            </w:r>
            <w:hyperlink r:id="rId6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Specialist practice guidance supporting a planning target, not a guaranteed safety threshold.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resection first when an R0 operation and an adequate functional remnant are feasible.</w:t>
      </w:r>
      <w:r>
        <w:t xml:space="preserve"> </w:t>
      </w:r>
      <w:r>
        <w:t xml:space="preserve"> </w:t>
      </w:r>
      <w:r>
        <w:fldChar w:fldCharType="begin"/>
      </w:r>
      <w:r>
        <w:instrText xml:space="preserve"> ADDIN EN.CITE </w:instrText>
      </w:r>
      <w:r>
        <w:fldChar w:fldCharType="begin">
          <w:fldData>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</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</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p>
    <w:p>
      <w:pPr>
        <w:pStyle w:val="Normal"/>
        <w:widowControl/>
        <w:numPr>
          <w:ilvl w:val="0"/>
          <w:numId w:val="3"/>
        </w:numPr>
      </w:pPr>
      <w:r>
        <w:t xml:space="preserve">Proposed planning target for cholestatic/cirrhotic liver: FLR/TLV &gt;40%, combined with function, drainage and infection assessment.</w:t>
      </w:r>
    </w:p>
    <w:p>
      <w:pPr>
        <w:pStyle w:val="Normal"/>
        <w:widowControl/>
        <w:numPr>
          <w:ilvl w:val="1"/>
          <w:numId w:val="3"/>
        </w:numPr>
        <w:spacing w:before="60" w:after="20"/>
      </w:pPr>
      <w:r>
        <w:t xml:space="preserve">Volume alone never establishes operative safety; 40% is not an OPTN requirement.</w:t>
      </w:r>
    </w:p>
    <w:p>
      <w:pPr>
        <w:pStyle w:val="Normal"/>
        <w:widowControl/>
        <w:numPr>
          <w:ilvl w:val="0"/>
          <w:numId w:val="3"/>
        </w:numPr>
      </w:pPr>
      <w:r>
        <w:t xml:space="preserve">If insufficient remnant is the only barrier, assess selective drainage and augmentation/PVE; reassess remnant volume and function about 2–4 weeks after PVE.</w:t>
      </w:r>
    </w:p>
    <w:p>
      <w:pPr>
        <w:pStyle w:val="Normal"/>
        <w:widowControl/>
        <w:numPr>
          <w:ilvl w:val="1"/>
          <w:numId w:val="3"/>
        </w:numPr>
        <w:spacing w:before="60" w:after="20"/>
      </w:pPr>
      <w:r>
        <w:t xml:space="preserve">Vascular reconstruction or PVE need alone does not prove unresectability.</w:t>
      </w:r>
    </w:p>
    <w:p>
      <w:pPr>
        <w:pStyle w:val="Normal"/>
        <w:widowControl/>
        <w:numPr>
          <w:ilvl w:val="0"/>
          <w:numId w:val="3"/>
        </w:numPr>
      </w:pPr>
      <w:r>
        <w:t xml:space="preserve">Return to LT eligibility review only if an R0 resection remains infeasible or unsafe after reasonable optimization.</w:t>
      </w:r>
    </w:p>
    <w:p>
      <w:pPr>
        <w:pStyle w:val="Normal"/>
        <w:widowControl/>
        <w:numPr>
          <w:ilvl w:val="1"/>
          <w:numId w:val="3"/>
        </w:numPr>
        <w:spacing w:before="60" w:after="20"/>
      </w:pPr>
      <w:r>
        <w:t xml:space="preserve">Do not transplant otherwise resectable de novo pCCA outside a specifically approved comparative study.</w:t>
      </w:r>
    </w:p>
    <w:p>
      <w:pPr>
        <w:pStyle w:val="Normal"/>
        <w:widowControl/>
        <w:numPr>
          <w:ilvl w:val="0"/>
          <w:numId w:val="3"/>
        </w:numPr>
      </w:pPr>
      <w:r>
        <w:t xml:space="preserve">Keep R0/functional-FLR/reconstruction/PVE review before persistent-unresectability assignment.</w:t>
      </w:r>
    </w:p>
    <w:p>
      <w:pPr>
        <w:pStyle w:val="Normal"/>
        <w:widowControl/>
        <w:numPr>
          <w:ilvl w:val="0"/>
          <w:numId w:val="3"/>
        </w:numPr>
      </w:pPr>
      <w:r>
        <w:t xml:space="preserve">A &gt;40% cholestatic/cirrhotic FLR planning target and two- to four-week reassessment are not universal clearance thresholds or OPTN criteria.</w:t>
      </w:r>
    </w:p>
    <w:p>
      <w:pPr>
        <w:pStyle w:val="Normal"/>
        <w:widowControl/>
        <w:spacing w:before="60" w:after="20"/>
      </w:pPr>
      <w:r>
        <w:rPr>
          <w:b/>
        </w:rPr>
        <w:t xml:space="preserve">Why retain or change it: </w:t>
      </w:r>
      <w:r>
        <w:t xml:space="preserve">OPEN: resection remains the default when an expert HPB review judges R 0 achievable with adequate functional remnant. Obtain contrast liver imaging/MRCP, vascular reconstruction plan, volumetry, bilirubin/cholangitis status and functional assessment when volumetry is marginal. For cholestatic/cirrhotic livers aim for FLR&gt;40% as a planning target, not automatic clearance. Drain the intended remnant as clinically indicated, control infection and consider PVE; repeat volumetric/functional assessment around 2–4 weeks and document growth. LT referral is appropriate for persistent technical/functional unresectability. Resectable de-novo pCCA belongs in a prospective comparative protocol, not routine substitution.</w:t>
      </w:r>
    </w:p>
    <w:p>
      <w:pPr>
        <w:pStyle w:val="Heading3"/>
        <w:keepNext/>
        <w:widowControl/>
      </w:pPr>
      <w:r>
        <w:t xml:space="preserve">Information required before the decision</w:t>
      </w:r>
    </w:p>
    <w:p>
      <w:pPr>
        <w:pStyle w:val="Normal"/>
        <w:widowControl/>
        <w:spacing w:before="60" w:after="20"/>
      </w:pPr>
      <w:r>
        <w:t xml:space="preserve">Two specialist HPB/transplant reviews; vascular/ductal map; CT volumetry; functional assessment where available; cholangitis/drainage status; PVE response and reconstruction plan.</w:t>
      </w:r>
    </w:p>
    <w:p>
      <w:pPr>
        <w:pStyle w:val="Normal"/>
        <w:widowControl/>
        <w:spacing w:before="60" w:after="20"/>
      </w:pPr>
      <w:r>
        <w:rPr>
          <w:b/>
        </w:rPr>
        <w:t xml:space="preserve">Clinical versus allocation: </w:t>
      </w:r>
      <w:r>
        <w:t xml:space="preserve">Policy 9.5.A requires unresectability from technical considerations or underlying liver disease; comparative recipient survival alone does not satisfy this requirement.</w:t>
      </w:r>
    </w:p>
    <w:p>
      <w:pPr>
        <w:pStyle w:val="Normal"/>
        <w:widowControl/>
        <w:spacing w:before="60" w:after="20"/>
      </w:pPr>
      <w:r>
        <w:rPr>
          <w:b/>
        </w:rPr>
        <w:t xml:space="preserve">Roadmap / protocol reconciliation: </w:t>
      </w:r>
      <w:r>
        <w:t xml:space="preserve">The roadmap leaves numerical remnant criteria for specialty approval. Record this as a proposed local addition, with individualized function-based exceptions documented.</w:t>
      </w:r>
    </w:p>
    <w:p>
      <w:pPr>
        <w:pStyle w:val="Normal"/>
        <w:widowControl/>
        <w:spacing w:before="60" w:after="20"/>
      </w:pPr>
      <w:hyperlink r:id="rId66">
        <w:r>
          <w:rPr>
            <w:color w:val="77230C"/>
            <w:sz w:val="20"/>
            <w:u w:val="single"/>
          </w:rPr>
          <w:t>Meeting record: pCCA-B2</w:t>
        </w:r>
      </w:hyperlink>
      <w:r>
        <w:t xml:space="preserve">  |  </w:t>
      </w:r>
      <w:hyperlink r:id="rId6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2 Pretreatment workup and biopsy protection</w:t>
      </w:r>
    </w:p>
    <w:p>
      <w:pPr>
        <w:pStyle w:val="Normal"/>
        <w:widowControl/>
        <w:numPr>
          <w:ilvl w:val="0"/>
          <w:numId w:val="3"/>
        </w:numPr>
      </w:pPr>
      <w:r>
        <w:t xml:space="preserve">Obtain or review contrast liver MRI/MRCP and/or multiphasic CT for ductal and vascular extent, chest imaging, CA19-9 with bilirubin/infection context, CBC, renal and liver chemistry, coagulation, functional status, nutrition and transplant medical/psychosocial assessment.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ItMTddPC9EaXNwbGF5VGV4dD48cmVjb3JkPjxyZWMtbnVtYmVyPjE3PC9yZWMtbnVtYmVyPjxmb3JlaWduLWtleXM+PGtleSBhcHA9IkVOIiBkYi1pZD0iNDkzYzc4MTQtZDEzOS01OTM3LWI2ZTgtOTQ0ZWUwMTE1YmY0IiB0aW1lc3RhbXA9IjE3OTI5MjEw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p>
    <w:p>
      <w:pPr>
        <w:pStyle w:val="Normal"/>
        <w:widowControl/>
        <w:numPr>
          <w:ilvl w:val="0"/>
          <w:numId w:val="3"/>
        </w:numPr>
      </w:pPr>
      <w:r>
        <w:t xml:space="preserve">Plan biliary drainage with advanced GI and the HPB/transplant team. Treat cholangitis before interpreting CA19-9 or initiating an intensive regimen. Record stent/drain location, cultures when indicated and subsequent drainage strategy.</w:t>
      </w:r>
    </w:p>
    <w:p>
      <w:pPr>
        <w:pStyle w:val="Normal"/>
        <w:widowControl/>
        <w:numPr>
          <w:ilvl w:val="0"/>
          <w:numId w:val="3"/>
        </w:numPr>
      </w:pPr>
      <w:r>
        <w:t xml:space="preserve">Use ERCP-based brush cytology, FISH/aneuploidy testing or appropriately planned intraductal sampling when needed. Avoid transperitoneal aspiration or biopsy of the primary by EUS, percutaneous or operative routes when LT is contemplated. If already performed, preserve the original report, trajectory and pathology and hold the standard route for specialist review.</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Stage suspicious regional or distant nodes by a route that does not traverse the primary tumor. Consider PET/CT for additional metastatic assessment when it can change management, but do not regard a negative PET as proof that nodes or peritoneum are sterile.</w:t>
      </w:r>
    </w:p>
    <w:p>
      <w:pPr>
        <w:pStyle w:val="Normal"/>
        <w:widowControl/>
        <w:numPr>
          <w:ilvl w:val="0"/>
          <w:numId w:val="3"/>
        </w:numPr>
      </w:pPr>
      <w:r>
        <w:t xml:space="preserve">For the standardized exception, document chest and abdominal cross-sectional staging within 90 days before the initial request; extension imaging must be within 30 days before submission. Operative nodal/peritoneal staging is required after neoadjuvant therapy and before LT.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pPr>
      <w:r>
        <w:t xml:space="preserve">Advance to treatment planning only after diagnosis, resectability and original staging are established and the exact intended pathway is identified. Hold for unresolved nodes, incomplete biopsy history, uncontrolled infection or unapproved expansion. Confirmed nodal, intrahepatic metastatic or extrahepatic metastatic disease prevents progression through the conventional protocol.</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Heading2"/>
        <w:keepNext/>
        <w:widowControl/>
      </w:pPr>
      <w:r>
        <w:t xml:space="preserve">3 Neoadjuvant therapy and biliary care</w:t>
      </w:r>
    </w:p>
    <w:p>
      <w:pPr>
        <w:pStyle w:val="Heading3"/>
        <w:keepNext/>
        <w:widowControl/>
      </w:pPr>
      <w:r>
        <w:t xml:space="preserve">3.1 Use one defined treatment program</w:t>
      </w:r>
    </w:p>
    <w:p>
      <w:pPr>
        <w:pStyle w:val="Normal"/>
        <w:widowControl/>
        <w:numPr>
          <w:ilvl w:val="0"/>
          <w:numId w:val="3"/>
        </w:numPr>
      </w:pPr>
      <w:r>
        <w:t xml:space="preserve">Use the center’s approved written pCCA neoadjuvant program with oncology, radiation oncology and transplant-surgical sign-off. Specify actual drugs, dose modifications, radiation fields/fractionation, drainage management and staging sequence. Policy requires neoadjuvant therapy and operative staging but does not mandate one universal drug or radiation recipe.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Do not automatically replace the established neoadjuvant program. The OPEN pCCA-B3 review now considers both SBRT/capecitabine and a separately governed GemCis-only feasibility/comparative arm; neither is established as equivalent to the Mayo-style pathway. ICI-containing induction or simultaneous boundary expansions are not activated.</w:t>
      </w:r>
    </w:p>
    <w:p>
      <w:pPr>
        <w:pStyle w:val="Normal"/>
        <w:widowControl/>
      </w:pPr>
      <w:r>
        <w:t xml:space="preserve">The previous statement that only the Mayo hyperfractionated regimen has LT outcome data was too strong. Small SBRT/capecitabine and multiagent-systemic cohorts exist, but they do not establish noninferiority or make regimens interchangeable. Any alternative needs a defined prospective treatment and toxicity plan.</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ItMThdPC9EaXNwbGF5VGV4dD48cmVjb3JkPjxyZWMtbnVtYmVyPjE4PC9yZWMtbnVtYmVyPjxmb3JlaWduLWtleXM+PGtleSBhcHA9IkVOIiBkYi1pZD0iNDkzYzc4MTQtZDEzOS01OTM3LWI2ZTgtOTQ0ZWUwMTE1YmY0IiB0aW1lc3RhbXA9IjE3OTI5MjEw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Mi04XTwvRGlzcGxheVRleHQ+PHJlY29yZD48cmVjLW51bWJlcj44PC9yZWMtbnVtYmVyPjxmb3JlaWduLWtleXM+PGtleSBhcHA9IkVOIiBkYi1pZD0iNDkzYzc4MTQtZDEzOS01OTM3LWI2ZTgtOTQ0ZWUwMTE1YmY0IiB0aW1lc3RhbXA9IjE3OTI5MjEw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pPr>
      <w:r>
        <w:t xml:space="preserve">In a 49-recipient observational comparison, neoadjuvant chemoradiotherapy was associated with reduced recurrence but no demonstrated OS advantage. Major vascular complications occurred in 11/27 versus 3/22; hepatic-artery complications were 9/27 versus 2/22. Center, selection and regimen differences limit causal interpretation. The recurrence signal must be weighed against graft and vascular harm.</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Mi0xOV08L0Rpc3BsYXlUZXh0PjxyZWNvcmQ+PHJlYy1udW1iZXI+MTk8L3JlYy1udW1iZXI+PGZvcmVpZ24ta2V5cz48a2V5IGFwcD0iRU4iIGRiLWlkPSI0OTNjNzgxNC1kMTM5LTU5MzctYjZlOC05NDRlZTAxMTViZjQiIHRpbWVzdGFtcD0iMTc5MjkyMTA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[V12-19]</w:t>
      </w:r>
      <w:r>
        <w:fldChar w:fldCharType="end"/>
      </w:r>
    </w:p>
    <w:p>
      <w:pPr>
        <w:pStyle w:val="Heading3"/>
        <w:keepNext/>
        <w:widowControl/>
      </w:pPr>
      <w:bookmarkStart w:id="3" w:name="pCCA_B3"/>
      <w:r>
        <w:t xml:space="preserve">pCCA-B3 — May a non-Mayo neoadjuvant regimen replace the conventional program?</w:t>
      </w:r>
      <w:bookmarkEnd w:id="3"/>
    </w:p>
    <w:p>
      <w:pPr>
        <w:pStyle w:val="Heading3"/>
        <w:keepNext/>
        <w:widowControl/>
      </w:pPr>
      <w:r>
        <w:t xml:space="preserve">Question and comparison</w:t>
      </w:r>
    </w:p>
    <w:p>
      <w:pPr>
        <w:pStyle w:val="Normal"/>
        <w:widowControl/>
        <w:spacing w:before="60" w:after="20"/>
      </w:pPr>
      <w:r>
        <w:t xml:space="preserve">For otherwise conventionally selected pCCA LT candidates, which NAT regimen should be the default and which alternatives deserve prospective evaluation, given control, dropout and vascular/biliary harm?</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pStyle w:val="Normal"/>
              <w:widowControl/>
              <w:spacing w:before="60" w:after="20"/>
            </w:pPr>
            <w:r>
              <w:t xml:space="preserve">287 entrants/214 LT across 12 US centers.</w:t>
            </w:r>
          </w:p>
          <w:p>
            <w:pPr>
              <w:pStyle w:val="Normal"/>
              <w:widowControl/>
              <w:spacing w:before="60" w:after="20"/>
            </w:pPr>
            <w:hyperlink r:id="rId68">
              <w:r>
                <w:rPr>
                  <w:color w:val="77230C"/>
                  <w:sz w:val="20"/>
                  <w:u w:val="single"/>
                </w:rPr>
                <w:t>Primary source</w:t>
              </w:r>
            </w:hyperlink>
            <w:r>
              <w:t xml:space="preserve"> | </w:t>
            </w:r>
            <w:hyperlink r:id="rId69">
              <w:r>
                <w:rPr>
                  <w:color w:val="77230C"/>
                  <w:sz w:val="20"/>
                  <w:u w:val="single"/>
                </w:rPr>
                <w:t>Full-text PDF</w:t>
              </w:r>
            </w:hyperlink>
          </w:p>
          <w:p>
            <w:pPr>
              <w:pStyle w:val="Normal"/>
              <w:widowControl/>
              <w:spacing w:before="60" w:after="20"/>
            </w:pPr>
            <w:r>
              <w:t xml:space="preserve">Locator: Gastroenterology 2012; Treatment Characteristics and Outcomes; full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5-year entry OS 53%; post-LT RFS 65%. No clear RFS difference by brachytherapy receipt was detected.</w:t>
            </w:r>
          </w:p>
          <w:p>
            <w:pPr>
              <w:pStyle w:val="Normal"/>
              <w:widowControl/>
              <w:spacing w:before="60" w:after="20"/>
            </w:pPr>
            <w:r>
              <w:rPr>
                <w:b/>
              </w:rPr>
              <w:t xml:space="preserve">Do not infer: </w:t>
            </w:r>
            <w:r>
              <w:t xml:space="preserve">Strongest mature multi-center pathway benchmark, but no randomized regimen comparison; lack of detected brachytherapy effect does not establish interchangeability.</w:t>
            </w:r>
          </w:p>
        </w:tc>
      </w:tr>
      <w:tr>
        <w:trPr/>
        <w:tc>
          <w:tcPr>
            <w:tcW w:w="3400" w:type="dxa"/>
            <w:tcMar>
              <w:top w:w="90" w:type="dxa"/>
              <w:left w:w="90" w:type="dxa"/>
              <w:bottom w:w="90" w:type="dxa"/>
              <w:right w:w="90" w:type="dxa"/>
            </w:tcMar>
          </w:tcPr>
          <w:p>
            <w:pPr>
              <w:pStyle w:val="Normal"/>
              <w:widowControl/>
              <w:spacing w:before="60" w:after="20"/>
            </w:pPr>
            <w:r>
              <w:rPr>
                <w:b/>
              </w:rPr>
              <w:t xml:space="preserve">Welling 2014 · SBRT</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ItMThdPC9EaXNwbGF5VGV4dD48cmVjb3JkPjxyZWMtbnVtYmVyPjE4PC9yZWMtbnVtYmVyPjxmb3JlaWduLWtleXM+PGtleSBhcHA9IkVOIiBkYi1pZD0iNDkzYzc4MTQtZDEzOS01OTM3LWI2ZTgtOTQ0ZWUwMTE1YmY0IiB0aW1lc3RhbXA9IjE3OTI5MjEw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spacing w:before="60" w:after="20"/>
            </w:pPr>
            <w:r>
              <w:t xml:space="preserve">Single-center pilot; 17 evaluated, 12 NAT, 9 listed, 6 LT.</w:t>
            </w:r>
          </w:p>
          <w:p>
            <w:pPr>
              <w:pStyle w:val="Normal"/>
              <w:widowControl/>
              <w:spacing w:before="60" w:after="20"/>
            </w:pPr>
            <w:hyperlink r:id="rId70">
              <w:r>
                <w:rPr>
                  <w:color w:val="77230C"/>
                  <w:sz w:val="20"/>
                  <w:u w:val="single"/>
                </w:rPr>
                <w:t>Primary source</w:t>
              </w:r>
            </w:hyperlink>
            <w:r>
              <w:t xml:space="preserve"> | </w:t>
            </w:r>
            <w:hyperlink r:id="rId71">
              <w:r>
                <w:rPr>
                  <w:color w:val="77230C"/>
                  <w:sz w:val="20"/>
                  <w:u w:val="single"/>
                </w:rPr>
                <w:t>Full-text PDF</w:t>
              </w:r>
            </w:hyperlink>
          </w:p>
          <w:p>
            <w:pPr>
              <w:pStyle w:val="Normal"/>
              <w:widowControl/>
              <w:spacing w:before="60" w:after="20"/>
            </w:pPr>
            <w:r>
              <w:t xml:space="preserve">Locator: Liver Transpl 2014; 20: 81–88; Methods, patient flow and adverse-event tables; local PDF.</w:t>
            </w:r>
          </w:p>
          <w:p>
            <w:pPr>
              <w:pStyle w:val="Normal"/>
              <w:widowControl/>
              <w:spacing w:before="60" w:after="20"/>
            </w:pPr>
            <w:r>
              <w:t xml:space="preserve">Review depth: Indexed full-text content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SBRT 50–60 Gy in 3–5 fractions over 2 weeks, followed by capecitabine; 6 LT with 1-year OS 83%.35 pre-LT adverse events and 11 post-LT complications were reported.</w:t>
            </w:r>
          </w:p>
          <w:p>
            <w:pPr>
              <w:pStyle w:val="Normal"/>
              <w:widowControl/>
              <w:spacing w:before="60" w:after="20"/>
            </w:pPr>
            <w:r>
              <w:rPr>
                <w:b/>
              </w:rPr>
              <w:t xml:space="preserve">Do not infer: </w:t>
            </w:r>
            <w:r>
              <w:t xml:space="preserve">Very small feasibility cohort, short oncologic follow-up, no randomized comparator. Regimen is a study description, not a universal radiation prescription or proof SBRT is the preferred alternative.</w:t>
            </w:r>
          </w:p>
        </w:tc>
      </w:tr>
      <w:tr>
        <w:trPr/>
        <w:tc>
          <w:tcPr>
            <w:tcW w:w="3400" w:type="dxa"/>
            <w:tcMar>
              <w:top w:w="90" w:type="dxa"/>
              <w:left w:w="90" w:type="dxa"/>
              <w:bottom w:w="90" w:type="dxa"/>
              <w:right w:w="90" w:type="dxa"/>
            </w:tcMar>
          </w:tcPr>
          <w:p>
            <w:pPr>
              <w:pStyle w:val="Normal"/>
              <w:widowControl/>
              <w:spacing w:before="60" w:after="20"/>
            </w:pPr>
            <w:r>
              <w:rPr>
                <w:b/>
              </w:rPr>
              <w:t xml:space="preserve">Soliman 2025 · GemCis</w:t>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Mi04XTwvRGlzcGxheVRleHQ+PHJlY29yZD48cmVjLW51bWJlcj44PC9yZWMtbnVtYmVyPjxmb3JlaWduLWtleXM+PGtleSBhcHA9IkVOIiBkYi1pZD0iNDkzYzc4MTQtZDEzOS01OTM3LWI2ZTgtOTQ0ZWUwMTE1YmY0IiB0aW1lc3RhbXA9IjE3OTI5MjEw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Recipient-only retrospective 2008–2023; 26 analyzed LT, 12 GemCis-only, 14 RT-based including six also receiving GemCis.</w:t>
            </w:r>
          </w:p>
          <w:p>
            <w:pPr>
              <w:pStyle w:val="Normal"/>
              <w:widowControl/>
              <w:spacing w:before="60" w:after="20"/>
            </w:pPr>
            <w:hyperlink r:id="rId72">
              <w:r>
                <w:rPr>
                  <w:color w:val="77230C"/>
                  <w:sz w:val="20"/>
                  <w:u w:val="single"/>
                </w:rPr>
                <w:t>Primary source</w:t>
              </w:r>
            </w:hyperlink>
            <w:r>
              <w:t xml:space="preserve"> | </w:t>
            </w:r>
            <w:hyperlink r:id="rId73">
              <w:r>
                <w:rPr>
                  <w:color w:val="77230C"/>
                  <w:sz w:val="20"/>
                  <w:u w:val="single"/>
                </w:rPr>
                <w:t>Full-text PDF</w:t>
              </w:r>
            </w:hyperlink>
          </w:p>
          <w:p>
            <w:pPr>
              <w:pStyle w:val="Normal"/>
              <w:widowControl/>
              <w:spacing w:before="60" w:after="20"/>
            </w:pPr>
            <w:r>
              <w:t xml:space="preserve">Locator: Transplant Direct 2025; 11: e 1760; Tables 1–4, Figure 2, Discussion; full PDF.</w:t>
            </w:r>
          </w:p>
          <w:p>
            <w:pPr>
              <w:pStyle w:val="Normal"/>
              <w:widowControl/>
              <w:spacing w:before="60" w:after="20"/>
            </w:pPr>
            <w:r>
              <w:t xml:space="preserve">Review depth: PMC full-text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Main-text 1-/3-year OS 83.0%/52.3%; 9/26 recurrences; 1-/3-year RFS 77.8%/59.0%. No statistically significant OS or explant-response difference between treatment strata; RT had more operative blood-loss/transfusion signals.</w:t>
            </w:r>
          </w:p>
          <w:p>
            <w:pPr>
              <w:pStyle w:val="Normal"/>
              <w:widowControl/>
              <w:spacing w:before="60" w:after="20"/>
            </w:pPr>
            <w:r>
              <w:rPr>
                <w:b/>
              </w:rPr>
              <w:t xml:space="preserve">Do not infer: </w:t>
            </w:r>
            <w:r>
              <w:t xml:space="preserve">No pretreatment denominator or differential dropout data; small nonrandom groups, era/selection confounding and occult nodal disease. Supports studying omission, not equivalence. Use main-text values rather than abstract 84%/55%.</w:t>
            </w:r>
          </w:p>
        </w:tc>
      </w:tr>
      <w:tr>
        <w:trPr/>
        <w:tc>
          <w:tcPr>
            <w:tcW w:w="3400" w:type="dxa"/>
            <w:tcMar>
              <w:top w:w="90" w:type="dxa"/>
              <w:left w:w="90" w:type="dxa"/>
              <w:bottom w:w="90" w:type="dxa"/>
              <w:right w:w="90" w:type="dxa"/>
            </w:tcMar>
          </w:tcPr>
          <w:p>
            <w:pPr>
              <w:pStyle w:val="Normal"/>
              <w:widowControl/>
              <w:spacing w:before="60" w:after="20"/>
            </w:pPr>
            <w:r>
              <w:rPr>
                <w:b/>
              </w:rPr>
              <w:t xml:space="preserve">Hoogwater 2023 · radiation</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Mi0xOV08L0Rpc3BsYXlUZXh0PjxyZWNvcmQ+PHJlYy1udW1iZXI+MTk8L3JlYy1udW1iZXI+PGZvcmVpZ24ta2V5cz48a2V5IGFwcD0iRU4iIGRiLWlkPSI0OTNjNzgxNC1kMTM5LTU5MzctYjZlOC05NDRlZTAxMTViZjQiIHRpbWVzdGFtcD0iMTc5MjkyMTA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[V12-19]</w:t>
            </w:r>
            <w:r>
              <w:fldChar w:fldCharType="end"/>
            </w:r>
          </w:p>
          <w:p>
            <w:pPr>
              <w:pStyle w:val="Normal"/>
              <w:widowControl/>
              <w:spacing w:before="60" w:after="20"/>
            </w:pPr>
            <w:r>
              <w:t xml:space="preserve">Multicenter 2011–2020; 49 LT, 27 with NAT, 22 without.</w:t>
            </w:r>
          </w:p>
          <w:p>
            <w:pPr>
              <w:pStyle w:val="Normal"/>
              <w:widowControl/>
              <w:spacing w:before="60" w:after="20"/>
            </w:pPr>
            <w:hyperlink r:id="rId74">
              <w:r>
                <w:rPr>
                  <w:color w:val="77230C"/>
                  <w:sz w:val="20"/>
                  <w:u w:val="single"/>
                </w:rPr>
                <w:t>Primary source</w:t>
              </w:r>
            </w:hyperlink>
            <w:r>
              <w:t xml:space="preserve"> | </w:t>
            </w:r>
            <w:hyperlink r:id="rId75">
              <w:r>
                <w:rPr>
                  <w:color w:val="77230C"/>
                  <w:sz w:val="20"/>
                  <w:u w:val="single"/>
                </w:rPr>
                <w:t>Full-text PDF</w:t>
              </w:r>
            </w:hyperlink>
          </w:p>
          <w:p>
            <w:pPr>
              <w:pStyle w:val="Normal"/>
              <w:widowControl/>
              <w:spacing w:before="60" w:after="20"/>
            </w:pPr>
            <w:r>
              <w:t xml:space="preserve">Locator: BJSOpen 2023; 7: zrad 025; Table 3, adjusted recurrence analysis and mortality discussion;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Post-LT 5-year OS 41% NAT versus 53% no NAT(not significant); NAT associated with less recurrence (adjusted HR 0.30, 95% CI 0.09–0.97). Major vascular complications 11/27 vs 3/22; hepatic-artery complications 9/27 vs 2/22.</w:t>
            </w:r>
          </w:p>
          <w:p>
            <w:pPr>
              <w:pStyle w:val="Normal"/>
              <w:widowControl/>
              <w:spacing w:before="60" w:after="20"/>
            </w:pPr>
            <w:r>
              <w:rPr>
                <w:b/>
              </w:rPr>
              <w:t xml:space="preserve">Do not infer: </w:t>
            </w:r>
            <w:r>
              <w:t xml:space="preserve">Competing recurrence benefit and treatment harm, not proof RT can routinely be omitted. Abstract 9 vs 2 vascular wording should not replace Table 3's broader 11 vs 3 major-vascular count.</w:t>
            </w:r>
          </w:p>
        </w:tc>
      </w:tr>
      <w:tr>
        <w:trPr/>
        <w:tc>
          <w:tcPr>
            <w:tcW w:w="3400" w:type="dxa"/>
            <w:tcMar>
              <w:top w:w="90" w:type="dxa"/>
              <w:left w:w="90" w:type="dxa"/>
              <w:bottom w:w="90" w:type="dxa"/>
              <w:right w:w="90" w:type="dxa"/>
            </w:tcMar>
          </w:tcPr>
          <w:p>
            <w:pPr>
              <w:pStyle w:val="Normal"/>
              <w:widowControl/>
              <w:spacing w:before="60" w:after="20"/>
            </w:pPr>
            <w:r>
              <w:rPr>
                <w:b/>
              </w:rPr>
              <w:t xml:space="preserve">Ito 2025 · LDLT</w:t>
            </w:r>
            <w:r>
              <w:t xml:space="preserve"> </w:t>
            </w:r>
            <w:r>
              <w:t xml:space="preserve"> </w:t>
            </w:r>
            <w:r>
              <w:fldChar w:fldCharType="begin"/>
            </w:r>
            <w:r>
              <w:instrText xml:space="preserve"> ADDIN EN.CITE </w:instrText>
            </w:r>
            <w:r>
              <w:fldChar w:fldCharType="begin">
                <w:fldData>PEVuZE5vdGU+PENpdGU+PEF1dGhvcj5JdG88L0F1dGhvcj48WWVhcj4yMDI1PC9ZZWFyPjxSZWNOdW0+MjA8L1JlY051bT48RGlzcGxheVRleHQ+W1YxMi0yMF08L0Rpc3BsYXlUZXh0PjxyZWNvcmQ+PHJlYy1udW1iZXI+MjA8L3JlYy1udW1iZXI+PGZvcmVpZ24ta2V5cz48a2V5IGFwcD0iRU4iIGRiLWlkPSI0OTNjNzgxNC1kMTM5LTU5MzctYjZlOC05NDRlZTAxMTViZjQiIHRpbWVzdGFtcD0iMTc5MjkyMTA4NCI+MjA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[V12-20]</w:t>
            </w:r>
            <w:r>
              <w:fldChar w:fldCharType="end"/>
            </w:r>
          </w:p>
          <w:p>
            <w:pPr>
              <w:pStyle w:val="Normal"/>
              <w:widowControl/>
              <w:spacing w:before="60" w:after="20"/>
            </w:pPr>
            <w:r>
              <w:t xml:space="preserve">Prospective Kyoto pilot, ten enrolled 2018–2024; five LDLT and five dropout. Unresectability involved FLR, nonreconstructible vascular/ductal disease or PSC. Nodes/metastases excluded; ERCP diagnosis without transperitoneal primary biopsy. The methods do not state a numeric mass-size cap.</w:t>
            </w:r>
          </w:p>
          <w:p>
            <w:pPr>
              <w:pStyle w:val="Normal"/>
              <w:widowControl/>
              <w:spacing w:before="60" w:after="20"/>
            </w:pPr>
            <w:hyperlink r:id="rId76">
              <w:r>
                <w:rPr>
                  <w:color w:val="77230C"/>
                  <w:sz w:val="20"/>
                  <w:u w:val="single"/>
                </w:rPr>
                <w:t>Primary source</w:t>
              </w:r>
            </w:hyperlink>
            <w:r>
              <w:t xml:space="preserve"> | </w:t>
            </w:r>
            <w:hyperlink r:id="rId77">
              <w:r>
                <w:rPr>
                  <w:color w:val="77230C"/>
                  <w:sz w:val="20"/>
                  <w:u w:val="single"/>
                </w:rPr>
                <w:t>Full-text PDF</w:t>
              </w:r>
            </w:hyperlink>
          </w:p>
          <w:p>
            <w:pPr>
              <w:pStyle w:val="Normal"/>
              <w:widowControl/>
              <w:spacing w:before="60" w:after="20"/>
            </w:pPr>
            <w:r>
              <w:t xml:space="preserve">Locator: Complete 11-page PDF, Methods, flow, Tables 1–3, survival and arterial-complication discussion; J Hepatobiliary Pancreat Sci 2025; 32:276–286.</w:t>
            </w:r>
          </w:p>
          <w:p>
            <w:pPr>
              <w:pStyle w:val="Normal"/>
              <w:widowControl/>
              <w:spacing w:before="60" w:after="20"/>
            </w:pPr>
            <w:r>
              <w:t xml:space="preserve">Review depth: Complete original J Hepatobiliary Pancreat Sci 2025; 32:276–286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Ten entered: five LDLT and five dropouts. One-year post-LT OS was 100%, with median recipient follow-up 23.7 months; one bone recurrence occurred at 10 months and death at 23.7 months. All five had complications, including two HAT events. Five-year ITT OS of 27.4% is from pathological diagnosis, not LT. Dropouts included conversion to resection, financial withdrawal, ERCP pancreatitis, progression and a positive node.</w:t>
            </w:r>
          </w:p>
          <w:p>
            <w:pPr>
              <w:pStyle w:val="Normal"/>
              <w:widowControl/>
              <w:spacing w:before="60" w:after="20"/>
            </w:pPr>
            <w:r>
              <w:rPr>
                <w:b/>
              </w:rPr>
              <w:t xml:space="preserve">Do not infer: </w:t>
            </w:r>
            <w:r>
              <w:t xml:space="preserve">Five recipients with immature long-term estimates and substantial arterial harm; no regimen noninferiority, no ICI data and no tested prior-biopsy/cleared-node expansion. Outside-field arterial reconstruction is a technical hypothesis from a tiny sequence, not a universally validated operation.</w:t>
            </w:r>
          </w:p>
        </w:tc>
      </w:tr>
      <w:tr>
        <w:trPr/>
        <w:tc>
          <w:tcPr>
            <w:tcW w:w="3400" w:type="dxa"/>
            <w:tcMar>
              <w:top w:w="90" w:type="dxa"/>
              <w:left w:w="90" w:type="dxa"/>
              <w:bottom w:w="90" w:type="dxa"/>
              <w:right w:w="90" w:type="dxa"/>
            </w:tcMar>
          </w:tcPr>
          <w:p>
            <w:pPr>
              <w:pStyle w:val="Normal"/>
              <w:widowControl/>
              <w:spacing w:before="60" w:after="20"/>
            </w:pPr>
            <w:r>
              <w:rPr>
                <w:b/>
              </w:rPr>
              <w:t xml:space="preserve">Darwish Murad 2012</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Mi02XTwvRGlzcGxheVRleHQ+PHJlY29yZD48cmVjLW51bWJlcj42PC9yZWMtbnVtYmVyPjxmb3JlaWduLWtleXM+PGtleSBhcHA9IkVOIiBkYi1pZD0iNDkzYzc4MTQtZDEzOS01OTM3LWI2ZTgtOTQ0ZWUwMTE1YmY0IiB0aW1lc3RhbXA9IjE3OTI5MjEw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Mayo retrospective 1993–2010: 199 protocol entrants, 62 dropouts, 131 local LT recipients and six LT elsewhere. Clear radial masses &gt;3 cm were excluded. The recorded mass measurement could be maximal radial OR longitudinal diameter, and the authors explain that observed &gt;3-cm measurements were generally longitudinal extension.</w:t>
            </w:r>
          </w:p>
          <w:p>
            <w:pPr>
              <w:pStyle w:val="Normal"/>
              <w:widowControl/>
              <w:spacing w:before="60" w:after="20"/>
            </w:pPr>
            <w:hyperlink r:id="rId78">
              <w:r>
                <w:rPr>
                  <w:color w:val="77230C"/>
                  <w:sz w:val="20"/>
                  <w:u w:val="single"/>
                </w:rPr>
                <w:t>Primary source</w:t>
              </w:r>
            </w:hyperlink>
            <w:r>
              <w:t xml:space="preserve"> | </w:t>
            </w:r>
            <w:hyperlink r:id="rId79">
              <w:r>
                <w:rPr>
                  <w:color w:val="77230C"/>
                  <w:sz w:val="20"/>
                  <w:u w:val="single"/>
                </w:rPr>
                <w:t>Full-text PDF</w:t>
              </w:r>
            </w:hyperlink>
          </w:p>
          <w:p>
            <w:pPr>
              <w:pStyle w:val="Normal"/>
              <w:widowControl/>
              <w:spacing w:before="60" w:after="20"/>
            </w:pPr>
            <w:r>
              <w:t xml:space="preserve">Locator: Complete Hepatology 2012 PDF, Transplantation and Recurrence sections.</w:t>
            </w:r>
          </w:p>
          <w:p>
            <w:pPr>
              <w:pStyle w:val="Normal"/>
              <w:widowControl/>
              <w:spacing w:before="60" w:after="20"/>
            </w:pPr>
            <w:r>
              <w:t xml:space="preserve">Review depth: Complete original article, Hepatology 2012; 56:972–981. Complete main paper reviewed; separate supplements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11/131 local recipients required retransplantation: six HAT, three primary nonfunction, one ischemic cholangiopathy and one recurrent PSC. Five-year post-LT OS was 71% and RFS 68%.</w:t>
            </w:r>
          </w:p>
          <w:p>
            <w:pPr>
              <w:pStyle w:val="Normal"/>
              <w:widowControl/>
              <w:spacing w:before="60" w:after="20"/>
            </w:pPr>
            <w:r>
              <w:rPr>
                <w:b/>
              </w:rPr>
              <w:t xml:space="preserve">Do not infer: </w:t>
            </w:r>
            <w:r>
              <w:t xml:space="preserve">Overlapping Mayo experience, not an independent additive safety denominator. Recurrence benefit must be discussed beside graft loss and retransplant use.</w:t>
            </w:r>
          </w:p>
        </w:tc>
      </w:tr>
      <w:tr>
        <w:trPr/>
        <w:tc>
          <w:tcPr>
            <w:tcW w:w="3400" w:type="dxa"/>
            <w:tcMar>
              <w:top w:w="90" w:type="dxa"/>
              <w:left w:w="90" w:type="dxa"/>
              <w:bottom w:w="90" w:type="dxa"/>
              <w:right w:w="90" w:type="dxa"/>
            </w:tcMar>
          </w:tcPr>
          <w:p>
            <w:pPr>
              <w:pStyle w:val="Normal"/>
              <w:widowControl/>
              <w:spacing w:before="60" w:after="20"/>
            </w:pPr>
            <w:r>
              <w:rPr>
                <w:b/>
              </w:rPr>
              <w:t xml:space="preserve">Loveday 2018</w:t>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ItMTBdPC9EaXNwbGF5VGV4dD48cmVjb3JkPjxyZWMtbnVtYmVyPjEwPC9yZWMtbnVtYmVyPjxmb3JlaWduLWtleXM+PGtleSBhcHA9IkVOIiBkYi1pZD0iNDkzYzc4MTQtZDEzOS01OTM3LWI2ZTgtOTQ0ZWUwMTE1YmY0IiB0aW1lc3RhbXA9IjE3OTI5MjEw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Prospective Toronto program, 2009–2015: 43 referred, 24 assessed in detail, 18 treated with neoadjuvant chemoradiation, six transplanted and one still awaiting LT. Initial radial limit &lt;3 cm was briefly increased to 3.5 cm, then returned to &lt;3 cm.</w:t>
            </w:r>
          </w:p>
          <w:p>
            <w:pPr>
              <w:pStyle w:val="Normal"/>
              <w:widowControl/>
              <w:spacing w:before="60" w:after="20"/>
            </w:pPr>
            <w:hyperlink r:id="rId80">
              <w:r>
                <w:rPr>
                  <w:color w:val="77230C"/>
                  <w:sz w:val="20"/>
                  <w:u w:val="single"/>
                </w:rPr>
                <w:t>Primary source</w:t>
              </w:r>
            </w:hyperlink>
            <w:r>
              <w:t xml:space="preserve"> | </w:t>
            </w:r>
            <w:hyperlink r:id="rId81">
              <w:r>
                <w:rPr>
                  <w:color w:val="77230C"/>
                  <w:sz w:val="20"/>
                  <w:u w:val="single"/>
                </w:rPr>
                <w:t>Full-text PDF</w:t>
              </w:r>
            </w:hyperlink>
          </w:p>
          <w:p>
            <w:pPr>
              <w:pStyle w:val="Normal"/>
              <w:widowControl/>
              <w:spacing w:before="60" w:after="20"/>
            </w:pPr>
            <w:r>
              <w:t xml:space="preserve">Locator: PDF pp 2–3 eligibility and regimen; pp 3–5/Table 2 and patient-flow diagram; pp 5–6 transplant outcomes and discussion.</w:t>
            </w:r>
          </w:p>
          <w:p>
            <w:pPr>
              <w:pStyle w:val="Normal"/>
              <w:widowControl/>
              <w:spacing w:before="60" w:after="20"/>
            </w:pPr>
            <w:r>
              <w:t xml:space="preserve">Review depth: Complete seven-page main article read, including selection changes, patient flow and operative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Eleven of 18 treated patients dropped out (61.1%); six received LT (three LDLT and three DDLT), with one waiting at analysis.; The full text describes one comorbidity-related dropout, so do not repeat the abstract's implication that all 11 were metastatic progression. Six of 16 patients who reached operative staging had metastatic disease, and three later progressed during maintenance.; Both treated tumors exceeding 3 cm during the expansion period were found to have metastatic disease at staging and did not receive LT. This is a tiny cautionary experience, not a validated cutoff comparison.; ITT median OS was 16.4 months, with one-/two-year OS 70.6%/35.3%. Post-LT one-/two-year OS was 83.3%/55.6%. One recipient died of pulmonary embolism on postoperative day 6; another recurred at 14.1 months and died at 16.4 months.; Only one of six explants had pCR. Five of six received an aortic arterial jump graft; no arterial-graft complication was reported. Treatment-associated cholangitis and readmissions were common.</w:t>
            </w:r>
          </w:p>
          <w:p>
            <w:pPr>
              <w:pStyle w:val="Normal"/>
              <w:widowControl/>
              <w:spacing w:before="60" w:after="20"/>
            </w:pPr>
            <w:r>
              <w:rPr>
                <w:b/>
              </w:rPr>
              <w:t xml:space="preserve">Do not infer: </w:t>
            </w:r>
            <w:r>
              <w:t xml:space="preserve">Very small single-center series, substantial all-pathway attrition, short recipient follow-up, selection and waiting-time differences from Mayo. Cholangitis count differs between body text and Table 2; avoid an unqualified exact rate. Radiation-unit typographical errors must not be copied into prescriptions. Time origin: ITT OS starts at initiation of neoadjuvant treatment. Recipient OS starts at LT. Median time from NAT initiation to LT was 37 weeks; median recipient follow-up was only 12.6 months.</w:t>
            </w:r>
          </w:p>
        </w:tc>
      </w:tr>
      <w:tr>
        <w:trPr/>
        <w:tc>
          <w:tcPr>
            <w:tcW w:w="3400" w:type="dxa"/>
            <w:tcMar>
              <w:top w:w="90" w:type="dxa"/>
              <w:left w:w="90" w:type="dxa"/>
              <w:bottom w:w="90" w:type="dxa"/>
              <w:right w:w="90" w:type="dxa"/>
            </w:tcMar>
          </w:tcPr>
          <w:p>
            <w:pPr>
              <w:pStyle w:val="Normal"/>
              <w:widowControl/>
              <w:spacing w:before="60" w:after="20"/>
            </w:pPr>
            <w:r>
              <w:rPr>
                <w:b/>
              </w:rPr>
              <w:t xml:space="preserve">Wu 2023</w:t>
            </w:r>
            <w:r>
              <w:t xml:space="preserve"> </w:t>
            </w:r>
            <w:r>
              <w:t xml:space="preserve"> </w:t>
            </w:r>
            <w:r>
              <w:fldChar w:fldCharType="begin"/>
            </w:r>
            <w:r>
              <w:instrText xml:space="preserve"> ADDIN EN.CITE </w:instrText>
            </w:r>
            <w:r>
              <w:fldChar w:fldCharType="begin">
                <w:fldData>PEVuZE5vdGU+PENpdGU+PEF1dGhvcj5XdTwvQXV0aG9yPjxZZWFyPjIwMjM8L1llYXI+PFJlY051bT4yMTwvUmVjTnVtPjxEaXNwbGF5VGV4dD5bVjEyLTIxXTwvRGlzcGxheVRleHQ+PHJlY29yZD48cmVjLW51bWJlcj4yMTwvcmVjLW51bWJlcj48Zm9yZWlnbi1rZXlzPjxrZXkgYXBwPSJFTiIgZGItaWQ9IjQ5M2M3ODE0LWQxMzktNTkzNy1iNmU4LTk0NGVlMDExNWJmNCIgdGltZXN0YW1wPSIxNzkyOTIxMDg0Ij4y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[V12-21]</w:t>
            </w:r>
            <w:r>
              <w:fldChar w:fldCharType="end"/>
            </w:r>
          </w:p>
          <w:p>
            <w:pPr>
              <w:pStyle w:val="Normal"/>
              <w:widowControl/>
              <w:spacing w:before="60" w:after="20"/>
            </w:pPr>
            <w:r>
              <w:t xml:space="preserve">Fifteen studies and 315 transplanted patients; 14 retrospective studies and one prospective study. Searches through 9 September 2022. Four Mayo-protocol studies contributed 208 recipients, two SBRT studies 11, and nine other-protocol studies 96. Four studies included iCCA.</w:t>
            </w:r>
          </w:p>
          <w:p>
            <w:pPr>
              <w:pStyle w:val="Normal"/>
              <w:widowControl/>
              <w:spacing w:before="60" w:after="20"/>
            </w:pPr>
            <w:hyperlink r:id="rId82">
              <w:r>
                <w:rPr>
                  <w:color w:val="77230C"/>
                  <w:sz w:val="20"/>
                  <w:u w:val="single"/>
                </w:rPr>
                <w:t>Primary source</w:t>
              </w:r>
            </w:hyperlink>
            <w:r>
              <w:t xml:space="preserve"> | </w:t>
            </w:r>
            <w:hyperlink r:id="rId83">
              <w:r>
                <w:rPr>
                  <w:color w:val="77230C"/>
                  <w:sz w:val="20"/>
                  <w:u w:val="single"/>
                </w:rPr>
                <w:t>Full-text PDF</w:t>
              </w:r>
            </w:hyperlink>
          </w:p>
          <w:p>
            <w:pPr>
              <w:pStyle w:val="Normal"/>
              <w:widowControl/>
              <w:spacing w:before="60" w:after="20"/>
            </w:pPr>
            <w:r>
              <w:t xml:space="preserve">Locator: PDF pp 2–4 methods, included studies and pooled pCR; study table and forest plots; pp 7–8 discussion and limitations.</w:t>
            </w:r>
          </w:p>
          <w:p>
            <w:pPr>
              <w:pStyle w:val="Normal"/>
              <w:widowControl/>
              <w:spacing w:before="60" w:after="20"/>
            </w:pPr>
            <w:r>
              <w:t xml:space="preserve">Review depth: Complete ten-page systematic review and meta-analysis read, including study table, figures, discussion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Pooled pCR was 32% (95% CI 19–49), with substantial heterogeneity (I² 56%). Mayo subgroup pCR was 46% (31–61), SBRT 9% (1–44), and other regimens 33% (13–63).; Subgroup comparison was reported at p=.05; chemotherapy-duration association p=.13. Neither establishes regimen equivalence or noninferiority.; Study-level pCR was not associated with OS in meta-regression. This is not evidence that an individual's residual viable tumor lacks prognostic importance.; The table labels McMillan survival as post-LT although the primary article reports the relevant survival from listing. It also lists Loveday dropout as 10/18, whereas the primary full text has 11/18. Use the primary papers for these values.; Different studies contribute to pooled one-, three- and five-year RFS; nonmonotone pooled figures must not be shown as one longitudinal survival curve.</w:t>
            </w:r>
          </w:p>
          <w:p>
            <w:pPr>
              <w:pStyle w:val="Normal"/>
              <w:widowControl/>
              <w:spacing w:before="60" w:after="20"/>
            </w:pPr>
            <w:r>
              <w:rPr>
                <w:b/>
              </w:rPr>
              <w:t xml:space="preserve">Do not infer: </w:t>
            </w:r>
            <w:r>
              <w:t xml:space="preserve">Transplanted-only selection; mixed pCCA/iCCA populations; small and nonrandomized regimen subgroups; center overlap addressed imperfectly; ecological meta-regression; some secondary extraction errors. The meta-analysis is not a radiation prescription source or a regimen-equivalence trial. Time origin: pCR is an explant outcome among recipients, excluding pathway dropouts. Pooled survival time origins are not uniform enough to treat the table as a common post-LT survival curve.</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ItMjJdPC9EaXNwbGF5VGV4dD48cmVjb3JkPjxyZWMtbnVtYmVyPjIyPC9yZWMtbnVtYmVyPjxmb3JlaWduLWtleXM+PGtleSBhcHA9IkVOIiBkYi1pZD0iNDkzYzc4MTQtZDEzOS01OTM3LWI2ZTgtOTQ0ZWUwMTE1YmY0IiB0aW1lc3RhbXA9IjE3OTI5MjEw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hyperlink r:id="rId84">
              <w:r>
                <w:rPr>
                  <w:color w:val="77230C"/>
                  <w:sz w:val="20"/>
                  <w:u w:val="single"/>
                </w:rPr>
                <w:t>Primary source</w:t>
              </w:r>
            </w:hyperlink>
            <w:r>
              <w:t xml:space="preserve"> | </w:t>
            </w:r>
            <w:hyperlink r:id="rId85">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bl>
    <w:p>
      <w:pPr>
        <w:pStyle w:val="Heading3"/>
        <w:keepNext/>
        <w:widowControl/>
      </w:pPr>
      <w:r>
        <w:t xml:space="preserve">Synthesis and evidence that challenges the proposal</w:t>
      </w:r>
    </w:p>
    <w:p>
      <w:pPr>
        <w:pStyle w:val="Normal"/>
        <w:widowControl/>
        <w:spacing w:before="60" w:after="20"/>
      </w:pPr>
      <w:r>
        <w:t xml:space="preserve">Mayo-style fluoropyrimidine/EBRT remains the mature default. GemCis-only and SBRT/capecitabine have limited direct transplant data and may be separately studied, without demonstrated equivalence or unique SBRT superiority. Ito adds prospective GCS/RT feasibility but two HAT events among five recipients and substantial entry-cohort attrition. TransGOLP is not an LT regimen study. No alternative should be combined with initial size/biopsy/nodal expansion or an unapproved ICI arm.</w:t>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ItMThdPC9EaXNwbGF5VGV4dD48cmVjb3JkPjxyZWMtbnVtYmVyPjE4PC9yZWMtbnVtYmVyPjxmb3JlaWduLWtleXM+PGtleSBhcHA9IkVOIiBkYi1pZD0iNDkzYzc4MTQtZDEzOS01OTM3LWI2ZTgtOTQ0ZWUwMTE1YmY0IiB0aW1lc3RhbXA9IjE3OTI5MjEw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Mi04XTwvRGlzcGxheVRleHQ+PHJlY29yZD48cmVjLW51bWJlcj44PC9yZWMtbnVtYmVyPjxmb3JlaWduLWtleXM+PGtleSBhcHA9IkVOIiBkYi1pZD0iNDkzYzc4MTQtZDEzOS01OTM3LWI2ZTgtOTQ0ZWUwMTE1YmY0IiB0aW1lc3RhbXA9IjE3OTI5MjEw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Mi0xOV08L0Rpc3BsYXlUZXh0PjxyZWNvcmQ+PHJlYy1udW1iZXI+MTk8L3JlYy1udW1iZXI+PGZvcmVpZ24ta2V5cz48a2V5IGFwcD0iRU4iIGRiLWlkPSI0OTNjNzgxNC1kMTM5LTU5MzctYjZlOC05NDRlZTAxMTViZjQiIHRpbWVzdGFtcD0iMTc5MjkyMTA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[V12-19]</w:t>
      </w:r>
      <w:r>
        <w:fldChar w:fldCharType="end"/>
      </w:r>
      <w:r>
        <w:t xml:space="preserve"> </w:t>
      </w:r>
      <w:r>
        <w:t xml:space="preserve"> </w:t>
      </w:r>
      <w:r>
        <w:fldChar w:fldCharType="begin"/>
      </w:r>
      <w:r>
        <w:instrText xml:space="preserve"> ADDIN EN.CITE </w:instrText>
      </w:r>
      <w:r>
        <w:fldChar w:fldCharType="begin">
          <w:fldData>PEVuZE5vdGU+PENpdGU+PEF1dGhvcj5JdG88L0F1dGhvcj48WWVhcj4yMDI1PC9ZZWFyPjxSZWNOdW0+MjA8L1JlY051bT48RGlzcGxheVRleHQ+W1YxMi0yMF08L0Rpc3BsYXlUZXh0PjxyZWNvcmQ+PHJlYy1udW1iZXI+MjA8L3JlYy1udW1iZXI+PGZvcmVpZ24ta2V5cz48a2V5IGFwcD0iRU4iIGRiLWlkPSI0OTNjNzgxNC1kMTM5LTU5MzctYjZlOC05NDRlZTAxMTViZjQiIHRpbWVzdGFtcD0iMTc5MjkyMTA4NCI+MjA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[V12-20]</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Mi02XTwvRGlzcGxheVRleHQ+PHJlY29yZD48cmVjLW51bWJlcj42PC9yZWMtbnVtYmVyPjxmb3JlaWduLWtleXM+PGtleSBhcHA9IkVOIiBkYi1pZD0iNDkzYzc4MTQtZDEzOS01OTM3LWI2ZTgtOTQ0ZWUwMTE1YmY0IiB0aW1lc3RhbXA9IjE3OTI5MjEw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ItMTBdPC9EaXNwbGF5VGV4dD48cmVjb3JkPjxyZWMtbnVtYmVyPjEwPC9yZWMtbnVtYmVyPjxmb3JlaWduLWtleXM+PGtleSBhcHA9IkVOIiBkYi1pZD0iNDkzYzc4MTQtZDEzOS01OTM3LWI2ZTgtOTQ0ZWUwMTE1YmY0IiB0aW1lc3RhbXA9IjE3OTI5MjEw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XdTwvQXV0aG9yPjxZZWFyPjIwMjM8L1llYXI+PFJlY051bT4yMTwvUmVjTnVtPjxEaXNwbGF5VGV4dD5bVjEyLTIxXTwvRGlzcGxheVRleHQ+PHJlY29yZD48cmVjLW51bWJlcj4yMTwvcmVjLW51bWJlcj48Zm9yZWlnbi1rZXlzPjxrZXkgYXBwPSJFTiIgZGItaWQ9IjQ5M2M3ODE0LWQxMzktNTkzNy1iNmU4LTk0NGVlMDExNWJmNCIgdGltZXN0YW1wPSIxNzkyOTIxMDg0Ij4y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ItMjJdPC9EaXNwbGF5VGV4dD48cmVjb3JkPjxyZWMtbnVtYmVyPjIyPC9yZWMtbnVtYmVyPjxmb3JlaWduLWtleXM+PGtleSBhcHA9IkVOIiBkYi1pZD0iNDkzYzc4MTQtZDEzOS01OTM3LWI2ZTgtOTQ0ZWUwMTE1YmY0IiB0aW1lc3RhbXA9IjE3OTI5MjEw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p>
    <w:p>
      <w:pPr>
        <w:pStyle w:val="Normal"/>
        <w:widowControl/>
        <w:numPr>
          <w:ilvl w:val="0"/>
          <w:numId w:val="3"/>
        </w:numPr>
        <w:spacing w:before="60" w:after="20"/>
      </w:pPr>
      <w:r>
        <w:t xml:space="preserve">RT may reduce recurrence yet increase vascular morbidity. Chemo-only favorable selected-recipient outcomes do not reveal who progressed before LT. No-NAT European recipients are not a rationale to omit all induction in a US exception pathway. GCS/RT and SBRT are not interchangeable.</w:t>
      </w:r>
    </w:p>
    <w:p>
      <w:pPr>
        <w:pStyle w:val="Normal"/>
        <w:widowControl/>
        <w:spacing w:before="60" w:after="20"/>
      </w:pPr>
      <w:r>
        <w:rPr>
          <w:b/>
        </w:rPr>
        <w:t xml:space="preserve">Certainty / applicability: </w:t>
      </w:r>
      <w:r>
        <w:t xml:space="preserve">Moderate confidence in feasibility of conventional selected NAT/LT; very low comparative certainty between named regimens. Direct vascular safety signal deserves action despite nonrandomization.</w:t>
      </w:r>
    </w:p>
    <w:p>
      <w:pPr>
        <w:pStyle w:val="Heading3"/>
        <w:keepNext/>
        <w:widowControl/>
      </w:pPr>
      <w:r>
        <w:t xml:space="preserve">Where each proposed threshold comes from</w:t>
      </w:r>
    </w:p>
    <w:p>
      <w:pPr>
        <w:pStyle w:val="Normal"/>
        <w:widowControl/>
        <w:numPr>
          <w:ilvl w:val="0"/>
          <w:numId w:val="3"/>
        </w:numPr>
        <w:spacing w:before="60" w:after="20"/>
      </w:pPr>
      <w:r>
        <w:t xml:space="preserve">POLICY: OPTN requires an approved written protocol including NAT/staging but does not mandate a particular radiation dose. STUDY: SBRT 50–60 Gy/3–5 fractions and GCS/56 Gy are published pilot recipes only. LOCAL: GemCis-only prospective arm, no simultaneous biology expansion, and initial ICI exclusion are risk-management proposals. No validated minimum cycle count or safe vascular dose threshold is inferred.</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Welling 2014 · SBRT</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ItMThdPC9EaXNwbGF5VGV4dD48cmVjb3JkPjxyZWMtbnVtYmVyPjE4PC9yZWMtbnVtYmVyPjxmb3JlaWduLWtleXM+PGtleSBhcHA9IkVOIiBkYi1pZD0iNDkzYzc4MTQtZDEzOS01OTM3LWI2ZTgtOTQ0ZWUwMTE1YmY0IiB0aW1lc3RhbXA9IjE3OTI5MjEw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p>
          <w:p>
            <w:pPr>
              <w:pStyle w:val="Normal"/>
              <w:widowControl/>
              <w:spacing w:before="60" w:after="20"/>
            </w:pPr>
            <w:r>
              <w:t xml:space="preserve">“treated with SBRT (50–60 Gy, 3–5 fractions over two weeks)”</w:t>
            </w:r>
          </w:p>
          <w:p>
            <w:pPr>
              <w:pStyle w:val="Normal"/>
              <w:widowControl/>
              <w:spacing w:before="60" w:after="20"/>
            </w:pPr>
            <w:r>
              <w:t xml:space="preserve">Published PDF p1 abstract; protocol details p3</w:t>
            </w:r>
          </w:p>
          <w:p>
            <w:pPr>
              <w:pStyle w:val="Normal"/>
              <w:widowControl/>
              <w:spacing w:before="60" w:after="20"/>
            </w:pPr>
            <w:hyperlink r:id="rId86">
              <w:r>
                <w:rPr>
                  <w:color w:val="77230C"/>
                  <w:sz w:val="20"/>
                  <w:u w:val="single"/>
                </w:rPr>
                <w:t>Source</w:t>
              </w:r>
            </w:hyperlink>
            <w:r>
              <w:t xml:space="preserve"> | </w:t>
            </w:r>
            <w:hyperlink r:id="rId8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Small pilot experience supports study development, not noninferiority or interchangeability.</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Hoogwater 2023 · radiation</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Mi0xOV08L0Rpc3BsYXlUZXh0PjxyZWNvcmQ+PHJlYy1udW1iZXI+MTk8L3JlYy1udW1iZXI+PGZvcmVpZ24ta2V5cz48a2V5IGFwcD0iRU4iIGRiLWlkPSI0OTNjNzgxNC1kMTM5LTU5MzctYjZlOC05NDRlZTAxMTViZjQiIHRpbWVzdGFtcD0iMTc5MjkyMTA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[V12-19]</w:t>
            </w:r>
            <w:r>
              <w:fldChar w:fldCharType="end"/>
            </w:r>
          </w:p>
          <w:p>
            <w:pPr>
              <w:pStyle w:val="Normal"/>
              <w:widowControl/>
              <w:spacing w:before="60" w:after="20"/>
            </w:pPr>
            <w:r>
              <w:t xml:space="preserve">“associated with a higher rate of early hepatic vascular complications”</w:t>
            </w:r>
          </w:p>
          <w:p>
            <w:pPr>
              <w:pStyle w:val="Normal"/>
              <w:widowControl/>
              <w:spacing w:before="60" w:after="20"/>
            </w:pPr>
            <w:r>
              <w:t xml:space="preserve">Published PDF p1, abstract Conclusion</w:t>
            </w:r>
          </w:p>
          <w:p>
            <w:pPr>
              <w:pStyle w:val="Normal"/>
              <w:widowControl/>
              <w:spacing w:before="60" w:after="20"/>
            </w:pPr>
            <w:hyperlink r:id="rId88">
              <w:r>
                <w:rPr>
                  <w:color w:val="77230C"/>
                  <w:sz w:val="20"/>
                  <w:u w:val="single"/>
                </w:rPr>
                <w:t>Source</w:t>
              </w:r>
            </w:hyperlink>
            <w:r>
              <w:t xml:space="preserve"> | </w:t>
            </w:r>
            <w:hyperlink r:id="rId8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recurrence signal must be weighed against vascular/graft harm; observational comparison is confounded.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Keep the established Mayo-style pathway as default; develop GemCis-only and SBRT/capecitabine as separately governed alternatives, without claiming equivalence or superiority.</w:t>
      </w:r>
      <w:r>
        <w:t xml:space="preserve"> </w:t>
      </w:r>
      <w:r>
        <w:t xml:space="preserve"> </w:t>
      </w:r>
      <w:r>
        <w:fldChar w:fldCharType="begin"/>
      </w:r>
      <w:r>
        <w:instrText xml:space="preserve"> ADDIN EN.CITE </w:instrText>
      </w:r>
      <w:r>
        <w:fldChar w:fldCharType="begin">
          <w:fldData>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</w:fldData>
        </w:fldChar>
      </w:r>
      <w:r>
        <w:instrText xml:space="preserve"> ADDIN EN.CITE.DATA </w:instrText>
      </w:r>
      <w:r>
        <w:fldChar w:fldCharType="end"/>
      </w:r>
      <w:r>
        <w:fldChar w:fldCharType="separate"/>
      </w:r>
      <w:r>
        <w:t xml:space="preserve">[V12-18]</w:t>
      </w:r>
      <w:r>
        <w:fldChar w:fldCharType="end"/>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Mi0xOV08L0Rpc3BsYXlUZXh0PjxyZWNvcmQ+PHJlYy1udW1iZXI+MTk8L3JlYy1udW1iZXI+PGZvcmVpZ24ta2V5cz48a2V5IGFwcD0iRU4iIGRiLWlkPSI0OTNjNzgxNC1kMTM5LTU5MzctYjZlOC05NDRlZTAxMTViZjQiIHRpbWVzdGFtcD0iMTc5MjkyMTA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[V12-19]</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</w:fldData>
        </w:fldChar>
      </w:r>
      <w:r>
        <w:instrText xml:space="preserve"> ADDIN EN.CITE.DATA </w:instrText>
      </w:r>
      <w:r>
        <w:fldChar w:fldCharType="end"/>
      </w:r>
      <w:r>
        <w:fldChar w:fldCharType="separate"/>
      </w:r>
      <w:r>
        <w:t xml:space="preserve">[V12-20]</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</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ItMjJdPC9EaXNwbGF5VGV4dD48cmVjb3JkPjxyZWMtbnVtYmVyPjIyPC9yZWMtbnVtYmVyPjxmb3JlaWduLWtleXM+PGtleSBhcHA9IkVOIiBkYi1pZD0iNDkzYzc4MTQtZDEzOS01OTM3LWI2ZTgtOTQ0ZWUwMTE1YmY0IiB0aW1lc3RhbXA9IjE3OTI5MjEw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p>
    <w:p>
      <w:pPr>
        <w:pStyle w:val="Normal"/>
        <w:widowControl/>
        <w:numPr>
          <w:ilvl w:val="0"/>
          <w:numId w:val="3"/>
        </w:numPr>
      </w:pPr>
      <w:r>
        <w:t xml:space="preserve">Default to the established fluoropyrimidine/EBRT-based pathway under the approved radiation and pharmacy protocol.</w:t>
      </w:r>
    </w:p>
    <w:p>
      <w:pPr>
        <w:pStyle w:val="Normal"/>
        <w:widowControl/>
        <w:numPr>
          <w:ilvl w:val="1"/>
          <w:numId w:val="3"/>
        </w:numPr>
        <w:spacing w:before="60" w:after="20"/>
      </w:pPr>
      <w:r>
        <w:t xml:space="preserve">Do not treat a pilot dose/fractionation or cycle count as a universal order.</w:t>
      </w:r>
    </w:p>
    <w:p>
      <w:pPr>
        <w:pStyle w:val="Normal"/>
        <w:widowControl/>
        <w:numPr>
          <w:ilvl w:val="0"/>
          <w:numId w:val="3"/>
        </w:numPr>
      </w:pPr>
      <w:r>
        <w:t xml:space="preserve">Develop a separately governed prospective GemCis-only feasibility/comparative arm for otherwise conventionally selected pCCA.</w:t>
      </w:r>
    </w:p>
    <w:p>
      <w:pPr>
        <w:pStyle w:val="Normal"/>
        <w:widowControl/>
        <w:numPr>
          <w:ilvl w:val="1"/>
          <w:numId w:val="3"/>
        </w:numPr>
        <w:spacing w:before="60" w:after="20"/>
      </w:pPr>
      <w:r>
        <w:t xml:space="preserve">Retain SBRT/capecitabine as another documented pilot option, not the uniquely evidence-preferred alternative.</w:t>
      </w:r>
    </w:p>
    <w:p>
      <w:pPr>
        <w:pStyle w:val="Normal"/>
        <w:widowControl/>
        <w:numPr>
          <w:ilvl w:val="1"/>
          <w:numId w:val="3"/>
        </w:numPr>
        <w:spacing w:before="60" w:after="20"/>
      </w:pPr>
      <w:r>
        <w:t xml:space="preserve">Neither arm is activated by this document.</w:t>
      </w:r>
    </w:p>
    <w:p>
      <w:pPr>
        <w:pStyle w:val="Normal"/>
        <w:widowControl/>
        <w:numPr>
          <w:ilvl w:val="0"/>
          <w:numId w:val="3"/>
        </w:numPr>
      </w:pPr>
      <w:r>
        <w:t xml:space="preserve">Do not combine either alternative with an initial size, primary transperitoneal-biopsy or previously malignant-node expansion.</w:t>
      </w:r>
    </w:p>
    <w:p>
      <w:pPr>
        <w:pStyle w:val="Normal"/>
        <w:widowControl/>
        <w:numPr>
          <w:ilvl w:val="1"/>
          <w:numId w:val="3"/>
        </w:numPr>
        <w:spacing w:before="60" w:after="20"/>
      </w:pPr>
      <w:r>
        <w:t xml:space="preserve">Keep ICI-containing induction outside these initial arms unless separately approved on pre-LT safety evidence.</w:t>
      </w:r>
    </w:p>
    <w:p>
      <w:pPr>
        <w:pStyle w:val="Normal"/>
        <w:widowControl/>
        <w:numPr>
          <w:ilvl w:val="0"/>
          <w:numId w:val="3"/>
        </w:numPr>
      </w:pPr>
      <w:r>
        <w:t xml:space="preserve">Before opening, specify regimen delivery, staging, stopping rules, radiation-field and arterial/biliary reconstruction review.</w:t>
      </w:r>
    </w:p>
    <w:p>
      <w:pPr>
        <w:pStyle w:val="Normal"/>
        <w:widowControl/>
        <w:numPr>
          <w:ilvl w:val="1"/>
          <w:numId w:val="3"/>
        </w:numPr>
        <w:spacing w:before="60" w:after="20"/>
      </w:pPr>
      <w:r>
        <w:t xml:space="preserve">Capture every entrant, failure to reach LT, cholangitis, HAT/PVT, biliary injury, graft loss, recurrence and all graft use.</w:t>
      </w:r>
    </w:p>
    <w:p>
      <w:pPr>
        <w:pStyle w:val="Normal"/>
        <w:widowControl/>
        <w:numPr>
          <w:ilvl w:val="0"/>
          <w:numId w:val="3"/>
        </w:numPr>
      </w:pPr>
      <w:r>
        <w:t xml:space="preserve">Keep every alternative OPEN/not activated, with approved radiation/pharmacy specifications rather than pilot doses copied into routine orders.</w:t>
      </w:r>
    </w:p>
    <w:p>
      <w:pPr>
        <w:pStyle w:val="Normal"/>
        <w:widowControl/>
        <w:numPr>
          <w:ilvl w:val="0"/>
          <w:numId w:val="3"/>
        </w:numPr>
      </w:pPr>
      <w:r>
        <w:t xml:space="preserve">Require radiation-dose-map review, recipient arterial/biliary reconstruction planning and all-entry/graft-use safety endpoints.</w:t>
      </w:r>
    </w:p>
    <w:p>
      <w:pPr>
        <w:pStyle w:val="Normal"/>
        <w:widowControl/>
        <w:numPr>
          <w:ilvl w:val="1"/>
          <w:numId w:val="3"/>
        </w:numPr>
        <w:spacing w:before="60" w:after="20"/>
      </w:pPr>
      <w:r>
        <w:t xml:space="preserve">Update body instructions and meeting records together.</w:t>
      </w:r>
    </w:p>
    <w:p>
      <w:pPr>
        <w:pStyle w:val="Normal"/>
        <w:widowControl/>
        <w:spacing w:before="60" w:after="20"/>
      </w:pPr>
      <w:r>
        <w:rPr>
          <w:b/>
        </w:rPr>
        <w:t xml:space="preserve">Why retain or change it: </w:t>
      </w:r>
      <w:r>
        <w:t xml:space="preserve">OPEN revised stance: use the existing named Mayo-style fluoropyrimidine/EBRT pathway as default, with boost technique and capecitabine specified by the approved radiation/pharmacy protocol. Develop GemCis-only as a separately governed prospective alternative arm for otherwise conventional biology; do not substitute it routinely or label it equivalent. Retain SBRT/capecitabine as another documented pilot option, but not the uniquely preferred alternative. No simultaneous size, primary-biopsy or cleared-node expansion in either arm. Keep ICI-containing induction outside these initial arms pending a separate pre-LT ICI safety protocol. Record all entrants, intended regimen, failures to reach LT, cholangitis, graft loss, HAT/PVT and recurrence.</w:t>
      </w:r>
    </w:p>
    <w:p>
      <w:pPr>
        <w:pStyle w:val="Heading3"/>
        <w:keepNext/>
        <w:widowControl/>
      </w:pPr>
      <w:r>
        <w:t xml:space="preserve">Information required before the decision</w:t>
      </w:r>
    </w:p>
    <w:p>
      <w:pPr>
        <w:pStyle w:val="Normal"/>
        <w:widowControl/>
        <w:spacing w:before="60" w:after="20"/>
      </w:pPr>
      <w:r>
        <w:t xml:space="preserve">Written radiation/chemotherapy plan and dose modifications; drainage/infection plan; biliary/vascular anatomy; actual prior dose maps; operative staging and graft-safety endpoints.</w:t>
      </w:r>
    </w:p>
    <w:p>
      <w:pPr>
        <w:pStyle w:val="Normal"/>
        <w:widowControl/>
        <w:spacing w:before="60" w:after="20"/>
      </w:pPr>
      <w:r>
        <w:rPr>
          <w:b/>
        </w:rPr>
        <w:t xml:space="preserve">Clinical versus allocation: </w:t>
      </w:r>
      <w:r>
        <w:t xml:space="preserve">Policy requires a written neoadjuvant protocol and operative staging, not this exact regimen. A regimen study does not relax the standardized tumor criteria.</w:t>
      </w:r>
    </w:p>
    <w:p>
      <w:pPr>
        <w:pStyle w:val="Normal"/>
        <w:widowControl/>
        <w:spacing w:before="60" w:after="20"/>
      </w:pPr>
      <w:r>
        <w:rPr>
          <w:b/>
        </w:rPr>
        <w:t xml:space="preserve">Roadmap / protocol reconciliation: </w:t>
      </w:r>
      <w:r>
        <w:t xml:space="preserve">Use the biliary roadmap for supportive/systemic care. Do not import advanced-disease GemCis–ICI efficacy as proof of pre-LT safety.</w:t>
      </w:r>
    </w:p>
    <w:p>
      <w:pPr>
        <w:pStyle w:val="Normal"/>
        <w:widowControl/>
        <w:spacing w:before="60" w:after="20"/>
      </w:pPr>
      <w:hyperlink r:id="rId90">
        <w:r>
          <w:rPr>
            <w:color w:val="77230C"/>
            <w:sz w:val="20"/>
            <w:u w:val="single"/>
          </w:rPr>
          <w:t>Meeting record: pCCA-B3</w:t>
        </w:r>
      </w:hyperlink>
      <w:r>
        <w:t xml:space="preserve">  |  </w:t>
      </w:r>
      <w:hyperlink r:id="rId9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3.2 ICI and other investigational components</w:t>
      </w:r>
    </w:p>
    <w:p>
      <w:pPr>
        <w:pStyle w:val="Normal"/>
        <w:widowControl/>
        <w:numPr>
          <w:ilvl w:val="0"/>
          <w:numId w:val="3"/>
        </w:numPr>
      </w:pPr>
      <w:r>
        <w:t xml:space="preserve">If prior ICI exposure occurred, record drug, last dose, immune-related toxicity and its treatment. Arrange transplant-hepatology, oncology and pharmacy review. An approximately 90-day interval may be proposed as a planning safeguard, but neither 50 nor 90 days is a universally safe or CCA-validated cutoff. Record residual rejection/graft-loss uncertainty.</w:t>
      </w:r>
      <w:r>
        <w:t xml:space="preserve"> </w:t>
      </w:r>
      <w:r>
        <w:t xml:space="preserve"> </w:t>
      </w:r>
      <w:r>
        <w:fldChar w:fldCharType="begin"/>
      </w:r>
      <w:r>
        <w:instrText xml:space="preserve"> ADDIN EN.CITE </w:instrText>
      </w:r>
      <w:r>
        <w:fldChar w:fldCharType="begin">
          <w:fldData>PEVuZE5vdGU+PENpdGU+PEF1dGhvcj5Nb2Vja2xpPC9BdXRob3I+PFllYXI+MjAyNTwvWWVhcj48UmVjTnVtPjIzPC9SZWNOdW0+PERpc3BsYXlUZXh0PltWMTItMjNdPC9EaXNwbGF5VGV4dD48cmVjb3JkPjxyZWMtbnVtYmVyPjIzPC9yZWMtbnVtYmVyPjxmb3JlaWduLWtleXM+PGtleSBhcHA9IkVOIiBkYi1pZD0iNDkzYzc4MTQtZDEzOS01OTM3LWI2ZTgtOTQ0ZWUwMTE1YmY0IiB0aW1lc3RhbXA9IjE3OTI5MjEwODQiPjIz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yLTI0XTwvRGlzcGxheVRleHQ+PHJlY29yZD48cmVjLW51bWJlcj4yNDwvcmVjLW51bWJlcj48Zm9yZWlnbi1rZXlzPjxrZXkgYXBwPSJFTiIgZGItaWQ9IjQ5M2M3ODE0LWQxMzktNTkzNy1iNmU4LTk0NGVlMDExNWJmNCIgdGltZXN0YW1wPSIxNzkyOTIxMDg0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ItMjJdPC9EaXNwbGF5VGV4dD48cmVjb3JkPjxyZWMtbnVtYmVyPjIyPC9yZWMtbnVtYmVyPjxmb3JlaWduLWtleXM+PGtleSBhcHA9IkVOIiBkYi1pZD0iNDkzYzc4MTQtZDEzOS01OTM3LWI2ZTgtOTQ0ZWUwMTE1YmY0IiB0aW1lc3RhbXA9IjE3OTI5MjEw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p>
    <w:p>
      <w:pPr>
        <w:pStyle w:val="Normal"/>
        <w:widowControl/>
        <w:numPr>
          <w:ilvl w:val="0"/>
          <w:numId w:val="3"/>
        </w:numPr>
      </w:pPr>
      <w:r>
        <w:t xml:space="preserve">The 25-recipient mixed HCC/CCA report does not validate routine ICI bridging. Its aggregate Results attribute all rejection to HCC, but case 23 and Table 2 describe an iCCA recipient with acute and chronic rejection and relisting. A separate CCA recipient had immediate graft failure requiring retransplantation. Other cohort and interval inconsistencies preclude a clean zero-rejection claim or a validated four-week safe washout.</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yPC9SZWNOdW0+PERpc3BsYXlUZXh0PltWMTItMjJdPC9EaXNwbGF5VGV4dD48cmVjb3JkPjxyZWMtbnVtYmVyPjIyPC9yZWMtbnVtYmVyPjxmb3JlaWduLWtleXM+PGtleSBhcHA9IkVOIiBkYi1pZD0iNDkzYzc4MTQtZDEzOS01OTM3LWI2ZTgtOTQ0ZWUwMTE1YmY0IiB0aW1lc3RhbXA9IjE3OTI5MjEwODQiPjIy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p>
    <w:p>
      <w:pPr>
        <w:pStyle w:val="Normal"/>
        <w:widowControl/>
        <w:numPr>
          <w:ilvl w:val="0"/>
          <w:numId w:val="3"/>
        </w:numPr>
      </w:pPr>
      <w:r>
        <w:t xml:space="preserve">Do not mandate serial ctDNA, Y90 or photodynamic treatment to qualify for LT. A new liver-directed component requires an explicit rationale, arterial/biliary feasibility assessment and prospective safety oversight. ctDNA is an exploratory adjunct, not an independent proceed or stop rule.</w:t>
      </w:r>
    </w:p>
    <w:p>
      <w:pPr>
        <w:pStyle w:val="Normal"/>
        <w:widowControl/>
        <w:numPr>
          <w:ilvl w:val="0"/>
          <w:numId w:val="3"/>
        </w:numPr>
      </w:pPr>
      <w:r>
        <w:t xml:space="preserve">Continue maintenance therapy only under the selected oncology program, with dose and stop date reconciled with surgery, marrow recovery, infection, renal function and any ICI interval. Do not use a generic “until transplant” instruction without a perioperative plan.</w:t>
      </w:r>
    </w:p>
    <w:p>
      <w:pPr>
        <w:pStyle w:val="Heading2"/>
        <w:keepNext/>
        <w:widowControl/>
      </w:pPr>
      <w:r>
        <w:t xml:space="preserve">4 Response assessment and restaging</w:t>
      </w:r>
    </w:p>
    <w:p>
      <w:pPr>
        <w:pStyle w:val="Normal"/>
        <w:widowControl/>
        <w:numPr>
          <w:ilvl w:val="0"/>
          <w:numId w:val="3"/>
        </w:numPr>
      </w:pPr>
      <w:r>
        <w:t xml:space="preserve">Proposed local schedule for approval: review symptoms, drainage/infection and laboratory toxicity during each treatment cycle; repeat cross-sectional disease assessment at phase transitions and approximately every 8–12 weeks during prolonged therapy. Update chest/abdominal staging and CA19-9 before final selection and according to exception submission windows.</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Interpret CA19-9 after relief of obstruction and infection, with nonsecretor status considered. Rising CA19-9 or new symptoms trigger review and confirmatory assessment; they do not substitute for anatomical staging.</w:t>
      </w:r>
    </w:p>
    <w:p>
      <w:pPr>
        <w:pStyle w:val="Normal"/>
        <w:widowControl/>
        <w:numPr>
          <w:ilvl w:val="0"/>
          <w:numId w:val="3"/>
        </w:numPr>
      </w:pPr>
      <w:r>
        <w:t xml:space="preserve">Advance to operative staging only with controlled disease, no new metastatic site, acceptable medical/functional reserve, adequate biliary drainage, a completed treatment and toxicity record, and a documented eligible clinical or approved study route.</w:t>
      </w:r>
    </w:p>
    <w:p>
      <w:pPr>
        <w:pStyle w:val="Normal"/>
        <w:widowControl/>
        <w:numPr>
          <w:ilvl w:val="0"/>
          <w:numId w:val="3"/>
        </w:numPr>
      </w:pPr>
      <w:r>
        <w:t xml:space="preserve">Hold for equivocal nodes, possible peritoneal disease, discordant imaging/markers, unresolved toxicity or unapproved regimen deviation. Progression, proven metastatic nodes, intrahepatic metastases or extrahepatic disease stops the conventional route.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Heading2"/>
        <w:keepNext/>
        <w:widowControl/>
      </w:pPr>
      <w:r>
        <w:t xml:space="preserve">5 Operative staging and transplant clearance</w:t>
      </w:r>
    </w:p>
    <w:p>
      <w:pPr>
        <w:pStyle w:val="Normal"/>
        <w:widowControl/>
        <w:numPr>
          <w:ilvl w:val="0"/>
          <w:numId w:val="3"/>
        </w:numPr>
      </w:pPr>
      <w:r>
        <w:t xml:space="preserve">After neoadjuvant treatment and before LT, inspect the peritoneum and assess regional hepatic nodes. Sample suspicious sites and obtain pathology. Specify staging laparoscopy or laparotomy in the surgical plan. Additional nodal stations or washings may be used according to findings; an indiscriminate extended dissection is not an automatic requirement.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Advance to LT only when staging excludes regional nodal, intrahepatic metastatic and extrahepatic disease, the patient remains fit, technical reconstruction is feasible and all clinical, allocation and donor approvals are complete. Positive malignant staging stops this pathway; indeterminate pathology keeps it on hold.</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The operative plan must address irradiated hepatic artery/portal structures and biliary reconstruction. Retain actual prior radiation and arterial-therapy records. Record arterial/biliary complications and any additional graft use.</w:t>
      </w:r>
      <w:r>
        <w:t xml:space="preserve"> </w:t>
      </w:r>
      <w:r>
        <w:t xml:space="preserve"> </w:t>
      </w:r>
      <w:r>
        <w:fldChar w:fldCharType="begin"/>
      </w:r>
      <w:r>
        <w:instrText xml:space="preserve"> ADDIN EN.CITE </w:instrText>
      </w:r>
      <w:r>
        <w:fldChar w:fldCharType="begin">
          <w:fldData>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</w:fldData>
        </w:fldChar>
      </w:r>
      <w:r>
        <w:instrText xml:space="preserve"> ADDIN EN.CITE.DATA </w:instrText>
      </w:r>
      <w:r>
        <w:fldChar w:fldCharType="end"/>
      </w:r>
      <w:r>
        <w:fldChar w:fldCharType="separate"/>
      </w:r>
      <w:r>
        <w:t xml:space="preserve">[V12-19]</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ItMTddPC9EaXNwbGF5VGV4dD48cmVjb3JkPjxyZWMtbnVtYmVyPjE3PC9yZWMtbnVtYmVyPjxmb3JlaWduLWtleXM+PGtleSBhcHA9IkVOIiBkYi1pZD0iNDkzYzc4MTQtZDEzOS01OTM3LWI2ZTgtOTQ0ZWUwMTE1YmY0IiB0aW1lc3RhbXA9IjE3OTI5MjEw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ItMTddPC9EaXNwbGF5VGV4dD48cmVjb3JkPjxyZWMtbnVtYmVyPjE3PC9yZWMtbnVtYmVyPjxmb3JlaWduLWtleXM+PGtleSBhcHA9IkVOIiBkYi1pZD0iNDkzYzc4MTQtZDEzOS01OTM3LWI2ZTgtOTQ0ZWUwMTE1YmY0IiB0aW1lc3RhbXA9IjE3OTI5MjEwODQ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TwvUmVjTnVtPjxEaXNwbGF5VGV4dD5bVjEyLTI1XTwvRGlzcGxheVRleHQ+PHJlY29yZD48cmVjLW51bWJlcj4yNTwvcmVjLW51bWJlcj48Zm9yZWlnbi1rZXlzPjxrZXkgYXBwPSJFTiIgZGItaWQ9IjQ5M2M3ODE0LWQxMzktNTkzNy1iNmU4LTk0NGVlMDExNWJmNCIgdGltZXN0YW1wPSIxNzkyOTIxMDg0Ij4yN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fldChar w:fldCharType="begin"/>
      </w:r>
      <w:r>
        <w:instrText xml:space="preserve"> ADDIN EN.CITE </w:instrText>
      </w:r>
      <w:r>
        <w:fldChar w:fldCharType="begin">
          <w:fldData>PEVuZE5vdGU+PENpdGU+PEF1dGhvcj5LZWxseTwvQXV0aG9yPjxZZWFyPjIwMjY8L1llYXI+PFJlY051bT4yNTwvUmVjTnVtPjxEaXNwbGF5VGV4dD5bVjEyLTI1XTwvRGlzcGxheVRleHQ+PHJlY29yZD48cmVjLW51bWJlcj4yNTwvcmVjLW51bWJlcj48Zm9yZWlnbi1rZXlzPjxrZXkgYXBwPSJFTiIgZGItaWQ9IjQ5M2M3ODE0LWQxMzktNTkzNy1iNmU4LTk0NGVlMDExNWJmNCIgdGltZXN0YW1wPSIxNzkyOTIxMDg0Ij4yN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0OTNjNzgxNC1kMTM5LTU5MzctYjZlOC05NDRlZTAxMTViZjQiIHRpbWVzdGFtcD0iMTc5MjkyMTA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Y8L1JlY051bT48RGlzcGxheVRleHQ+W1YxMi0yNl08L0Rpc3BsYXlUZXh0PjxyZWNvcmQ+PHJlYy1udW1iZXI+MjY8L3JlYy1udW1iZXI+PGZvcmVpZ24ta2V5cz48a2V5IGFwcD0iRU4iIGRiLWlkPSI0OTNjNzgxNC1kMTM5LTU5MzctYjZlOC05NDRlZTAxMTViZjQiIHRpbWVzdGFtcD0iMTc5MjkyMTA4NCI+MjY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c8L1JlY051bT48RGlzcGxheVRleHQ+W1YxMi0yN108L0Rpc3BsYXlUZXh0PjxyZWNvcmQ+PHJlYy1udW1iZXI+Mjc8L3JlYy1udW1iZXI+PGZvcmVpZ24ta2V5cz48a2V5IGFwcD0iRU4iIGRiLWlkPSI0OTNjNzgxNC1kMTM5LTU5MzctYjZlOC05NDRlZTAxMTViZjQiIHRpbWVzdGFtcD0iMTc5MjkyMTA4NCI+Mjc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[V12-27]</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0OTNjNzgxNC1kMTM5LTU5MzctYjZlOC05NDRlZTAxMTViZjQiIHRpbWVzdGFtcD0iMTc5MjkyMTA4NC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C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Y8L1JlY051bT48RGlzcGxheVRleHQ+W1YxMi0yNl08L0Rpc3BsYXlUZXh0PjxyZWNvcmQ+PHJlYy1udW1iZXI+MjY8L3JlYy1udW1iZXI+PGZvcmVpZ24ta2V5cz48a2V5IGFwcD0iRU4iIGRiLWlkPSI0OTNjNzgxNC1kMTM5LTU5MzctYjZlOC05NDRlZTAxMTViZjQiIHRpbWVzdGFtcD0iMTc5MjkyMTA4NSI+MjY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c8L1JlY051bT48RGlzcGxheVRleHQ+W1YxMi0yN108L0Rpc3BsYXlUZXh0PjxyZWNvcmQ+PHJlYy1udW1iZXI+Mjc8L3JlYy1udW1iZXI+PGZvcmVpZ24ta2V5cz48a2V5IGFwcD0iRU4iIGRiLWlkPSI0OTNjNzgxNC1kMTM5LTU5MzctYjZlOC05NDRlZTAxMTViZjQiIHRpbWVzdGFtcD0iMTc5MjkyMTA4NSI+Mjc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[V12-27]</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92">
        <w:r>
          <w:rPr>
            <w:color w:val="77230C"/>
            <w:sz w:val="20"/>
            <w:u w:val="single"/>
          </w:rPr>
          <w:t>Meeting record: ALLOC-B1</w:t>
        </w:r>
      </w:hyperlink>
      <w:r>
        <w:t xml:space="preserve">  |  </w:t>
      </w:r>
      <w:hyperlink r:id="rId9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c8L1JlY051bT48RGlzcGxheVRleHQ+W1YxMi0yN108L0Rpc3BsYXlUZXh0PjxyZWNvcmQ+PHJlYy1udW1iZXI+Mjc8L3JlYy1udW1iZXI+PGZvcmVpZ24ta2V5cz48a2V5IGFwcD0iRU4iIGRiLWlkPSI0OTNjNzgxNC1kMTM5LTU5MzctYjZlOC05NDRlZTAxMTViZjQiIHRpbWVzdGFtcD0iMTc5MjkyMTA4NSI+Mjc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jg8L1JlY051bT48RGlzcGxheVRleHQ+W1YxMi0yOF08L0Rpc3BsYXlUZXh0PjxyZWNvcmQ+PHJlYy1udW1iZXI+Mjg8L3JlYy1udW1iZXI+PGZvcmVpZ24ta2V5cz48a2V5IGFwcD0iRU4iIGRiLWlkPSI0OTNjNzgxNC1kMTM5LTU5MzctYjZlOC05NDRlZTAxMTViZjQiIHRpbWVzdGFtcD0iMTc5MjkyMTA4NSI+Mjg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TwvUmVjTnVtPjxEaXNwbGF5VGV4dD5bVjEyLTI1XTwvRGlzcGxheVRleHQ+PHJlY29yZD48cmVjLW51bWJlcj4yNTwvcmVjLW51bWJlcj48Zm9yZWlnbi1rZXlzPjxrZXkgYXBwPSJFTiIgZGItaWQ9IjQ5M2M3ODE0LWQxMzktNTkzNy1iNmU4LTk0NGVlMDExNWJmNCIgdGltZXN0YW1wPSIxNzkyOTIxMDg1Ij4yN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I5PC9SZWNOdW0+PERpc3BsYXlUZXh0PltWMTItMjldPC9EaXNwbGF5VGV4dD48cmVjb3JkPjxyZWMtbnVtYmVyPjI5PC9yZWMtbnVtYmVyPjxmb3JlaWduLWtleXM+PGtleSBhcHA9IkVOIiBkYi1pZD0iNDkzYzc4MTQtZDEzOS01OTM3LWI2ZTgtOTQ0ZWUwMTE1YmY0IiB0aW1lc3RhbXA9IjE3OTI5MjEwODUiPjI5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[V12-29]</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MwPC9SZWNOdW0+PERpc3BsYXlUZXh0PltWMTItMzBdPC9EaXNwbGF5VGV4dD48cmVjb3JkPjxyZWMtbnVtYmVyPjMwPC9yZWMtbnVtYmVyPjxmb3JlaWduLWtleXM+PGtleSBhcHA9IkVOIiBkYi1pZD0iNDkzYzc4MTQtZDEzOS01OTM3LWI2ZTgtOTQ0ZWUwMTE1YmY0IiB0aW1lc3RhbXA9IjE3OTI5MjEwODUiPjMw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Db21wbGV0ZSBsb2NhbCBwcmltYXJ5IFBERiBhdmFpbGFibGU7IHJlbGV2YW50IG1ldGhvZHMsIHNlbGVjdGlvbiwgcmVzdWx0cyBhbmQgbGltaXRhdGlvbnMgcmV2aWV3ZWQ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[V12-30]</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zMTwvUmVjTnVtPjxEaXNwbGF5VGV4dD5bVjEyLTMxXTwvRGlzcGxheVRleHQ+PHJlY29yZD48cmVjLW51bWJlcj4zMTwvcmVjLW51bWJlcj48Zm9yZWlnbi1rZXlzPjxrZXkgYXBwPSJFTiIgZGItaWQ9IjQ5M2M3ODE0LWQxMzktNTkzNy1iNmU4LTk0NGVlMDExNWJmNCIgdGltZXN0YW1wPSIxNzkyOTIxMDg1Ij4zM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[V12-31]</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fldChar w:fldCharType="begin"/>
      </w:r>
      <w:r>
        <w:instrText xml:space="preserve"> ADDIN EN.CITE </w:instrText>
      </w:r>
      <w:r>
        <w:fldChar w:fldCharType="begin">
          <w:fldData>PEVuZE5vdGU+PENpdGU+PEF1dGhvcj5BZGFtPC9BdXRob3I+PFllYXI+MjAyNDwvWWVhcj48UmVjTnVtPjMwPC9SZWNOdW0+PERpc3BsYXlUZXh0PltWMTItMzBdPC9EaXNwbGF5VGV4dD48cmVjb3JkPjxyZWMtbnVtYmVyPjMwPC9yZWMtbnVtYmVyPjxmb3JlaWduLWtleXM+PGtleSBhcHA9IkVOIiBkYi1pZD0iNDkzYzc4MTQtZDEzOS01OTM3LWI2ZTgtOTQ0ZWUwMTE1YmY0IiB0aW1lc3RhbXA9IjE3OTI5MjEwODUiPjMw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Db21wbGV0ZSBsb2NhbCBwcmltYXJ5IFBERiBhdmFpbGFibGU7IHJlbGV2YW50IG1ldGhvZHMsIHNlbGVjdGlvbiwgcmVzdWx0cyBhbmQgbGltaXRhdGlvbnMgcmV2aWV3ZWQ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[V12-30]</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TwvUmVjTnVtPjxEaXNwbGF5VGV4dD5bVjEyLTI1XTwvRGlzcGxheVRleHQ+PHJlY29yZD48cmVjLW51bWJlcj4yNTwvcmVjLW51bWJlcj48Zm9yZWlnbi1rZXlzPjxrZXkgYXBwPSJFTiIgZGItaWQ9IjQ5M2M3ODE0LWQxMzktNTkzNy1iNmU4LTk0NGVlMDExNWJmNCIgdGltZXN0YW1wPSIxNzkyOTIxMDg1Ij4yN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c8L1JlY051bT48RGlzcGxheVRleHQ+W1YxMi0yN108L0Rpc3BsYXlUZXh0PjxyZWNvcmQ+PHJlYy1udW1iZXI+Mjc8L3JlYy1udW1iZXI+PGZvcmVpZ24ta2V5cz48a2V5IGFwcD0iRU4iIGRiLWlkPSI0OTNjNzgxNC1kMTM5LTU5MzctYjZlOC05NDRlZTAxMTViZjQiIHRpbWVzdGFtcD0iMTc5MjkyMTA4NSI+Mjc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jg8L1JlY051bT48RGlzcGxheVRleHQ+W1YxMi0yOF08L0Rpc3BsYXlUZXh0PjxyZWNvcmQ+PHJlYy1udW1iZXI+Mjg8L3JlYy1udW1iZXI+PGZvcmVpZ24ta2V5cz48a2V5IGFwcD0iRU4iIGRiLWlkPSI0OTNjNzgxNC1kMTM5LTU5MzctYjZlOC05NDRlZTAxMTViZjQiIHRpbWVzdGFtcD0iMTc5MjkyMTA4NSI+Mjg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I5PC9SZWNOdW0+PERpc3BsYXlUZXh0PltWMTItMjldPC9EaXNwbGF5VGV4dD48cmVjb3JkPjxyZWMtbnVtYmVyPjI5PC9yZWMtbnVtYmVyPjxmb3JlaWduLWtleXM+PGtleSBhcHA9IkVOIiBkYi1pZD0iNDkzYzc4MTQtZDEzOS01OTM3LWI2ZTgtOTQ0ZWUwMTE1YmY0IiB0aW1lc3RhbXA9IjE3OTI5MjEwODUiPjI5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[V12-29]</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zMTwvUmVjTnVtPjxEaXNwbGF5VGV4dD5bVjEyLTMxXTwvRGlzcGxheVRleHQ+PHJlY29yZD48cmVjLW51bWJlcj4zMTwvcmVjLW51bWJlcj48Zm9yZWlnbi1rZXlzPjxrZXkgYXBwPSJFTiIgZGItaWQ9IjQ5M2M3ODE0LWQxMzktNTkzNy1iNmU4LTk0NGVlMDExNWJmNCIgdGltZXN0YW1wPSIxNzkyOTIxMDg1Ij4zMT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[V12-31]</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94">
        <w:r>
          <w:rPr>
            <w:color w:val="77230C"/>
            <w:sz w:val="20"/>
            <w:u w:val="single"/>
          </w:rPr>
          <w:t>Meeting record: ALLOC-B2</w:t>
        </w:r>
      </w:hyperlink>
      <w:r>
        <w:t xml:space="preserve">  |  </w:t>
      </w:r>
      <w:hyperlink r:id="rId9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fldChar w:fldCharType="begin"/>
      </w:r>
      <w:r>
        <w:instrText xml:space="preserve"> ADDIN EN.CITE </w:instrText>
      </w:r>
      <w:r>
        <w:fldChar w:fldCharType="begin">
          <w:fldData>PEVuZE5vdGU+PENpdGU+PEF1dGhvcj5LZWxseTwvQXV0aG9yPjxZZWFyPjIwMjY8L1llYXI+PFJlY051bT4yNTwvUmVjTnVtPjxEaXNwbGF5VGV4dD5bVjEyLTI1XTwvRGlzcGxheVRleHQ+PHJlY29yZD48cmVjLW51bWJlcj4yNTwvcmVjLW51bWJlcj48Zm9yZWlnbi1rZXlzPjxrZXkgYXBwPSJFTiIgZGItaWQ9IjQ5M2M3ODE0LWQxMzktNTkzNy1iNmU4LTk0NGVlMDExNWJmNCIgdGltZXN0YW1wPSIxNzkyOTIxMDg1Ij4yN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r>
        <w:t xml:space="preserve"> </w:t>
      </w:r>
      <w:r>
        <w:t xml:space="preserve"> </w:t>
      </w:r>
      <w:r>
        <w:fldChar w:fldCharType="begin"/>
      </w:r>
      <w:r>
        <w:instrText xml:space="preserve"> ADDIN EN.CITE </w:instrText>
      </w:r>
      <w:r>
        <w:fldChar w:fldCharType="begin">
          <w:fldData>PEVuZE5vdGU+PENpdGU+PEF1dGhvcj5BYmVjYXNzaXM8L0F1dGhvcj48WWVhcj4yMDEyPC9ZZWFyPjxSZWNOdW0+MzI8L1JlY051bT48RGlzcGxheVRleHQ+W1YxMi0zMl08L0Rpc3BsYXlUZXh0PjxyZWNvcmQ+PHJlYy1udW1iZXI+MzI8L3JlYy1udW1iZXI+PGZvcmVpZ24ta2V5cz48a2V5IGFwcD0iRU4iIGRiLWlkPSI0OTNjNzgxNC1kMTM5LTU5MzctYjZlOC05NDRlZTAxMTViZjQiIHRpbWVzdGFtcD0iMTc5MjkyMTA4NSI+MzI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[V12-32]</w:t>
      </w:r>
      <w:r>
        <w:fldChar w:fldCharType="end"/>
      </w:r>
      <w:r>
        <w:t xml:space="preserve"> </w:t>
      </w:r>
      <w:r>
        <w:t xml:space="preserve"> </w:t>
      </w:r>
      <w:r>
        <w:fldChar w:fldCharType="begin"/>
      </w:r>
      <w:r>
        <w:instrText xml:space="preserve"> ADDIN EN.CITE </w:instrText>
      </w:r>
      <w:r>
        <w:fldChar w:fldCharType="begin">
          <w:fldData>PEVuZE5vdGU+PENpdGU+PEF1dGhvcj5EaU1hcnRpbmk8L0F1dGhvcj48WWVhcj4yMDE3PC9ZZWFyPjxSZWNOdW0+MzM8L1JlY051bT48RGlzcGxheVRleHQ+W1YxMi0zM108L0Rpc3BsYXlUZXh0PjxyZWNvcmQ+PHJlYy1udW1iZXI+MzM8L3JlYy1udW1iZXI+PGZvcmVpZ24ta2V5cz48a2V5IGFwcD0iRU4iIGRiLWlkPSI0OTNjNzgxNC1kMTM5LTU5MzctYjZlOC05NDRlZTAxMTViZjQiIHRpbWVzdGFtcD0iMTc5MjkyMTA4NSI+MzM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[V12-33]</w:t>
      </w:r>
      <w:r>
        <w:fldChar w:fldCharType="end"/>
      </w:r>
      <w:r>
        <w:t xml:space="preserve"> </w:t>
      </w:r>
      <w:r>
        <w:t xml:space="preserve"> </w:t>
      </w:r>
      <w:r>
        <w:fldChar w:fldCharType="begin"/>
      </w:r>
      <w:r>
        <w:instrText xml:space="preserve"> ADDIN EN.CITE </w:instrText>
      </w:r>
      <w:r>
        <w:fldChar w:fldCharType="begin">
          <w:fldData>PEVuZE5vdGU+PENpdGU+PEF1dGhvcj5YaWFvPC9BdXRob3I+PFllYXI+MjAyNDwvWWVhcj48UmVjTnVtPjM0PC9SZWNOdW0+PERpc3BsYXlUZXh0PltWMTItMzRdPC9EaXNwbGF5VGV4dD48cmVjb3JkPjxyZWMtbnVtYmVyPjM0PC9yZWMtbnVtYmVyPjxmb3JlaWduLWtleXM+PGtleSBhcHA9IkVOIiBkYi1pZD0iNDkzYzc4MTQtZDEzOS01OTM3LWI2ZTgtOTQ0ZWUwMTE1YmY0IiB0aW1lc3RhbXA9IjE3OTI5MjEwODUiPjM0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[V12-34]</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0OTNjNzgxNC1kMTM5LTU5MzctYjZlOC05NDRlZTAxMTViZjQ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TwvUmVjTnVtPjxEaXNwbGF5VGV4dD5bVjEyLTI1XTwvRGlzcGxheVRleHQ+PHJlY29yZD48cmVjLW51bWJlcj4yNTwvcmVjLW51bWJlcj48Zm9yZWlnbi1rZXlzPjxrZXkgYXBwPSJFTiIgZGItaWQ9IjQ5M2M3ODE0LWQxMzktNTkzNy1iNmU4LTk0NGVlMDExNWJmNCIgdGltZXN0YW1wPSIxNzkyOTIxMDg1Ij4yN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r>
        <w:t xml:space="preserve"> </w:t>
      </w:r>
      <w:r>
        <w:t xml:space="preserve"> </w:t>
      </w:r>
      <w:r>
        <w:fldChar w:fldCharType="begin"/>
      </w:r>
      <w:r>
        <w:instrText xml:space="preserve"> ADDIN EN.CITE </w:instrText>
      </w:r>
      <w:r>
        <w:fldChar w:fldCharType="begin">
          <w:fldData>PEVuZE5vdGU+PENpdGU+PEF1dGhvcj5BYmVjYXNzaXM8L0F1dGhvcj48WWVhcj4yMDEyPC9ZZWFyPjxSZWNOdW0+MzI8L1JlY051bT48RGlzcGxheVRleHQ+W1YxMi0zMl08L0Rpc3BsYXlUZXh0PjxyZWNvcmQ+PHJlYy1udW1iZXI+MzI8L3JlYy1udW1iZXI+PGZvcmVpZ24ta2V5cz48a2V5IGFwcD0iRU4iIGRiLWlkPSI0OTNjNzgxNC1kMTM5LTU5MzctYjZlOC05NDRlZTAxMTViZjQiIHRpbWVzdGFtcD0iMTc5MjkyMTA4NSI+MzI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[V12-32]</w:t>
      </w:r>
      <w:r>
        <w:fldChar w:fldCharType="end"/>
      </w:r>
      <w:r>
        <w:t xml:space="preserve"> </w:t>
      </w:r>
      <w:r>
        <w:t xml:space="preserve"> </w:t>
      </w:r>
      <w:r>
        <w:fldChar w:fldCharType="begin"/>
      </w:r>
      <w:r>
        <w:instrText xml:space="preserve"> ADDIN EN.CITE </w:instrText>
      </w:r>
      <w:r>
        <w:fldChar w:fldCharType="begin">
          <w:fldData>PEVuZE5vdGU+PENpdGU+PEF1dGhvcj5EaU1hcnRpbmk8L0F1dGhvcj48WWVhcj4yMDE3PC9ZZWFyPjxSZWNOdW0+MzM8L1JlY051bT48RGlzcGxheVRleHQ+W1YxMi0zM108L0Rpc3BsYXlUZXh0PjxyZWNvcmQ+PHJlYy1udW1iZXI+MzM8L3JlYy1udW1iZXI+PGZvcmVpZ24ta2V5cz48a2V5IGFwcD0iRU4iIGRiLWlkPSI0OTNjNzgxNC1kMTM5LTU5MzctYjZlOC05NDRlZTAxMTViZjQiIHRpbWVzdGFtcD0iMTc5MjkyMTA4NSI+MzM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[V12-33]</w:t>
      </w:r>
      <w:r>
        <w:fldChar w:fldCharType="end"/>
      </w:r>
      <w:r>
        <w:t xml:space="preserve"> </w:t>
      </w:r>
      <w:r>
        <w:t xml:space="preserve"> </w:t>
      </w:r>
      <w:r>
        <w:fldChar w:fldCharType="begin"/>
      </w:r>
      <w:r>
        <w:instrText xml:space="preserve"> ADDIN EN.CITE </w:instrText>
      </w:r>
      <w:r>
        <w:fldChar w:fldCharType="begin">
          <w:fldData>PEVuZE5vdGU+PENpdGU+PEF1dGhvcj5YaWFvPC9BdXRob3I+PFllYXI+MjAyNDwvWWVhcj48UmVjTnVtPjM0PC9SZWNOdW0+PERpc3BsYXlUZXh0PltWMTItMzRdPC9EaXNwbGF5VGV4dD48cmVjb3JkPjxyZWMtbnVtYmVyPjM0PC9yZWMtbnVtYmVyPjxmb3JlaWduLWtleXM+PGtleSBhcHA9IkVOIiBkYi1pZD0iNDkzYzc4MTQtZDEzOS01OTM3LWI2ZTgtOTQ0ZWUwMTE1YmY0IiB0aW1lc3RhbXA9IjE3OTI5MjEwODUiPjM0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[V12-34]</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96">
        <w:r>
          <w:rPr>
            <w:color w:val="77230C"/>
            <w:sz w:val="20"/>
            <w:u w:val="single"/>
          </w:rPr>
          <w:t>Meeting record: ALLOC-B3</w:t>
        </w:r>
      </w:hyperlink>
      <w:r>
        <w:t xml:space="preserve">  |  </w:t>
      </w:r>
      <w:hyperlink r:id="rId9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6 Post transplant management</w:t>
      </w:r>
    </w:p>
    <w:p>
      <w:pPr>
        <w:pStyle w:val="Normal"/>
        <w:widowControl/>
        <w:numPr>
          <w:ilvl w:val="0"/>
          <w:numId w:val="3"/>
        </w:numPr>
      </w:pPr>
      <w:r>
        <w:t xml:space="preserve">Use institutional immunosuppression and infection prophylaxis with transplant-pharmacy review. Prior ICI is not an indication for unvalidated high tacrolimus targets, automatic ATG or scheduled surveillance biopsies. Investigate graft dysfunction promptly and use for-cause biopsy as appropriate.</w:t>
      </w:r>
      <w:r>
        <w:t xml:space="preserve"> </w:t>
      </w:r>
      <w:r>
        <w:t xml:space="preserve"> </w:t>
      </w:r>
      <w:r>
        <w:fldChar w:fldCharType="begin"/>
      </w:r>
      <w:r>
        <w:instrText xml:space="preserve"> ADDIN EN.CITE </w:instrText>
      </w:r>
      <w:r>
        <w:fldChar w:fldCharType="begin">
          <w:fldData>PEVuZE5vdGU+PENpdGU+PEF1dGhvcj5Eb3ZlPC9BdXRob3I+PFllYXI+MjAyNjwvWWVhcj48UmVjTnVtPjE3PC9SZWNOdW0+PERpc3BsYXlUZXh0PltWMTItMTddPC9EaXNwbGF5VGV4dD48cmVjb3JkPjxyZWMtbnVtYmVyPjE3PC9yZWMtbnVtYmVyPjxmb3JlaWduLWtleXM+PGtleSBhcHA9IkVOIiBkYi1pZD0iNDkzYzc4MTQtZDEzOS01OTM3LWI2ZTgtOTQ0ZWUwMTE1YmY0IiB0aW1lc3RhbXA9IjE3OTI5MjEwODUiPjE3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yLTI0XTwvRGlzcGxheVRleHQ+PHJlY29yZD48cmVjLW51bWJlcj4yNDwvcmVjLW51bWJlcj48Zm9yZWlnbi1rZXlzPjxrZXkgYXBwPSJFTiIgZGItaWQ9IjQ5M2M3ODE0LWQxMzktNTkzNy1iNmU4LTk0NGVlMDExNWJmNCIgdGltZXN0YW1wPSIxNzkyOTIxMDg1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p>
    <w:p>
      <w:pPr>
        <w:pStyle w:val="Normal"/>
        <w:widowControl/>
        <w:numPr>
          <w:ilvl w:val="0"/>
          <w:numId w:val="3"/>
        </w:numPr>
      </w:pPr>
      <w:r>
        <w:t xml:space="preserve">There is no established routine post-LT adjuvant cytotoxic, targeted or checkpoint regimen for this high-risk population. Residual tumor or an actionable mutation on explant does not itself authorize preventive systemic treatment. Document an individual plan or a separately approved study.</w:t>
      </w:r>
    </w:p>
    <w:p>
      <w:pPr>
        <w:pStyle w:val="Normal"/>
        <w:widowControl/>
        <w:numPr>
          <w:ilvl w:val="0"/>
          <w:numId w:val="3"/>
        </w:numPr>
      </w:pPr>
      <w:r>
        <w:t xml:space="preserve">Proposed local oncologic follow-up: chest and contrast abdominal imaging with CA19-9 every three months for two years, then every six months through year five, adjusted for risk, renal function and symptoms. Functional imaging and ctDNA are problem-solving or research tools, not fixed mandatory surveillance tests.</w:t>
      </w:r>
    </w:p>
    <w:p>
      <w:pPr>
        <w:pStyle w:val="Normal"/>
        <w:widowControl/>
        <w:numPr>
          <w:ilvl w:val="0"/>
          <w:numId w:val="3"/>
        </w:numPr>
      </w:pPr>
      <w:r>
        <w:t xml:space="preserve">Confirm and restage suspected recurrence. Select local or systemic treatment through a CCA/transplant MDT, considering disease distribution, graft reserve, interactions and patient priorities. Post-LT ICI carries a distinct graft-loss risk and is not routine recurrence therapy.</w:t>
      </w:r>
      <w:r>
        <w:t xml:space="preserve"> </w:t>
      </w:r>
      <w:r>
        <w:t xml:space="preserve"> </w:t>
      </w:r>
      <w:r>
        <w:fldChar w:fldCharType="begin"/>
      </w:r>
      <w:r>
        <w:instrText xml:space="preserve"> ADDIN EN.CITE </w:instrText>
      </w:r>
      <w:r>
        <w:fldChar w:fldCharType="begin">
          <w:fldData>PEVuZE5vdGU+PENpdGU+PEF1dGhvcj5EZSBNYXJ0aW48L0F1dGhvcj48WWVhcj4yMDI2PC9ZZWFyPjxSZWNOdW0+MzU8L1JlY051bT48RGlzcGxheVRleHQ+W1YxMi0zNV08L0Rpc3BsYXlUZXh0PjxyZWNvcmQ+PHJlYy1udW1iZXI+MzU8L3JlYy1udW1iZXI+PGZvcmVpZ24ta2V5cz48a2V5IGFwcD0iRU4iIGRiLWlkPSI0OTNjNzgxNC1kMTM5LTU5MzctYjZlOC05NDRlZTAxMTViZjQiIHRpbWVzdGFtcD0iMTc5MjkyMTA4NSI+MzU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[V12-35]</w:t>
      </w:r>
      <w:r>
        <w:fldChar w:fldCharType="end"/>
      </w:r>
    </w:p>
    <w:p>
      <w:pPr>
        <w:pStyle w:val="Heading2"/>
        <w:keepNext/>
        <w:widowControl/>
      </w:pPr>
      <w:r>
        <w:t xml:space="preserve">7 Outcomes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fldChar w:fldCharType="begin"/>
      </w:r>
      <w:r>
        <w:instrText xml:space="preserve"> ADDIN EN.CITE </w:instrText>
      </w:r>
      <w:r>
        <w:fldChar w:fldCharType="begin">
          <w:fldData>PEVuZE5vdGU+PENpdGU+PEF1dGhvcj5MbG92ZXQ8L0F1dGhvcj48WWVhcj4yMDI2PC9ZZWFyPjxSZWNOdW0+Mjg8L1JlY051bT48RGlzcGxheVRleHQ+W1YxMi0yOF08L0Rpc3BsYXlUZXh0PjxyZWNvcmQ+PHJlYy1udW1iZXI+Mjg8L3JlYy1udW1iZXI+PGZvcmVpZ24ta2V5cz48a2V5IGFwcD0iRU4iIGRiLWlkPSI0OTNjNzgxNC1kMTM5LTU5MzctYjZlOC05NDRlZTAxMTViZjQiIHRpbWVzdGFtcD0iMTc5MjkyMTA4NSI+Mjg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FbGRyaWRnZTwvQXV0aG9yPjxZZWFyPjIwMTY8L1llYXI+PFJlY051bT4zNjwvUmVjTnVtPjxEaXNwbGF5VGV4dD5bVjEyLTM2XTwvRGlzcGxheVRleHQ+PHJlY29yZD48cmVjLW51bWJlcj4zNjwvcmVjLW51bWJlcj48Zm9yZWlnbi1rZXlzPjxrZXkgYXBwPSJFTiIgZGItaWQ9IjQ5M2M3ODE0LWQxMzktNTkzNy1iNmU4LTk0NGVlMDExNWJmNCIgdGltZXN0YW1wPSIxNzkyOTIxMDg1Ij4zNj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[V12-36]</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Y8L1JlY051bT48RGlzcGxheVRleHQ+W1YxMi0yNl08L0Rpc3BsYXlUZXh0PjxyZWNvcmQ+PHJlYy1udW1iZXI+MjY8L3JlYy1udW1iZXI+PGZvcmVpZ24ta2V5cz48a2V5IGFwcD0iRU4iIGRiLWlkPSI0OTNjNzgxNC1kMTM5LTU5MzctYjZlOC05NDRlZTAxMTViZjQiIHRpbWVzdGFtcD0iMTc5MjkyMTA4NSI+MjY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TwvUmVjTnVtPjxEaXNwbGF5VGV4dD5bVjEyLTI1XTwvRGlzcGxheVRleHQ+PHJlY29yZD48cmVjLW51bWJlcj4yNTwvcmVjLW51bWJlcj48Zm9yZWlnbi1rZXlzPjxrZXkgYXBwPSJFTiIgZGItaWQ9IjQ5M2M3ODE0LWQxMzktNTkzNy1iNmU4LTk0NGVlMDExNWJmNCIgdGltZXN0YW1wPSIxNzkyOTIxMDg1Ij4yN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M3PC9SZWNOdW0+PERpc3BsYXlUZXh0PltWMTItMzddPC9EaXNwbGF5VGV4dD48cmVjb3JkPjxyZWMtbnVtYmVyPjM3PC9yZWMtbnVtYmVyPjxmb3JlaWduLWtleXM+PGtleSBhcHA9IkVOIiBkYi1pZD0iNDkzYzc4MTQtZDEzOS01OTM3LWI2ZTgtOTQ0ZWUwMTE1YmY0IiB0aW1lc3RhbXA9IjE3OTI5MjEwODUiPjM3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XZpZXdlZC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[V12-37]</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zODwvUmVjTnVtPjxEaXNwbGF5VGV4dD5bVjEyLTM4XTwvRGlzcGxheVRleHQ+PHJlY29yZD48cmVjLW51bWJlcj4zODwvcmVjLW51bWJlcj48Zm9yZWlnbi1rZXlzPjxrZXkgYXBwPSJFTiIgZGItaWQ9IjQ5M2M3ODE0LWQxMzktNTkzNy1iNmU4LTk0NGVlMDExNWJmNCIgdGltZXN0YW1wPSIxNzkyOTIxMDg1Ij4zO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[V12-38]</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fldChar w:fldCharType="begin"/>
      </w:r>
      <w:r>
        <w:instrText xml:space="preserve"> ADDIN EN.CITE </w:instrText>
      </w:r>
      <w:r>
        <w:fldChar w:fldCharType="begin">
          <w:fldData>PEVuZE5vdGU+PENpdGU+PEF1dGhvcj5MbG92ZXQ8L0F1dGhvcj48WWVhcj4yMDI2PC9ZZWFyPjxSZWNOdW0+Mjg8L1JlY051bT48RGlzcGxheVRleHQ+W1YxMi0yOF08L0Rpc3BsYXlUZXh0PjxyZWNvcmQ+PHJlYy1udW1iZXI+Mjg8L3JlYy1udW1iZXI+PGZvcmVpZ24ta2V5cz48a2V5IGFwcD0iRU4iIGRiLWlkPSI0OTNjNzgxNC1kMTM5LTU5MzctYjZlOC05NDRlZTAxMTViZjQiIHRpbWVzdGFtcD0iMTc5MjkyMTA4NSI+Mjg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FbGRyaWRnZTwvQXV0aG9yPjxZZWFyPjIwMTY8L1llYXI+PFJlY051bT4zNjwvUmVjTnVtPjxEaXNwbGF5VGV4dD5bVjEyLTM2XTwvRGlzcGxheVRleHQ+PHJlY29yZD48cmVjLW51bWJlcj4zNjwvcmVjLW51bWJlcj48Zm9yZWlnbi1rZXlzPjxrZXkgYXBwPSJFTiIgZGItaWQ9IjQ5M2M3ODE0LWQxMzktNTkzNy1iNmU4LTk0NGVlMDExNWJmNCIgdGltZXN0YW1wPSIxNzkyOTIxMDg1Ij4zNj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[V12-36]</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Y8L1JlY051bT48RGlzcGxheVRleHQ+W1YxMi0yNl08L0Rpc3BsYXlUZXh0PjxyZWNvcmQ+PHJlYy1udW1iZXI+MjY8L3JlYy1udW1iZXI+PGZvcmVpZ24ta2V5cz48a2V5IGFwcD0iRU4iIGRiLWlkPSI0OTNjNzgxNC1kMTM5LTU5MzctYjZlOC05NDRlZTAxMTViZjQiIHRpbWVzdGFtcD0iMTc5MjkyMTA4NSI+MjY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TwvUmVjTnVtPjxEaXNwbGF5VGV4dD5bVjEyLTI1XTwvRGlzcGxheVRleHQ+PHJlY29yZD48cmVjLW51bWJlcj4yNTwvcmVjLW51bWJlcj48Zm9yZWlnbi1rZXlzPjxrZXkgYXBwPSJFTiIgZGItaWQ9IjQ5M2M3ODE0LWQxMzktNTkzNy1iNmU4LTk0NGVlMDExNWJmNCIgdGltZXN0YW1wPSIxNzkyOTIxMDg1Ij4yNT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[V12-25]</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M3PC9SZWNOdW0+PERpc3BsYXlUZXh0PltWMTItMzddPC9EaXNwbGF5VGV4dD48cmVjb3JkPjxyZWMtbnVtYmVyPjM3PC9yZWMtbnVtYmVyPjxmb3JlaWduLWtleXM+PGtleSBhcHA9IkVOIiBkYi1pZD0iNDkzYzc4MTQtZDEzOS01OTM3LWI2ZTgtOTQ0ZWUwMTE1YmY0IiB0aW1lc3RhbXA9IjE3OTI5MjEwODUiPjM3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XZpZXdlZC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[V12-37]</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zODwvUmVjTnVtPjxEaXNwbGF5VGV4dD5bVjEyLTM4XTwvRGlzcGxheVRleHQ+PHJlY29yZD48cmVjLW51bWJlcj4zODwvcmVjLW51bWJlcj48Zm9yZWlnbi1rZXlzPjxrZXkgYXBwPSJFTiIgZGItaWQ9IjQ5M2M3ODE0LWQxMzktNTkzNy1iNmU4LTk0NGVlMDExNWJmNCIgdGltZXN0YW1wPSIxNzkyOTIxMDg1Ij4zO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[V12-38]</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98">
        <w:r>
          <w:rPr>
            <w:color w:val="77230C"/>
            <w:sz w:val="20"/>
            <w:u w:val="single"/>
          </w:rPr>
          <w:t>Meeting record: ALLOC-B4</w:t>
        </w:r>
      </w:hyperlink>
      <w:r>
        <w:t xml:space="preserve">  |  </w:t>
      </w:r>
      <w:hyperlink r:id="rId9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8 Decisions required before expansion</w:t>
      </w:r>
    </w:p>
    <w:p>
      <w:pPr>
        <w:pStyle w:val="Normal"/>
        <w:widowControl/>
      </w:pPr>
      <w:r>
        <w:t xml:space="preserve">Resolve pCCA-B1–B3 and ALLOC-B1–B4 in the linked disease-specific meeting record. The immediate protocol correction is to stop treating size, biopsy, cleared nodes and regimen changes as interchangeable. Study activation remains a separate decision.</w:t>
      </w:r>
    </w:p>
    <w:p>
      <w:pPr>
        <w:pStyle w:val="Normal"/>
        <w:widowControl/>
        <w:numPr>
          <w:ilvl w:val="0"/>
          <w:numId w:val="3"/>
        </w:numPr>
      </w:pPr>
      <w:r>
        <w:t xml:space="preserve">Record the selected radial measurement method, handling of exactly 3.0 cm, original biopsy/nodal history, resection comparator, permitted regimen and oversight owners. Transplant surgery, hepatology, advanced GI, HPB surgery, oncology, radiation oncology, pathology and allocation should sign their respective determinations.</w:t>
      </w:r>
    </w:p>
    <w:p>
      <w:pPr>
        <w:pStyle w:val="Normal"/>
        <w:widowControl/>
      </w:pPr>
      <w:r>
        <w:t xml:space="preserve">Evidence review record: </w:t>
      </w:r>
      <w:hyperlink r:id="rId100">
        <w:r>
          <w:rPr>
            <w:color w:val="77230C"/>
            <w:sz w:val="20"/>
            <w:u w:val="single"/>
          </w:rPr>
          <w:t>Five analyst comments and reconciliation</w:t>
        </w:r>
      </w:hyperlink>
      <w:r>
        <w:t xml:space="preserve">  |  </w:t>
      </w:r>
      <w:hyperlink r:id="rId101">
        <w:r>
          <w:rPr>
            <w:color w:val="77230C"/>
            <w:sz w:val="20"/>
            <w:u w:val="single"/>
          </w:rPr>
          <w:t>Prospective outcomes dataset</w:t>
        </w:r>
      </w:hyperlink>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Size, biopsy and regimen comparisons were liable to be interpreted as evidence for broader eligibility. </w:t>
      </w:r>
      <w:r>
        <w:rPr>
          <w:b/>
        </w:rPr>
        <w:t xml:space="preserve">Correction and reason: </w:t>
      </w:r>
      <w:r>
        <w:t xml:space="preserve">Clarified radial-size versus recorded mass dimensions, node versus primary biopsy, unadjusted resection comparisons and separately governed regimen alternatives.</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V12 evidence-integrated treatment and reassessment</w:t>
      </w:r>
    </w:p>
    <w:p>
      <w:pPr>
        <w:pStyle w:val="Normal"/>
        <w:widowControl/>
        <w:spacing w:after="120"/>
      </w:pPr>
      <w:r>
        <w:t xml:space="preserve">These systemic studies inform advanced biliary cancer care, not the established pCCA transplant-neoadjuvant regimen. Preserve biopsy-route precautions and existing staging, neoadjuvant and operative gates. ICI exposure requires prospective transplant safety review.</w:t>
      </w:r>
    </w:p>
    <w:p>
      <w:pPr>
        <w:pStyle w:val="Heading2"/>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fldChar w:fldCharType="begin"/>
      </w:r>
      <w:r>
        <w:instrText xml:space="preserve"> ADDIN EN.CITE </w:instrText>
      </w:r>
      <w:r>
        <w:fldChar w:fldCharType="begin">
          <w:fldData>PEVuZE5vdGU+PENpdGU+PEF1dGhvcj5TaHJvZmYgUlQ8L0F1dGhvcj48WWVhcj4yMDI2PC9ZZWFyPjxSZWNOdW0+Mzk8L1JlY051bT48RGlzcGxheVRleHQ+W1YxMi0zOV08L0Rpc3BsYXlUZXh0PjxyZWNvcmQ+PHJlYy1udW1iZXI+Mzk8L3JlYy1udW1iZXI+PGZvcmVpZ24ta2V5cz48a2V5IGFwcD0iRU4iIGRiLWlkPSI0OTNjNzgxNC1kMTM5LTU5MzctYjZlOC05NDRlZTAxMTViZjQiIHRpbWVzdGFtcD0iMTc5MjkyMTA4NSI+Mzk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[V12-39]</w:t>
      </w:r>
      <w:r>
        <w:fldChar w:fldCharType="end"/>
      </w:r>
      <w:r>
        <w:br/>
      </w:r>
      <w:hyperlink r:id="rId177">
        <w:r>
          <w:rPr>
            <w:color w:val="0563C1"/>
            <w:u w:val="single"/>
          </w:rPr>
          <w:t>Source</w:t>
        </w:r>
      </w:hyperlink>
      <w:r>
        <w:t xml:space="preserve"> · </w:t>
      </w:r>
      <w:hyperlink r:id="rId178">
        <w:r>
          <w:rPr>
            <w:color w:val="0563C1"/>
            <w:u w:val="single"/>
          </w:rPr>
          <w:t>PDF</w:t>
        </w:r>
      </w:hyperlink>
    </w:p>
    <w:p>
      <w:pPr>
        <w:pStyle w:val="Heading2"/>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fldChar w:fldCharType="begin"/>
      </w:r>
      <w:r>
        <w:instrText xml:space="preserve"> ADDIN EN.CITE </w:instrText>
      </w:r>
      <w:r>
        <w:fldChar w:fldCharType="begin">
          <w:fldData>PEVuZE5vdGU+PENpdGU+PEF1dGhvcj5Wb2dlbCBBPC9BdXRob3I+PFllYXI+MjAyNDwvWWVhcj48UmVjTnVtPjQwPC9SZWNOdW0+PERpc3BsYXlUZXh0PltWMTItNDBdPC9EaXNwbGF5VGV4dD48cmVjb3JkPjxyZWMtbnVtYmVyPjQwPC9yZWMtbnVtYmVyPjxmb3JlaWduLWtleXM+PGtleSBhcHA9IkVOIiBkYi1pZD0iNDkzYzc4MTQtZDEzOS01OTM3LWI2ZTgtOTQ0ZWUwMTE1YmY0IiB0aW1lc3RhbXA9IjE3OTI5MjEwODUiPjQw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[V12-40]</w:t>
      </w:r>
      <w:r>
        <w:fldChar w:fldCharType="end"/>
      </w:r>
      <w:r>
        <w:br/>
      </w:r>
      <w:hyperlink r:id="rId179">
        <w:r>
          <w:rPr>
            <w:color w:val="0563C1"/>
            <w:u w:val="single"/>
          </w:rPr>
          <w:t>Source</w:t>
        </w:r>
      </w:hyperlink>
      <w:r>
        <w:t xml:space="preserve"> · </w:t>
      </w:r>
      <w:hyperlink r:id="rId180">
        <w:r>
          <w:rPr>
            <w:color w:val="0563C1"/>
            <w:u w:val="single"/>
          </w:rPr>
          <w:t>PDF</w:t>
        </w:r>
      </w:hyperlink>
    </w:p>
    <w:p>
      <w:pPr>
        <w:pStyle w:val="Normal"/>
        <w:widowControl/>
        <w:spacing w:after="120"/>
      </w:pPr>
      <w:r>
        <w:t xml:space="preserve">Treatment comparisons and detailed regimen evidence: </w:t>
      </w:r>
      <w:hyperlink r:id="rId176">
        <w:r>
          <w:rPr>
            <w:color w:val="0563C1"/>
            <w:u w:val="single"/>
          </w:rPr>
          <w:t>Cross-tumor systemic matrix</w:t>
        </w:r>
      </w:hyperlink>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Organ Procurement and Transplantation Network. OPTN Policies: liver allocation and living donation. HRSA/OPTN. 2026. </w:t>
      </w:r>
      <w:hyperlink r:id="rId181">
        <w:r>
          <w:rPr>
            <w:color w:val="0563C1"/>
            <w:u w:val="single"/>
          </w:rPr>
          <w:t>Source</w:t>
        </w:r>
      </w:hyperlink>
      <w:r>
        <w:t xml:space="preserve"> | </w:t>
      </w:r>
      <w:hyperlink r:id="rId182">
        <w:r>
          <w:rPr>
            <w:color w:val="0563C1"/>
            <w:u w:val="single"/>
          </w:rPr>
          <w:t>Full-text access</w:t>
        </w:r>
      </w:hyperlink>
    </w:p>
    <w:p>
      <w:pPr>
        <w:pStyle w:val="Normal"/>
        <w:widowControl/>
        <w:spacing w:after="120"/>
      </w:pPr>
      <w:r>
        <w:t xml:space="preserve"/>
      </w:r>
      <w:r>
        <w:t xml:space="preserve">[V12-2] Organ Procurement and Transplantation Network. Adult MELD Exceptions for Transplant Oncology. HRSA/OPTN. 2025. </w:t>
      </w:r>
      <w:hyperlink r:id="rId183">
        <w:r>
          <w:rPr>
            <w:color w:val="0563C1"/>
            <w:u w:val="single"/>
          </w:rPr>
          <w:t>Source</w:t>
        </w:r>
      </w:hyperlink>
      <w:r>
        <w:t xml:space="preserve"> | </w:t>
      </w:r>
      <w:hyperlink r:id="rId184">
        <w:r>
          <w:rPr>
            <w:color w:val="0563C1"/>
            <w:u w:val="single"/>
          </w:rPr>
          <w:t>Full-text access</w:t>
        </w:r>
      </w:hyperlink>
    </w:p>
    <w:p>
      <w:pPr>
        <w:pStyle w:val="Normal"/>
        <w:widowControl/>
        <w:spacing w:after="120"/>
      </w:pPr>
      <w:r>
        <w:t xml:space="preserve"/>
      </w:r>
      <w:r>
        <w:t xml:space="preserve">[V12-3] Dong, Yawen; Li, Zhihao; Podrascanin, Vanja; et al. Liver resection with and without vascular resection versus transplantation for de novo perihilar cholangiocarcinoma. Hepatology. 2026; 83(5):1128-1142. </w:t>
      </w:r>
      <w:hyperlink r:id="rId185">
        <w:r>
          <w:rPr>
            <w:color w:val="0563C1"/>
            <w:u w:val="single"/>
          </w:rPr>
          <w:t>Source</w:t>
        </w:r>
      </w:hyperlink>
      <w:r>
        <w:t xml:space="preserve"> | </w:t>
      </w:r>
      <w:hyperlink r:id="rId186">
        <w:r>
          <w:rPr>
            <w:color w:val="0563C1"/>
            <w:u w:val="single"/>
          </w:rPr>
          <w:t>Full-text access</w:t>
        </w:r>
      </w:hyperlink>
    </w:p>
    <w:p>
      <w:pPr>
        <w:pStyle w:val="Normal"/>
        <w:widowControl/>
        <w:spacing w:after="120"/>
      </w:pPr>
      <w:r>
        <w:t xml:space="preserve"/>
      </w:r>
      <w:r>
        <w:t xml:space="preserve">[V12-4] Heimbach, Julie K; Sanchez, William; Rosen, Charles B; et al. Trans-peritoneal fine needle aspiration biopsy of hilar cholangiocarcinoma is associated with disease dissemination. HPB : the official journal of the International Hepato Pancreato Biliary Association. 2011; 13(5):356-60. </w:t>
      </w:r>
      <w:hyperlink r:id="rId187">
        <w:r>
          <w:rPr>
            <w:color w:val="0563C1"/>
            <w:u w:val="single"/>
          </w:rPr>
          <w:t>Source</w:t>
        </w:r>
      </w:hyperlink>
      <w:r>
        <w:t xml:space="preserve"> | </w:t>
      </w:r>
      <w:hyperlink r:id="rId188">
        <w:r>
          <w:rPr>
            <w:color w:val="0563C1"/>
            <w:u w:val="single"/>
          </w:rPr>
          <w:t>Full-text access</w:t>
        </w:r>
      </w:hyperlink>
    </w:p>
    <w:p>
      <w:pPr>
        <w:pStyle w:val="Normal"/>
        <w:widowControl/>
        <w:spacing w:after="120"/>
      </w:pPr>
      <w:r>
        <w:t xml:space="preserve"/>
      </w:r>
      <w:r>
        <w:t xml:space="preserve">[V12-5] Darwish Murad, Sarwa; Kim, W. Ray; Harnois, Denise M.; et al. Efficacy of Neoadjuvant Chemoradiation, Followed by Liver Transplantation, for Perihilar Cholangiocarcinoma at 12 US Centers. Gastroenterology. 2012; 143(1):88-98.e3. </w:t>
      </w:r>
      <w:hyperlink r:id="rId189">
        <w:r>
          <w:rPr>
            <w:color w:val="0563C1"/>
            <w:u w:val="single"/>
          </w:rPr>
          <w:t>Source</w:t>
        </w:r>
      </w:hyperlink>
      <w:r>
        <w:t xml:space="preserve"> | </w:t>
      </w:r>
      <w:hyperlink r:id="rId190">
        <w:r>
          <w:rPr>
            <w:color w:val="0563C1"/>
            <w:u w:val="single"/>
          </w:rPr>
          <w:t>Full-text access</w:t>
        </w:r>
      </w:hyperlink>
    </w:p>
    <w:p>
      <w:pPr>
        <w:pStyle w:val="Normal"/>
        <w:widowControl/>
        <w:spacing w:after="120"/>
      </w:pPr>
      <w:r>
        <w:t xml:space="preserve"/>
      </w:r>
      <w:r>
        <w:t xml:space="preserve">[V12-6] Darwish Murad, Sarwa. Predictors of pretransplant dropout and posttransplant recurrence in patients with perihilar cholangiocarcinoma. Hepatology. 2012. </w:t>
      </w:r>
      <w:hyperlink r:id="rId191">
        <w:r>
          <w:rPr>
            <w:color w:val="0563C1"/>
            <w:u w:val="single"/>
          </w:rPr>
          <w:t>Source</w:t>
        </w:r>
      </w:hyperlink>
      <w:r>
        <w:t xml:space="preserve"> | </w:t>
      </w:r>
      <w:hyperlink r:id="rId192">
        <w:r>
          <w:rPr>
            <w:color w:val="0563C1"/>
            <w:u w:val="single"/>
          </w:rPr>
          <w:t>Full-text access</w:t>
        </w:r>
      </w:hyperlink>
    </w:p>
    <w:p>
      <w:pPr>
        <w:pStyle w:val="Normal"/>
        <w:widowControl/>
        <w:spacing w:after="120"/>
      </w:pPr>
      <w:r>
        <w:t xml:space="preserve"/>
      </w:r>
      <w:r>
        <w:t xml:space="preserve">[V12-7] Aveson, Victoria G; Ilagan, Crisanta H; Chou, Joanne F; et al. Association between biopsy method and development of peritoneal metastases in perihilar cholangiocarcinoma. HPB (Oxford). 2022. </w:t>
      </w:r>
      <w:hyperlink r:id="rId193">
        <w:r>
          <w:rPr>
            <w:color w:val="0563C1"/>
            <w:u w:val="single"/>
          </w:rPr>
          <w:t>Source</w:t>
        </w:r>
      </w:hyperlink>
      <w:r>
        <w:t xml:space="preserve"> | </w:t>
      </w:r>
      <w:hyperlink r:id="rId194">
        <w:r>
          <w:rPr>
            <w:color w:val="0563C1"/>
            <w:u w:val="single"/>
          </w:rPr>
          <w:t>Full-text access</w:t>
        </w:r>
      </w:hyperlink>
    </w:p>
    <w:p>
      <w:pPr>
        <w:pStyle w:val="Normal"/>
        <w:widowControl/>
        <w:spacing w:after="120"/>
      </w:pPr>
      <w:r>
        <w:t xml:space="preserve"/>
      </w:r>
      <w:r>
        <w:t xml:space="preserve">[V12-8] Soliman, Nadine; Connor, Ashton A; Saharia, Ashish; et al. Neoadjuvant Multiagent Systemic Therapy Approach to Liver Transplantation for Perihilar Cholangiocarcinoma. Transplantation direct. 2025; 11(3):e1760. </w:t>
      </w:r>
      <w:hyperlink r:id="rId195">
        <w:r>
          <w:rPr>
            <w:color w:val="0563C1"/>
            <w:u w:val="single"/>
          </w:rPr>
          <w:t>Source</w:t>
        </w:r>
      </w:hyperlink>
      <w:r>
        <w:t xml:space="preserve"> | </w:t>
      </w:r>
      <w:hyperlink r:id="rId196">
        <w:r>
          <w:rPr>
            <w:color w:val="0563C1"/>
            <w:u w:val="single"/>
          </w:rPr>
          <w:t>Full-text access</w:t>
        </w:r>
      </w:hyperlink>
    </w:p>
    <w:p>
      <w:pPr>
        <w:pStyle w:val="Normal"/>
        <w:widowControl/>
        <w:spacing w:after="120"/>
      </w:pPr>
      <w:r>
        <w:t xml:space="preserve"/>
      </w:r>
      <w:r>
        <w:t xml:space="preserve">[V12-9] Bowlus, Christopher L.; Arrivé, Lionel; Bergquist, Annika; et al. AASLD practice guidance on primary sclerosing cholangitis and cholangiocarcinoma. Hepatology. 2022; 77(2):659-702. </w:t>
      </w:r>
      <w:hyperlink r:id="rId197">
        <w:r>
          <w:rPr>
            <w:color w:val="0563C1"/>
            <w:u w:val="single"/>
          </w:rPr>
          <w:t>Source</w:t>
        </w:r>
      </w:hyperlink>
      <w:r>
        <w:t xml:space="preserve"> | </w:t>
      </w:r>
      <w:hyperlink r:id="rId198">
        <w:r>
          <w:rPr>
            <w:color w:val="0563C1"/>
            <w:u w:val="single"/>
          </w:rPr>
          <w:t>Full-text access</w:t>
        </w:r>
      </w:hyperlink>
    </w:p>
    <w:p>
      <w:pPr>
        <w:pStyle w:val="Normal"/>
        <w:widowControl/>
        <w:spacing w:after="120"/>
      </w:pPr>
      <w:r>
        <w:t xml:space="preserve"/>
      </w:r>
      <w:r>
        <w:t xml:space="preserve">[V12-10] Loveday, Benjamin P.T.; Knox, Jennifer J.; Dawson, Laura A.; et al. Neoadjuvant hyperfractionated chemoradiation and liver transplantation for unresectable perihilar cholangiocarcinoma in Canada. Journal of Surgical Oncology. 2018; 117(2):213-219. </w:t>
      </w:r>
      <w:hyperlink r:id="rId199">
        <w:r>
          <w:rPr>
            <w:color w:val="0563C1"/>
            <w:u w:val="single"/>
          </w:rPr>
          <w:t>Source</w:t>
        </w:r>
      </w:hyperlink>
      <w:r>
        <w:t xml:space="preserve"> | </w:t>
      </w:r>
      <w:hyperlink r:id="rId200">
        <w:r>
          <w:rPr>
            <w:color w:val="0563C1"/>
            <w:u w:val="single"/>
          </w:rPr>
          <w:t>Full-text access</w:t>
        </w:r>
      </w:hyperlink>
    </w:p>
    <w:p>
      <w:pPr>
        <w:pStyle w:val="Normal"/>
        <w:widowControl/>
        <w:spacing w:after="120"/>
      </w:pPr>
      <w:r>
        <w:t xml:space="preserve"/>
      </w:r>
      <w:r>
        <w:t xml:space="preserve">[V12-11] National Comprehensive Cancer Network. NCCN Clinical Practice Guidelines in Oncology: Biliary Tract Cancers, Version 1.2026 (10 March 2026). . 2026. </w:t>
      </w:r>
      <w:hyperlink r:id="rId201">
        <w:r>
          <w:rPr>
            <w:color w:val="0563C1"/>
            <w:u w:val="single"/>
          </w:rPr>
          <w:t>Source</w:t>
        </w:r>
      </w:hyperlink>
      <w:r>
        <w:t xml:space="preserve"> | </w:t>
      </w:r>
      <w:hyperlink r:id="rId202">
        <w:r>
          <w:rPr>
            <w:color w:val="0563C1"/>
            <w:u w:val="single"/>
          </w:rPr>
          <w:t>Full-text access</w:t>
        </w:r>
      </w:hyperlink>
    </w:p>
    <w:p>
      <w:pPr>
        <w:pStyle w:val="Normal"/>
        <w:widowControl/>
        <w:spacing w:after="120"/>
      </w:pPr>
      <w:r>
        <w:t xml:space="preserve"/>
      </w:r>
      <w:r>
        <w:t xml:space="preserve">[V12-12] Ethun, Cecilia G; Lopez-Aguiar, Alexandra G; Anderson, Douglas J; et al. Transplantation Versus Resection for Hilar Cholangiocarcinoma: An Argument for Shifting Treatment Paradigms for Resectable Disease. Annals of Surgery. 2018. </w:t>
      </w:r>
      <w:hyperlink r:id="rId203">
        <w:r>
          <w:rPr>
            <w:color w:val="0563C1"/>
            <w:u w:val="single"/>
          </w:rPr>
          <w:t>Source</w:t>
        </w:r>
      </w:hyperlink>
      <w:r>
        <w:t xml:space="preserve"> | </w:t>
      </w:r>
      <w:hyperlink r:id="rId204">
        <w:r>
          <w:rPr>
            <w:color w:val="0563C1"/>
            <w:u w:val="single"/>
          </w:rPr>
          <w:t>Full-text access</w:t>
        </w:r>
      </w:hyperlink>
    </w:p>
    <w:p>
      <w:pPr>
        <w:pStyle w:val="Normal"/>
        <w:widowControl/>
        <w:spacing w:after="120"/>
      </w:pPr>
      <w:r>
        <w:t xml:space="preserve"/>
      </w:r>
      <w:r>
        <w:t xml:space="preserve">[V12-13] Vugts, Jaynee J A; Gaspersz, Marcia P; Roos, Eva; et al. Eligibility for Liver Transplantation in Patients with Perihilar Cholangiocarcinoma. Annals of Surgical Oncology. 2021. </w:t>
      </w:r>
      <w:hyperlink r:id="rId205">
        <w:r>
          <w:rPr>
            <w:color w:val="0563C1"/>
            <w:u w:val="single"/>
          </w:rPr>
          <w:t>Source</w:t>
        </w:r>
      </w:hyperlink>
      <w:r>
        <w:t xml:space="preserve"> | </w:t>
      </w:r>
      <w:hyperlink r:id="rId206">
        <w:r>
          <w:rPr>
            <w:color w:val="0563C1"/>
            <w:u w:val="single"/>
          </w:rPr>
          <w:t>Full-text access</w:t>
        </w:r>
      </w:hyperlink>
    </w:p>
    <w:p>
      <w:pPr>
        <w:pStyle w:val="Normal"/>
        <w:widowControl/>
        <w:spacing w:after="120"/>
      </w:pPr>
      <w:r>
        <w:t xml:space="preserve"/>
      </w:r>
      <w:r>
        <w:t xml:space="preserve">[V12-14] Olthof, Pim B; Aldrighetti, Luca; Alikhanov, Ruslan; et al. Portal Vein Embolization is Associated with Reduced Liver Failure and Mortality in High-Risk Resections for Perihilar Cholangiocarcinoma. Annals of Surgical Oncology. 2020. </w:t>
      </w:r>
      <w:hyperlink r:id="rId207">
        <w:r>
          <w:rPr>
            <w:color w:val="0563C1"/>
            <w:u w:val="single"/>
          </w:rPr>
          <w:t>Source</w:t>
        </w:r>
      </w:hyperlink>
      <w:r>
        <w:t xml:space="preserve"> | </w:t>
      </w:r>
      <w:hyperlink r:id="rId208">
        <w:r>
          <w:rPr>
            <w:color w:val="0563C1"/>
            <w:u w:val="single"/>
          </w:rPr>
          <w:t>Full-text access</w:t>
        </w:r>
      </w:hyperlink>
    </w:p>
    <w:p>
      <w:pPr>
        <w:pStyle w:val="Normal"/>
        <w:widowControl/>
        <w:spacing w:after="120"/>
      </w:pPr>
      <w:r>
        <w:t xml:space="preserve"/>
      </w:r>
      <w:r>
        <w:t xml:space="preserve">[V12-15] Tan, Ek Khoon; Taner, Timucin; Heimbach, Julie K.; et al. Liver Transplantation for Peri-hilar Cholangiocarcinoma. Journal of Gastrointestinal Surgery. 2020; 24(11):2679-2685. </w:t>
      </w:r>
      <w:hyperlink r:id="rId209">
        <w:r>
          <w:rPr>
            <w:color w:val="0563C1"/>
            <w:u w:val="single"/>
          </w:rPr>
          <w:t>Source</w:t>
        </w:r>
      </w:hyperlink>
      <w:r>
        <w:t xml:space="preserve"> | </w:t>
      </w:r>
      <w:hyperlink r:id="rId210">
        <w:r>
          <w:rPr>
            <w:color w:val="0563C1"/>
            <w:u w:val="single"/>
          </w:rPr>
          <w:t>Full-text access</w:t>
        </w:r>
      </w:hyperlink>
    </w:p>
    <w:p>
      <w:pPr>
        <w:pStyle w:val="Normal"/>
        <w:widowControl/>
        <w:spacing w:after="120"/>
      </w:pPr>
      <w:r>
        <w:t xml:space="preserve"/>
      </w:r>
      <w:r>
        <w:t xml:space="preserve">[V12-16] Bilhim, Tiago; Böning, Georg; Guiu, Boris; et al. CIRSE Standards of Practice on Portal Vein Embolization and Double Vein Embolization/Liver Venous Deprivation. CardioVascular and Interventional Radiology. 2024; 47(8):1025-1036. </w:t>
      </w:r>
      <w:hyperlink r:id="rId211">
        <w:r>
          <w:rPr>
            <w:color w:val="0563C1"/>
            <w:u w:val="single"/>
          </w:rPr>
          <w:t>Source</w:t>
        </w:r>
      </w:hyperlink>
      <w:r>
        <w:t xml:space="preserve"> | </w:t>
      </w:r>
      <w:hyperlink r:id="rId212">
        <w:r>
          <w:rPr>
            <w:color w:val="0563C1"/>
            <w:u w:val="single"/>
          </w:rPr>
          <w:t>Full-text access</w:t>
        </w:r>
      </w:hyperlink>
    </w:p>
    <w:p>
      <w:pPr>
        <w:pStyle w:val="Normal"/>
        <w:widowControl/>
        <w:spacing w:after="120"/>
      </w:pPr>
      <w:r>
        <w:t xml:space="preserve"/>
      </w:r>
      <w:r>
        <w:t xml:space="preserve">[V12-17] Dove, Lorna; Chadha, Ryan M.; Lai, Jennifer C.; et al. AASLD AST Practice Guideline on adult liver transplantation: Candidate evaluation. Hepatology. 2026; 83(6):1609-1645. </w:t>
      </w:r>
      <w:hyperlink r:id="rId213">
        <w:r>
          <w:rPr>
            <w:color w:val="0563C1"/>
            <w:u w:val="single"/>
          </w:rPr>
          <w:t>Source</w:t>
        </w:r>
      </w:hyperlink>
      <w:r>
        <w:t xml:space="preserve"> | </w:t>
      </w:r>
      <w:hyperlink r:id="rId214">
        <w:r>
          <w:rPr>
            <w:color w:val="0563C1"/>
            <w:u w:val="single"/>
          </w:rPr>
          <w:t>Full-text access</w:t>
        </w:r>
      </w:hyperlink>
    </w:p>
    <w:p>
      <w:pPr>
        <w:pStyle w:val="Normal"/>
        <w:widowControl/>
        <w:spacing w:after="120"/>
      </w:pPr>
      <w:r>
        <w:t xml:space="preserve"/>
      </w:r>
      <w:r>
        <w:t xml:space="preserve">[V12-18] Welling, Theodore H.; Feng, Mary; Wan, Shanshan; et al. Neoadjuvant stereotactic body radiation therapy, capecitabine, and liver transplantation for unresectable hilar cholangiocarcinoma. Liver Transplantation. 2014; 20(1):81-88. </w:t>
      </w:r>
      <w:hyperlink r:id="rId215">
        <w:r>
          <w:rPr>
            <w:color w:val="0563C1"/>
            <w:u w:val="single"/>
          </w:rPr>
          <w:t>Source</w:t>
        </w:r>
      </w:hyperlink>
      <w:r>
        <w:t xml:space="preserve"> | </w:t>
      </w:r>
      <w:hyperlink r:id="rId216">
        <w:r>
          <w:rPr>
            <w:color w:val="0563C1"/>
            <w:u w:val="single"/>
          </w:rPr>
          <w:t>Full-text access</w:t>
        </w:r>
      </w:hyperlink>
    </w:p>
    <w:p>
      <w:pPr>
        <w:pStyle w:val="Normal"/>
        <w:widowControl/>
        <w:spacing w:after="120"/>
      </w:pPr>
      <w:r>
        <w:t xml:space="preserve"/>
      </w:r>
      <w:r>
        <w:t xml:space="preserve">[V12-19] Hoogwater, Frederik J H; Kuipers, Hendrien; de Meijer, Vincent E; et al. Role of neoadjuvant chemoradiotherapy in liver transplantation for unresectable perihilar cholangiocarcinoma: multicentre, retrospective cohort study. BJS open. 2023; 7(2):zrad025. </w:t>
      </w:r>
      <w:hyperlink r:id="rId217">
        <w:r>
          <w:rPr>
            <w:color w:val="0563C1"/>
            <w:u w:val="single"/>
          </w:rPr>
          <w:t>Source</w:t>
        </w:r>
      </w:hyperlink>
      <w:r>
        <w:t xml:space="preserve"> | </w:t>
      </w:r>
      <w:hyperlink r:id="rId218">
        <w:r>
          <w:rPr>
            <w:color w:val="0563C1"/>
            <w:u w:val="single"/>
          </w:rPr>
          <w:t>Full-text access</w:t>
        </w:r>
      </w:hyperlink>
    </w:p>
    <w:p>
      <w:pPr>
        <w:pStyle w:val="Normal"/>
        <w:widowControl/>
        <w:spacing w:after="120"/>
      </w:pPr>
      <w:r>
        <w:t xml:space="preserve"/>
      </w:r>
      <w:r>
        <w:t xml:space="preserve">[V12-20] Ito, Takashi; Taura, Kojiro; Fukumitsu, Ken; et al. Safety and efficacy of living donor liver transplantation for unresectable perihilar cholangiocarcinoma: A single center prospective study. Journal of Hepato-Biliary-Pancreatic Sciences. 2025; 32(4):276-286. </w:t>
      </w:r>
      <w:hyperlink r:id="rId219">
        <w:r>
          <w:rPr>
            <w:color w:val="0563C1"/>
            <w:u w:val="single"/>
          </w:rPr>
          <w:t>Source</w:t>
        </w:r>
      </w:hyperlink>
      <w:r>
        <w:t xml:space="preserve"> | </w:t>
      </w:r>
      <w:hyperlink r:id="rId220">
        <w:r>
          <w:rPr>
            <w:color w:val="0563C1"/>
            <w:u w:val="single"/>
          </w:rPr>
          <w:t>Full-text access</w:t>
        </w:r>
      </w:hyperlink>
    </w:p>
    <w:p>
      <w:pPr>
        <w:pStyle w:val="Normal"/>
        <w:widowControl/>
        <w:spacing w:after="120"/>
      </w:pPr>
      <w:r>
        <w:t xml:space="preserve"/>
      </w:r>
      <w:r>
        <w:t xml:space="preserve">[V12-21] Wu, Trudy C.; Smith, Clayton P.; Li, Joshua S.; et al. A systematic review and meta‐analysis of pathologic complete response rates for patients with cholangiocarcinoma treated on liver transplant protocols. Journal of Surgical Oncology. 2023; 129(3):574-583. </w:t>
      </w:r>
      <w:hyperlink r:id="rId221">
        <w:r>
          <w:rPr>
            <w:color w:val="0563C1"/>
            <w:u w:val="single"/>
          </w:rPr>
          <w:t>Source</w:t>
        </w:r>
      </w:hyperlink>
      <w:r>
        <w:t xml:space="preserve"> | </w:t>
      </w:r>
      <w:hyperlink r:id="rId222">
        <w:r>
          <w:rPr>
            <w:color w:val="0563C1"/>
            <w:u w:val="single"/>
          </w:rPr>
          <w:t>Full-text access</w:t>
        </w:r>
      </w:hyperlink>
    </w:p>
    <w:p>
      <w:pPr>
        <w:pStyle w:val="Normal"/>
        <w:widowControl/>
        <w:spacing w:after="120"/>
      </w:pPr>
      <w:r>
        <w:t xml:space="preserve"/>
      </w:r>
      <w:r>
        <w:t xml:space="preserve">[V12-22] Abdelrahim, Maen; Esmail, Abdullah; Connor, Ashton A; et al. Utilization of immunotherapy as a neoadjuvant treatment in liver transplant recipients with hepatobiliary carcinoma. Frontiers in oncology. 2026; 16:1866870. </w:t>
      </w:r>
      <w:hyperlink r:id="rId223">
        <w:r>
          <w:rPr>
            <w:color w:val="0563C1"/>
            <w:u w:val="single"/>
          </w:rPr>
          <w:t>Source</w:t>
        </w:r>
      </w:hyperlink>
      <w:r>
        <w:t xml:space="preserve"> | </w:t>
      </w:r>
      <w:hyperlink r:id="rId224">
        <w:r>
          <w:rPr>
            <w:color w:val="0563C1"/>
            <w:u w:val="single"/>
          </w:rPr>
          <w:t>Full-text access</w:t>
        </w:r>
      </w:hyperlink>
    </w:p>
    <w:p>
      <w:pPr>
        <w:pStyle w:val="Normal"/>
        <w:widowControl/>
        <w:spacing w:after="120"/>
      </w:pPr>
      <w:r>
        <w:t xml:space="preserve"/>
      </w:r>
      <w:r>
        <w:t xml:space="preserve">[V12-23] Moeckli, Beat; Wassmer, Charles-Henri; El Hajji, Sofia; et al. Determining safe washout period for immune checkpoint inhibitors prior to liver transplantation: An international retrospective cohort study. Hepatology. 2025; 82(5):1122-1137. </w:t>
      </w:r>
      <w:hyperlink r:id="rId225">
        <w:r>
          <w:rPr>
            <w:color w:val="0563C1"/>
            <w:u w:val="single"/>
          </w:rPr>
          <w:t>Source</w:t>
        </w:r>
      </w:hyperlink>
      <w:r>
        <w:t xml:space="preserve"> | </w:t>
      </w:r>
      <w:hyperlink r:id="rId226">
        <w:r>
          <w:rPr>
            <w:color w:val="0563C1"/>
            <w:u w:val="single"/>
          </w:rPr>
          <w:t>Full-text access</w:t>
        </w:r>
      </w:hyperlink>
    </w:p>
    <w:p>
      <w:pPr>
        <w:pStyle w:val="Normal"/>
        <w:widowControl/>
        <w:spacing w:after="120"/>
      </w:pPr>
      <w:r>
        <w:t xml:space="preserve"/>
      </w:r>
      <w:r>
        <w:t xml:space="preserve">[V12-24] Rezaee-Zavareh, Mohammad Saeid; Yeo, Yee Hui; Wang, Tielong; et al. Impact of pre-transplant immune checkpoint inhibitor use on post-transplant outcomes in HCC: A systematic review and individual patient data meta-analysis. Journal of Hepatology. 2025; 82(1):107-119. </w:t>
      </w:r>
      <w:hyperlink r:id="rId227">
        <w:r>
          <w:rPr>
            <w:color w:val="0563C1"/>
            <w:u w:val="single"/>
          </w:rPr>
          <w:t>Source</w:t>
        </w:r>
      </w:hyperlink>
      <w:r>
        <w:t xml:space="preserve"> | </w:t>
      </w:r>
      <w:hyperlink r:id="rId228">
        <w:r>
          <w:rPr>
            <w:color w:val="0563C1"/>
            <w:u w:val="single"/>
          </w:rPr>
          <w:t>Full-text access</w:t>
        </w:r>
      </w:hyperlink>
    </w:p>
    <w:p>
      <w:pPr>
        <w:pStyle w:val="Normal"/>
        <w:widowControl/>
        <w:spacing w:after="120"/>
      </w:pPr>
      <w:r>
        <w:t xml:space="preserve"/>
      </w:r>
      <w:r>
        <w:t xml:space="preserve">[V12-25] Kelly, Morgan E.; Truby, Tianna M.; Lai, Jennifer C.; et al. Three Decades of Living Liver Donor Outcomes: A National Cohort Analysis of Patterns in Mortality and Recovery. Journal of Transplantation. 2026; 2026(1):2545887. </w:t>
      </w:r>
      <w:hyperlink r:id="rId229">
        <w:r>
          <w:rPr>
            <w:color w:val="0563C1"/>
            <w:u w:val="single"/>
          </w:rPr>
          <w:t>Source</w:t>
        </w:r>
      </w:hyperlink>
      <w:r>
        <w:t xml:space="preserve"> | </w:t>
      </w:r>
      <w:hyperlink r:id="rId230">
        <w:r>
          <w:rPr>
            <w:color w:val="0563C1"/>
            <w:u w:val="single"/>
          </w:rPr>
          <w:t>Full-text access</w:t>
        </w:r>
      </w:hyperlink>
    </w:p>
    <w:p>
      <w:pPr>
        <w:pStyle w:val="Normal"/>
        <w:widowControl/>
        <w:spacing w:after="120"/>
      </w:pPr>
      <w:r>
        <w:t xml:space="preserve"/>
      </w:r>
      <w:r>
        <w:t xml:space="preserve">[V12-26] US Department of Health and Human Services. 45 CFR 46.111: Criteria for IRB approval of research. . 2018. </w:t>
      </w:r>
      <w:hyperlink r:id="rId231">
        <w:r>
          <w:rPr>
            <w:color w:val="0563C1"/>
            <w:u w:val="single"/>
          </w:rPr>
          <w:t>Source</w:t>
        </w:r>
      </w:hyperlink>
      <w:r>
        <w:t xml:space="preserve"> | Local PDF not available in this update</w:t>
      </w:r>
    </w:p>
    <w:p>
      <w:pPr>
        <w:pStyle w:val="Normal"/>
        <w:widowControl/>
        <w:spacing w:after="120"/>
      </w:pPr>
      <w:r>
        <w:t xml:space="preserve"/>
      </w:r>
      <w:r>
        <w:t xml:space="preserve">[V12-27] OPTN Ethics Committee. Ethical Principles in the Allocation of Human Organs. . 2015. </w:t>
      </w:r>
      <w:hyperlink r:id="rId232">
        <w:r>
          <w:rPr>
            <w:color w:val="0563C1"/>
            <w:u w:val="single"/>
          </w:rPr>
          <w:t>Source</w:t>
        </w:r>
      </w:hyperlink>
      <w:r>
        <w:t xml:space="preserve"> | Local PDF not available in this update</w:t>
      </w:r>
    </w:p>
    <w:p>
      <w:pPr>
        <w:pStyle w:val="Normal"/>
        <w:widowControl/>
        <w:spacing w:after="120"/>
      </w:pPr>
      <w:r>
        <w:t xml:space="preserve"/>
      </w:r>
      <w:r>
        <w:t xml:space="preserve">[V12-28] Llovet, Josep M; Mauro, Ezequiel; Rimassa, Lorenza; et al. Trial design and end points in hepatocellular carcinoma: an EASL-AASLD-ILCA consensus statement. Nature reviews. Clinical oncology. 2026; 23(8):619-647. </w:t>
      </w:r>
      <w:hyperlink r:id="rId233">
        <w:r>
          <w:rPr>
            <w:color w:val="0563C1"/>
            <w:u w:val="single"/>
          </w:rPr>
          <w:t>Source</w:t>
        </w:r>
      </w:hyperlink>
      <w:r>
        <w:t xml:space="preserve"> | </w:t>
      </w:r>
      <w:hyperlink r:id="rId234">
        <w:r>
          <w:rPr>
            <w:color w:val="0563C1"/>
            <w:u w:val="single"/>
          </w:rPr>
          <w:t>Full-text access</w:t>
        </w:r>
      </w:hyperlink>
    </w:p>
    <w:p>
      <w:pPr>
        <w:pStyle w:val="Normal"/>
        <w:widowControl/>
        <w:spacing w:after="120"/>
      </w:pPr>
      <w:r>
        <w:t xml:space="preserve"/>
      </w:r>
      <w:r>
        <w:t xml:space="preserve">[V12-29] Mazzaferro, Vincenzo; Citterio, Davide; Bhoori, Sherrie; et al. Liver transplantation in hepatocellular carcinoma after tumour downstaging (XXL): a randomised, controlled, phase 2b/3 trial. The Lancet Oncology. 2020; 21(7):947-956. </w:t>
      </w:r>
      <w:hyperlink r:id="rId235">
        <w:r>
          <w:rPr>
            <w:color w:val="0563C1"/>
            <w:u w:val="single"/>
          </w:rPr>
          <w:t>Source</w:t>
        </w:r>
      </w:hyperlink>
      <w:r>
        <w:t xml:space="preserve"> | </w:t>
      </w:r>
      <w:hyperlink r:id="rId236">
        <w:r>
          <w:rPr>
            <w:color w:val="0563C1"/>
            <w:u w:val="single"/>
          </w:rPr>
          <w:t>Full-text access</w:t>
        </w:r>
      </w:hyperlink>
    </w:p>
    <w:p>
      <w:pPr>
        <w:pStyle w:val="Normal"/>
        <w:widowControl/>
        <w:spacing w:after="120"/>
      </w:pPr>
      <w:r>
        <w:t xml:space="preserve"/>
      </w:r>
      <w:r>
        <w:t xml:space="preserve">[V12-30]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237">
        <w:r>
          <w:rPr>
            <w:color w:val="0563C1"/>
            <w:u w:val="single"/>
          </w:rPr>
          <w:t>Source</w:t>
        </w:r>
      </w:hyperlink>
      <w:r>
        <w:t xml:space="preserve"> | </w:t>
      </w:r>
      <w:hyperlink r:id="rId238">
        <w:r>
          <w:rPr>
            <w:color w:val="0563C1"/>
            <w:u w:val="single"/>
          </w:rPr>
          <w:t>Full-text access</w:t>
        </w:r>
      </w:hyperlink>
    </w:p>
    <w:p>
      <w:pPr>
        <w:pStyle w:val="Normal"/>
        <w:widowControl/>
        <w:spacing w:after="120"/>
      </w:pPr>
      <w:r>
        <w:t xml:space="preserve"/>
      </w:r>
      <w:r>
        <w:t xml:space="preserve">[V12-31] Allen, Elisa; Taylor, Rhiannon; Gimson, Alexander; et al. Transplant benefit-based offering of deceased donor livers in the United Kingdom. Journal of Hepatology. 2024; 81(3):471-478. </w:t>
      </w:r>
      <w:hyperlink r:id="rId239">
        <w:r>
          <w:rPr>
            <w:color w:val="0563C1"/>
            <w:u w:val="single"/>
          </w:rPr>
          <w:t>Source</w:t>
        </w:r>
      </w:hyperlink>
      <w:r>
        <w:t xml:space="preserve"> | </w:t>
      </w:r>
      <w:hyperlink r:id="rId240">
        <w:r>
          <w:rPr>
            <w:color w:val="0563C1"/>
            <w:u w:val="single"/>
          </w:rPr>
          <w:t>Full-text access</w:t>
        </w:r>
      </w:hyperlink>
    </w:p>
    <w:p>
      <w:pPr>
        <w:pStyle w:val="Normal"/>
        <w:widowControl/>
        <w:spacing w:after="120"/>
      </w:pPr>
      <w:r>
        <w:t xml:space="preserve"/>
      </w:r>
      <w:r>
        <w:t xml:space="preserve">[V12-32] Abecassis, M.M.; Fisher, R.A.; Olthoff, K.M.; et al. Complications of Living Donor Hepatic Lobectomy—A Comprehensive Report. American Journal of Transplantation. 2012; 12(5):1208-1217. </w:t>
      </w:r>
      <w:hyperlink r:id="rId241">
        <w:r>
          <w:rPr>
            <w:color w:val="0563C1"/>
            <w:u w:val="single"/>
          </w:rPr>
          <w:t>Source</w:t>
        </w:r>
      </w:hyperlink>
      <w:r>
        <w:t xml:space="preserve"> | </w:t>
      </w:r>
      <w:hyperlink r:id="rId242">
        <w:r>
          <w:rPr>
            <w:color w:val="0563C1"/>
            <w:u w:val="single"/>
          </w:rPr>
          <w:t>Full-text access</w:t>
        </w:r>
      </w:hyperlink>
    </w:p>
    <w:p>
      <w:pPr>
        <w:pStyle w:val="Normal"/>
        <w:widowControl/>
        <w:spacing w:after="120"/>
      </w:pPr>
      <w:r>
        <w:t xml:space="preserve"/>
      </w:r>
      <w:r>
        <w:t xml:space="preserve">[V12-33] DiMartini, A.; Dew, M.A.; Liu, Q.; et al. Social and Financial Outcomes of Living Liver Donation: A Prospective Investigation Within the Adult-to-Adult Living Donor Liver Transplantation Cohort Study 2 (A2ALL-2). American Journal of Transplantation. 2017; 17(4):1081-1096. </w:t>
      </w:r>
      <w:hyperlink r:id="rId243">
        <w:r>
          <w:rPr>
            <w:color w:val="0563C1"/>
            <w:u w:val="single"/>
          </w:rPr>
          <w:t>Source</w:t>
        </w:r>
      </w:hyperlink>
      <w:r>
        <w:t xml:space="preserve"> | </w:t>
      </w:r>
      <w:hyperlink r:id="rId244">
        <w:r>
          <w:rPr>
            <w:color w:val="0563C1"/>
            <w:u w:val="single"/>
          </w:rPr>
          <w:t>Full-text access</w:t>
        </w:r>
      </w:hyperlink>
    </w:p>
    <w:p>
      <w:pPr>
        <w:pStyle w:val="Normal"/>
        <w:widowControl/>
        <w:spacing w:after="120"/>
      </w:pPr>
      <w:r>
        <w:t xml:space="preserve"/>
      </w:r>
      <w:r>
        <w:t xml:space="preserve">[V12-34] Xiao, Jieling; Zeng, Rebecca Wenling; Lim, Wen Hui; et al. The incidence of adverse outcome in donors after living donor liver transplantation: A meta-analysis of 60,829 donors. Liver Transplantation. 2024; 30(5):493-504. </w:t>
      </w:r>
      <w:hyperlink r:id="rId245">
        <w:r>
          <w:rPr>
            <w:color w:val="0563C1"/>
            <w:u w:val="single"/>
          </w:rPr>
          <w:t>Source</w:t>
        </w:r>
      </w:hyperlink>
      <w:r>
        <w:t xml:space="preserve"> | </w:t>
      </w:r>
      <w:hyperlink r:id="rId246">
        <w:r>
          <w:rPr>
            <w:color w:val="0563C1"/>
            <w:u w:val="single"/>
          </w:rPr>
          <w:t>Full-text access</w:t>
        </w:r>
      </w:hyperlink>
    </w:p>
    <w:p>
      <w:pPr>
        <w:pStyle w:val="Normal"/>
        <w:widowControl/>
        <w:spacing w:after="120"/>
      </w:pPr>
      <w:r>
        <w:t xml:space="preserve"/>
      </w:r>
      <w:r>
        <w:t xml:space="preserve">[V12-35] De Martin, Eleonora; Antonini, Teresa Maria; Uguen, Thomas; et al. Immune checkpoint inhibitors after liver transplantation: The role of immunosuppressive management. American Journal of Transplantation. 2026; 26(8):1958-1971. </w:t>
      </w:r>
      <w:hyperlink r:id="rId247">
        <w:r>
          <w:rPr>
            <w:color w:val="0563C1"/>
            <w:u w:val="single"/>
          </w:rPr>
          <w:t>Source</w:t>
        </w:r>
      </w:hyperlink>
      <w:r>
        <w:t xml:space="preserve"> | </w:t>
      </w:r>
      <w:hyperlink r:id="rId248">
        <w:r>
          <w:rPr>
            <w:color w:val="0563C1"/>
            <w:u w:val="single"/>
          </w:rPr>
          <w:t>Full-text access</w:t>
        </w:r>
      </w:hyperlink>
    </w:p>
    <w:p>
      <w:pPr>
        <w:pStyle w:val="Normal"/>
        <w:widowControl/>
        <w:spacing w:after="120"/>
      </w:pPr>
      <w:r>
        <w:t xml:space="preserve"/>
      </w:r>
      <w:r>
        <w:t xml:space="preserve">[V12-36] Eldridge, Sandra M; Chan, Claire L; Campbell, Michael J; et al. CONSORT 2010 statement: extension to randomised pilot and feasibility trials. BMJ. 2016; :i5239. </w:t>
      </w:r>
      <w:hyperlink r:id="rId249">
        <w:r>
          <w:rPr>
            <w:color w:val="0563C1"/>
            <w:u w:val="single"/>
          </w:rPr>
          <w:t>Source</w:t>
        </w:r>
      </w:hyperlink>
      <w:r>
        <w:t xml:space="preserve"> | </w:t>
      </w:r>
      <w:hyperlink r:id="rId250">
        <w:r>
          <w:rPr>
            <w:color w:val="0563C1"/>
            <w:u w:val="single"/>
          </w:rPr>
          <w:t>Full-text access</w:t>
        </w:r>
      </w:hyperlink>
    </w:p>
    <w:p>
      <w:pPr>
        <w:pStyle w:val="Normal"/>
        <w:widowControl/>
        <w:spacing w:after="120"/>
      </w:pPr>
      <w:r>
        <w:t xml:space="preserve"/>
      </w:r>
      <w:r>
        <w:t xml:space="preserve">[V12-37]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251">
        <w:r>
          <w:rPr>
            <w:color w:val="0563C1"/>
            <w:u w:val="single"/>
          </w:rPr>
          <w:t>Source</w:t>
        </w:r>
      </w:hyperlink>
      <w:r>
        <w:t xml:space="preserve"> | </w:t>
      </w:r>
      <w:hyperlink r:id="rId252">
        <w:r>
          <w:rPr>
            <w:color w:val="0563C1"/>
            <w:u w:val="single"/>
          </w:rPr>
          <w:t>Full-text access</w:t>
        </w:r>
      </w:hyperlink>
    </w:p>
    <w:p>
      <w:pPr>
        <w:pStyle w:val="Normal"/>
        <w:widowControl/>
        <w:spacing w:after="120"/>
      </w:pPr>
      <w:r>
        <w:t xml:space="preserve"/>
      </w:r>
      <w:r>
        <w:t xml:space="preserve">[V12-38] Yaqub, Sheraz; Busund, Sondre; Smedman, Tor Magnus; et al. Liver transplantation for locally advanced non-resectable intrahepatic cholangiocarcinoma treated with neoadjuvant therapy: early results from the TESLA trial. British Journal of Surgery. 2025. </w:t>
      </w:r>
      <w:hyperlink r:id="rId253">
        <w:r>
          <w:rPr>
            <w:color w:val="0563C1"/>
            <w:u w:val="single"/>
          </w:rPr>
          <w:t>Source</w:t>
        </w:r>
      </w:hyperlink>
      <w:r>
        <w:t xml:space="preserve"> | </w:t>
      </w:r>
      <w:hyperlink r:id="rId254">
        <w:r>
          <w:rPr>
            <w:color w:val="0563C1"/>
            <w:u w:val="single"/>
          </w:rPr>
          <w:t>Full-text access</w:t>
        </w:r>
      </w:hyperlink>
    </w:p>
    <w:p>
      <w:pPr>
        <w:pStyle w:val="Normal"/>
        <w:widowControl/>
        <w:spacing w:after="120"/>
      </w:pPr>
      <w:r>
        <w:t xml:space="preserve"/>
      </w:r>
      <w:r>
        <w:t xml:space="preserve">[V12-39] Shroff RT; Kennedy EB; Alarcon Rozas AE; et al. Treatment of Advanced Biliary Tract Cancer: ASCO Living Guideline, Version 2026.1.0.. Journal of clinical oncology : official journal of the American Society of Clinical Oncology. 2026; :101200JCO2602462. </w:t>
      </w:r>
      <w:hyperlink r:id="rId255">
        <w:r>
          <w:rPr>
            <w:color w:val="0563C1"/>
            <w:u w:val="single"/>
          </w:rPr>
          <w:t>Source</w:t>
        </w:r>
      </w:hyperlink>
      <w:r>
        <w:t xml:space="preserve"> | </w:t>
      </w:r>
      <w:hyperlink r:id="rId256">
        <w:r>
          <w:rPr>
            <w:color w:val="0563C1"/>
            <w:u w:val="single"/>
          </w:rPr>
          <w:t>Full-text access</w:t>
        </w:r>
      </w:hyperlink>
    </w:p>
    <w:p>
      <w:pPr>
        <w:pStyle w:val="Normal"/>
        <w:widowControl/>
        <w:spacing w:after="120"/>
      </w:pPr>
      <w:r>
        <w:t xml:space="preserve"/>
      </w:r>
      <w:r>
        <w:t xml:space="preserve">[V12-40]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257">
        <w:r>
          <w:rPr>
            <w:color w:val="0563C1"/>
            <w:u w:val="single"/>
          </w:rPr>
          <w:t>Source</w:t>
        </w:r>
      </w:hyperlink>
      <w:r>
        <w:t xml:space="preserve"> | </w:t>
      </w:r>
      <w:hyperlink r:id="rId258">
        <w:r>
          <w:rPr>
            <w:color w:val="0563C1"/>
            <w:u w:val="single"/>
          </w:rPr>
          <w:t>Full-text access</w:t>
        </w:r>
      </w:hyperlink>
      <w:r>
        <w:fldChar w:fldCharType="end"/>
      </w:r>
    </w:p>
    <w:p>
      <w:pPr>
        <w:pStyle w:val="Heading1"/>
        <w:widowControl/>
        <w:keepNext/>
      </w:pPr>
      <w:r>
        <w:t xml:space="preserve">V12 revision note</w:t>
      </w:r>
    </w:p>
    <w:p>
      <w:pPr>
        <w:pStyle w:val="Normal"/>
        <w:widowControl/>
        <w:spacing w:after="120"/>
      </w:pPr>
      <w:r>
        <w:t xml:space="preserve">2026-10-25 04:38 CDT. Problem and correction: Integrate pCCA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color="auto" w:fill="E84C2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color="auto" w:fill="FADAD2"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77230C" w:themeColor="accent1" w:themeShade="7F"/>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B43412" w:themeColor="accent1" w:themeShade="BF"/>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B43412" w:themeColor="accent1" w:themeShade="BF"/>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B43412" w:themeColor="accent1" w:themeShade="BF"/>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B43412" w:themeColor="accent1" w:themeShade="BF"/>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E84C2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C56FB"/>
    <w:rPr>
      <w:b/>
      <w:bCs/>
      <w:caps/>
      <w:color w:val="FFFFFF" w:themeColor="background1"/>
      <w:spacing w:val="15"/>
      <w:shd w:val="clear" w:color="auto" w:fill="E84C22" w:themeFill="accent1"/>
    </w:rPr>
  </w:style>
  <w:style w:type="character" w:customStyle="1" w:styleId="Heading2Char">
    <w:name w:val="Heading 2 Char"/>
    <w:basedOn w:val="DefaultParagraphFont"/>
    <w:link w:val="Heading2"/>
    <w:uiPriority w:val="9"/>
    <w:rsid w:val="008C56FB"/>
    <w:rPr>
      <w:caps/>
      <w:spacing w:val="15"/>
      <w:shd w:val="clear" w:color="auto" w:fill="FADAD2" w:themeFill="accent1" w:themeFillTint="33"/>
    </w:rPr>
  </w:style>
  <w:style w:type="character" w:customStyle="1" w:styleId="Heading3Char">
    <w:name w:val="Heading 3 Char"/>
    <w:basedOn w:val="DefaultParagraphFont"/>
    <w:link w:val="Heading3"/>
    <w:uiPriority w:val="9"/>
    <w:rsid w:val="008C56FB"/>
    <w:rPr>
      <w:caps/>
      <w:color w:val="77230C" w:themeColor="accent1" w:themeShade="7F"/>
      <w:spacing w:val="15"/>
    </w:rPr>
  </w:style>
  <w:style w:type="character" w:customStyle="1" w:styleId="Heading4Char">
    <w:name w:val="Heading 4 Char"/>
    <w:basedOn w:val="DefaultParagraphFont"/>
    <w:link w:val="Heading4"/>
    <w:uiPriority w:val="9"/>
    <w:semiHidden/>
    <w:rsid w:val="008C56FB"/>
    <w:rPr>
      <w:caps/>
      <w:color w:val="B43412" w:themeColor="accent1" w:themeShade="BF"/>
      <w:spacing w:val="10"/>
    </w:rPr>
  </w:style>
  <w:style w:type="character" w:customStyle="1" w:styleId="Heading5Char">
    <w:name w:val="Heading 5 Char"/>
    <w:basedOn w:val="DefaultParagraphFont"/>
    <w:link w:val="Heading5"/>
    <w:uiPriority w:val="9"/>
    <w:semiHidden/>
    <w:rsid w:val="008C56FB"/>
    <w:rPr>
      <w:caps/>
      <w:color w:val="B43412" w:themeColor="accent1" w:themeShade="BF"/>
      <w:spacing w:val="10"/>
    </w:rPr>
  </w:style>
  <w:style w:type="character" w:customStyle="1" w:styleId="Heading6Char">
    <w:name w:val="Heading 6 Char"/>
    <w:basedOn w:val="DefaultParagraphFont"/>
    <w:link w:val="Heading6"/>
    <w:uiPriority w:val="9"/>
    <w:semiHidden/>
    <w:rsid w:val="008C56FB"/>
    <w:rPr>
      <w:caps/>
      <w:color w:val="B43412" w:themeColor="accent1" w:themeShade="BF"/>
      <w:spacing w:val="10"/>
    </w:rPr>
  </w:style>
  <w:style w:type="character" w:customStyle="1" w:styleId="Heading7Char">
    <w:name w:val="Heading 7 Char"/>
    <w:basedOn w:val="DefaultParagraphFont"/>
    <w:link w:val="Heading7"/>
    <w:uiPriority w:val="9"/>
    <w:semiHidden/>
    <w:rsid w:val="008C56FB"/>
    <w:rPr>
      <w:caps/>
      <w:color w:val="B43412" w:themeColor="accent1" w:themeShade="BF"/>
      <w:spacing w:val="10"/>
    </w:rPr>
  </w:style>
  <w:style w:type="character" w:customStyle="1" w:styleId="Heading8Char">
    <w:name w:val="Heading 8 Char"/>
    <w:basedOn w:val="DefaultParagraphFont"/>
    <w:link w:val="Heading8"/>
    <w:uiPriority w:val="9"/>
    <w:semiHidden/>
    <w:rsid w:val="008C56FB"/>
    <w:rPr>
      <w:caps/>
      <w:spacing w:val="10"/>
      <w:sz w:val="18"/>
      <w:szCs w:val="18"/>
    </w:rPr>
  </w:style>
  <w:style w:type="character" w:customStyle="1" w:styleId="Heading9Char">
    <w:name w:val="Heading 9 Char"/>
    <w:basedOn w:val="DefaultParagraphFont"/>
    <w:link w:val="Heading9"/>
    <w:uiPriority w:val="9"/>
    <w:semiHidden/>
    <w:rsid w:val="008C56FB"/>
    <w:rPr>
      <w:i/>
      <w:caps/>
      <w:spacing w:val="10"/>
      <w:sz w:val="18"/>
      <w:szCs w:val="18"/>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name w:val="Title Char"/>
    <w:basedOn w:val="DefaultParagraphFont"/>
    <w:link w:val="Title"/>
    <w:uiPriority w:val="10"/>
    <w:rsid w:val="008C56FB"/>
    <w:rPr>
      <w:caps/>
      <w:color w:val="E84C22" w:themeColor="accent1"/>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C56FB"/>
    <w:rPr>
      <w:caps/>
      <w:color w:val="595959" w:themeColor="text1" w:themeTint="A6"/>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C56FB"/>
    <w:rPr>
      <w:sz w:val="20"/>
      <w:szCs w:val="20"/>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1eqwtejbt6fad7bttkla" Type="http://schemas.openxmlformats.org/officeDocument/2006/relationships/hyperlink" Target="https://doi.org/10.1002/hep.32771" TargetMode="External"/><Relationship Id="rIdr8inpyax5gy96gts3eo5p" Type="http://schemas.openxmlformats.org/officeDocument/2006/relationships/hyperlink" Target="https://doi.org/10.1097/HEP.0000000000001644" TargetMode="External"/><Relationship Id="rIdqssj9czqemee1n3l7yvud" Type="http://schemas.openxmlformats.org/officeDocument/2006/relationships/hyperlink" Target="https://www.nccn.org/professionals/physician_gls/pdf/btc.pdf#page=23" TargetMode="External"/><Relationship Id="rIdjpvwiwjsfy9vrzfsy034h" Type="http://schemas.openxmlformats.org/officeDocument/2006/relationships/hyperlink" Target="https://pubmed.ncbi.nlm.nih.gov/32671802" TargetMode="External"/><Relationship Id="rIdgvhnqvuhaimk9pemvhnwk" Type="http://schemas.openxmlformats.org/officeDocument/2006/relationships/hyperlink" Target="https://onlinelibrary.wiley.com/doi/10.1002/jso.27511" TargetMode="External"/><Relationship Id="rIdnb8jto2kvuvp8pbgxpfdi" Type="http://schemas.openxmlformats.org/officeDocument/2006/relationships/hyperlink" Target="https://jamanetwork.com/journals/jamasurgery/fullarticle/10.1001/jamasurg.2023.6083?utm_source=openevidence&amp;utm_medium=referral" TargetMode="External"/><Relationship Id="rIdvt9i8kjhgrvclooarmsjc" Type="http://schemas.openxmlformats.org/officeDocument/2006/relationships/hyperlink" Target="https://doi.org/10.1002/hep.26972" TargetMode="External"/><Relationship Id="rIdgr56vommnphmzrszqbeig" Type="http://schemas.openxmlformats.org/officeDocument/2006/relationships/hyperlink" Target="https://pubmed.ncbi.nlm.nih.gov/29548617" TargetMode="External"/><Relationship Id="rIdsjixnukvi5iewpsl6tmf1" Type="http://schemas.openxmlformats.org/officeDocument/2006/relationships/hyperlink" Target="https://onlinelibrary.wiley.com/doi/10.1111/ctr.13023" TargetMode="External"/><Relationship Id="rIdwnmj0zfnc4gcwxzi4m5kw" Type="http://schemas.openxmlformats.org/officeDocument/2006/relationships/hyperlink" Target="https://pubmed.ncbi.nlm.nih.gov/39939239" TargetMode="External"/><Relationship Id="rIdrv8ezywjyfchxdaztc3v7" Type="http://schemas.openxmlformats.org/officeDocument/2006/relationships/hyperlink" Target="https://onlinelibrary.wiley.com/doi/10.1111/ctr.70547" TargetMode="External"/><Relationship Id="rIdyrgsm_-3ite8glop60jgl" Type="http://schemas.openxmlformats.org/officeDocument/2006/relationships/hyperlink" Target="https://pubmed.ncbi.nlm.nih.gov/31972704" TargetMode="External"/><Relationship Id="rIddevqlwro1v_pbh8imtxbo" Type="http://schemas.openxmlformats.org/officeDocument/2006/relationships/hyperlink" Target="https://pubmed.ncbi.nlm.nih.gov/40622853" TargetMode="External"/><Relationship Id="rIdah40xaiwshz2cm5s3ouz0" Type="http://schemas.openxmlformats.org/officeDocument/2006/relationships/hyperlink" Target="https://onlinelibrary.wiley.com/doi/10.1002/jso.24833" TargetMode="External"/><Relationship Id="rIdd0oxcj9dm-ekcgq4rcxz4" Type="http://schemas.openxmlformats.org/officeDocument/2006/relationships/hyperlink" Target="https://pubmed.ncbi.nlm.nih.gov/41899493" TargetMode="External"/><Relationship Id="rId1naamldjfpmbuqysogu3d" Type="http://schemas.openxmlformats.org/officeDocument/2006/relationships/hyperlink" Target="https://pubmed.ncbi.nlm.nih.gov/42073607" TargetMode="External"/><Relationship Id="rIdb2_lubzxx4n3lvvi8l1ai" Type="http://schemas.openxmlformats.org/officeDocument/2006/relationships/hyperlink" Target="https://www.ncbi.nlm.nih.gov/pmc/articles/PMC10663390/" TargetMode="External"/><Relationship Id="rIdgspakwp1qfentfjvyzty5" Type="http://schemas.openxmlformats.org/officeDocument/2006/relationships/hyperlink" Target="https://meetings.asco.org/abstracts-presentations/247656" TargetMode="External"/><Relationship Id="rIdul2eciutnbgv7ujwojggg" Type="http://schemas.openxmlformats.org/officeDocument/2006/relationships/hyperlink" Target="https://meetings.asco.org/abstracts-presentations/255564" TargetMode="External"/><Relationship Id="rIdy9jr0bzcoynngb0otf66m" Type="http://schemas.openxmlformats.org/officeDocument/2006/relationships/hyperlink" Target="https://pubmed.ncbi.nlm.nih.gov/37760542" TargetMode="External"/><Relationship Id="rIdk14r2uu5xunnsalzz-so1" Type="http://schemas.openxmlformats.org/officeDocument/2006/relationships/hyperlink" Target="https://pubmed.ncbi.nlm.nih.gov/41919430" TargetMode="External"/><Relationship Id="rId27" Type="http://schemas.openxmlformats.org/officeDocument/2006/relationships/fontTable" Target="fontTable.xml"/><Relationship Id="rId28" Type="http://schemas.openxmlformats.org/officeDocument/2006/relationships/hyperlink" Target="https://doi.org/10.1053/j.gastro.2012.04.008" TargetMode="External"/><Relationship Id="rId29" Type="http://schemas.openxmlformats.org/officeDocument/2006/relationships/hyperlink" Target="https://libkey.io/libraries/480/10.1053/j.gastro.2012.04.008" TargetMode="External"/><Relationship Id="rId30" Type="http://schemas.openxmlformats.org/officeDocument/2006/relationships/hyperlink" Target="https://onlinelibrary.wiley.com/doi/full/10.1002/hep.25629" TargetMode="External"/><Relationship Id="rId31" Type="http://schemas.openxmlformats.org/officeDocument/2006/relationships/hyperlink" Target="https://libkey.io/libraries/480/10.1002/hep.25629" TargetMode="External"/><Relationship Id="rId32" Type="http://schemas.openxmlformats.org/officeDocument/2006/relationships/hyperlink" Target="https://doi.org/10.1111/j.1477-2574.2011.00298.x" TargetMode="External"/><Relationship Id="rId33" Type="http://schemas.openxmlformats.org/officeDocument/2006/relationships/hyperlink" Target="https://libkey.io/libraries/480/10.1111/j.1477-2574.2011.00298.x" TargetMode="External"/><Relationship Id="rId34" Type="http://schemas.openxmlformats.org/officeDocument/2006/relationships/hyperlink" Target="https://pmc.ncbi.nlm.nih.gov/articles/PMC9085963/" TargetMode="External"/><Relationship Id="rId35" Type="http://schemas.openxmlformats.org/officeDocument/2006/relationships/hyperlink" Target="https://libkey.io/libraries/480/10.1016/j.hpb.2021.11.001" TargetMode="External"/><Relationship Id="rId36" Type="http://schemas.openxmlformats.org/officeDocument/2006/relationships/hyperlink" Target="https://doi.org/10.1097/TXD.0000000000001760" TargetMode="External"/><Relationship Id="rId37" Type="http://schemas.openxmlformats.org/officeDocument/2006/relationships/hyperlink" Target="https://libkey.io/libraries/480/10.1097/TXD.0000000000001760" TargetMode="External"/><Relationship Id="rId38" Type="http://schemas.openxmlformats.org/officeDocument/2006/relationships/hyperlink" Target="https://doi.org/10.1097/HEP.0000000000001449" TargetMode="External"/><Relationship Id="rId39" Type="http://schemas.openxmlformats.org/officeDocument/2006/relationships/hyperlink" Target="https://libkey.io/libraries/480/10.1097/HEP.0000000000001449" TargetMode="External"/><Relationship Id="rId40" Type="http://schemas.openxmlformats.org/officeDocument/2006/relationships/hyperlink" Target="https://doi.org/10.1002/hep.32771" TargetMode="External"/><Relationship Id="rId41" Type="http://schemas.openxmlformats.org/officeDocument/2006/relationships/hyperlink" Target="https://libkey.io/libraries/480/10.1002/hep.32771" TargetMode="External"/><Relationship Id="rId42" Type="http://schemas.openxmlformats.org/officeDocument/2006/relationships/hyperlink" Target="https://onlinelibrary.wiley.com/doi/10.1002/jso.24833" TargetMode="External"/><Relationship Id="rId43" Type="http://schemas.openxmlformats.org/officeDocument/2006/relationships/hyperlink" Target="https://libkey.io/libraries/480/10.1002/jso.24833" TargetMode="External"/><Relationship Id="rId44" Type="http://schemas.openxmlformats.org/officeDocument/2006/relationships/hyperlink" Target="https://www.hrsa.gov/sites/default/files/hrsa/optn/optn_policies.pdf" TargetMode="External"/><Relationship Id="rId45" Type="http://schemas.openxmlformats.org/officeDocument/2006/relationships/hyperlink" Target="https://drliuhao.github.io/mh-liver-pathways/evidence/2026-10-25/" TargetMode="External"/><Relationship Id="rId46" Type="http://schemas.openxmlformats.org/officeDocument/2006/relationships/hyperlink" Target="https://doi.org/10.1111/j.1477-2574.2011.00298.x" TargetMode="External"/><Relationship Id="rId47" Type="http://schemas.openxmlformats.org/officeDocument/2006/relationships/hyperlink" Target="https://libkey.io/libraries/480/10.1111/j.1477-2574.2011.00298.x" TargetMode="External"/><Relationship Id="rId48" Type="http://schemas.openxmlformats.org/officeDocument/2006/relationships/hyperlink" Target="https://drliuhao.github.io/mh-liver-pathways/evidence/2026-10-25/" TargetMode="External"/><Relationship Id="rId49" Type="http://schemas.openxmlformats.org/officeDocument/2006/relationships/hyperlink" Target="https://drliuhao.github.io/mh-liver-pathways/evidence/2026-10-25/" TargetMode="External"/><Relationship Id="rId50" Type="http://schemas.openxmlformats.org/officeDocument/2006/relationships/hyperlink" Target="https://doi.org/10.1097/HEP.0000000000001449" TargetMode="External"/><Relationship Id="rId51" Type="http://schemas.openxmlformats.org/officeDocument/2006/relationships/hyperlink" Target="https://libkey.io/libraries/480/10.1097/HEP.0000000000001449" TargetMode="External"/><Relationship Id="rId52" Type="http://schemas.openxmlformats.org/officeDocument/2006/relationships/hyperlink" Target="https://pmc.ncbi.nlm.nih.gov/articles/PMC6002861/" TargetMode="External"/><Relationship Id="rId53" Type="http://schemas.openxmlformats.org/officeDocument/2006/relationships/hyperlink" Target="https://libkey.io/libraries/480/10.1097/SLA.0000000000002574" TargetMode="External"/><Relationship Id="rId54" Type="http://schemas.openxmlformats.org/officeDocument/2006/relationships/hyperlink" Target="https://link.springer.com/article/10.1245/s10434-020-09001-8" TargetMode="External"/><Relationship Id="rId55" Type="http://schemas.openxmlformats.org/officeDocument/2006/relationships/hyperlink" Target="https://libkey.io/libraries/480/10.1245/s10434-020-09001-8" TargetMode="External"/><Relationship Id="rId56" Type="http://schemas.openxmlformats.org/officeDocument/2006/relationships/hyperlink" Target="https://link.springer.com/article/10.1245/s10434-020-08258-3" TargetMode="External"/><Relationship Id="rId57" Type="http://schemas.openxmlformats.org/officeDocument/2006/relationships/hyperlink" Target="https://libkey.io/libraries/480/10.1245/s10434-020-08258-3" TargetMode="External"/><Relationship Id="rId58" Type="http://schemas.openxmlformats.org/officeDocument/2006/relationships/hyperlink" Target="https://doi.org/10.1053/j.gastro.2012.04.008" TargetMode="External"/><Relationship Id="rId59" Type="http://schemas.openxmlformats.org/officeDocument/2006/relationships/hyperlink" Target="https://libkey.io/libraries/480/10.1053/j.gastro.2012.04.008" TargetMode="External"/><Relationship Id="rId60" Type="http://schemas.openxmlformats.org/officeDocument/2006/relationships/hyperlink" Target="https://pubmed.ncbi.nlm.nih.gov/32671802" TargetMode="External"/><Relationship Id="rId61" Type="http://schemas.openxmlformats.org/officeDocument/2006/relationships/hyperlink" Target="https://libkey.io/libraries/480/10.1007/s11605-020-04721-4" TargetMode="External"/><Relationship Id="rId62" Type="http://schemas.openxmlformats.org/officeDocument/2006/relationships/hyperlink" Target="https://doi.org/10.1097/HEP.0000000000001449" TargetMode="External"/><Relationship Id="rId63" Type="http://schemas.openxmlformats.org/officeDocument/2006/relationships/hyperlink" Target="https://libkey.io/libraries/480/10.1097/HEP.0000000000001449" TargetMode="External"/><Relationship Id="rId64" Type="http://schemas.openxmlformats.org/officeDocument/2006/relationships/hyperlink" Target="https://doi.org/10.1007/s00270-024-03743-8" TargetMode="External"/><Relationship Id="rId65" Type="http://schemas.openxmlformats.org/officeDocument/2006/relationships/hyperlink" Target="https://libkey.io/libraries/480/10.1007/s00270-024-03743-8" TargetMode="External"/><Relationship Id="rId66" Type="http://schemas.openxmlformats.org/officeDocument/2006/relationships/hyperlink" Target="https://drliuhao.github.io/mh-liver-pathways/evidence/2026-10-25/" TargetMode="External"/><Relationship Id="rId67" Type="http://schemas.openxmlformats.org/officeDocument/2006/relationships/hyperlink" Target="https://drliuhao.github.io/mh-liver-pathways/evidence/2026-10-25/" TargetMode="External"/><Relationship Id="rId68" Type="http://schemas.openxmlformats.org/officeDocument/2006/relationships/hyperlink" Target="https://doi.org/10.1053/j.gastro.2012.04.008" TargetMode="External"/><Relationship Id="rId69" Type="http://schemas.openxmlformats.org/officeDocument/2006/relationships/hyperlink" Target="https://libkey.io/libraries/480/10.1053/j.gastro.2012.04.008" TargetMode="External"/><Relationship Id="rId70" Type="http://schemas.openxmlformats.org/officeDocument/2006/relationships/hyperlink" Target="https://doi.org/10.1002/lt.23757" TargetMode="External"/><Relationship Id="rId71" Type="http://schemas.openxmlformats.org/officeDocument/2006/relationships/hyperlink" Target="https://libkey.io/libraries/480/10.1002/lt.23757" TargetMode="External"/><Relationship Id="rId72" Type="http://schemas.openxmlformats.org/officeDocument/2006/relationships/hyperlink" Target="https://doi.org/10.1097/TXD.0000000000001760" TargetMode="External"/><Relationship Id="rId73" Type="http://schemas.openxmlformats.org/officeDocument/2006/relationships/hyperlink" Target="https://libkey.io/libraries/480/10.1097/TXD.0000000000001760" TargetMode="External"/><Relationship Id="rId74" Type="http://schemas.openxmlformats.org/officeDocument/2006/relationships/hyperlink" Target="https://doi.org/10.1093/bjsopen/zrad025" TargetMode="External"/><Relationship Id="rId75" Type="http://schemas.openxmlformats.org/officeDocument/2006/relationships/hyperlink" Target="https://libkey.io/libraries/480/10.1093/bjsopen/zrad025" TargetMode="External"/><Relationship Id="rId76" Type="http://schemas.openxmlformats.org/officeDocument/2006/relationships/hyperlink" Target="https://doi.org/10.1002/jhbp.12121" TargetMode="External"/><Relationship Id="rId77" Type="http://schemas.openxmlformats.org/officeDocument/2006/relationships/hyperlink" Target="https://libkey.io/libraries/480/10.1002/jhbp.12121" TargetMode="External"/><Relationship Id="rId78" Type="http://schemas.openxmlformats.org/officeDocument/2006/relationships/hyperlink" Target="https://onlinelibrary.wiley.com/doi/full/10.1002/hep.25629" TargetMode="External"/><Relationship Id="rId79" Type="http://schemas.openxmlformats.org/officeDocument/2006/relationships/hyperlink" Target="https://libkey.io/libraries/480/10.1002/hep.25629" TargetMode="External"/><Relationship Id="rId80" Type="http://schemas.openxmlformats.org/officeDocument/2006/relationships/hyperlink" Target="https://onlinelibrary.wiley.com/doi/10.1002/jso.24833" TargetMode="External"/><Relationship Id="rId81" Type="http://schemas.openxmlformats.org/officeDocument/2006/relationships/hyperlink" Target="https://libkey.io/libraries/480/10.1002/jso.24833" TargetMode="External"/><Relationship Id="rId82" Type="http://schemas.openxmlformats.org/officeDocument/2006/relationships/hyperlink" Target="https://onlinelibrary.wiley.com/doi/10.1002/jso.27511" TargetMode="External"/><Relationship Id="rId83" Type="http://schemas.openxmlformats.org/officeDocument/2006/relationships/hyperlink" Target="https://libkey.io/libraries/480/10.1002/jso.27511" TargetMode="External"/><Relationship Id="rId84" Type="http://schemas.openxmlformats.org/officeDocument/2006/relationships/hyperlink" Target="https://doi.org/10.3389/fonc.2026.1866870" TargetMode="External"/><Relationship Id="rId85" Type="http://schemas.openxmlformats.org/officeDocument/2006/relationships/hyperlink" Target="https://libkey.io/libraries/480/10.3389/fonc.2026.1866870" TargetMode="External"/><Relationship Id="rId86" Type="http://schemas.openxmlformats.org/officeDocument/2006/relationships/hyperlink" Target="https://doi.org/10.1002/lt.23757" TargetMode="External"/><Relationship Id="rId87" Type="http://schemas.openxmlformats.org/officeDocument/2006/relationships/hyperlink" Target="https://libkey.io/libraries/480/10.1002/lt.23757" TargetMode="External"/><Relationship Id="rId88" Type="http://schemas.openxmlformats.org/officeDocument/2006/relationships/hyperlink" Target="https://doi.org/10.1093/bjsopen/zrad025" TargetMode="External"/><Relationship Id="rId89" Type="http://schemas.openxmlformats.org/officeDocument/2006/relationships/hyperlink" Target="https://libkey.io/libraries/480/10.1093/bjsopen/zrad025" TargetMode="External"/><Relationship Id="rId90" Type="http://schemas.openxmlformats.org/officeDocument/2006/relationships/hyperlink" Target="https://drliuhao.github.io/mh-liver-pathways/evidence/2026-10-25/" TargetMode="External"/><Relationship Id="rId91" Type="http://schemas.openxmlformats.org/officeDocument/2006/relationships/hyperlink" Target="https://drliuhao.github.io/mh-liver-pathways/evidence/2026-10-25/" TargetMode="External"/><Relationship Id="rId92" Type="http://schemas.openxmlformats.org/officeDocument/2006/relationships/hyperlink" Target="https://drliuhao.github.io/mh-liver-pathways/evidence/2026-10-25/" TargetMode="External"/><Relationship Id="rId93" Type="http://schemas.openxmlformats.org/officeDocument/2006/relationships/hyperlink" Target="https://drliuhao.github.io/mh-liver-pathways/evidence/2026-10-25/" TargetMode="External"/><Relationship Id="rId94" Type="http://schemas.openxmlformats.org/officeDocument/2006/relationships/hyperlink" Target="https://drliuhao.github.io/mh-liver-pathways/evidence/2026-10-25/" TargetMode="External"/><Relationship Id="rId95" Type="http://schemas.openxmlformats.org/officeDocument/2006/relationships/hyperlink" Target="https://drliuhao.github.io/mh-liver-pathways/evidence/2026-10-25/" TargetMode="External"/><Relationship Id="rId96" Type="http://schemas.openxmlformats.org/officeDocument/2006/relationships/hyperlink" Target="https://drliuhao.github.io/mh-liver-pathways/evidence/2026-10-25/" TargetMode="External"/><Relationship Id="rId97" Type="http://schemas.openxmlformats.org/officeDocument/2006/relationships/hyperlink" Target="https://drliuhao.github.io/mh-liver-pathways/evidence/2026-10-25/" TargetMode="External"/><Relationship Id="rId98" Type="http://schemas.openxmlformats.org/officeDocument/2006/relationships/hyperlink" Target="https://drliuhao.github.io/mh-liver-pathways/evidence/2026-10-25/" TargetMode="External"/><Relationship Id="rId99" Type="http://schemas.openxmlformats.org/officeDocument/2006/relationships/hyperlink" Target="https://drliuhao.github.io/mh-liver-pathways/evidence/2026-10-25/" TargetMode="External"/><Relationship Id="rId100" Type="http://schemas.openxmlformats.org/officeDocument/2006/relationships/hyperlink" Target="https://drliuhao.github.io/mh-liver-pathways/evidence/2026-10-25/" TargetMode="External"/><Relationship Id="rId101" Type="http://schemas.openxmlformats.org/officeDocument/2006/relationships/hyperlink" Target="https://drliuhao.github.io/mh-liver-pathways/evidence/2026-10-25/" TargetMode="External"/><Relationship Id="rId102" Type="http://schemas.openxmlformats.org/officeDocument/2006/relationships/hyperlink" Target="https://www.hrsa.gov/sites/default/files/hrsa/optn/optn_policies.pdf" TargetMode="External"/><Relationship Id="rId103" Type="http://schemas.openxmlformats.org/officeDocument/2006/relationships/hyperlink" Target="https://drliuhao.github.io/mh-liver-pathways/evidence/2026-10-25/" TargetMode="External"/><Relationship Id="rId104" Type="http://schemas.openxmlformats.org/officeDocument/2006/relationships/hyperlink" Target="https://www.hrsa.gov/sites/default/files/hrsa/optn/adult-meld-exception-transplant-oncology-review-guidance.pdf" TargetMode="External"/><Relationship Id="rId105" Type="http://schemas.openxmlformats.org/officeDocument/2006/relationships/hyperlink" Target="https://drliuhao.github.io/mh-liver-pathways/evidence/2026-10-25/" TargetMode="External"/><Relationship Id="rId106" Type="http://schemas.openxmlformats.org/officeDocument/2006/relationships/hyperlink" Target="https://doi.org/10.1097/HEP.0000000000001449" TargetMode="External"/><Relationship Id="rId107" Type="http://schemas.openxmlformats.org/officeDocument/2006/relationships/hyperlink" Target="https://libkey.io/libraries/480/10.1097/HEP.0000000000001449" TargetMode="External"/><Relationship Id="rId108" Type="http://schemas.openxmlformats.org/officeDocument/2006/relationships/hyperlink" Target="https://doi.org/10.1111/j.1477-2574.2011.00298.x" TargetMode="External"/><Relationship Id="rId109" Type="http://schemas.openxmlformats.org/officeDocument/2006/relationships/hyperlink" Target="https://libkey.io/libraries/480/10.1111/j.1477-2574.2011.00298.x" TargetMode="External"/><Relationship Id="rId110" Type="http://schemas.openxmlformats.org/officeDocument/2006/relationships/hyperlink" Target="https://doi.org/10.1053/j.gastro.2012.04.008" TargetMode="External"/><Relationship Id="rId111" Type="http://schemas.openxmlformats.org/officeDocument/2006/relationships/hyperlink" Target="https://libkey.io/libraries/480/10.1053/j.gastro.2012.04.008" TargetMode="External"/><Relationship Id="rId112" Type="http://schemas.openxmlformats.org/officeDocument/2006/relationships/hyperlink" Target="https://onlinelibrary.wiley.com/doi/full/10.1002/hep.25629" TargetMode="External"/><Relationship Id="rId113" Type="http://schemas.openxmlformats.org/officeDocument/2006/relationships/hyperlink" Target="https://libkey.io/libraries/480/10.1002/hep.25629" TargetMode="External"/><Relationship Id="rId114" Type="http://schemas.openxmlformats.org/officeDocument/2006/relationships/hyperlink" Target="https://pmc.ncbi.nlm.nih.gov/articles/PMC9085963/" TargetMode="External"/><Relationship Id="rId115" Type="http://schemas.openxmlformats.org/officeDocument/2006/relationships/hyperlink" Target="https://libkey.io/libraries/480/10.1016/j.hpb.2021.11.001" TargetMode="External"/><Relationship Id="rId116" Type="http://schemas.openxmlformats.org/officeDocument/2006/relationships/hyperlink" Target="https://doi.org/10.1097/TXD.0000000000001760" TargetMode="External"/><Relationship Id="rId117" Type="http://schemas.openxmlformats.org/officeDocument/2006/relationships/hyperlink" Target="https://libkey.io/libraries/480/10.1097/TXD.0000000000001760" TargetMode="External"/><Relationship Id="rId118" Type="http://schemas.openxmlformats.org/officeDocument/2006/relationships/hyperlink" Target="https://doi.org/10.1002/hep.32771" TargetMode="External"/><Relationship Id="rId119" Type="http://schemas.openxmlformats.org/officeDocument/2006/relationships/hyperlink" Target="https://libkey.io/libraries/480/10.1002/hep.32771" TargetMode="External"/><Relationship Id="rId120" Type="http://schemas.openxmlformats.org/officeDocument/2006/relationships/hyperlink" Target="https://onlinelibrary.wiley.com/doi/10.1002/jso.24833" TargetMode="External"/><Relationship Id="rId121" Type="http://schemas.openxmlformats.org/officeDocument/2006/relationships/hyperlink" Target="https://libkey.io/libraries/480/10.1002/jso.24833" TargetMode="External"/><Relationship Id="rId122" Type="http://schemas.openxmlformats.org/officeDocument/2006/relationships/hyperlink" Target="https://www.nccn.org/professionals/physician_gls/pdf/btc.pdf#page=23" TargetMode="External"/><Relationship Id="rId123" Type="http://schemas.openxmlformats.org/officeDocument/2006/relationships/hyperlink" Target="https://drliuhao.github.io/mh-liver-pathways/evidence/2026-10-25/" TargetMode="External"/><Relationship Id="rId124" Type="http://schemas.openxmlformats.org/officeDocument/2006/relationships/hyperlink" Target="https://pmc.ncbi.nlm.nih.gov/articles/PMC6002861/" TargetMode="External"/><Relationship Id="rId125" Type="http://schemas.openxmlformats.org/officeDocument/2006/relationships/hyperlink" Target="https://libkey.io/libraries/480/10.1097/SLA.0000000000002574" TargetMode="External"/><Relationship Id="rId126" Type="http://schemas.openxmlformats.org/officeDocument/2006/relationships/hyperlink" Target="https://link.springer.com/article/10.1245/s10434-020-09001-8" TargetMode="External"/><Relationship Id="rId127" Type="http://schemas.openxmlformats.org/officeDocument/2006/relationships/hyperlink" Target="https://libkey.io/libraries/480/10.1245/s10434-020-09001-8" TargetMode="External"/><Relationship Id="rId128" Type="http://schemas.openxmlformats.org/officeDocument/2006/relationships/hyperlink" Target="https://link.springer.com/article/10.1245/s10434-020-08258-3" TargetMode="External"/><Relationship Id="rId129" Type="http://schemas.openxmlformats.org/officeDocument/2006/relationships/hyperlink" Target="https://libkey.io/libraries/480/10.1245/s10434-020-08258-3" TargetMode="External"/><Relationship Id="rId130" Type="http://schemas.openxmlformats.org/officeDocument/2006/relationships/hyperlink" Target="https://pubmed.ncbi.nlm.nih.gov/32671802" TargetMode="External"/><Relationship Id="rId131" Type="http://schemas.openxmlformats.org/officeDocument/2006/relationships/hyperlink" Target="https://libkey.io/libraries/480/10.1007/s11605-020-04721-4" TargetMode="External"/><Relationship Id="rId132" Type="http://schemas.openxmlformats.org/officeDocument/2006/relationships/hyperlink" Target="https://doi.org/10.1007/s00270-024-03743-8" TargetMode="External"/><Relationship Id="rId133" Type="http://schemas.openxmlformats.org/officeDocument/2006/relationships/hyperlink" Target="https://libkey.io/libraries/480/10.1007/s00270-024-03743-8" TargetMode="External"/><Relationship Id="rId134" Type="http://schemas.openxmlformats.org/officeDocument/2006/relationships/hyperlink" Target="https://doi.org/10.1097/HEP.0000000000001644" TargetMode="External"/><Relationship Id="rId135" Type="http://schemas.openxmlformats.org/officeDocument/2006/relationships/hyperlink" Target="https://libkey.io/libraries/480/10.1097/HEP.0000000000001644" TargetMode="External"/><Relationship Id="rId136" Type="http://schemas.openxmlformats.org/officeDocument/2006/relationships/hyperlink" Target="https://doi.org/10.1002/lt.23757" TargetMode="External"/><Relationship Id="rId137" Type="http://schemas.openxmlformats.org/officeDocument/2006/relationships/hyperlink" Target="https://libkey.io/libraries/480/10.1002/lt.23757" TargetMode="External"/><Relationship Id="rId138" Type="http://schemas.openxmlformats.org/officeDocument/2006/relationships/hyperlink" Target="https://doi.org/10.1093/bjsopen/zrad025" TargetMode="External"/><Relationship Id="rId139" Type="http://schemas.openxmlformats.org/officeDocument/2006/relationships/hyperlink" Target="https://libkey.io/libraries/480/10.1093/bjsopen/zrad025" TargetMode="External"/><Relationship Id="rId140" Type="http://schemas.openxmlformats.org/officeDocument/2006/relationships/hyperlink" Target="https://doi.org/10.1002/jhbp.12121" TargetMode="External"/><Relationship Id="rId141" Type="http://schemas.openxmlformats.org/officeDocument/2006/relationships/hyperlink" Target="https://libkey.io/libraries/480/10.1002/jhbp.12121" TargetMode="External"/><Relationship Id="rId142" Type="http://schemas.openxmlformats.org/officeDocument/2006/relationships/hyperlink" Target="https://onlinelibrary.wiley.com/doi/10.1002/jso.27511" TargetMode="External"/><Relationship Id="rId143" Type="http://schemas.openxmlformats.org/officeDocument/2006/relationships/hyperlink" Target="https://libkey.io/libraries/480/10.1002/jso.27511" TargetMode="External"/><Relationship Id="rId144" Type="http://schemas.openxmlformats.org/officeDocument/2006/relationships/hyperlink" Target="https://doi.org/10.3389/fonc.2026.1866870" TargetMode="External"/><Relationship Id="rId145" Type="http://schemas.openxmlformats.org/officeDocument/2006/relationships/hyperlink" Target="https://libkey.io/libraries/480/10.3389/fonc.2026.1866870" TargetMode="External"/><Relationship Id="rId146" Type="http://schemas.openxmlformats.org/officeDocument/2006/relationships/hyperlink" Target="https://doi.org/10.1097/HEP.0000000000001289" TargetMode="External"/><Relationship Id="rId147" Type="http://schemas.openxmlformats.org/officeDocument/2006/relationships/hyperlink" Target="https://libkey.io/libraries/480/10.1097/HEP.0000000000001289" TargetMode="External"/><Relationship Id="rId148" Type="http://schemas.openxmlformats.org/officeDocument/2006/relationships/hyperlink" Target="https://doi.org/10.1016/j.jhep.2024.06.042" TargetMode="External"/><Relationship Id="rId149" Type="http://schemas.openxmlformats.org/officeDocument/2006/relationships/hyperlink" Target="https://libkey.io/libraries/480/10.1016/j.jhep.2024.06.042" TargetMode="External"/><Relationship Id="rId150" Type="http://schemas.openxmlformats.org/officeDocument/2006/relationships/hyperlink" Target="https://doi.org/10.1155/joot/2545887" TargetMode="External"/><Relationship Id="rId151" Type="http://schemas.openxmlformats.org/officeDocument/2006/relationships/hyperlink" Target="https://libkey.io/libraries/480/10.1155/joot/2545887" TargetMode="External"/><Relationship Id="rId152" Type="http://schemas.openxmlformats.org/officeDocument/2006/relationships/hyperlink" Target="https://www.ecfr.gov/current/title-45/subtitle-A/subchapter-A/part-46/subpart-A/section-46.111" TargetMode="External"/><Relationship Id="rId153" Type="http://schemas.openxmlformats.org/officeDocument/2006/relationships/hyperlink" Target="https://www.hrsa.gov/optn/professionals/resources/ethical-considerations/ethical-principles-in-the-allocation-of-human-organs" TargetMode="External"/><Relationship Id="rId154" Type="http://schemas.openxmlformats.org/officeDocument/2006/relationships/hyperlink" Target="https://doi.org/10.1038/s41571-026-01160-z" TargetMode="External"/><Relationship Id="rId155" Type="http://schemas.openxmlformats.org/officeDocument/2006/relationships/hyperlink" Target="https://libkey.io/libraries/480/10.1038/s41571-026-01160-z" TargetMode="External"/><Relationship Id="rId156" Type="http://schemas.openxmlformats.org/officeDocument/2006/relationships/hyperlink" Target="https://doi.org/10.1016/S1470-2045(20)30224-2" TargetMode="External"/><Relationship Id="rId157" Type="http://schemas.openxmlformats.org/officeDocument/2006/relationships/hyperlink" Target="https://libkey.io/libraries/480/10.1016/S1470-2045(20)30224-2" TargetMode="External"/><Relationship Id="rId158" Type="http://schemas.openxmlformats.org/officeDocument/2006/relationships/hyperlink" Target="https://doi.org/10.1016/S0140-6736(24)01595-2" TargetMode="External"/><Relationship Id="rId159" Type="http://schemas.openxmlformats.org/officeDocument/2006/relationships/hyperlink" Target="https://libkey.io/libraries/480/10.1016/S0140-6736(24)01595-2" TargetMode="External"/><Relationship Id="rId160" Type="http://schemas.openxmlformats.org/officeDocument/2006/relationships/hyperlink" Target="https://doi.org/10.1016/j.jhep.2024.03.020" TargetMode="External"/><Relationship Id="rId161" Type="http://schemas.openxmlformats.org/officeDocument/2006/relationships/hyperlink" Target="https://libkey.io/libraries/480/10.1016/j.jhep.2024.03.020" TargetMode="External"/><Relationship Id="rId162" Type="http://schemas.openxmlformats.org/officeDocument/2006/relationships/hyperlink" Target="https://doi.org/10.1111/j.1600-6143.2011.03972.x" TargetMode="External"/><Relationship Id="rId163" Type="http://schemas.openxmlformats.org/officeDocument/2006/relationships/hyperlink" Target="https://libkey.io/libraries/480/10.1111/j.1600-6143.2011.03972.x" TargetMode="External"/><Relationship Id="rId164" Type="http://schemas.openxmlformats.org/officeDocument/2006/relationships/hyperlink" Target="https://doi.org/10.1111/ajt.14055" TargetMode="External"/><Relationship Id="rId165" Type="http://schemas.openxmlformats.org/officeDocument/2006/relationships/hyperlink" Target="https://libkey.io/libraries/480/10.1111/ajt.14055" TargetMode="External"/><Relationship Id="rId166" Type="http://schemas.openxmlformats.org/officeDocument/2006/relationships/hyperlink" Target="https://doi.org/10.1097/LVT.0000000000000303" TargetMode="External"/><Relationship Id="rId167" Type="http://schemas.openxmlformats.org/officeDocument/2006/relationships/hyperlink" Target="https://libkey.io/libraries/480/10.1097/LVT.0000000000000303" TargetMode="External"/><Relationship Id="rId168" Type="http://schemas.openxmlformats.org/officeDocument/2006/relationships/hyperlink" Target="https://doi.org/10.1016/j.ajt.2026.02.010" TargetMode="External"/><Relationship Id="rId169" Type="http://schemas.openxmlformats.org/officeDocument/2006/relationships/hyperlink" Target="https://libkey.io/libraries/480/10.1016/j.ajt.2026.02.010" TargetMode="External"/><Relationship Id="rId170" Type="http://schemas.openxmlformats.org/officeDocument/2006/relationships/hyperlink" Target="https://doi.org/10.1136/bmj.i5239" TargetMode="External"/><Relationship Id="rId171" Type="http://schemas.openxmlformats.org/officeDocument/2006/relationships/hyperlink" Target="https://libkey.io/libraries/480/10.1136/bmj.i5239" TargetMode="External"/><Relationship Id="rId172" Type="http://schemas.openxmlformats.org/officeDocument/2006/relationships/hyperlink" Target="https://doi.org/10.3389/ti.2024.13641" TargetMode="External"/><Relationship Id="rId173" Type="http://schemas.openxmlformats.org/officeDocument/2006/relationships/hyperlink" Target="https://libkey.io/libraries/480/10.3389/ti.2024.13641" TargetMode="External"/><Relationship Id="rId174" Type="http://schemas.openxmlformats.org/officeDocument/2006/relationships/hyperlink" Target="https://academic.oup.com/bjs/article/112/3/znaf054/8083032" TargetMode="External"/><Relationship Id="rId175" Type="http://schemas.openxmlformats.org/officeDocument/2006/relationships/hyperlink" Target="https://libkey.io/libraries/480/10.1093/bjs/znaf054" TargetMode="External"/><Relationship Id="rId176" Type="http://schemas.openxmlformats.org/officeDocument/2006/relationships/hyperlink" Target="https://drliuhao.github.io/mh-liver-pathways/evidence/2026-10-25/docs/HPB_Cross_Tumor_Systemic_Treatment_Matrix_2026-10-25.docx" TargetMode="External"/><Relationship Id="rId177" Type="http://schemas.openxmlformats.org/officeDocument/2006/relationships/hyperlink" Target="https://doi.org/10.1200/JCO-26-02462" TargetMode="External"/><Relationship Id="rId178" Type="http://schemas.openxmlformats.org/officeDocument/2006/relationships/hyperlink" Target="https://libkey.io/libraries/480/10.1200/JCO-26-02462" TargetMode="External"/><Relationship Id="rId179" Type="http://schemas.openxmlformats.org/officeDocument/2006/relationships/hyperlink" Target="https://doi.org/10.1016/S2468-1253(24)00119-5" TargetMode="External"/><Relationship Id="rId180" Type="http://schemas.openxmlformats.org/officeDocument/2006/relationships/hyperlink" Target="https://libkey.io/libraries/480/10.1016/S2468-1253(24)00119-5" TargetMode="External"/><Relationship Id="rId181" Type="http://schemas.openxmlformats.org/officeDocument/2006/relationships/hyperlink" Target="https://www.hrsa.gov/sites/default/files/hrsa/optn/optn_policies.pdf" TargetMode="External"/><Relationship Id="rId182" Type="http://schemas.openxmlformats.org/officeDocument/2006/relationships/hyperlink" Target="https://drliuhao.github.io/mh-liver-pathways/evidence/2026-10-25/" TargetMode="External"/><Relationship Id="rId183" Type="http://schemas.openxmlformats.org/officeDocument/2006/relationships/hyperlink" Target="https://www.hrsa.gov/sites/default/files/hrsa/optn/adult-meld-exception-transplant-oncology-review-guidance.pdf" TargetMode="External"/><Relationship Id="rId184" Type="http://schemas.openxmlformats.org/officeDocument/2006/relationships/hyperlink" Target="https://drliuhao.github.io/mh-liver-pathways/evidence/2026-10-25/" TargetMode="External"/><Relationship Id="rId185" Type="http://schemas.openxmlformats.org/officeDocument/2006/relationships/hyperlink" Target="https://doi.org/10.1097/HEP.0000000000001449" TargetMode="External"/><Relationship Id="rId186" Type="http://schemas.openxmlformats.org/officeDocument/2006/relationships/hyperlink" Target="https://libkey.io/libraries/480/10.1097/HEP.0000000000001449" TargetMode="External"/><Relationship Id="rId187" Type="http://schemas.openxmlformats.org/officeDocument/2006/relationships/hyperlink" Target="https://doi.org/10.1111/j.1477-2574.2011.00298.x" TargetMode="External"/><Relationship Id="rId188" Type="http://schemas.openxmlformats.org/officeDocument/2006/relationships/hyperlink" Target="https://libkey.io/libraries/480/10.1111/j.1477-2574.2011.00298.x" TargetMode="External"/><Relationship Id="rId189" Type="http://schemas.openxmlformats.org/officeDocument/2006/relationships/hyperlink" Target="https://doi.org/10.1053/j.gastro.2012.04.008" TargetMode="External"/><Relationship Id="rId190" Type="http://schemas.openxmlformats.org/officeDocument/2006/relationships/hyperlink" Target="https://libkey.io/libraries/480/10.1053/j.gastro.2012.04.008" TargetMode="External"/><Relationship Id="rId191" Type="http://schemas.openxmlformats.org/officeDocument/2006/relationships/hyperlink" Target="https://onlinelibrary.wiley.com/doi/full/10.1002/hep.25629" TargetMode="External"/><Relationship Id="rId192" Type="http://schemas.openxmlformats.org/officeDocument/2006/relationships/hyperlink" Target="https://libkey.io/libraries/480/10.1002/hep.25629" TargetMode="External"/><Relationship Id="rId193" Type="http://schemas.openxmlformats.org/officeDocument/2006/relationships/hyperlink" Target="https://pmc.ncbi.nlm.nih.gov/articles/PMC9085963/" TargetMode="External"/><Relationship Id="rId194" Type="http://schemas.openxmlformats.org/officeDocument/2006/relationships/hyperlink" Target="https://libkey.io/libraries/480/10.1016/j.hpb.2021.11.001" TargetMode="External"/><Relationship Id="rId195" Type="http://schemas.openxmlformats.org/officeDocument/2006/relationships/hyperlink" Target="https://doi.org/10.1097/TXD.0000000000001760" TargetMode="External"/><Relationship Id="rId196" Type="http://schemas.openxmlformats.org/officeDocument/2006/relationships/hyperlink" Target="https://libkey.io/libraries/480/10.1097/TXD.0000000000001760" TargetMode="External"/><Relationship Id="rId197" Type="http://schemas.openxmlformats.org/officeDocument/2006/relationships/hyperlink" Target="https://doi.org/10.1002/hep.32771" TargetMode="External"/><Relationship Id="rId198" Type="http://schemas.openxmlformats.org/officeDocument/2006/relationships/hyperlink" Target="https://libkey.io/libraries/480/10.1002/hep.32771" TargetMode="External"/><Relationship Id="rId199" Type="http://schemas.openxmlformats.org/officeDocument/2006/relationships/hyperlink" Target="https://onlinelibrary.wiley.com/doi/10.1002/jso.24833" TargetMode="External"/><Relationship Id="rId200" Type="http://schemas.openxmlformats.org/officeDocument/2006/relationships/hyperlink" Target="https://libkey.io/libraries/480/10.1002/jso.24833" TargetMode="External"/><Relationship Id="rId201" Type="http://schemas.openxmlformats.org/officeDocument/2006/relationships/hyperlink" Target="https://www.nccn.org/professionals/physician_gls/pdf/btc.pdf#page=16" TargetMode="External"/><Relationship Id="rId202" Type="http://schemas.openxmlformats.org/officeDocument/2006/relationships/hyperlink" Target="https://drliuhao.github.io/mh-liver-pathways/evidence/2026-10-25/" TargetMode="External"/><Relationship Id="rId203" Type="http://schemas.openxmlformats.org/officeDocument/2006/relationships/hyperlink" Target="https://pmc.ncbi.nlm.nih.gov/articles/PMC6002861/" TargetMode="External"/><Relationship Id="rId204" Type="http://schemas.openxmlformats.org/officeDocument/2006/relationships/hyperlink" Target="https://libkey.io/libraries/480/10.1097/SLA.0000000000002574" TargetMode="External"/><Relationship Id="rId205" Type="http://schemas.openxmlformats.org/officeDocument/2006/relationships/hyperlink" Target="https://link.springer.com/article/10.1245/s10434-020-09001-8" TargetMode="External"/><Relationship Id="rId206" Type="http://schemas.openxmlformats.org/officeDocument/2006/relationships/hyperlink" Target="https://libkey.io/libraries/480/10.1245/s10434-020-09001-8" TargetMode="External"/><Relationship Id="rId207" Type="http://schemas.openxmlformats.org/officeDocument/2006/relationships/hyperlink" Target="https://link.springer.com/article/10.1245/s10434-020-08258-3" TargetMode="External"/><Relationship Id="rId208" Type="http://schemas.openxmlformats.org/officeDocument/2006/relationships/hyperlink" Target="https://libkey.io/libraries/480/10.1245/s10434-020-08258-3" TargetMode="External"/><Relationship Id="rId209" Type="http://schemas.openxmlformats.org/officeDocument/2006/relationships/hyperlink" Target="https://pubmed.ncbi.nlm.nih.gov/32671802" TargetMode="External"/><Relationship Id="rId210" Type="http://schemas.openxmlformats.org/officeDocument/2006/relationships/hyperlink" Target="https://libkey.io/libraries/480/10.1007/s11605-020-04721-4" TargetMode="External"/><Relationship Id="rId211" Type="http://schemas.openxmlformats.org/officeDocument/2006/relationships/hyperlink" Target="https://doi.org/10.1007/s00270-024-03743-8" TargetMode="External"/><Relationship Id="rId212" Type="http://schemas.openxmlformats.org/officeDocument/2006/relationships/hyperlink" Target="https://libkey.io/libraries/480/10.1007/s00270-024-03743-8" TargetMode="External"/><Relationship Id="rId213" Type="http://schemas.openxmlformats.org/officeDocument/2006/relationships/hyperlink" Target="https://doi.org/10.1097/HEP.0000000000001644" TargetMode="External"/><Relationship Id="rId214" Type="http://schemas.openxmlformats.org/officeDocument/2006/relationships/hyperlink" Target="https://libkey.io/libraries/480/10.1097/HEP.0000000000001644" TargetMode="External"/><Relationship Id="rId215" Type="http://schemas.openxmlformats.org/officeDocument/2006/relationships/hyperlink" Target="https://doi.org/10.1002/lt.23757" TargetMode="External"/><Relationship Id="rId216" Type="http://schemas.openxmlformats.org/officeDocument/2006/relationships/hyperlink" Target="https://libkey.io/libraries/480/10.1002/lt.23757" TargetMode="External"/><Relationship Id="rId217" Type="http://schemas.openxmlformats.org/officeDocument/2006/relationships/hyperlink" Target="https://doi.org/10.1093/bjsopen/zrad025" TargetMode="External"/><Relationship Id="rId218" Type="http://schemas.openxmlformats.org/officeDocument/2006/relationships/hyperlink" Target="https://libkey.io/libraries/480/10.1093/bjsopen/zrad025" TargetMode="External"/><Relationship Id="rId219" Type="http://schemas.openxmlformats.org/officeDocument/2006/relationships/hyperlink" Target="https://doi.org/10.1002/jhbp.12121" TargetMode="External"/><Relationship Id="rId220" Type="http://schemas.openxmlformats.org/officeDocument/2006/relationships/hyperlink" Target="https://libkey.io/libraries/480/10.1002/jhbp.12121" TargetMode="External"/><Relationship Id="rId221" Type="http://schemas.openxmlformats.org/officeDocument/2006/relationships/hyperlink" Target="https://onlinelibrary.wiley.com/doi/10.1002/jso.27511" TargetMode="External"/><Relationship Id="rId222" Type="http://schemas.openxmlformats.org/officeDocument/2006/relationships/hyperlink" Target="https://libkey.io/libraries/480/10.1002/jso.27511" TargetMode="External"/><Relationship Id="rId223" Type="http://schemas.openxmlformats.org/officeDocument/2006/relationships/hyperlink" Target="https://doi.org/10.3389/fonc.2026.1866870" TargetMode="External"/><Relationship Id="rId224" Type="http://schemas.openxmlformats.org/officeDocument/2006/relationships/hyperlink" Target="https://libkey.io/libraries/480/10.3389/fonc.2026.1866870" TargetMode="External"/><Relationship Id="rId225" Type="http://schemas.openxmlformats.org/officeDocument/2006/relationships/hyperlink" Target="https://doi.org/10.1097/HEP.0000000000001289" TargetMode="External"/><Relationship Id="rId226" Type="http://schemas.openxmlformats.org/officeDocument/2006/relationships/hyperlink" Target="https://libkey.io/libraries/480/10.1097/HEP.0000000000001289" TargetMode="External"/><Relationship Id="rId227" Type="http://schemas.openxmlformats.org/officeDocument/2006/relationships/hyperlink" Target="https://doi.org/10.1016/j.jhep.2024.06.042" TargetMode="External"/><Relationship Id="rId228" Type="http://schemas.openxmlformats.org/officeDocument/2006/relationships/hyperlink" Target="https://libkey.io/libraries/480/10.1016/j.jhep.2024.06.042" TargetMode="External"/><Relationship Id="rId229" Type="http://schemas.openxmlformats.org/officeDocument/2006/relationships/hyperlink" Target="https://doi.org/10.1155/joot/2545887" TargetMode="External"/><Relationship Id="rId230" Type="http://schemas.openxmlformats.org/officeDocument/2006/relationships/hyperlink" Target="https://libkey.io/libraries/480/10.1155/joot/2545887" TargetMode="External"/><Relationship Id="rId231" Type="http://schemas.openxmlformats.org/officeDocument/2006/relationships/hyperlink" Target="https://www.ecfr.gov/current/title-45/subtitle-A/subchapter-A/part-46/subpart-A/section-46.111" TargetMode="External"/><Relationship Id="rId232" Type="http://schemas.openxmlformats.org/officeDocument/2006/relationships/hyperlink" Target="https://www.hrsa.gov/optn/professionals/resources/ethical-considerations/ethical-principles-in-the-allocation-of-human-organs" TargetMode="External"/><Relationship Id="rId233" Type="http://schemas.openxmlformats.org/officeDocument/2006/relationships/hyperlink" Target="https://doi.org/10.1038/s41571-026-01160-z" TargetMode="External"/><Relationship Id="rId234" Type="http://schemas.openxmlformats.org/officeDocument/2006/relationships/hyperlink" Target="https://libkey.io/libraries/480/10.1038/s41571-026-01160-z" TargetMode="External"/><Relationship Id="rId235" Type="http://schemas.openxmlformats.org/officeDocument/2006/relationships/hyperlink" Target="https://doi.org/10.1016/S1470-2045(20)30224-2" TargetMode="External"/><Relationship Id="rId236" Type="http://schemas.openxmlformats.org/officeDocument/2006/relationships/hyperlink" Target="https://libkey.io/libraries/480/10.1016/S1470-2045(20)30224-2" TargetMode="External"/><Relationship Id="rId237" Type="http://schemas.openxmlformats.org/officeDocument/2006/relationships/hyperlink" Target="https://doi.org/10.1016/S0140-6736(24)01595-2" TargetMode="External"/><Relationship Id="rId238" Type="http://schemas.openxmlformats.org/officeDocument/2006/relationships/hyperlink" Target="https://libkey.io/libraries/480/10.1016/S0140-6736(24)01595-2" TargetMode="External"/><Relationship Id="rId239" Type="http://schemas.openxmlformats.org/officeDocument/2006/relationships/hyperlink" Target="https://doi.org/10.1016/j.jhep.2024.03.020" TargetMode="External"/><Relationship Id="rId240" Type="http://schemas.openxmlformats.org/officeDocument/2006/relationships/hyperlink" Target="https://libkey.io/libraries/480/10.1016/j.jhep.2024.03.020" TargetMode="External"/><Relationship Id="rId241" Type="http://schemas.openxmlformats.org/officeDocument/2006/relationships/hyperlink" Target="https://doi.org/10.1111/j.1600-6143.2011.03972.x" TargetMode="External"/><Relationship Id="rId242" Type="http://schemas.openxmlformats.org/officeDocument/2006/relationships/hyperlink" Target="https://libkey.io/libraries/480/10.1111/j.1600-6143.2011.03972.x" TargetMode="External"/><Relationship Id="rId243" Type="http://schemas.openxmlformats.org/officeDocument/2006/relationships/hyperlink" Target="https://doi.org/10.1111/ajt.14055" TargetMode="External"/><Relationship Id="rId244" Type="http://schemas.openxmlformats.org/officeDocument/2006/relationships/hyperlink" Target="https://libkey.io/libraries/480/10.1111/ajt.14055" TargetMode="External"/><Relationship Id="rId245" Type="http://schemas.openxmlformats.org/officeDocument/2006/relationships/hyperlink" Target="https://doi.org/10.1097/LVT.0000000000000303" TargetMode="External"/><Relationship Id="rId246" Type="http://schemas.openxmlformats.org/officeDocument/2006/relationships/hyperlink" Target="https://libkey.io/libraries/480/10.1097/LVT.0000000000000303" TargetMode="External"/><Relationship Id="rId247" Type="http://schemas.openxmlformats.org/officeDocument/2006/relationships/hyperlink" Target="https://doi.org/10.1016/j.ajt.2026.02.010" TargetMode="External"/><Relationship Id="rId248" Type="http://schemas.openxmlformats.org/officeDocument/2006/relationships/hyperlink" Target="https://libkey.io/libraries/480/10.1016/j.ajt.2026.02.010" TargetMode="External"/><Relationship Id="rId249" Type="http://schemas.openxmlformats.org/officeDocument/2006/relationships/hyperlink" Target="https://doi.org/10.1136/bmj.i5239" TargetMode="External"/><Relationship Id="rId250" Type="http://schemas.openxmlformats.org/officeDocument/2006/relationships/hyperlink" Target="https://libkey.io/libraries/480/10.1136/bmj.i5239" TargetMode="External"/><Relationship Id="rId251" Type="http://schemas.openxmlformats.org/officeDocument/2006/relationships/hyperlink" Target="https://doi.org/10.3389/ti.2024.13641" TargetMode="External"/><Relationship Id="rId252" Type="http://schemas.openxmlformats.org/officeDocument/2006/relationships/hyperlink" Target="https://libkey.io/libraries/480/10.3389/ti.2024.13641" TargetMode="External"/><Relationship Id="rId253" Type="http://schemas.openxmlformats.org/officeDocument/2006/relationships/hyperlink" Target="https://academic.oup.com/bjs/article/112/3/znaf054/8083032" TargetMode="External"/><Relationship Id="rId254" Type="http://schemas.openxmlformats.org/officeDocument/2006/relationships/hyperlink" Target="https://libkey.io/libraries/480/10.1093/bjs/znaf054" TargetMode="External"/><Relationship Id="rId255" Type="http://schemas.openxmlformats.org/officeDocument/2006/relationships/hyperlink" Target="https://doi.org/10.1200/JCO-26-02462" TargetMode="External"/><Relationship Id="rId256" Type="http://schemas.openxmlformats.org/officeDocument/2006/relationships/hyperlink" Target="https://libkey.io/libraries/480/10.1200/JCO-26-02462" TargetMode="External"/><Relationship Id="rId257" Type="http://schemas.openxmlformats.org/officeDocument/2006/relationships/hyperlink" Target="https://doi.org/10.1016/S2468-1253(24)00119-5" TargetMode="External"/><Relationship Id="rId258" Type="http://schemas.openxmlformats.org/officeDocument/2006/relationships/hyperlink" Target="https://libkey.io/libraries/480/10.1016/S2468-1253(24)00119-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2026-07-15T23:24:36.929Z</dcterms:created>
  <dcterms:modified xsi:type="dcterms:W3CDTF">2026-10-25T09:38:05Z</dcterms:modified>
  <dc:title>UTHealth Houston and Memorial Hermann High Risk Liver Transplant Protocol for Perihilar Cholangiocarcinoma V8</dc:title>
  <dc:subject>Investigational pathway outside OPTN Policy 9.5.A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