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widowControl/>
      </w:pPr>
      <w:r>
        <w:t xml:space="preserve">UTHealth Houston / Memorial Hermann — Intrahepatic cholangiocarcinoma Standard / Guidance-Aligned Transplant Protocol V12</w:t>
      </w:r>
    </w:p>
    <w:p>
      <w:pPr>
        <w:pStyle w:val="Normal"/>
        <w:widowControl/>
      </w:pPr>
      <w:r>
        <w:t xml:space="preserve">Complete clinical-operational draft. Standard policy and nonstandard guidance categories are identified separately; local changes require institutional ratification. No experimental pathway is activated by this update.</w:t>
      </w:r>
    </w:p>
    <w:p>
      <w:pPr>
        <w:pStyle w:val="Normal"/>
        <w:widowControl/>
      </w:pPr>
      <w:r>
        <w:t xml:space="preserve">Version 12  |  Revised 2026-10-25 04:54 CDT  |  Institutional approval pending</w:t>
      </w:r>
    </w:p>
    <w:p>
      <w:pPr>
        <w:pStyle w:val="Heading2"/>
        <w:keepNext/>
        <w:widowControl/>
      </w:pPr>
      <w:r>
        <w:t xml:space="preserve">Policy and allocation status</w:t>
      </w:r>
    </w:p>
    <w:p>
      <w:pPr>
        <w:pStyle w:val="Normal"/>
        <w:widowControl/>
      </w:pPr>
      <w:r>
        <w:t xml:space="preserve">Analyst A structured critical review through 24 October 2026. All 27 B decisions remain OPEN. Primary evidence, selected-recipient outcomes, pathway-level outcomes, guideline wording and local safeguards are distinguished. This is not a PRISMA-complete systematic review, meta-analysis, fresh external-analyst consensus or institutional approval.</w:t>
      </w:r>
    </w:p>
    <w:p>
      <w:pPr>
        <w:pStyle w:val="Normal"/>
        <w:widowControl/>
      </w:pPr>
      <w:r>
        <w:t xml:space="preserve">Policy posting checked 24 October 2026: OPTN effective 1 October 2026; oncology guidance December 2025. Clinical suitability, allocation access, donor protection and research authorization remain separate. Recheck before any application.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wNzRmNWVjZC1mNDUwLTUzMTctYjcxNy1jOGQ3ZTZlZWUyMDYiIHRpbWVzdGFtcD0iMTc5MjkyMTA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wNzRmNWVjZC1mNDUwLTUzMTctYjcxNy1jOGQ3ZTZlZWUyMDYiIHRpbWVzdGFtcD0iMTc5MjkyMTA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pPr>
      <w:r>
        <w:t xml:space="preserve">Use the adjacent study tables before interpreting a proposed cutoff. Abstract-only extraction and missing full PDFs are labeled; missing outcome estimates are not inferred from graphs or from one minus disease-free survival. Linked full text is in this document’s own PDF depot when available.</w:t>
      </w:r>
    </w:p>
    <w:p>
      <w:pPr>
        <w:pStyle w:val="Heading2"/>
        <w:keepNext/>
        <w:widowControl/>
      </w:pPr>
      <w:r>
        <w:t xml:space="preserve">Clinical pathway and allocation requirements</w:t>
      </w:r>
    </w:p>
    <w:p>
      <w:pPr>
        <w:pStyle w:val="Normal"/>
        <w:widowControl/>
      </w:pPr>
      <w:r>
        <w:t xml:space="preserve">GUIDANCE-ALIGNED NON-STANDARD EXCEPTION. iCCA and mixed HCC-iCCA are not standardized diagnoses under OPTN Policy 9.5. The December 2025 guidance supports NLRB consideration for biopsy-proven, unresectable, solitary disease ≤3 cm in a candidate with cirrhosis after locoregional or systemic therapy and at least 6 months of stability, with no new lesions or extrahepatic disease. Recommended score: MMaT-3.</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wNzRmNWVjZC1mNDUwLTUzMTctYjcxNy1jOGQ3ZTZlZWUyMDYiIHRpbWVzdGFtcD0iMTc5MjkyMTA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wNzRmNWVjZC1mNDUwLTUzMTctYjcxNy1jOGQ3ZTZlZWUyMDYiIHRpbWVzdGFtcD0iMTc5MjkyMTA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pPr>
      <w:r>
        <w:t xml:space="preserve">Policy posting checked 24 October 2026: OPTN policy effective 1 October 2026 and transplant-oncology NLRB guidance December 2025. HCC and qualifying pCCA have standardized policy routes; iCCA, CRLM, NET, HEHE and HCA use nonstandard review. NLRB guidance is not OPTN policy or a clinical standard. Clinical candidacy, exception approval, donor clearance and research authorization are separate. Recheck the live source before submission.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wNzRmNWVjZC1mNDUwLTUzMTctYjcxNy1jOGQ3ZTZlZWUyMDYiIHRpbWVzdGFtcD0iMTc5MjkyMTA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wNzRmNWVjZC1mNDUwLTUzMTctYjcxNy1jOGQ3ZTZlZWUyMDYiIHRpbWVzdGFtcD0iMTc5MjkyMTA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pPr>
      <w:r>
        <w:t xml:space="preserve">Extension requests should document imaging every 3 months, tumor remaining ≤3 cm, and absence of extrahepatic disease. All drug selection, dose, washout, immunosuppression, surveillance, donor-source, and stopping-rule decisions require current multidisciplinary review and applicable pharmacy, IRB, DSMB, institutional, and regulatory approval before clinical use.</w:t>
      </w:r>
    </w:p>
    <w:p>
      <w:pPr>
        <w:pStyle w:val="Heading2"/>
        <w:keepNext/>
        <w:widowControl/>
      </w:pPr>
      <w:r>
        <w:t xml:space="preserve">1. Purpose and Scope</w:t>
      </w:r>
    </w:p>
    <w:p>
      <w:pPr>
        <w:pStyle w:val="Normal"/>
        <w:widowControl/>
      </w:pPr>
      <w:r>
        <w:t xml:space="preserve">This protocol establishes an institutional clinical pathway for liver transplantation in carefully selected patients with intrahepatic cholangiocarcinoma (iCCA). iCCA is not a standardized exception diagnosis in OPTN Policy 9.5; this pathway is aligned to the December 2025 transplant-oncology NLRB guidance, with NCCN and AASLD/AST sources used for clinical care.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wNzRmNWVjZC1mNDUwLTUzMTctYjcxNy1jOGQ3ZTZlZWUyMDYiIHRpbWVzdGFtcD0iMTc5MjkyMTA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wNzRmNWVjZC1mNDUwLTUzMTctYjcxNy1jOGQ3ZTZlZWUyMDYiIHRpbWVzdGFtcD0iMTc5MjkyMTA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Dc0ZjVlY2QtZjQ1MC01MzE3LWI3MTctYzhkN2U2ZWVlMjA2IiB0aW1lc3RhbXA9IjE3OTI5MjEwODU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Dc0ZjVlY2QtZjQ1MC01MzE3LWI3MTctYzhkN2U2ZWVlMjA2IiB0aW1lc3RhbXA9IjE3OTI5MjEwODU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Heading2"/>
        <w:keepNext/>
        <w:widowControl/>
      </w:pPr>
      <w:r>
        <w:t xml:space="preserve">2. Patient Selection Criteria</w:t>
      </w:r>
    </w:p>
    <w:p>
      <w:pPr>
        <w:pStyle w:val="Normal"/>
        <w:widowControl/>
      </w:pPr>
      <w:r>
        <w:t xml:space="preserve">Size-boundary disagreement — OPEN: NCCN BTC v1.2026 INTRA-1 footnote l describes selected small single tumors &lt;3 cm, whereas NLRB iCCA guidance uses ≤3 cm. Exactly 3.0 cm therefore requires explicit clinical benefit and measurement review; guidance-supported exception consideration is not unanimous clinical guideline endorsement.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wNzRmNWVjZC1mNDUwLTUzMTctYjcxNy1jOGQ3ZTZlZWUyMDYiIHRpbWVzdGFtcD0iMTc5MjkyMTA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Dc0ZjVlY2QtZjQ1MC01MzE3LWI3MTctYzhkN2U2ZWVlMjA2IiB0aW1lc3RhbXA9IjE3OTI5MjEwODU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Heading3"/>
        <w:keepNext/>
        <w:widowControl/>
      </w:pPr>
      <w:r>
        <w:t xml:space="preserve">2.1 Inclusion Criteria</w:t>
      </w:r>
    </w:p>
    <w:p>
      <w:pPr>
        <w:pStyle w:val="Normal"/>
        <w:widowControl/>
        <w:numPr>
          <w:ilvl w:val="0"/>
          <w:numId w:val="3"/>
        </w:numPr>
      </w:pPr>
      <w:r>
        <w:t xml:space="preserve">Biopsy-proven intrahepatic cholangiocarcinoma (iCCA) or mixed HCC-iCCA</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Dc0ZjVlY2QtZjQ1MC01MzE3LWI3MTctYzhkN2U2ZWVlMjA2IiB0aW1lc3RhbXA9IjE3OTI5MjEwODU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Dc0ZjVlY2QtZjQ1MC01MzE3LWI3MTctYzhkN2U2ZWVlMjA2IiB0aW1lc3RhbXA9IjE3OTI5MjEwODU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Solitary tumor with maximum diameter ≤3 cm</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Dc0ZjVlY2QtZjQ1MC01MzE3LWI3MTctYzhkN2U2ZWVlMjA2IiB0aW1lc3RhbXA9IjE3OTI5MjEwODU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Evidence note on the size threshold: the solitary 3 cm limit follows the OPTN transplant-oncology guidance. The strongest supporting outcome data are for very early iCCA defined as a SINGLE tumour 2 cm or less: 5-year cumulative recurrence 18% and 5-year actuarial survival 65% for single tumours 2 cm or less (n = 15), versus 61% recurrence and 45% survival for tumours above 2 cm or multifocal disease (n = 33). Sapisochin G et al., Hepatology 2016;64(4):1178-1188;  PMID 27481548. Candidates in the 2-3 cm band sit above the size range with the most favourable published outcomes; this must be stated in the consent discussion and in the NLRB narrative.</w:t>
      </w:r>
      <w:r>
        <w:t xml:space="preserve"> </w:t>
      </w:r>
      <w:r>
        <w:t xml:space="preserve"> </w:t>
      </w:r>
      <w:r>
        <w:fldChar w:fldCharType="begin"/>
      </w:r>
      <w:r>
        <w:instrText xml:space="preserve"> ADDIN EN.CITE </w:instrText>
      </w:r>
      <w:r>
        <w:fldChar w:fldCharType="begin">
          <w:fldData>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</w:fldData>
        </w:fldChar>
      </w:r>
      <w:r>
        <w:instrText xml:space="preserve"> ADDIN EN.CITE.DATA </w:instrText>
      </w:r>
      <w:r>
        <w:fldChar w:fldCharType="end"/>
      </w:r>
      <w:r>
        <w:fldChar w:fldCharType="separate"/>
      </w:r>
      <w:r>
        <w:t xml:space="preserve">[V12-5]</w:t>
      </w:r>
      <w:r>
        <w:fldChar w:fldCharType="end"/>
      </w:r>
    </w:p>
    <w:p>
      <w:pPr>
        <w:pStyle w:val="Normal"/>
        <w:widowControl/>
        <w:numPr>
          <w:ilvl w:val="0"/>
          <w:numId w:val="3"/>
        </w:numPr>
      </w:pPr>
      <w:r>
        <w:t xml:space="preserve">Cirrhosis is REQUIRED: documented cirrhosis (histology, or unequivocal imaging plus clinical or laboratory evidence of portal hypertension), recorded explicitly in the NLRB narrative. Candidates without cirrhosis do not meet the guidance-supported category and may not be submitted under this pathway; any such request must be a separately justified non-standard submission reviewed by the selection committee and transplant-oncology conference, with the deviation stated explicitly.</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Dc0ZjVlY2QtZjQ1MC01MzE3LWI3MTctYzhkN2U2ZWVlMjA2IiB0aW1lc3RhbXA9IjE3OTI5MjEwODU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t xml:space="preserve"> </w:t>
      </w:r>
      <w:r>
        <w:t xml:space="preserve"> </w:t>
      </w:r>
      <w:r>
        <w:fldChar w:fldCharType="begin"/>
      </w:r>
      <w:r>
        <w:instrText xml:space="preserve"> ADDIN EN.CITE </w:instrText>
      </w:r>
      <w:r>
        <w:fldChar w:fldCharType="begin">
          <w:fldData>PEVuZE5vdGU+PENpdGU+PEF1dGhvcj5Cb3dsdXM8L0F1dGhvcj48WWVhcj4yMDIyPC9ZZWFyPjxSZWNOdW0+NjwvUmVjTnVtPjxEaXNwbGF5VGV4dD5bVjEyLTZdPC9EaXNwbGF5VGV4dD48cmVjb3JkPjxyZWMtbnVtYmVyPjY8L3JlYy1udW1iZXI+PGZvcmVpZ24ta2V5cz48a2V5IGFwcD0iRU4iIGRiLWlkPSIwNzRmNWVjZC1mNDUwLTUzMTctYjcxNy1jOGQ3ZTZlZWUyMDYiIHRpbWVzdGFtcD0iMTc5MjkyMTA4NSI+Nj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[V12-6]</w:t>
      </w:r>
      <w:r>
        <w:fldChar w:fldCharType="end"/>
      </w:r>
    </w:p>
    <w:p>
      <w:pPr>
        <w:pStyle w:val="Normal"/>
        <w:widowControl/>
        <w:numPr>
          <w:ilvl w:val="0"/>
          <w:numId w:val="3"/>
        </w:numPr>
      </w:pPr>
      <w:r>
        <w:t xml:space="preserve">Unresectability is REQUIRED, determined by the hepatobiliary and transplant multidisciplinary tumour board, with the anatomic and functional reasons documented (remnant volume, vascular or biliary involvement, hepatic reserve).</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Dc0ZjVlY2QtZjQ1MC01MzE3LWI3MTctYzhkN2U2ZWVlMjA2IiB0aW1lc3RhbXA9IjE3OTI5MjEwODU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Dc0ZjVlY2QtZjQ1MC01MzE3LWI3MTctYzhkN2U2ZWVlMjA2IiB0aW1lc3RhbXA9IjE3OTI5MjEwODU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No extrahepatic disease on cross-sectional imaging (multiphasic CT or MRI of abdomen/pelvis and chest CT)</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Dc0ZjVlY2QtZjQ1MC01MzE3LWI3MTctYzhkN2U2ZWVlMjA2IiB0aW1lc3RhbXA9IjE3OTI5MjEwODU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Dc0ZjVlY2QtZjQ1MC01MzE3LWI3MTctYzhkN2U2ZWVlMjA2IiB0aW1lc3RhbXA9IjE3OTI5MjEwODU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No lymph node metastases on imaging and/or EUS-FNA</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Dc0ZjVlY2QtZjQ1MC01MzE3LWI3MTctYzhkN2U2ZWVlMjA2IiB0aW1lc3RhbXA9IjE3OTI5MjEwODU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t xml:space="preserve"> </w:t>
      </w:r>
      <w:r>
        <w:t xml:space="preserve"> </w:t>
      </w:r>
      <w:r>
        <w:fldChar w:fldCharType="begin"/>
      </w:r>
      <w:r>
        <w:instrText xml:space="preserve"> ADDIN EN.CITE </w:instrText>
      </w:r>
      <w:r>
        <w:fldChar w:fldCharType="begin">
          <w:fldData>PEVuZE5vdGU+PENpdGU+PEF1dGhvcj5Cb3dsdXM8L0F1dGhvcj48WWVhcj4yMDIyPC9ZZWFyPjxSZWNOdW0+NjwvUmVjTnVtPjxEaXNwbGF5VGV4dD5bVjEyLTZdPC9EaXNwbGF5VGV4dD48cmVjb3JkPjxyZWMtbnVtYmVyPjY8L3JlYy1udW1iZXI+PGZvcmVpZ24ta2V5cz48a2V5IGFwcD0iRU4iIGRiLWlkPSIwNzRmNWVjZC1mNDUwLTUzMTctYjcxNy1jOGQ3ZTZlZWUyMDYiIHRpbWVzdGFtcD0iMTc5MjkyMTA4NSI+Nj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[V12-6]</w:t>
      </w:r>
      <w:r>
        <w:fldChar w:fldCharType="end"/>
      </w:r>
    </w:p>
    <w:p>
      <w:pPr>
        <w:pStyle w:val="Normal"/>
        <w:widowControl/>
        <w:numPr>
          <w:ilvl w:val="0"/>
          <w:numId w:val="3"/>
        </w:numPr>
      </w:pPr>
      <w:r>
        <w:t xml:space="preserve">ECOG performance status 0–1</w:t>
      </w:r>
    </w:p>
    <w:p>
      <w:pPr>
        <w:pStyle w:val="Normal"/>
        <w:widowControl/>
        <w:numPr>
          <w:ilvl w:val="0"/>
          <w:numId w:val="3"/>
        </w:numPr>
      </w:pPr>
      <w:r>
        <w:t xml:space="preserve">Age: no absolute upper age limit; OPTN policy sets none. Candidates over 70 years require documented enhanced physiologic assessment — frailty (Liver Frailty Index or equivalent), sarcopenia assessment, formal cardiopulmonary evaluation, and geriatric or anaesthesia consultation as indicated — and explicit selection-committee sign-off recording why the expected benefit justifies transplantation and lifelong immunosuppression. The committee may decline on physiologic grounds; it may not decline on chronological age alone.</w:t>
      </w:r>
      <w:r>
        <w:t xml:space="preserve"> </w:t>
      </w:r>
      <w:r>
        <w:t xml:space="preserve"> </w:t>
      </w:r>
      <w:r>
        <w:fldChar w:fldCharType="begin"/>
      </w:r>
      <w:r>
        <w:instrText xml:space="preserve"> ADDIN EN.CITE </w:instrText>
      </w:r>
      <w:r>
        <w:fldChar w:fldCharType="begin">
          <w:fldData>PEVuZE5vdGU+PENpdGU+PEF1dGhvcj5TY2hsZWltZXI8L0F1dGhvcj48WWVhcj4yMDI2PC9ZZWFyPjxSZWNOdW0+NzwvUmVjTnVtPjxEaXNwbGF5VGV4dD5bVjEyLTddPC9EaXNwbGF5VGV4dD48cmVjb3JkPjxyZWMtbnVtYmVyPjc8L3JlYy1udW1iZXI+PGZvcmVpZ24ta2V5cz48a2V5IGFwcD0iRU4iIGRiLWlkPSIwNzRmNWVjZC1mNDUwLTUzMTctYjcxNy1jOGQ3ZTZlZWUyMDYiIHRpbWVzdGFtcD0iMTc5MjkyMTA4NSI+Nz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[V12-7]</w:t>
      </w:r>
      <w:r>
        <w:fldChar w:fldCharType="end"/>
      </w:r>
    </w:p>
    <w:p>
      <w:pPr>
        <w:pStyle w:val="Normal"/>
        <w:widowControl/>
        <w:numPr>
          <w:ilvl w:val="0"/>
          <w:numId w:val="3"/>
        </w:numPr>
      </w:pPr>
      <w:r>
        <w:t xml:space="preserve">No major comorbidities precluding transplantation per standard LT evaluation</w:t>
      </w:r>
    </w:p>
    <w:p>
      <w:pPr>
        <w:pStyle w:val="Heading3"/>
        <w:keepNext/>
        <w:widowControl/>
      </w:pPr>
      <w:r>
        <w:t xml:space="preserve">2.2 Exclusion Criteria</w:t>
      </w:r>
    </w:p>
    <w:p>
      <w:pPr>
        <w:pStyle w:val="Normal"/>
        <w:widowControl/>
        <w:numPr>
          <w:ilvl w:val="0"/>
          <w:numId w:val="3"/>
        </w:numPr>
      </w:pPr>
      <w:r>
        <w:t xml:space="preserve">Extrahepatic disease or intrahepatic metastases</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Dc0ZjVlY2QtZjQ1MC01MzE3LWI3MTctYzhkN2U2ZWVlMjA2IiB0aW1lc3RhbXA9IjE3OTI5MjEwODU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Macrovascular invasion</w:t>
      </w:r>
      <w:r>
        <w:t xml:space="preserve"> </w:t>
      </w:r>
      <w:r>
        <w:t xml:space="preserve"> </w:t>
      </w:r>
      <w:r>
        <w:fldChar w:fldCharType="begin"/>
      </w:r>
      <w:r>
        <w:instrText xml:space="preserve"> ADDIN EN.CITE </w:instrText>
      </w:r>
      <w:r>
        <w:fldChar w:fldCharType="begin">
          <w:fldData>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</w:fldData>
        </w:fldChar>
      </w:r>
      <w:r>
        <w:instrText xml:space="preserve"> ADDIN EN.CITE.DATA </w:instrText>
      </w:r>
      <w:r>
        <w:fldChar w:fldCharType="end"/>
      </w:r>
      <w:r>
        <w:fldChar w:fldCharType="separate"/>
      </w:r>
      <w:r>
        <w:t xml:space="preserve">[V12-7]</w:t>
      </w:r>
      <w:r>
        <w:fldChar w:fldCharType="end"/>
      </w:r>
    </w:p>
    <w:p>
      <w:pPr>
        <w:pStyle w:val="Normal"/>
        <w:widowControl/>
        <w:numPr>
          <w:ilvl w:val="0"/>
          <w:numId w:val="3"/>
        </w:numPr>
      </w:pPr>
      <w:r>
        <w:t xml:space="preserve">Obtain expert-reviewed core tissue to establish iCCA versus mixed histology and differentiation, using a planned image-guided trajectory. Prior biopsy alone is not a pCCA-style categorical iCCA exclusion. Suspected or proven needle-track/peritoneal metastasis requires staging review and prevents advancement while unresolved or metastatic disease is present.</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wNzRmNWVjZC1mNDUwLTUzMTctYjcxNy1jOGQ3ZTZlZWUyMDYiIHRpbWVzdGFtcD0iMTc5MjkyMTA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NY01pbGxhbjwvQXV0aG9yPjxZZWFyPjIwMjI8L1llYXI+PFJlY051bT44PC9SZWNOdW0+PERpc3BsYXlUZXh0PltWMTItOF08L0Rpc3BsYXlUZXh0PjxyZWNvcmQ+PHJlYy1udW1iZXI+ODwvcmVjLW51bWJlcj48Zm9yZWlnbi1rZXlzPjxrZXkgYXBwPSJFTiIgZGItaWQ9IjA3NGY1ZWNkLWY0NTAtNTMxNy1iNzE3LWM4ZDdlNmVlZTIwNiIgdGltZXN0YW1wPSIxNzkyOTIxMDg1Ij44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Q29tcGxldGUgb3JpZ2luYWwgQW0gSiBUcmFuc3BsYW50IDIwMjI7IDIyOjgyMyYjODIxMTs4MzIgYXJ0aWNsZTsgYWxsIG1haW4tcGFwZXIgcGFnZXMgcmV2aWV3ZWQuIFY4IGV4dHJhY3Rpb24gYW5kIGxpbWl0YXRpb25zOiBzb3VyY2UvYmlsaWFyeV9mdWxsdGV4dF9yZXZpZXcuanNvbjwvbm90ZXM+PHVybHM+PHJlbGF0ZWQtdXJscz48dXJsPmh0dHBzOi8vZG9pLm9yZy8xMC4xMTExL2FqdC4xNjkwNjwvdXJsPjwvcmVsYXRlZC11cmxzPjxwZGYtdXJscy8+PC91cmxzPjwvcmVjb3JkPjwvQ2l0ZT48L0VuZE5vdGU+</w:fldData>
        </w:fldChar>
      </w:r>
      <w:r>
        <w:instrText xml:space="preserve"> ADDIN EN.CITE.DATA </w:instrText>
      </w:r>
      <w:r>
        <w:fldChar w:fldCharType="end"/>
      </w:r>
      <w:r>
        <w:fldChar w:fldCharType="separate"/>
      </w:r>
      <w:r>
        <w:t xml:space="preserve">[V12-8]</w:t>
      </w:r>
      <w:r>
        <w:fldChar w:fldCharType="end"/>
      </w:r>
      <w:r>
        <w:t xml:space="preserve"> </w:t>
      </w:r>
      <w:r>
        <w:t xml:space="preserve"> </w:t>
      </w:r>
      <w:r>
        <w:fldChar w:fldCharType="begin"/>
      </w:r>
      <w:r>
        <w:instrText xml:space="preserve"> ADDIN EN.CITE </w:instrText>
      </w:r>
      <w:r>
        <w:fldChar w:fldCharType="begin">
          <w:fldData>PEVuZE5vdGU+PENpdGU+PEF1dGhvcj5TZXRoaTwvQXV0aG9yPjxZZWFyPjIwMjY8L1llYXI+PFJlY051bT45PC9SZWNOdW0+PERpc3BsYXlUZXh0PltWMTItOV08L0Rpc3BsYXlUZXh0PjxyZWNvcmQ+PHJlYy1udW1iZXI+OTwvcmVjLW51bWJlcj48Zm9yZWlnbi1rZXlzPjxrZXkgYXBwPSJFTiIgZGItaWQ9IjA3NGY1ZWNkLWY0NTAtNTMxNy1iNzE3LWM4ZDdlNmVlZTIwNiIgdGltZXN0YW1wPSIxNzkyOTIxMDg1Ij45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</w:fldData>
        </w:fldChar>
      </w:r>
      <w:r>
        <w:instrText xml:space="preserve"> ADDIN EN.CITE.DATA </w:instrText>
      </w:r>
      <w:r>
        <w:fldChar w:fldCharType="end"/>
      </w:r>
      <w:r>
        <w:fldChar w:fldCharType="separate"/>
      </w:r>
      <w:r>
        <w:t xml:space="preserve">[V12-9]</w:t>
      </w:r>
      <w:r>
        <w:fldChar w:fldCharType="end"/>
      </w:r>
    </w:p>
    <w:p>
      <w:pPr>
        <w:pStyle w:val="Normal"/>
        <w:widowControl/>
        <w:numPr>
          <w:ilvl w:val="0"/>
          <w:numId w:val="3"/>
        </w:numPr>
      </w:pPr>
      <w:r>
        <w:t xml:space="preserve">Review prior operative/pathology records, margins, nodes, recurrence pattern and reconstruction feasibility. Prior resection alone is not listed as an automatic iCCA NLRB exclusion. Recurrent or otherwise outside-guidance phenotypes require explicit multidisciplinary and individualized allocation review; advanced-cohort inclusion after resection does not automatically establish standard-route eligibility.</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wNzRmNWVjZC1mNDUwLTUzMTctYjcxNy1jOGQ3ZTZlZWUyMDYiIHRpbWVzdGFtcD0iMTc5MjkyMTA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NY01pbGxhbjwvQXV0aG9yPjxZZWFyPjIwMjI8L1llYXI+PFJlY051bT44PC9SZWNOdW0+PERpc3BsYXlUZXh0PltWMTItOF08L0Rpc3BsYXlUZXh0PjxyZWNvcmQ+PHJlYy1udW1iZXI+ODwvcmVjLW51bWJlcj48Zm9yZWlnbi1rZXlzPjxrZXkgYXBwPSJFTiIgZGItaWQ9IjA3NGY1ZWNkLWY0NTAtNTMxNy1iNzE3LWM4ZDdlNmVlZTIwNiIgdGltZXN0YW1wPSIxNzkyOTIxMDg1Ij44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Q29tcGxldGUgb3JpZ2luYWwgQW0gSiBUcmFuc3BsYW50IDIwMjI7IDIyOjgyMyYjODIxMTs4MzIgYXJ0aWNsZTsgYWxsIG1haW4tcGFwZXIgcGFnZXMgcmV2aWV3ZWQuIFY4IGV4dHJhY3Rpb24gYW5kIGxpbWl0YXRpb25zOiBzb3VyY2UvYmlsaWFyeV9mdWxsdGV4dF9yZXZpZXcuanNvbjwvbm90ZXM+PHVybHM+PHJlbGF0ZWQtdXJscz48dXJsPmh0dHBzOi8vZG9pLm9yZy8xMC4xMTExL2FqdC4xNjkwNjwvdXJsPjwvcmVsYXRlZC11cmxzPjxwZGYtdXJscy8+PC91cmxzPjwvcmVjb3JkPjwvQ2l0ZT48L0VuZE5vdGU+</w:fldData>
        </w:fldChar>
      </w:r>
      <w:r>
        <w:instrText xml:space="preserve"> ADDIN EN.CITE.DATA </w:instrText>
      </w:r>
      <w:r>
        <w:fldChar w:fldCharType="end"/>
      </w:r>
      <w:r>
        <w:fldChar w:fldCharType="separate"/>
      </w:r>
      <w:r>
        <w:t xml:space="preserve">[V12-8]</w:t>
      </w:r>
      <w:r>
        <w:fldChar w:fldCharType="end"/>
      </w:r>
    </w:p>
    <w:p>
      <w:pPr>
        <w:pStyle w:val="Normal"/>
        <w:widowControl/>
        <w:numPr>
          <w:ilvl w:val="0"/>
          <w:numId w:val="3"/>
        </w:numPr>
      </w:pPr>
      <w:r>
        <w:t xml:space="preserve">Uncontrolled infection</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Dc0ZjVlY2QtZjQ1MC01MzE3LWI3MTctYzhkN2U2ZWVlMjA2IiB0aW1lc3RhbXA9IjE3OTI5MjEwODU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Poorly differentiated histology (relative contraindication)</w:t>
      </w:r>
      <w:r>
        <w:t xml:space="preserve"> </w:t>
      </w:r>
      <w:r>
        <w:t xml:space="preserve"> </w:t>
      </w:r>
      <w:r>
        <w:fldChar w:fldCharType="begin"/>
      </w:r>
      <w:r>
        <w:instrText xml:space="preserve"> ADDIN EN.CITE </w:instrText>
      </w:r>
      <w:r>
        <w:fldChar w:fldCharType="begin">
          <w:fldData>PEVuZE5vdGU+PENpdGU+PEF1dGhvcj5Cb3dsdXM8L0F1dGhvcj48WWVhcj4yMDIyPC9ZZWFyPjxSZWNOdW0+NjwvUmVjTnVtPjxEaXNwbGF5VGV4dD5bVjEyLTZdPC9EaXNwbGF5VGV4dD48cmVjb3JkPjxyZWMtbnVtYmVyPjY8L3JlYy1udW1iZXI+PGZvcmVpZ24ta2V5cz48a2V5IGFwcD0iRU4iIGRiLWlkPSIwNzRmNWVjZC1mNDUwLTUzMTctYjcxNy1jOGQ3ZTZlZWUyMDYiIHRpbWVzdGFtcD0iMTc5MjkyMTA4NSI+Nj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[V12-6]</w:t>
      </w:r>
      <w:r>
        <w:fldChar w:fldCharType="end"/>
      </w:r>
    </w:p>
    <w:p>
      <w:pPr>
        <w:pStyle w:val="Normal"/>
        <w:widowControl/>
        <w:numPr>
          <w:ilvl w:val="0"/>
          <w:numId w:val="3"/>
        </w:numPr>
      </w:pPr>
      <w:r>
        <w:t xml:space="preserve">Inability to tolerate neoadjuvant systemic or locoregional therapy</w:t>
      </w:r>
    </w:p>
    <w:p>
      <w:pPr>
        <w:pStyle w:val="Heading2"/>
        <w:keepNext/>
        <w:widowControl/>
      </w:pPr>
      <w:r>
        <w:t xml:space="preserve">3. Pre-Transplant Workup</w:t>
      </w:r>
    </w:p>
    <w:p>
      <w:pPr>
        <w:pStyle w:val="Heading3"/>
        <w:keepNext/>
        <w:widowControl/>
      </w:pPr>
      <w:r>
        <w:t xml:space="preserve">3.1 Diagnostic Evaluation</w:t>
      </w:r>
    </w:p>
    <w:p>
      <w:pPr>
        <w:pStyle w:val="Normal"/>
        <w:widowControl/>
        <w:numPr>
          <w:ilvl w:val="0"/>
          <w:numId w:val="3"/>
        </w:numPr>
      </w:pPr>
      <w:r>
        <w:t xml:space="preserve">Multiphasic abdomen/pelvis CT or MRI with IV contrast (preferred)</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Dc0ZjVlY2QtZjQ1MC01MzE3LWI3MTctYzhkN2U2ZWVlMjA2IiB0aW1lc3RhbXA9IjE3OTI5MjEwODU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Chest CT ± contrast</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Dc0ZjVlY2QtZjQ1MC01MzE3LWI3MTctYzhkN2U2ZWVlMjA2IiB0aW1lc3RhbXA9IjE3OTI5MjEwODU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Obtain adequate tissue for expert pathological confirmation and biomarkers. Core biopsy is the preferred local sampling approach when feasible; the primary-biopsy avoidance rule for transplant-eligible pCCA does not apply to iCCA.</w:t>
      </w:r>
      <w:r>
        <w:t xml:space="preserve"> </w:t>
      </w:r>
      <w:r>
        <w:t xml:space="preserve"> </w:t>
      </w:r>
      <w:r>
        <w:fldChar w:fldCharType="begin"/>
      </w:r>
      <w:r>
        <w:instrText xml:space="preserve"> ADDIN EN.CITE </w:instrText>
      </w:r>
      <w:r>
        <w:fldChar w:fldCharType="begin">
          <w:fldData>PEVuZE5vdGU+PENpdGU+PEF1dGhvcj5Cb3dsdXM8L0F1dGhvcj48WWVhcj4yMDIyPC9ZZWFyPjxSZWNOdW0+NjwvUmVjTnVtPjxEaXNwbGF5VGV4dD5bVjEyLTZdPC9EaXNwbGF5VGV4dD48cmVjb3JkPjxyZWMtbnVtYmVyPjY8L3JlYy1udW1iZXI+PGZvcmVpZ24ta2V5cz48a2V5IGFwcD0iRU4iIGRiLWlkPSIwNzRmNWVjZC1mNDUwLTUzMTctYjcxNy1jOGQ3ZTZlZWUyMDYiIHRpbWVzdGFtcD0iMTc5MjkyMTA4NSI+Nj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[V12-6]</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wNzRmNWVjZC1mNDUwLTUzMTctYjcxNy1jOGQ3ZTZlZWUyMDYiIHRpbWVzdGFtcD0iMTc5MjkyMTA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numPr>
          <w:ilvl w:val="0"/>
          <w:numId w:val="3"/>
        </w:numPr>
      </w:pPr>
      <w:r>
        <w:t xml:space="preserve">Biomarker testing: comprehensive genomic profiling including MSI/MMR status, FGFR2 fusions, IDH1/2 mutations, BRAF, HER2, NTRK, RET</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Dc0ZjVlY2QtZjQ1MC01MzE3LWI3MTctYzhkN2U2ZWVlMjA2IiB0aW1lc3RhbXA9IjE3OTI5MjEwODU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Baseline tumor markers: CA 19-9, CEA, AFP</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Dc0ZjVlY2QtZjQ1MC01MzE3LWI3MTctYzhkN2U2ZWVlMjA2IiB0aW1lc3RhbXA9IjE3OTI5MjEwODU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Liver function tests, viral hepatitis serologies (HBV, HCV)</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Dc0ZjVlY2QtZjQ1MC01MzE3LWI3MTctYzhkN2U2ZWVlMjA2IiB0aW1lc3RhbXA9IjE3OTI5MjEwODU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MELD score calculation</w:t>
      </w:r>
    </w:p>
    <w:p>
      <w:pPr>
        <w:pStyle w:val="Normal"/>
        <w:widowControl/>
        <w:numPr>
          <w:ilvl w:val="0"/>
          <w:numId w:val="3"/>
        </w:numPr>
      </w:pPr>
      <w:r>
        <w:t xml:space="preserve">Standard LT evaluation (cardiac, pulmonary, psychosocial, nutritional)</w:t>
      </w:r>
    </w:p>
    <w:p>
      <w:pPr>
        <w:pStyle w:val="Heading3"/>
        <w:keepNext/>
        <w:widowControl/>
      </w:pPr>
      <w:r>
        <w:t xml:space="preserve">3.2 Staging Procedures</w:t>
      </w:r>
    </w:p>
    <w:p>
      <w:pPr>
        <w:pStyle w:val="Normal"/>
        <w:widowControl/>
        <w:numPr>
          <w:ilvl w:val="0"/>
          <w:numId w:val="3"/>
        </w:numPr>
      </w:pPr>
      <w:r>
        <w:t xml:space="preserve">Complete expert liver/chest/systemic staging and resolve suspicious regional nodes or extrahepatic lesions with targeted testing when indicated. Negative EUS sampling does not exclude all nodal disease. Hold advancement for unresolved suspicious lung, bone, pelvic or nodal findings; document the multidisciplinary interpretation and operative staging plan before LT.</w:t>
      </w:r>
      <w:r>
        <w:t xml:space="preserve"> </w:t>
      </w:r>
      <w:r>
        <w:t xml:space="preserve"> </w:t>
      </w:r>
      <w:r>
        <w:fldChar w:fldCharType="begin"/>
      </w:r>
      <w:r>
        <w:instrText xml:space="preserve"> ADDIN EN.CITE </w:instrText>
      </w:r>
      <w:r>
        <w:fldChar w:fldCharType="begin">
          <w:fldData>PEVuZE5vdGU+PENpdGU+PEF1dGhvcj5NY01pbGxhbjwvQXV0aG9yPjxZZWFyPjIwMjI8L1llYXI+PFJlY051bT44PC9SZWNOdW0+PERpc3BsYXlUZXh0PltWMTItOF08L0Rpc3BsYXlUZXh0PjxyZWNvcmQ+PHJlYy1udW1iZXI+ODwvcmVjLW51bWJlcj48Zm9yZWlnbi1rZXlzPjxrZXkgYXBwPSJFTiIgZGItaWQ9IjA3NGY1ZWNkLWY0NTAtNTMxNy1iNzE3LWM4ZDdlNmVlZTIwNiIgdGltZXN0YW1wPSIxNzkyOTIxMDg1Ij44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Q29tcGxldGUgb3JpZ2luYWwgQW0gSiBUcmFuc3BsYW50IDIwMjI7IDIyOjgyMyYjODIxMTs4MzIgYXJ0aWNsZTsgYWxsIG1haW4tcGFwZXIgcGFnZXMgcmV2aWV3ZWQuIFY4IGV4dHJhY3Rpb24gYW5kIGxpbWl0YXRpb25zOiBzb3VyY2UvYmlsaWFyeV9mdWxsdGV4dF9yZXZpZXcuanNvbjwvbm90ZXM+PHVybHM+PHJlbGF0ZWQtdXJscz48dXJsPmh0dHBzOi8vZG9pLm9yZy8xMC4xMTExL2FqdC4xNjkwNjwvdXJsPjwvcmVsYXRlZC11cmxzPjxwZGYtdXJscy8+PC91cmxzPjwvcmVjb3JkPjwvQ2l0ZT48L0VuZE5vdGU+</w:fldData>
        </w:fldChar>
      </w:r>
      <w:r>
        <w:instrText xml:space="preserve"> ADDIN EN.CITE.DATA </w:instrText>
      </w:r>
      <w:r>
        <w:fldChar w:fldCharType="end"/>
      </w:r>
      <w:r>
        <w:fldChar w:fldCharType="separate"/>
      </w:r>
      <w:r>
        <w:t xml:space="preserve">[V12-8]</w:t>
      </w:r>
      <w:r>
        <w:fldChar w:fldCharType="end"/>
      </w:r>
      <w:r>
        <w:t xml:space="preserve"> </w:t>
      </w:r>
      <w:r>
        <w:t xml:space="preserve"> </w:t>
      </w:r>
      <w:r>
        <w:fldChar w:fldCharType="begin"/>
      </w:r>
      <w:r>
        <w:instrText xml:space="preserve"> ADDIN EN.CITE </w:instrText>
      </w:r>
      <w:r>
        <w:fldChar w:fldCharType="begin">
          <w:fldData>PEVuZE5vdGU+PENpdGU+PEF1dGhvcj5TZXRoaTwvQXV0aG9yPjxZZWFyPjIwMjY8L1llYXI+PFJlY051bT45PC9SZWNOdW0+PERpc3BsYXlUZXh0PltWMTItOV08L0Rpc3BsYXlUZXh0PjxyZWNvcmQ+PHJlYy1udW1iZXI+OTwvcmVjLW51bWJlcj48Zm9yZWlnbi1rZXlzPjxrZXkgYXBwPSJFTiIgZGItaWQ9IjA3NGY1ZWNkLWY0NTAtNTMxNy1iNzE3LWM4ZDdlNmVlZTIwNiIgdGltZXN0YW1wPSIxNzkyOTIxMDg1Ij45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</w:fldData>
        </w:fldChar>
      </w:r>
      <w:r>
        <w:instrText xml:space="preserve"> ADDIN EN.CITE.DATA </w:instrText>
      </w:r>
      <w:r>
        <w:fldChar w:fldCharType="end"/>
      </w:r>
      <w:r>
        <w:fldChar w:fldCharType="separate"/>
      </w:r>
      <w:r>
        <w:t xml:space="preserve">[V12-9]</w:t>
      </w:r>
      <w:r>
        <w:fldChar w:fldCharType="end"/>
      </w:r>
      <w:r>
        <w:t xml:space="preserve"> </w:t>
      </w:r>
      <w:r>
        <w:t xml:space="preserve"> </w:t>
      </w:r>
      <w:r>
        <w:fldChar w:fldCharType="begin"/>
      </w:r>
      <w:r>
        <w:instrText xml:space="preserve"> ADDIN EN.CITE </w:instrText>
      </w:r>
      <w:r>
        <w:fldChar w:fldCharType="begin">
          <w:fldData>PEVuZE5vdGU+PENpdGU+PEF1dGhvcj5ZYXF1YjwvQXV0aG9yPjxZZWFyPjIwMjU8L1llYXI+PFJlY051bT4xMDwvUmVjTnVtPjxEaXNwbGF5VGV4dD5bVjEyLTEwXTwvRGlzcGxheVRleHQ+PHJlY29yZD48cmVjLW51bWJlcj4xMDwvcmVjLW51bWJlcj48Zm9yZWlnbi1rZXlzPjxrZXkgYXBwPSJFTiIgZGItaWQ9IjA3NGY1ZWNkLWY0NTAtNTMxNy1iNzE3LWM4ZDdlNmVlZTIwNiIgdGltZXN0YW1wPSIxNzkyOTIxMDg1Ij4xMD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[V12-10]</w:t>
      </w:r>
      <w:r>
        <w:fldChar w:fldCharType="end"/>
      </w:r>
    </w:p>
    <w:p>
      <w:pPr>
        <w:pStyle w:val="Normal"/>
        <w:widowControl/>
        <w:numPr>
          <w:ilvl w:val="0"/>
          <w:numId w:val="3"/>
        </w:numPr>
      </w:pPr>
      <w:r>
        <w:t xml:space="preserve">Consider PET-CT for occult extrahepatic disease</w:t>
      </w:r>
    </w:p>
    <w:p>
      <w:pPr>
        <w:pStyle w:val="Normal"/>
        <w:widowControl/>
        <w:numPr>
          <w:ilvl w:val="0"/>
          <w:numId w:val="3"/>
        </w:numPr>
      </w:pPr>
      <w:r>
        <w:t xml:space="preserve">Consider diagnostic laparoscopy prior to listing</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Dc0ZjVlY2QtZjQ1MC01MzE3LWI3MTctYzhkN2U2ZWVlMjA2IiB0aW1lc3RhbXA9IjE3OTI5MjEwODU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Heading1"/>
        <w:widowControl/>
        <w:keepNext/>
      </w:pPr>
      <w:r>
        <w:t xml:space="preserve">V12 evidence-integrated treatment and reassessment</w:t>
      </w:r>
    </w:p>
    <w:p>
      <w:pPr>
        <w:pStyle w:val="Normal"/>
        <w:widowControl/>
        <w:spacing w:after="120"/>
      </w:pPr>
      <w:r>
        <w:t xml:space="preserve">Systemic disease control is not proof of transplant benefit. Preserve the route-specific histology, liver-only status, unresectability and observation gates. A cHCC-CCA component changes the evidence base; use expert pathology review.</w:t>
      </w:r>
    </w:p>
    <w:p>
      <w:pPr>
        <w:pStyle w:val="Heading2"/>
        <w:widowControl/>
        <w:keepNext/>
      </w:pPr>
      <w:r>
        <w:t xml:space="preserve">ASCO BTC living guideline 2026.1.0</w:t>
      </w:r>
    </w:p>
    <w:p>
      <w:pPr>
        <w:pStyle w:val="Normal"/>
        <w:widowControl/>
        <w:spacing w:after="120"/>
      </w:pPr>
      <w:r>
        <w:t xml:space="preserve">Add biomarker-led branches: IDH1 ivosidenib; FGFR2 fusion/rearrangement pemigatinib/futibatinib; BRAF V600E dabrafenib/trametinib; HER2 IHC3+ zanidatamab/T-DXd; qualifying RET/NTRK/NRG1 options. Confirm current label and line. Negative plasma does not exclude a fusion; pursue tissue/RNA when feasible. Pre-LT ICI requires separate safety review.</w:t>
      </w:r>
      <w:r>
        <w:t xml:space="preserve"> </w:t>
      </w:r>
      <w:r>
        <w:fldChar w:fldCharType="begin"/>
      </w:r>
      <w:r>
        <w:instrText xml:space="preserve"> ADDIN EN.CITE </w:instrText>
      </w:r>
      <w:r>
        <w:fldChar w:fldCharType="begin">
          <w:fldData>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</w:fldData>
        </w:fldChar>
      </w:r>
      <w:r>
        <w:instrText xml:space="preserve"> ADDIN EN.CITE.DATA </w:instrText>
      </w:r>
      <w:r>
        <w:fldChar w:fldCharType="end"/>
      </w:r>
      <w:r>
        <w:fldChar w:fldCharType="separate"/>
      </w:r>
      <w:r>
        <w:t xml:space="preserve">[V12-11]</w:t>
      </w:r>
      <w:r>
        <w:fldChar w:fldCharType="end"/>
      </w:r>
      <w:r>
        <w:br/>
      </w:r>
      <w:hyperlink r:id="rId135">
        <w:r>
          <w:rPr>
            <w:color w:val="0563C1"/>
            <w:u w:val="single"/>
          </w:rPr>
          <w:t>Source</w:t>
        </w:r>
      </w:hyperlink>
      <w:r>
        <w:t xml:space="preserve"> · </w:t>
      </w:r>
      <w:hyperlink r:id="rId136">
        <w:r>
          <w:rPr>
            <w:color w:val="0563C1"/>
            <w:u w:val="single"/>
          </w:rPr>
          <w:t>PDF</w:t>
        </w:r>
      </w:hyperlink>
    </w:p>
    <w:p>
      <w:pPr>
        <w:pStyle w:val="Heading2"/>
        <w:widowControl/>
        <w:keepNext/>
      </w:pPr>
      <w:r>
        <w:t xml:space="preserve">NALIRICC: negative BTC randomized trial</w:t>
      </w:r>
    </w:p>
    <w:p>
      <w:pPr>
        <w:pStyle w:val="Normal"/>
        <w:widowControl/>
        <w:spacing w:after="120"/>
      </w:pPr>
      <w:r>
        <w:t xml:space="preserve">Show NALIRICC alongside NIFTY. Do not call nal-IRI/5-FU an unqualified preferred second-line BTC regimen. Consider only a qualified alternative after target review, especially if oxaliplatin is unsuitable, with explicit benefit/toxicity discussion.</w:t>
      </w:r>
      <w:r>
        <w:t xml:space="preserve"> </w:t>
      </w:r>
      <w:r>
        <w:fldChar w:fldCharType="begin"/>
      </w:r>
      <w:r>
        <w:instrText xml:space="preserve"> ADDIN EN.CITE </w:instrText>
      </w:r>
      <w:r>
        <w:fldChar w:fldCharType="begin">
          <w:fldData>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</w:fldData>
        </w:fldChar>
      </w:r>
      <w:r>
        <w:instrText xml:space="preserve"> ADDIN EN.CITE.DATA </w:instrText>
      </w:r>
      <w:r>
        <w:fldChar w:fldCharType="end"/>
      </w:r>
      <w:r>
        <w:fldChar w:fldCharType="separate"/>
      </w:r>
      <w:r>
        <w:t xml:space="preserve">[V12-12]</w:t>
      </w:r>
      <w:r>
        <w:fldChar w:fldCharType="end"/>
      </w:r>
      <w:r>
        <w:br/>
      </w:r>
      <w:hyperlink r:id="rId137">
        <w:r>
          <w:rPr>
            <w:color w:val="0563C1"/>
            <w:u w:val="single"/>
          </w:rPr>
          <w:t>Source</w:t>
        </w:r>
      </w:hyperlink>
      <w:r>
        <w:t xml:space="preserve"> · </w:t>
      </w:r>
      <w:hyperlink r:id="rId138">
        <w:r>
          <w:rPr>
            <w:color w:val="0563C1"/>
            <w:u w:val="single"/>
          </w:rPr>
          <w:t>PDF</w:t>
        </w:r>
      </w:hyperlink>
    </w:p>
    <w:p>
      <w:pPr>
        <w:pStyle w:val="Heading2"/>
        <w:widowControl/>
        <w:keepNext/>
      </w:pPr>
      <w:r>
        <w:t xml:space="preserve">Kobayashi 2018: combined HCC-CCA</w:t>
      </w:r>
    </w:p>
    <w:p>
      <w:pPr>
        <w:pStyle w:val="Normal"/>
        <w:widowControl/>
        <w:spacing w:after="120"/>
      </w:pPr>
      <w:r>
        <w:t xml:space="preserve">Supports cautious platinum-based treatment discussion and expert pathology/molecular review, not a definitive superiority claim or transplant-selection benefit. Adding ICI is extrapolation and requires LT-intent safety review.</w:t>
      </w:r>
      <w:r>
        <w:t xml:space="preserve"> </w:t>
      </w:r>
      <w:r>
        <w:fldChar w:fldCharType="begin"/>
      </w:r>
      <w:r>
        <w:instrText xml:space="preserve"> ADDIN EN.CITE </w:instrText>
      </w:r>
      <w:r>
        <w:fldChar w:fldCharType="begin">
          <w:fldData>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r>
        <w:br/>
      </w:r>
      <w:hyperlink r:id="rId139">
        <w:r>
          <w:rPr>
            <w:color w:val="0563C1"/>
            <w:u w:val="single"/>
          </w:rPr>
          <w:t>Source</w:t>
        </w:r>
      </w:hyperlink>
      <w:r>
        <w:t xml:space="preserve"> · </w:t>
      </w:r>
      <w:hyperlink r:id="rId140">
        <w:r>
          <w:rPr>
            <w:color w:val="0563C1"/>
            <w:u w:val="single"/>
          </w:rPr>
          <w:t>PDF</w:t>
        </w:r>
      </w:hyperlink>
    </w:p>
    <w:p>
      <w:pPr>
        <w:pStyle w:val="Normal"/>
        <w:widowControl/>
        <w:spacing w:after="120"/>
      </w:pPr>
      <w:r>
        <w:t xml:space="preserve">Treatment comparisons and detailed regimen evidence: </w:t>
      </w:r>
      <w:hyperlink r:id="rId134">
        <w:r>
          <w:rPr>
            <w:color w:val="0563C1"/>
            <w:u w:val="single"/>
          </w:rPr>
          <w:t>Cross-tumor systemic matrix</w:t>
        </w:r>
      </w:hyperlink>
    </w:p>
    <w:p>
      <w:pPr>
        <w:pStyle w:val="Heading2"/>
        <w:keepNext/>
        <w:widowControl/>
      </w:pPr>
      <w:r>
        <w:t xml:space="preserve">4. Neoadjuvant Therapy</w:t>
      </w:r>
    </w:p>
    <w:p>
      <w:pPr>
        <w:pStyle w:val="Heading3"/>
        <w:keepNext/>
        <w:widowControl/>
      </w:pPr>
      <w:r>
        <w:t xml:space="preserve">4.1 Systemic Therapy</w:t>
      </w:r>
    </w:p>
    <w:p>
      <w:pPr>
        <w:pStyle w:val="Normal"/>
        <w:widowControl/>
      </w:pPr>
      <w:r>
        <w:t xml:space="preserve">Before listing, candidates must demonstrate at least 6 months of stability after locoregional or systemic therapy, selected by the multidisciplinary transplant-oncology team. No single systemic regimen is established as the standard neoadjuvant transplant regimen.</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Dc0ZjVlY2QtZjQ1MC01MzE3LWI3MTctYzhkN2U2ZWVlMjA2IiB0aW1lc3RhbXA9IjE3OTI5MjEwODU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Gemcitabine/cisplatin with durvalumab may be used for advanced biliary tract cancer, but its use as neoadjuvant therapy before LT is investigational.</w:t>
      </w:r>
    </w:p>
    <w:p>
      <w:pPr>
        <w:pStyle w:val="Normal"/>
        <w:widowControl/>
        <w:numPr>
          <w:ilvl w:val="0"/>
          <w:numId w:val="3"/>
        </w:numPr>
      </w:pPr>
      <w:r>
        <w:t xml:space="preserve">Gemcitabine/cisplatin with pembrolizumab may be used for advanced biliary tract cancer, but its use as neoadjuvant therapy before LT is investigational.</w:t>
      </w:r>
    </w:p>
    <w:p>
      <w:pPr>
        <w:pStyle w:val="Normal"/>
        <w:widowControl/>
      </w:pPr>
      <w:r>
        <w:t xml:space="preserve">Systemic alternatives, when systemic therapy is selected, include gemcitabine/cisplatin (with carboplatin substitution when appropriate), gemcitabine/oxaliplatin, or capecitabine/gemcitabine; selection requires current oncology and transplant-pharmacy review. These advanced-BTC chemotherapy options do not establish a validated transplant-conditioning regimen; use a named institutionally approved LT plan.</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Dc0ZjVlY2QtZjQ1MC01MzE3LWI3MTctYzhkN2U2ZWVlMjA2IiB0aW1lc3RhbXA9IjE3OTI5MjEwODU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pPr>
      <w:r>
        <w:t xml:space="preserve">Important note regarding immune checkpoint inhibitors (ICIs): ICI-containing therapy is not a validated neoadjuvant LT standard. If used under an approved protocol, require transplant-specific consent and a prospectively defined washout of at least 90 days. The 90-day interval is a protocol convention, not a validated threshold: no washout duration has been shown to eliminate rejection risk, and rejection has been reported after longer intervals. Record the interval used and the rationale for any deviation. The supporting evidence is largely retrospective and HCC-derived.</w:t>
      </w:r>
      <w:r>
        <w:t xml:space="preserve"> </w:t>
      </w:r>
      <w:r>
        <w:t xml:space="preserve"> </w:t>
      </w:r>
      <w:r>
        <w:fldChar w:fldCharType="begin"/>
      </w:r>
      <w:r>
        <w:instrText xml:space="preserve"> ADDIN EN.CITE </w:instrText>
      </w:r>
      <w:r>
        <w:fldChar w:fldCharType="begin">
          <w:fldData>PEVuZE5vdGU+PENpdGU+PEF1dGhvcj5TaW5nYWw8L0F1dGhvcj48WWVhcj4yMDIzPC9ZZWFyPjxSZWNOdW0+MTQ8L1JlY051bT48RGlzcGxheVRleHQ+W1YxMi0xNF08L0Rpc3BsYXlUZXh0PjxyZWNvcmQ+PHJlYy1udW1iZXI+MTQ8L3JlYy1udW1iZXI+PGZvcmVpZ24ta2V5cz48a2V5IGFwcD0iRU4iIGRiLWlkPSIwNzRmNWVjZC1mNDUwLTUzMTctYjcxNy1jOGQ3ZTZlZWUyMDYiIHRpbWVzdGFtcD0iMTc5MjkyMTA4NSI+MTQ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FBU0xEIDIwMjMgSEhTIGF1dGhvciBtYW51c2NyaXB0OyBjb21wbGV0ZSBMVCBzZWN0aW9ucyBQREYgcHAxNiYjODIxMTsyMCwgZ3VpZGFuY2Ugc3RhdGVtZW50cyBwcDU2JiM4MjExOzU3LCBhbGxvY2F0aW9uIGNhcHRpb25zIHBwNzEmIzgyMTE7NzIgYW5kIFRhYmxlcyAzJiM4MjExOzQgcHA3OCYjODIxMTs3OSByZWNoZWNrZWQuIEN1cnJlbnQgYW5kIHByaW9yIGNvcGllcyBoYXZlIGlkZW50aWNhbCB0ZXh0OyBub3QgYSB3aG9sZS1ndWlkZWxpbmUgcmVyZWFk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[V12-14]</w:t>
      </w:r>
      <w:r>
        <w:fldChar w:fldCharType="end"/>
      </w:r>
      <w:r>
        <w:t xml:space="preserve"> </w:t>
      </w:r>
      <w:r>
        <w:t xml:space="preserve"> </w:t>
      </w:r>
      <w:r>
        <w:fldChar w:fldCharType="begin"/>
      </w:r>
      <w:r>
        <w:instrText xml:space="preserve"> ADDIN EN.CITE </w:instrText>
      </w:r>
      <w:r>
        <w:fldChar w:fldCharType="begin">
          <w:fldData>PEVuZE5vdGU+PENpdGU+PEF1dGhvcj5Nb2Vja2xpPC9BdXRob3I+PFllYXI+MjAyNTwvWWVhcj48UmVjTnVtPjE1PC9SZWNOdW0+PERpc3BsYXlUZXh0PltWMTItMTVdPC9EaXNwbGF5VGV4dD48cmVjb3JkPjxyZWMtbnVtYmVyPjE1PC9yZWMtbnVtYmVyPjxmb3JlaWduLWtleXM+PGtleSBhcHA9IkVOIiBkYi1pZD0iMDc0ZjVlY2QtZjQ1MC01MzE3LWI3MTctYzhkN2U2ZWVlMjA2IiB0aW1lc3RhbXA9IjE3OTI5MjEwODUiPjE1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[V12-15]</w:t>
      </w:r>
      <w:r>
        <w:fldChar w:fldCharType="end"/>
      </w:r>
      <w:r>
        <w:t xml:space="preserve"> </w:t>
      </w:r>
      <w:r>
        <w:t xml:space="preserve"> </w:t>
      </w:r>
      <w:r>
        <w:fldChar w:fldCharType="begin"/>
      </w:r>
      <w:r>
        <w:instrText xml:space="preserve"> ADDIN EN.CITE </w:instrText>
      </w:r>
      <w:r>
        <w:fldChar w:fldCharType="begin">
          <w:fldData>PEVuZE5vdGU+PENpdGU+PEF1dGhvcj5UYWJyaXppYW48L0F1dGhvcj48WWVhcj4yMDI1PC9ZZWFyPjxSZWNOdW0+MTY8L1JlY051bT48RGlzcGxheVRleHQ+W1YxMi0xNl08L0Rpc3BsYXlUZXh0PjxyZWNvcmQ+PHJlYy1udW1iZXI+MTY8L3JlYy1udW1iZXI+PGZvcmVpZ24ta2V5cz48a2V5IGFwcD0iRU4iIGRiLWlkPSIwNzRmNWVjZC1mNDUwLTUzMTctYjcxNy1jOGQ3ZTZlZWUyMDYiIHRpbWVzdGFtcD0iMTc5MjkyMTA4NSI+MTY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p>
    <w:p>
      <w:pPr>
        <w:pStyle w:val="Heading3"/>
        <w:keepNext/>
        <w:widowControl/>
      </w:pPr>
      <w:r>
        <w:t xml:space="preserve">4.2 Locoregional Therapy</w:t>
      </w:r>
    </w:p>
    <w:p>
      <w:pPr>
        <w:pStyle w:val="Normal"/>
        <w:widowControl/>
      </w:pPr>
      <w:r>
        <w:t xml:space="preserve">Consider as adjunct to systemic therapy:</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Dc0ZjVlY2QtZjQ1MC01MzE3LWI3MTctYzhkN2U2ZWVlMjA2IiB0aW1lc3RhbXA9IjE3OTI5MjEwODU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numPr>
          <w:ilvl w:val="0"/>
          <w:numId w:val="3"/>
        </w:numPr>
      </w:pPr>
      <w:r>
        <w:t xml:space="preserve">Transarterial chemoembolization (TACE)</w:t>
      </w:r>
    </w:p>
    <w:p>
      <w:pPr>
        <w:pStyle w:val="Normal"/>
        <w:widowControl/>
        <w:numPr>
          <w:ilvl w:val="0"/>
          <w:numId w:val="3"/>
        </w:numPr>
      </w:pPr>
      <w:r>
        <w:t xml:space="preserve">Yttrium-90 (Y-90) radioembolization</w:t>
      </w:r>
    </w:p>
    <w:p>
      <w:pPr>
        <w:pStyle w:val="Normal"/>
        <w:widowControl/>
        <w:numPr>
          <w:ilvl w:val="0"/>
          <w:numId w:val="3"/>
        </w:numPr>
      </w:pPr>
      <w:r>
        <w:t xml:space="preserve">Radiofrequency or microwave ablation for tumors ≤3 cm when anatomically appropriate</w:t>
      </w:r>
    </w:p>
    <w:p>
      <w:pPr>
        <w:pStyle w:val="Normal"/>
        <w:widowControl/>
        <w:numPr>
          <w:ilvl w:val="0"/>
          <w:numId w:val="3"/>
        </w:numPr>
      </w:pPr>
      <w:r>
        <w:t xml:space="preserve">Stereotactic body radiotherapy (SBRT)</w:t>
      </w:r>
    </w:p>
    <w:p>
      <w:pPr>
        <w:pStyle w:val="Heading3"/>
        <w:keepNext/>
        <w:widowControl/>
      </w:pPr>
      <w:r>
        <w:t xml:space="preserve">4.3 Disease Stability Requirement</w:t>
      </w:r>
    </w:p>
    <w:p>
      <w:pPr>
        <w:pStyle w:val="Normal"/>
        <w:widowControl/>
        <w:numPr>
          <w:ilvl w:val="0"/>
          <w:numId w:val="3"/>
        </w:numPr>
      </w:pPr>
      <w:r>
        <w:t xml:space="preserve">Clock clarification remains OPEN: guidance describes six months of stability after locoregional/systemic therapy and separately uses “from time of diagnosis or last treatment.” Record diagnosis, treatment starts/completions, last progression, first control and proposed request dates. Require a documented six-month stable course and explicit allocation sign-off on its anchor; do not assume diagnosis alone or automatically restart after every maintenance dose.</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wNzRmNWVjZC1mNDUwLTUzMTctYjcxNy1jOGQ3ZTZlZWUyMDYiIHRpbWVzdGFtcD0iMTc5MjkyMTA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Normal"/>
        <w:widowControl/>
        <w:numPr>
          <w:ilvl w:val="0"/>
          <w:numId w:val="3"/>
        </w:numPr>
      </w:pPr>
      <w:r>
        <w:t xml:space="preserve">Imaging surveillance every 3 months during the waiting period with multiphasic CT or MRI</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Dc0ZjVlY2QtZjQ1MC01MzE3LWI3MTctYzhkN2U2ZWVlMjA2IiB0aW1lc3RhbXA9IjE3OTI5MjEwODU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Heading2"/>
        <w:keepNext/>
        <w:widowControl/>
      </w:pPr>
      <w:r>
        <w:t xml:space="preserve">5. MELD Exception and Listing</w:t>
      </w:r>
    </w:p>
    <w:p>
      <w:pPr>
        <w:pStyle w:val="Normal"/>
        <w:widowControl/>
        <w:numPr>
          <w:ilvl w:val="0"/>
          <w:numId w:val="3"/>
        </w:numPr>
      </w:pPr>
      <w:r>
        <w:t xml:space="preserve">Submit a non-standard NLRB exception request. The December 2025 guidance recommends consideration at MMaT-3; approval is not automatic.</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</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wNzRmNWVjZC1mNDUwLTUzMTctYjcxNy1jOGQ3ZTZlZWUyMDYiIHRpbWVzdGFtcD0iMTc5MjkyMTA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Dc0ZjVlY2QtZjQ1MC01MzE3LWI3MTctYzhkN2U2ZWVlMjA2IiB0aW1lc3RhbXA9IjE3OTI5MjEwODU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Imaging confirmation of disease stability every 3 months while listed</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Dc0ZjVlY2QtZjQ1MC01MzE3LWI3MTctYzhkN2U2ZWVlMjA2IiB0aW1lc3RhbXA9IjE3OTI5MjEwODU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Normal"/>
        <w:widowControl/>
        <w:numPr>
          <w:ilvl w:val="0"/>
          <w:numId w:val="3"/>
        </w:numPr>
      </w:pPr>
      <w:r>
        <w:t xml:space="preserve">The iCCA guidance requires a solitary tumor ≤3 cm with stability, no new lesions and no extrahepatic disease; image every three months for extension. Its section does not specify the CRLM &gt;10% diameter rule. New lesions, confirmed progression or extrahepatic disease are HOLD for MDT/allocation reassessment; CA19-9 rise alone is not proof of radiographic progression.</w:t>
      </w:r>
      <w:r>
        <w:t xml:space="preserve"> </w:t>
      </w:r>
      <w:r>
        <w:t xml:space="preserve"> </w:t>
      </w:r>
      <w:r>
        <w:fldChar w:fldCharType="begin"/>
      </w:r>
      <w:r>
        <w:instrText xml:space="preserve"> ADDIN EN.CITE </w:instrText>
      </w:r>
      <w:r>
        <w:fldChar w:fldCharType="begin">
          <w:fldData>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</w:fldData>
        </w:fldChar>
      </w:r>
      <w:r>
        <w:instrText xml:space="preserve"> ADDIN EN.CITE.DATA </w:instrText>
      </w:r>
      <w:r>
        <w:fldChar w:fldCharType="end"/>
      </w:r>
      <w:r>
        <w:fldChar w:fldCharType="separate"/>
      </w:r>
      <w:r>
        <w:t xml:space="preserve">[V12-2]</w:t>
      </w:r>
      <w:r>
        <w:fldChar w:fldCharType="end"/>
      </w:r>
    </w:p>
    <w:p>
      <w:pPr>
        <w:pStyle w:val="Heading2"/>
        <w:keepNext/>
        <w:widowControl/>
      </w:pPr>
      <w:r>
        <w:t xml:space="preserve">6. Operative Staging and Transplant Procedure</w:t>
      </w:r>
    </w:p>
    <w:p>
      <w:pPr>
        <w:pStyle w:val="Heading3"/>
        <w:keepNext/>
        <w:widowControl/>
      </w:pPr>
      <w:r>
        <w:t xml:space="preserve">6.1 Staging Laparotomy</w:t>
      </w:r>
    </w:p>
    <w:p>
      <w:pPr>
        <w:pStyle w:val="Normal"/>
        <w:widowControl/>
        <w:numPr>
          <w:ilvl w:val="0"/>
          <w:numId w:val="3"/>
        </w:numPr>
      </w:pPr>
      <w:r>
        <w:t xml:space="preserve">For any approved LDLT pathway, coordinate recipient staging/technical clearance before irreversible donor surgery, with an explicit abort plan for occult nodes, peritoneal disease or unresectability. For DDLT, coordinate recipient staging and graft acceptance/backup plans according to the center's approved workflow. This is an operational safety proposal, not proof that negative staging eliminates recurrence.</w:t>
      </w:r>
      <w:r>
        <w:t xml:space="preserve"> </w:t>
      </w:r>
      <w:r>
        <w:t xml:space="preserve"> </w:t>
      </w:r>
      <w:r>
        <w:fldChar w:fldCharType="begin"/>
      </w:r>
      <w:r>
        <w:instrText xml:space="preserve"> ADDIN EN.CITE </w:instrText>
      </w:r>
      <w:r>
        <w:fldChar w:fldCharType="begin">
          <w:fldData>PEVuZE5vdGU+PENpdGU+PEF1dGhvcj5TZXRoaTwvQXV0aG9yPjxZZWFyPjIwMjY8L1llYXI+PFJlY051bT45PC9SZWNOdW0+PERpc3BsYXlUZXh0PltWMTItOV08L0Rpc3BsYXlUZXh0PjxyZWNvcmQ+PHJlYy1udW1iZXI+OTwvcmVjLW51bWJlcj48Zm9yZWlnbi1rZXlzPjxrZXkgYXBwPSJFTiIgZGItaWQ9IjA3NGY1ZWNkLWY0NTAtNTMxNy1iNzE3LWM4ZDdlNmVlZTIwNiIgdGltZXN0YW1wPSIxNzkyOTIxMDg1Ij45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</w:fldData>
        </w:fldChar>
      </w:r>
      <w:r>
        <w:instrText xml:space="preserve"> ADDIN EN.CITE.DATA </w:instrText>
      </w:r>
      <w:r>
        <w:fldChar w:fldCharType="end"/>
      </w:r>
      <w:r>
        <w:fldChar w:fldCharType="separate"/>
      </w:r>
      <w:r>
        <w:t xml:space="preserve">[V12-9]</w:t>
      </w:r>
      <w:r>
        <w:fldChar w:fldCharType="end"/>
      </w:r>
    </w:p>
    <w:p>
      <w:pPr>
        <w:pStyle w:val="Normal"/>
        <w:widowControl/>
        <w:numPr>
          <w:ilvl w:val="0"/>
          <w:numId w:val="3"/>
        </w:numPr>
      </w:pPr>
      <w:r>
        <w:t xml:space="preserve">Perihepatic lymph node sampling with frozen-section analysis</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yLTE3XTwvRGlzcGxheVRleHQ+PHJlY29yZD48cmVjLW51bWJlcj4xNzwvcmVjLW51bWJlcj48Zm9yZWlnbi1rZXlzPjxrZXkgYXBwPSJFTiIgZGItaWQ9IjA3NGY1ZWNkLWY0NTAtNTMxNy1iNzE3LWM4ZDdlNmVlZTIwNiIgdGltZXN0YW1wPSIxNzkyOTIxMDg1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xvY2FsIGZ1bGwgUERGIHJldmlld2VkIDIxIHJlZmVycmVkLCAxMiBhY2NlcHRlZCwgc2l4IExUIGFmdGVyIHN1c3RhaW5lZCBjb250cm9sLiBUaHJlZSByZWN1cnJlbmNlcy4gTm90IGluZGVwZW5kZW50IG9mIHRoZSBsYXRlciBIb3VzdG9uIHVwZGF0ZTsgZG8gbm90IHN1bSB0aGVzZSBjb2hvcnRzLjwvbm90ZXM+PHVybHM+PHJlbGF0ZWQtdXJscz48dXJsPmh0dHBzOi8vZG9pLm9yZy8xMC4xMDE2L1MyNDY4LTEyNTMoMTgpMzAwNDUtMTwvdXJsPjwvcmVsYXRlZC11cmxzPjxwZGYtdXJscy8+PC91cmxzPjwvcmVjb3JkPjwvQ2l0ZT48L0VuZE5vdGU+</w:fldData>
        </w:fldChar>
      </w:r>
      <w:r>
        <w:instrText xml:space="preserve"> ADDIN EN.CITE.DATA </w:instrText>
      </w:r>
      <w:r>
        <w:fldChar w:fldCharType="end"/>
      </w:r>
      <w:r>
        <w:fldChar w:fldCharType="separate"/>
      </w:r>
      <w:r>
        <w:t xml:space="preserve">[V12-17]</w:t>
      </w:r>
      <w:r>
        <w:fldChar w:fldCharType="end"/>
      </w:r>
    </w:p>
    <w:p>
      <w:pPr>
        <w:pStyle w:val="Normal"/>
        <w:widowControl/>
        <w:numPr>
          <w:ilvl w:val="0"/>
          <w:numId w:val="3"/>
        </w:numPr>
      </w:pPr>
      <w:r>
        <w:t xml:space="preserve">If frozen section identifies extrahepatic or extrabiliary spread, the transplant is aborted. The transplant center immediately notifies the host OPO so the organ can be reallocated through the OPTN match run; the center does not return the organ to a waitlist pool. Document the decision, the pathology and the notification time.</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yLTE3XTwvRGlzcGxheVRleHQ+PHJlY29yZD48cmVjLW51bWJlcj4xNzwvcmVjLW51bWJlcj48Zm9yZWlnbi1rZXlzPjxrZXkgYXBwPSJFTiIgZGItaWQ9IjA3NGY1ZWNkLWY0NTAtNTMxNy1iNzE3LWM4ZDdlNmVlZTIwNiIgdGltZXN0YW1wPSIxNzkyOTIxMDg1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xvY2FsIGZ1bGwgUERGIHJldmlld2VkIDIxIHJlZmVycmVkLCAxMiBhY2NlcHRlZCwgc2l4IExUIGFmdGVyIHN1c3RhaW5lZCBjb250cm9sLiBUaHJlZSByZWN1cnJlbmNlcy4gTm90IGluZGVwZW5kZW50IG9mIHRoZSBsYXRlciBIb3VzdG9uIHVwZGF0ZTsgZG8gbm90IHN1bSB0aGVzZSBjb2hvcnRzLjwvbm90ZXM+PHVybHM+PHJlbGF0ZWQtdXJscz48dXJsPmh0dHBzOi8vZG9pLm9yZy8xMC4xMDE2L1MyNDY4LTEyNTMoMTgpMzAwNDUtMTwvdXJsPjwvcmVsYXRlZC11cmxzPjxwZGYtdXJscy8+PC91cmxzPjwvcmVjb3JkPjwvQ2l0ZT48L0VuZE5vdGU+</w:fldData>
        </w:fldChar>
      </w:r>
      <w:r>
        <w:instrText xml:space="preserve"> ADDIN EN.CITE.DATA </w:instrText>
      </w:r>
      <w:r>
        <w:fldChar w:fldCharType="end"/>
      </w:r>
      <w:r>
        <w:fldChar w:fldCharType="separate"/>
      </w:r>
      <w:r>
        <w:t xml:space="preserve">[V12-17]</w:t>
      </w:r>
      <w:r>
        <w:fldChar w:fldCharType="end"/>
      </w:r>
    </w:p>
    <w:p>
      <w:pPr>
        <w:pStyle w:val="Heading3"/>
        <w:keepNext/>
        <w:widowControl/>
      </w:pPr>
      <w:r>
        <w:t xml:space="preserve">6.2 Transplant Surgery</w:t>
      </w:r>
    </w:p>
    <w:p>
      <w:pPr>
        <w:pStyle w:val="Normal"/>
        <w:widowControl/>
        <w:numPr>
          <w:ilvl w:val="0"/>
          <w:numId w:val="3"/>
        </w:numPr>
      </w:pPr>
      <w:r>
        <w:t xml:space="preserve">Standard orthotopic liver transplantation with caval anastomosis (piggyback technique preferred)</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yLTE3XTwvRGlzcGxheVRleHQ+PHJlY29yZD48cmVjLW51bWJlcj4xNzwvcmVjLW51bWJlcj48Zm9yZWlnbi1rZXlzPjxrZXkgYXBwPSJFTiIgZGItaWQ9IjA3NGY1ZWNkLWY0NTAtNTMxNy1iNzE3LWM4ZDdlNmVlZTIwNiIgdGltZXN0YW1wPSIxNzkyOTIxMDg1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xvY2FsIGZ1bGwgUERGIHJldmlld2VkIDIxIHJlZmVycmVkLCAxMiBhY2NlcHRlZCwgc2l4IExUIGFmdGVyIHN1c3RhaW5lZCBjb250cm9sLiBUaHJlZSByZWN1cnJlbmNlcy4gTm90IGluZGVwZW5kZW50IG9mIHRoZSBsYXRlciBIb3VzdG9uIHVwZGF0ZTsgZG8gbm90IHN1bSB0aGVzZSBjb2hvcnRzLjwvbm90ZXM+PHVybHM+PHJlbGF0ZWQtdXJscz48dXJsPmh0dHBzOi8vZG9pLm9yZy8xMC4xMDE2L1MyNDY4LTEyNTMoMTgpMzAwNDUtMTwvdXJsPjwvcmVsYXRlZC11cmxzPjxwZGYtdXJscy8+PC91cmxzPjwvcmVjb3JkPjwvQ2l0ZT48L0VuZE5vdGU+</w:fldData>
        </w:fldChar>
      </w:r>
      <w:r>
        <w:instrText xml:space="preserve"> ADDIN EN.CITE.DATA </w:instrText>
      </w:r>
      <w:r>
        <w:fldChar w:fldCharType="end"/>
      </w:r>
      <w:r>
        <w:fldChar w:fldCharType="separate"/>
      </w:r>
      <w:r>
        <w:t xml:space="preserve">[V12-17]</w:t>
      </w:r>
      <w:r>
        <w:fldChar w:fldCharType="end"/>
      </w:r>
    </w:p>
    <w:p>
      <w:pPr>
        <w:pStyle w:val="Normal"/>
        <w:widowControl/>
        <w:numPr>
          <w:ilvl w:val="0"/>
          <w:numId w:val="3"/>
        </w:numPr>
      </w:pPr>
      <w:r>
        <w:t xml:space="preserve">Deceased donor or living donor liver transplantation per institutional protocol</w:t>
      </w:r>
    </w:p>
    <w:p>
      <w:pPr>
        <w:pStyle w:val="Heading2"/>
        <w:keepNext/>
        <w:widowControl/>
      </w:pPr>
      <w:r>
        <w:t xml:space="preserve">7. Post-Transplant Immunosuppression</w:t>
      </w:r>
    </w:p>
    <w:p>
      <w:pPr>
        <w:pStyle w:val="Heading3"/>
        <w:keepNext/>
        <w:widowControl/>
      </w:pPr>
      <w:r>
        <w:t xml:space="preserve">7.1 Induction</w:t>
      </w:r>
    </w:p>
    <w:p>
      <w:pPr>
        <w:pStyle w:val="Normal"/>
        <w:widowControl/>
        <w:numPr>
          <w:ilvl w:val="0"/>
          <w:numId w:val="3"/>
        </w:numPr>
      </w:pPr>
      <w:r>
        <w:t xml:space="preserve">Bolus steroid induction during the anhepatic phase</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yLTE3XTwvRGlzcGxheVRleHQ+PHJlY29yZD48cmVjLW51bWJlcj4xNzwvcmVjLW51bWJlcj48Zm9yZWlnbi1rZXlzPjxrZXkgYXBwPSJFTiIgZGItaWQ9IjA3NGY1ZWNkLWY0NTAtNTMxNy1iNzE3LWM4ZDdlNmVlZTIwNiIgdGltZXN0YW1wPSIxNzkyOTIxMDg1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xvY2FsIGZ1bGwgUERGIHJldmlld2VkIDIxIHJlZmVycmVkLCAxMiBhY2NlcHRlZCwgc2l4IExUIGFmdGVyIHN1c3RhaW5lZCBjb250cm9sLiBUaHJlZSByZWN1cnJlbmNlcy4gTm90IGluZGVwZW5kZW50IG9mIHRoZSBsYXRlciBIb3VzdG9uIHVwZGF0ZTsgZG8gbm90IHN1bSB0aGVzZSBjb2hvcnRzLjwvbm90ZXM+PHVybHM+PHJlbGF0ZWQtdXJscz48dXJsPmh0dHBzOi8vZG9pLm9yZy8xMC4xMDE2L1MyNDY4LTEyNTMoMTgpMzAwNDUtMTwvdXJsPjwvcmVsYXRlZC11cmxzPjxwZGYtdXJscy8+PC91cmxzPjwvcmVjb3JkPjwvQ2l0ZT48L0VuZE5vdGU+</w:fldData>
        </w:fldChar>
      </w:r>
      <w:r>
        <w:instrText xml:space="preserve"> ADDIN EN.CITE.DATA </w:instrText>
      </w:r>
      <w:r>
        <w:fldChar w:fldCharType="end"/>
      </w:r>
      <w:r>
        <w:fldChar w:fldCharType="separate"/>
      </w:r>
      <w:r>
        <w:t xml:space="preserve">[V12-17]</w:t>
      </w:r>
      <w:r>
        <w:fldChar w:fldCharType="end"/>
      </w:r>
    </w:p>
    <w:p>
      <w:pPr>
        <w:pStyle w:val="Normal"/>
        <w:widowControl/>
        <w:numPr>
          <w:ilvl w:val="0"/>
          <w:numId w:val="3"/>
        </w:numPr>
      </w:pPr>
      <w:r>
        <w:t xml:space="preserve">Steroid taper/withdrawal is individualized under the institutional LT and pharmacy protocol; a fixed postoperative day-30 withdrawal is not established by iCCA outcome evidence.</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yLTE3XTwvRGlzcGxheVRleHQ+PHJlY29yZD48cmVjLW51bWJlcj4xNzwvcmVjLW51bWJlcj48Zm9yZWlnbi1rZXlzPjxrZXkgYXBwPSJFTiIgZGItaWQ9IjA3NGY1ZWNkLWY0NTAtNTMxNy1iNzE3LWM4ZDdlNmVlZTIwNiIgdGltZXN0YW1wPSIxNzkyOTIxMDg1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xvY2FsIGZ1bGwgUERGIHJldmlld2VkIDIxIHJlZmVycmVkLCAxMiBhY2NlcHRlZCwgc2l4IExUIGFmdGVyIHN1c3RhaW5lZCBjb250cm9sLiBUaHJlZSByZWN1cnJlbmNlcy4gTm90IGluZGVwZW5kZW50IG9mIHRoZSBsYXRlciBIb3VzdG9uIHVwZGF0ZTsgZG8gbm90IHN1bSB0aGVzZSBjb2hvcnRzLjwvbm90ZXM+PHVybHM+PHJlbGF0ZWQtdXJscz48dXJsPmh0dHBzOi8vZG9pLm9yZy8xMC4xMDE2L1MyNDY4LTEyNTMoMTgpMzAwNDUtMTwvdXJsPjwvcmVsYXRlZC11cmxzPjxwZGYtdXJscy8+PC91cmxzPjwvcmVjb3JkPjwvQ2l0ZT48L0VuZE5vdGU+</w:fldData>
        </w:fldChar>
      </w:r>
      <w:r>
        <w:instrText xml:space="preserve"> ADDIN EN.CITE.DATA </w:instrText>
      </w:r>
      <w:r>
        <w:fldChar w:fldCharType="end"/>
      </w:r>
      <w:r>
        <w:fldChar w:fldCharType="separate"/>
      </w:r>
      <w:r>
        <w:t xml:space="preserve">[V12-17]</w:t>
      </w:r>
      <w:r>
        <w:fldChar w:fldCharType="end"/>
      </w:r>
    </w:p>
    <w:p>
      <w:pPr>
        <w:pStyle w:val="Heading3"/>
        <w:keepNext/>
        <w:widowControl/>
      </w:pPr>
      <w:r>
        <w:t xml:space="preserve">7.2 Maintenance</w:t>
      </w:r>
    </w:p>
    <w:p>
      <w:pPr>
        <w:pStyle w:val="Normal"/>
        <w:widowControl/>
        <w:numPr>
          <w:ilvl w:val="0"/>
          <w:numId w:val="3"/>
        </w:numPr>
      </w:pPr>
      <w:r>
        <w:t xml:space="preserve">Select and monitor initial immunosuppression under the institutional LT protocol. Do not require MMF cessation at day 30 solely because the recipient has iCCA; document the rationale for any minimization or conversion.</w:t>
      </w:r>
      <w:r>
        <w:t xml:space="preserve"> </w:t>
      </w:r>
      <w:r>
        <w:t xml:space="preserve"> </w:t>
      </w:r>
      <w:r>
        <w:fldChar w:fldCharType="begin"/>
      </w:r>
      <w:r>
        <w:instrText xml:space="preserve"> ADDIN EN.CITE </w:instrText>
      </w:r>
      <w:r>
        <w:fldChar w:fldCharType="begin">
          <w:fldData>PEVuZE5vdGU+PENpdGU+PEF1dGhvcj5SYW1hbmFuPC9BdXRob3I+PFllYXI+MjAxNzwvWWVhcj48UmVjTnVtPjE4PC9SZWNOdW0+PERpc3BsYXlUZXh0PltWMTItMThdPC9EaXNwbGF5VGV4dD48cmVjb3JkPjxyZWMtbnVtYmVyPjE4PC9yZWMtbnVtYmVyPjxmb3JlaWduLWtleXM+PGtleSBhcHA9IkVOIiBkYi1pZD0iMDc0ZjVlY2QtZjQ1MC01MzE3LWI3MTctYzhkN2U2ZWVlMjA2IiB0aW1lc3RhbXA9IjE3OTI5MjEwODUiPjE4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[V12-18]</w:t>
      </w:r>
      <w:r>
        <w:fldChar w:fldCharType="end"/>
      </w:r>
    </w:p>
    <w:p>
      <w:pPr>
        <w:pStyle w:val="Normal"/>
        <w:widowControl/>
        <w:numPr>
          <w:ilvl w:val="0"/>
          <w:numId w:val="3"/>
        </w:numPr>
      </w:pPr>
      <w:r>
        <w:t xml:space="preserve">Everolimus with reduced-dose tacrolimus may be considered after multidisciplinary review; it is not mandatory and has no proven CCA-specific survival benefit. Do not administer everolimus earlier than 30 days after LT under the current US label. Initiate only when the graft, wound healing, vascular status, proteinuria, infection risk and interactions permit, with therapeutic drug monitoring. A median 38-day start in an observational series is not a validated deadline.</w:t>
      </w:r>
      <w:r>
        <w:t xml:space="preserve"> </w:t>
      </w:r>
      <w:r>
        <w:t xml:space="preserve"> </w:t>
      </w:r>
      <w:r>
        <w:fldChar w:fldCharType="begin"/>
      </w:r>
      <w:r>
        <w:instrText xml:space="preserve"> ADDIN EN.CITE </w:instrText>
      </w:r>
      <w:r>
        <w:fldChar w:fldCharType="begin">
          <w:fldData>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</w:fldData>
        </w:fldChar>
      </w:r>
      <w:r>
        <w:instrText xml:space="preserve"> ADDIN EN.CITE.DATA </w:instrText>
      </w:r>
      <w:r>
        <w:fldChar w:fldCharType="end"/>
      </w:r>
      <w:r>
        <w:fldChar w:fldCharType="separate"/>
      </w:r>
      <w:r>
        <w:t xml:space="preserve">[V12-19]</w:t>
      </w:r>
      <w:r>
        <w:fldChar w:fldCharType="end"/>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jA8L1JlY051bT48RGlzcGxheVRleHQ+W1YxMi0yMF08L0Rpc3BsYXlUZXh0PjxyZWNvcmQ+PHJlYy1udW1iZXI+MjA8L3JlYy1udW1iZXI+PGZvcmVpZ24ta2V5cz48a2V5IGFwcD0iRU4iIGRiLWlkPSIwNzRmNWVjZC1mNDUwLTUzMTctYjcxNy1jOGQ3ZTZlZWUyMDYiIHRpbWVzdGFtcD0iMTc5MjkyMTA4NSI+MjA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[V12-20]</w:t>
      </w:r>
      <w:r>
        <w:fldChar w:fldCharType="end"/>
      </w:r>
    </w:p>
    <w:p>
      <w:pPr>
        <w:pStyle w:val="Normal"/>
        <w:widowControl/>
        <w:numPr>
          <w:ilvl w:val="0"/>
          <w:numId w:val="3"/>
        </w:numPr>
      </w:pPr>
      <w:r>
        <w:t xml:space="preserve">Immunosuppression minimization as tolerated</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yLTE3XTwvRGlzcGxheVRleHQ+PHJlY29yZD48cmVjLW51bWJlcj4xNzwvcmVjLW51bWJlcj48Zm9yZWlnbi1rZXlzPjxrZXkgYXBwPSJFTiIgZGItaWQ9IjA3NGY1ZWNkLWY0NTAtNTMxNy1iNzE3LWM4ZDdlNmVlZTIwNiIgdGltZXN0YW1wPSIxNzkyOTIxMDg1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xvY2FsIGZ1bGwgUERGIHJldmlld2VkIDIxIHJlZmVycmVkLCAxMiBhY2NlcHRlZCwgc2l4IExUIGFmdGVyIHN1c3RhaW5lZCBjb250cm9sLiBUaHJlZSByZWN1cnJlbmNlcy4gTm90IGluZGVwZW5kZW50IG9mIHRoZSBsYXRlciBIb3VzdG9uIHVwZGF0ZTsgZG8gbm90IHN1bSB0aGVzZSBjb2hvcnRzLjwvbm90ZXM+PHVybHM+PHJlbGF0ZWQtdXJscz48dXJsPmh0dHBzOi8vZG9pLm9yZy8xMC4xMDE2L1MyNDY4LTEyNTMoMTgpMzAwNDUtMTwvdXJsPjwvcmVsYXRlZC11cmxzPjxwZGYtdXJscy8+PC91cmxzPjwvcmVjb3JkPjwvQ2l0ZT48L0VuZE5vdGU+</w:fldData>
        </w:fldChar>
      </w:r>
      <w:r>
        <w:instrText xml:space="preserve"> ADDIN EN.CITE.DATA </w:instrText>
      </w:r>
      <w:r>
        <w:fldChar w:fldCharType="end"/>
      </w:r>
      <w:r>
        <w:fldChar w:fldCharType="separate"/>
      </w:r>
      <w:r>
        <w:t xml:space="preserve">[V12-17]</w:t>
      </w:r>
      <w:r>
        <w:fldChar w:fldCharType="end"/>
      </w:r>
    </w:p>
    <w:p>
      <w:pPr>
        <w:pStyle w:val="Normal"/>
        <w:widowControl/>
        <w:numPr>
          <w:ilvl w:val="0"/>
          <w:numId w:val="3"/>
        </w:numPr>
      </w:pPr>
      <w:r>
        <w:t xml:space="preserve">Prior checkpoint-inhibitor exposure: rejection risk is elevated — pooled allograft rejection 19% (95% CI 12-30%) across 8 retrospective studies (n = 229), with complete recovery in 78% of rejection episodes, graft loss in 4% and rejection-related mortality in 2% ( PMID 41234720). Reported events cluster in the early post-transplant weeks; no reliable median time to onset has been established and none should be quoted.</w:t>
      </w:r>
    </w:p>
    <w:p>
      <w:pPr>
        <w:pStyle w:val="Normal"/>
        <w:widowControl/>
        <w:numPr>
          <w:ilvl w:val="0"/>
          <w:numId w:val="3"/>
        </w:numPr>
      </w:pPr>
      <w:r>
        <w:t xml:space="preserve">Operational rule for any recipient with pre-transplant ICI exposure: liver tests at least twice weekly for 4 weeks, then weekly to week 12; allograft biopsy for any unexplained rise in transaminases or cholestatic indices rather than empiric treatment; record the agent, last dose date and washout interval in the transplant record; manage suspected rejection per institutional protocol with early hepatology involvement.</w:t>
      </w:r>
    </w:p>
    <w:p>
      <w:pPr>
        <w:pStyle w:val="Heading2"/>
        <w:keepNext/>
        <w:widowControl/>
      </w:pPr>
      <w:r>
        <w:t xml:space="preserve">8. Adjuvant Therapy Post-Transplant</w:t>
      </w:r>
    </w:p>
    <w:p>
      <w:pPr>
        <w:pStyle w:val="Normal"/>
        <w:widowControl/>
        <w:numPr>
          <w:ilvl w:val="0"/>
          <w:numId w:val="3"/>
        </w:numPr>
      </w:pPr>
      <w:r>
        <w:t xml:space="preserve">Complete pathologic response on explant: surveillance without routine adjuvant therapy unless a separate prospective protocol specifies otherwise.</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yLTE3XTwvRGlzcGxheVRleHQ+PHJlY29yZD48cmVjLW51bWJlcj4xNzwvcmVjLW51bWJlcj48Zm9yZWlnbi1rZXlzPjxrZXkgYXBwPSJFTiIgZGItaWQ9IjA3NGY1ZWNkLWY0NTAtNTMxNy1iNzE3LWM4ZDdlNmVlZTIwNiIgdGltZXN0YW1wPSIxNzkyOTIxMDg1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xvY2FsIGZ1bGwgUERGIHJldmlld2VkIDIxIHJlZmVycmVkLCAxMiBhY2NlcHRlZCwgc2l4IExUIGFmdGVyIHN1c3RhaW5lZCBjb250cm9sLiBUaHJlZSByZWN1cnJlbmNlcy4gTm90IGluZGVwZW5kZW50IG9mIHRoZSBsYXRlciBIb3VzdG9uIHVwZGF0ZTsgZG8gbm90IHN1bSB0aGVzZSBjb2hvcnRzLjwvbm90ZXM+PHVybHM+PHJlbGF0ZWQtdXJscz48dXJsPmh0dHBzOi8vZG9pLm9yZy8xMC4xMDE2L1MyNDY4LTEyNTMoMTgpMzAwNDUtMTwvdXJsPjwvcmVsYXRlZC11cmxzPjxwZGYtdXJscy8+PC91cmxzPjwvcmVjb3JkPjwvQ2l0ZT48L0VuZE5vdGU+</w:fldData>
        </w:fldChar>
      </w:r>
      <w:r>
        <w:instrText xml:space="preserve"> ADDIN EN.CITE.DATA </w:instrText>
      </w:r>
      <w:r>
        <w:fldChar w:fldCharType="end"/>
      </w:r>
      <w:r>
        <w:fldChar w:fldCharType="separate"/>
      </w:r>
      <w:r>
        <w:t xml:space="preserve">[V12-17]</w:t>
      </w:r>
      <w:r>
        <w:fldChar w:fldCharType="end"/>
      </w:r>
    </w:p>
    <w:p>
      <w:pPr>
        <w:pStyle w:val="Normal"/>
        <w:widowControl/>
        <w:numPr>
          <w:ilvl w:val="0"/>
          <w:numId w:val="3"/>
        </w:numPr>
      </w:pPr>
      <w:r>
        <w:t xml:space="preserve">Residual viable tumor on explant: no established post-LT adjuvant standard exists. Consider chemotherapy only case-by-case or within a prospective protocol; benefit and tolerability in immunosuppressed LT recipients are unproven.</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yLTE3XTwvRGlzcGxheVRleHQ+PHJlY29yZD48cmVjLW51bWJlcj4xNzwvcmVjLW51bWJlcj48Zm9yZWlnbi1rZXlzPjxrZXkgYXBwPSJFTiIgZGItaWQ9IjA3NGY1ZWNkLWY0NTAtNTMxNy1iNzE3LWM4ZDdlNmVlZTIwNiIgdGltZXN0YW1wPSIxNzkyOTIxMDg1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xvY2FsIGZ1bGwgUERGIHJldmlld2VkIDIxIHJlZmVycmVkLCAxMiBhY2NlcHRlZCwgc2l4IExUIGFmdGVyIHN1c3RhaW5lZCBjb250cm9sLiBUaHJlZSByZWN1cnJlbmNlcy4gTm90IGluZGVwZW5kZW50IG9mIHRoZSBsYXRlciBIb3VzdG9uIHVwZGF0ZTsgZG8gbm90IHN1bSB0aGVzZSBjb2hvcnRzLjwvbm90ZXM+PHVybHM+PHJlbGF0ZWQtdXJscz48dXJsPmh0dHBzOi8vZG9pLm9yZy8xMC4xMDE2L1MyNDY4LTEyNTMoMTgpMzAwNDUtMTwvdXJsPjwvcmVsYXRlZC11cmxzPjxwZGYtdXJscy8+PC91cmxzPjwvcmVjb3JkPjwvQ2l0ZT48L0VuZE5vdGU+</w:fldData>
        </w:fldChar>
      </w:r>
      <w:r>
        <w:instrText xml:space="preserve"> ADDIN EN.CITE.DATA </w:instrText>
      </w:r>
      <w:r>
        <w:fldChar w:fldCharType="end"/>
      </w:r>
      <w:r>
        <w:fldChar w:fldCharType="separate"/>
      </w:r>
      <w:r>
        <w:t xml:space="preserve">[V12-17]</w:t>
      </w:r>
      <w:r>
        <w:fldChar w:fldCharType="end"/>
      </w:r>
    </w:p>
    <w:p>
      <w:pPr>
        <w:pStyle w:val="Heading2"/>
        <w:keepNext/>
        <w:widowControl/>
      </w:pPr>
      <w:r>
        <w:t xml:space="preserve">9. Post-Transplant Surveillance</w:t>
      </w:r>
    </w:p>
    <w:p>
      <w:pPr>
        <w:pStyle w:val="Heading3"/>
        <w:keepNext/>
        <w:widowControl/>
      </w:pPr>
      <w:r>
        <w:t xml:space="preserve">9.1 Oncologic Surveillance</w:t>
      </w:r>
    </w:p>
    <w:p>
      <w:pPr>
        <w:pStyle w:val="Normal"/>
        <w:widowControl/>
        <w:numPr>
          <w:ilvl w:val="0"/>
          <w:numId w:val="3"/>
        </w:numPr>
      </w:pPr>
      <w:r>
        <w:t xml:space="preserve">Proposed intensified local surveillance: chest CT plus contrast-enhanced abdominal/pelvic CT or MRI every 3 months in years 1–2 and every 6 months in years 3–5. This interval is an institutional proposal, not the schedule tested by Heinrich etal, whose incidental-BTC cohort used six-monthly imaging for 3 years then annual imaging through year 5. The group should approve modality, interval, renal/contrast adaptations and escalation triggers, and record the rationale.</w:t>
      </w:r>
      <w:r>
        <w:t xml:space="preserve"> </w:t>
      </w:r>
      <w:r>
        <w:t xml:space="preserve"> </w:t>
      </w:r>
      <w:r>
        <w:fldChar w:fldCharType="begin"/>
      </w:r>
      <w:r>
        <w:instrText xml:space="preserve"> ADDIN EN.CITE </w:instrText>
      </w:r>
      <w:r>
        <w:fldChar w:fldCharType="begin">
          <w:fldData>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</w:fldData>
        </w:fldChar>
      </w:r>
      <w:r>
        <w:instrText xml:space="preserve"> ADDIN EN.CITE.DATA </w:instrText>
      </w:r>
      <w:r>
        <w:fldChar w:fldCharType="end"/>
      </w:r>
      <w:r>
        <w:fldChar w:fldCharType="separate"/>
      </w:r>
      <w:r>
        <w:t xml:space="preserve">[V12-21]</w:t>
      </w:r>
      <w:r>
        <w:fldChar w:fldCharType="end"/>
      </w:r>
    </w:p>
    <w:p>
      <w:pPr>
        <w:pStyle w:val="Normal"/>
        <w:widowControl/>
        <w:numPr>
          <w:ilvl w:val="0"/>
          <w:numId w:val="3"/>
        </w:numPr>
      </w:pPr>
      <w:r>
        <w:t xml:space="preserve">CA 19-9 and CEA at each surveillance visit</w:t>
      </w:r>
    </w:p>
    <w:p>
      <w:pPr>
        <w:pStyle w:val="Normal"/>
        <w:widowControl/>
        <w:numPr>
          <w:ilvl w:val="0"/>
          <w:numId w:val="3"/>
        </w:numPr>
      </w:pPr>
      <w:r>
        <w:t xml:space="preserve">Annual surveillance thereafter as clinically indicated</w:t>
      </w:r>
    </w:p>
    <w:p>
      <w:pPr>
        <w:pStyle w:val="Heading3"/>
        <w:keepNext/>
        <w:widowControl/>
      </w:pPr>
      <w:r>
        <w:t xml:space="preserve">9.2 General Post-Transplant Care</w:t>
      </w:r>
    </w:p>
    <w:p>
      <w:pPr>
        <w:pStyle w:val="Normal"/>
        <w:widowControl/>
        <w:numPr>
          <w:ilvl w:val="0"/>
          <w:numId w:val="3"/>
        </w:numPr>
      </w:pPr>
      <w:r>
        <w:t xml:space="preserve">Standard LT recipient monitoring: renal function, metabolic parameters, infection prophylaxis</w:t>
      </w:r>
    </w:p>
    <w:p>
      <w:pPr>
        <w:pStyle w:val="Normal"/>
        <w:widowControl/>
        <w:numPr>
          <w:ilvl w:val="0"/>
          <w:numId w:val="3"/>
        </w:numPr>
      </w:pPr>
      <w:r>
        <w:t xml:space="preserve">Perform yearly clinical skin examination and age/risk-appropriate cancer screening. In PSC with IBD, arrange annual colonoscopy with biopsies; in PSC without IBD, colonoscopy with ileal intubation and colonic biopsies every 5 years. For otherwise average-risk LT recipients, five-yearly colonoscopy may be considered under a weak guideline recommendation; do not present it as a mandatory interval for all recipients. Keep de novo screening separate from CCA-recurrence imaging.</w:t>
      </w:r>
      <w:r>
        <w:t xml:space="preserve"> </w:t>
      </w:r>
      <w:r>
        <w:t xml:space="preserve"> </w:t>
      </w:r>
      <w:r>
        <w:fldChar w:fldCharType="begin"/>
      </w:r>
      <w:r>
        <w:instrText xml:space="preserve"> ADDIN EN.CITE </w:instrText>
      </w:r>
      <w:r>
        <w:fldChar w:fldCharType="begin">
          <w:fldData>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</w:fldData>
        </w:fldChar>
      </w:r>
      <w:r>
        <w:instrText xml:space="preserve"> ADDIN EN.CITE.DATA </w:instrText>
      </w:r>
      <w:r>
        <w:fldChar w:fldCharType="end"/>
      </w:r>
      <w:r>
        <w:fldChar w:fldCharType="separate"/>
      </w:r>
      <w:r>
        <w:t xml:space="preserve">[V12-22]</w:t>
      </w:r>
      <w:r>
        <w:fldChar w:fldCharType="end"/>
      </w:r>
    </w:p>
    <w:p>
      <w:pPr>
        <w:pStyle w:val="Heading2"/>
        <w:keepNext/>
        <w:widowControl/>
      </w:pPr>
      <w:r>
        <w:t xml:space="preserve">10. Recurrence Management</w:t>
      </w:r>
    </w:p>
    <w:p>
      <w:pPr>
        <w:pStyle w:val="Normal"/>
        <w:widowControl/>
        <w:numPr>
          <w:ilvl w:val="0"/>
          <w:numId w:val="3"/>
        </w:numPr>
      </w:pPr>
      <w:r>
        <w:t xml:space="preserve">Post-transplant recurrence is managed by individualized multidisciplinary decision. Resection or ablation may be considered for isolated, technically resectable recurrence, particularly when late; systemic therapy follows biliary-tract-cancer guidelines with attention to immunosuppressant interactions; palliative-intent care is appropriate for multifocal or early recurrence. No data support a uniformly aggressive multimodal approach in transplanted iCCA recipients.</w:t>
      </w:r>
      <w:r>
        <w:t xml:space="preserve"> </w:t>
      </w:r>
      <w:r>
        <w:t xml:space="preserve"> </w:t>
      </w:r>
      <w:r>
        <w:fldChar w:fldCharType="begin"/>
      </w:r>
      <w:r>
        <w:instrText xml:space="preserve"> ADDIN EN.CITE </w:instrText>
      </w:r>
      <w:r>
        <w:fldChar w:fldCharType="begin">
          <w:fldData>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</w:fldData>
        </w:fldChar>
      </w:r>
      <w:r>
        <w:instrText xml:space="preserve"> ADDIN EN.CITE.DATA </w:instrText>
      </w:r>
      <w:r>
        <w:fldChar w:fldCharType="end"/>
      </w:r>
      <w:r>
        <w:fldChar w:fldCharType="separate"/>
      </w:r>
      <w:r>
        <w:t xml:space="preserve">[V12-17]</w:t>
      </w:r>
      <w:r>
        <w:fldChar w:fldCharType="end"/>
      </w:r>
    </w:p>
    <w:p>
      <w:pPr>
        <w:pStyle w:val="Normal"/>
        <w:widowControl/>
        <w:numPr>
          <w:ilvl w:val="0"/>
          <w:numId w:val="3"/>
        </w:numPr>
      </w:pPr>
      <w:r>
        <w:t xml:space="preserve">After confirmed recurrence, discuss individualized immunosuppression minimization with transplant hepatology, surgery and oncology, balancing cancer control against rejection and graft dysfunction. Document the agent/dose changes and monitoring plan. Retrospective association supports consideration, not automatic withdrawal, guaranteed survival benefit or routine mTOR substitution.</w:t>
      </w:r>
      <w:r>
        <w:t xml:space="preserve"> </w:t>
      </w:r>
      <w:r>
        <w:t xml:space="preserve"> </w:t>
      </w:r>
      <w:r>
        <w:fldChar w:fldCharType="begin"/>
      </w:r>
      <w:r>
        <w:instrText xml:space="preserve"> ADDIN EN.CITE </w:instrText>
      </w:r>
      <w:r>
        <w:fldChar w:fldCharType="begin">
          <w:fldData>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</w:fldData>
        </w:fldChar>
      </w:r>
      <w:r>
        <w:instrText xml:space="preserve"> ADDIN EN.CITE.DATA </w:instrText>
      </w:r>
      <w:r>
        <w:fldChar w:fldCharType="end"/>
      </w:r>
      <w:r>
        <w:fldChar w:fldCharType="separate"/>
      </w:r>
      <w:r>
        <w:t xml:space="preserve">[V12-23]</w:t>
      </w:r>
      <w:r>
        <w:fldChar w:fldCharType="end"/>
      </w:r>
    </w:p>
    <w:p>
      <w:pPr>
        <w:pStyle w:val="Normal"/>
        <w:widowControl/>
        <w:numPr>
          <w:ilvl w:val="0"/>
          <w:numId w:val="3"/>
        </w:numPr>
      </w:pPr>
      <w:r>
        <w:t xml:space="preserve">Multidisciplinary tumor board review for all recurrences</w:t>
      </w:r>
    </w:p>
    <w:p>
      <w:pPr>
        <w:pStyle w:val="Normal"/>
        <w:widowControl/>
        <w:numPr>
          <w:ilvl w:val="0"/>
          <w:numId w:val="3"/>
        </w:numPr>
      </w:pPr>
      <w:r>
        <w:t xml:space="preserve">Molecular profiling of recurrent tumor to identify targetable alterations</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Dc0ZjVlY2QtZjQ1MC01MzE3LWI3MTctYzhkN2U2ZWVlMjA2IiB0aW1lc3RhbXA9IjE3OTI5MjEwODU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Heading2"/>
        <w:keepNext/>
        <w:widowControl/>
      </w:pPr>
      <w:r>
        <w:t xml:space="preserve">11. Multidisciplinary Team</w:t>
      </w:r>
    </w:p>
    <w:p>
      <w:pPr>
        <w:pStyle w:val="Normal"/>
        <w:widowControl/>
      </w:pPr>
      <w:r>
        <w:t xml:space="preserve">All cases must be reviewed by the UTHealth Houston Hepatobiliary Multidisciplinary Tumor Board, including:</w:t>
      </w:r>
    </w:p>
    <w:p>
      <w:pPr>
        <w:pStyle w:val="Normal"/>
        <w:widowControl/>
        <w:numPr>
          <w:ilvl w:val="0"/>
          <w:numId w:val="3"/>
        </w:numPr>
      </w:pPr>
      <w:r>
        <w:t xml:space="preserve">Transplant surgery</w:t>
      </w:r>
    </w:p>
    <w:p>
      <w:pPr>
        <w:pStyle w:val="Normal"/>
        <w:widowControl/>
        <w:numPr>
          <w:ilvl w:val="0"/>
          <w:numId w:val="3"/>
        </w:numPr>
      </w:pPr>
      <w:r>
        <w:t xml:space="preserve">Surgical oncology</w:t>
      </w:r>
    </w:p>
    <w:p>
      <w:pPr>
        <w:pStyle w:val="Normal"/>
        <w:widowControl/>
        <w:numPr>
          <w:ilvl w:val="0"/>
          <w:numId w:val="3"/>
        </w:numPr>
      </w:pPr>
      <w:r>
        <w:t xml:space="preserve">Medical oncology</w:t>
      </w:r>
    </w:p>
    <w:p>
      <w:pPr>
        <w:pStyle w:val="Normal"/>
        <w:widowControl/>
        <w:numPr>
          <w:ilvl w:val="0"/>
          <w:numId w:val="3"/>
        </w:numPr>
      </w:pPr>
      <w:r>
        <w:t xml:space="preserve">Hepatology</w:t>
      </w:r>
    </w:p>
    <w:p>
      <w:pPr>
        <w:pStyle w:val="Normal"/>
        <w:widowControl/>
        <w:numPr>
          <w:ilvl w:val="0"/>
          <w:numId w:val="3"/>
        </w:numPr>
      </w:pPr>
      <w:r>
        <w:t xml:space="preserve">Radiation oncology</w:t>
      </w:r>
    </w:p>
    <w:p>
      <w:pPr>
        <w:pStyle w:val="Normal"/>
        <w:widowControl/>
        <w:numPr>
          <w:ilvl w:val="0"/>
          <w:numId w:val="3"/>
        </w:numPr>
      </w:pPr>
      <w:r>
        <w:t xml:space="preserve">Interventional radiology</w:t>
      </w:r>
    </w:p>
    <w:p>
      <w:pPr>
        <w:pStyle w:val="Normal"/>
        <w:widowControl/>
        <w:numPr>
          <w:ilvl w:val="0"/>
          <w:numId w:val="3"/>
        </w:numPr>
      </w:pPr>
      <w:r>
        <w:t xml:space="preserve">Pathology</w:t>
      </w:r>
    </w:p>
    <w:p>
      <w:pPr>
        <w:pStyle w:val="Normal"/>
        <w:widowControl/>
        <w:numPr>
          <w:ilvl w:val="0"/>
          <w:numId w:val="3"/>
        </w:numPr>
      </w:pPr>
      <w:r>
        <w:t xml:space="preserve">Radiology</w:t>
      </w:r>
    </w:p>
    <w:p>
      <w:pPr>
        <w:pStyle w:val="Heading2"/>
        <w:keepNext/>
        <w:widowControl/>
      </w:pPr>
      <w:r>
        <w:t xml:space="preserve">12. Quality Metrics and Data Collection</w:t>
      </w:r>
    </w:p>
    <w:p>
      <w:pPr>
        <w:pStyle w:val="Normal"/>
        <w:widowControl/>
        <w:numPr>
          <w:ilvl w:val="0"/>
          <w:numId w:val="3"/>
        </w:numPr>
      </w:pPr>
      <w:r>
        <w:t xml:space="preserve">Track intent-to-treat survival, post-transplant survival, recurrence-free survival</w:t>
      </w:r>
    </w:p>
    <w:p>
      <w:pPr>
        <w:pStyle w:val="Normal"/>
        <w:widowControl/>
        <w:numPr>
          <w:ilvl w:val="0"/>
          <w:numId w:val="3"/>
        </w:numPr>
      </w:pPr>
      <w:r>
        <w:t xml:space="preserve">Document dropout rates and reasons</w:t>
      </w:r>
    </w:p>
    <w:p>
      <w:pPr>
        <w:pStyle w:val="Normal"/>
        <w:widowControl/>
        <w:numPr>
          <w:ilvl w:val="0"/>
          <w:numId w:val="3"/>
        </w:numPr>
      </w:pPr>
      <w:r>
        <w:t xml:space="preserve">Explant pathology correlation with pre-transplant imaging</w:t>
      </w:r>
    </w:p>
    <w:p>
      <w:pPr>
        <w:pStyle w:val="Normal"/>
        <w:widowControl/>
        <w:numPr>
          <w:ilvl w:val="0"/>
          <w:numId w:val="3"/>
        </w:numPr>
      </w:pPr>
      <w:r>
        <w:t xml:space="preserve">Report outcomes to UNOS/OPTN as required</w:t>
      </w:r>
    </w:p>
    <w:p>
      <w:pPr>
        <w:pStyle w:val="Normal"/>
        <w:widowControl/>
      </w:pPr>
      <w:r>
        <w:t xml:space="preserve">Everolimus safety and evidence boundary: if selected under the current transplant-pharmacy protocol, adult liver-transplant use must not begin before postoperative day 30 under the US label. This is a drug-specific safety floor, not a mandatory conversion date, and does not establish cancer-recurrence benefit. Dose, trough target and CNI co-therapy require individualized graft, renal, vascular, wound, infection and interaction review.</w:t>
      </w:r>
      <w:r>
        <w:t xml:space="preserve"> </w:t>
      </w:r>
      <w:r>
        <w:t xml:space="preserve"> </w:t>
      </w:r>
      <w:r>
        <w:fldChar w:fldCharType="begin"/>
      </w:r>
      <w:r>
        <w:instrText xml:space="preserve"> ADDIN EN.CITE </w:instrText>
      </w:r>
      <w:r>
        <w:fldChar w:fldCharType="begin">
          <w:fldData>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</w:fldData>
        </w:fldChar>
      </w:r>
      <w:r>
        <w:instrText xml:space="preserve"> ADDIN EN.CITE.DATA </w:instrText>
      </w:r>
      <w:r>
        <w:fldChar w:fldCharType="end"/>
      </w:r>
      <w:r>
        <w:fldChar w:fldCharType="separate"/>
      </w:r>
      <w:r>
        <w:t xml:space="preserve">[V12-20]</w:t>
      </w:r>
      <w:r>
        <w:fldChar w:fldCharType="end"/>
      </w:r>
      <w:r>
        <w:t xml:space="preserve"> </w:t>
      </w:r>
      <w:r>
        <w:t xml:space="preserve"> </w:t>
      </w:r>
      <w:r>
        <w:fldChar w:fldCharType="begin"/>
      </w:r>
      <w:r>
        <w:instrText xml:space="preserve"> ADDIN EN.CITE </w:instrText>
      </w:r>
      <w:r>
        <w:fldChar w:fldCharType="begin">
          <w:fldData>PEVuZE5vdGU+PENpdGU+PEF1dGhvcj5UZTwvQXV0aG9yPjxZZWFyPjIwMjU8L1llYXI+PFJlY051bT4yNDwvUmVjTnVtPjxEaXNwbGF5VGV4dD5bVjEyLTI0XTwvRGlzcGxheVRleHQ+PHJlY29yZD48cmVjLW51bWJlcj4yNDwvcmVjLW51bWJlcj48Zm9yZWlnbi1rZXlzPjxrZXkgYXBwPSJFTiIgZGItaWQ9IjA3NGY1ZWNkLWY0NTAtNTMxNy1iNzE3LWM4ZDdlNmVlZTIwNiIgdGltZXN0YW1wPSIxNzkyOTIxMDg1Ij4yND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[V12-24]</w:t>
      </w:r>
      <w:r>
        <w:fldChar w:fldCharType="end"/>
      </w:r>
    </w:p>
    <w:p>
      <w:pPr>
        <w:pStyle w:val="Heading2"/>
        <w:keepNext/>
        <w:widowControl/>
      </w:pPr>
      <w:r>
        <w:t xml:space="preserve">Full-text evidence update — interpret within the standard boundary</w:t>
      </w:r>
    </w:p>
    <w:p>
      <w:pPr>
        <w:pStyle w:val="Normal"/>
        <w:widowControl/>
      </w:pPr>
      <w:r>
        <w:t xml:space="preserve">The following new full-text findings qualify outcome counseling and operational decisions. Evidence from expanded or experimental cohorts does not enlarge this standard pathway. For proposed boundary changes, use the separately linked OPEN meeting record.</w:t>
      </w:r>
    </w:p>
    <w:tbl>
      <w:tblPr>
        <w:tblW w:w="9000" w:type="dxa"/>
        <w:tblLayout w:type="fixed"/>
        <w:tblBorders>
          <w:top w:val="single" w:sz="4" w:color="C8C8C8"/>
          <w:left w:val="single" w:sz="4" w:color="C8C8C8"/>
          <w:bottom w:val="single" w:sz="4" w:color="C8C8C8"/>
          <w:right w:val="single" w:sz="4" w:color="C8C8C8"/>
          <w:insideH w:val="single" w:sz="4" w:color="C8C8C8"/>
          <w:insideV w:val="single" w:sz="4" w:color="C8C8C8"/>
        </w:tblBorders>
      </w:tblPr>
      <w:tblGrid>
        <w:gridCol w:w="3400"/>
        <w:gridCol w:w="5600"/>
      </w:tblGrid>
      <w:tr>
        <w:trPr>
          <w:cantSplit/>
          <w:tblHeader/>
        </w:trPr>
        <w:tc>
          <w:tcPr>
            <w:tcW w:w="3400" w:type="dxa"/>
            <w:tcMar>
              <w:top w:w="90" w:type="dxa"/>
              <w:left w:w="90" w:type="dxa"/>
              <w:bottom w:w="90" w:type="dxa"/>
              <w:right w:w="90" w:type="dxa"/>
            </w:tcMar>
            <w:shd w:fill="C1E4F5"/>
          </w:tcPr>
          <w:p>
            <w:pPr>
              <w:pStyle w:val="Normal"/>
              <w:widowControl/>
              <w:spacing w:before="60" w:after="20"/>
            </w:pPr>
            <w:r>
              <w:rPr>
                <w:b/>
              </w:rPr>
              <w:t xml:space="preserve">Study • population • source</w:t>
            </w:r>
          </w:p>
        </w:tc>
        <w:tc>
          <w:tcPr>
            <w:tcW w:w="5600" w:type="dxa"/>
            <w:tcMar>
              <w:top w:w="90" w:type="dxa"/>
              <w:left w:w="90" w:type="dxa"/>
              <w:bottom w:w="90" w:type="dxa"/>
              <w:right w:w="90" w:type="dxa"/>
            </w:tcMar>
            <w:shd w:fill="C1E4F5"/>
          </w:tcPr>
          <w:p>
            <w:pPr>
              <w:pStyle w:val="Normal"/>
              <w:widowControl/>
              <w:spacing w:before="60" w:after="20"/>
            </w:pPr>
            <w:r>
              <w:rPr>
                <w:b/>
              </w:rPr>
              <w:t xml:space="preserve">Results • interpretation boundary</w:t>
            </w:r>
          </w:p>
        </w:tc>
      </w:tr>
      <w:tr>
        <w:trPr/>
        <w:tc>
          <w:tcPr>
            <w:tcW w:w="3400" w:type="dxa"/>
            <w:tcMar>
              <w:top w:w="90" w:type="dxa"/>
              <w:left w:w="90" w:type="dxa"/>
              <w:bottom w:w="90" w:type="dxa"/>
              <w:right w:w="90" w:type="dxa"/>
            </w:tcMar>
          </w:tcPr>
          <w:p>
            <w:pPr>
              <w:pStyle w:val="Normal"/>
              <w:widowControl/>
              <w:spacing w:before="60" w:after="20"/>
            </w:pPr>
            <w:r>
              <w:rPr>
                <w:b/>
              </w:rPr>
              <w:t xml:space="preserve">AASLD/AST candidate evaluation</w:t>
            </w:r>
            <w:r>
              <w:t xml:space="preserve"> </w:t>
            </w:r>
            <w:r>
              <w:t xml:space="preserve"> </w:t>
            </w:r>
            <w:r>
              <w:fldChar w:fldCharType="begin"/>
            </w:r>
            <w:r>
              <w:instrText xml:space="preserve"> ADDIN EN.CITE </w:instrText>
            </w:r>
            <w:r>
              <w:fldChar w:fldCharType="begin">
                <w:fldData>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pStyle w:val="Normal"/>
              <w:widowControl/>
              <w:spacing w:before="60" w:after="20"/>
            </w:pPr>
            <w:r>
              <w:t xml:space="preserve">AASLD/AST practice guideline, not an original patient cohort. Multidisciplinary evidence review with Oxford evidence levels; searches included a January 23, 2025 refresher. Recommendations combine evidence quality, benefit–risk assessment and patient preferences.</w:t>
            </w:r>
          </w:p>
          <w:p>
            <w:pPr>
              <w:pStyle w:val="Normal"/>
              <w:widowControl/>
              <w:spacing w:before="60" w:after="20"/>
            </w:pPr>
            <w:r>
              <w:t xml:space="preserve">Selection: pCCA statement 9: unresectable disease with radial diameter &lt;3 cm (Strong, Level 3). Statement 10: neoadjuvant radiation plus chemotherapy and operative staging (Strong, Level 3). iCCA/mixed HCC–CCA statement 11: biopsy-proven unresectable tumor, maximum diameter &lt;3 cm, no extrahepatic disease (Weak, Level 4); the explanatory paragraph adds solitary disease and underlying cirrhosis.</w:t>
            </w:r>
          </w:p>
          <w:p>
            <w:pPr>
              <w:pStyle w:val="Normal"/>
              <w:widowControl/>
              <w:spacing w:before="60" w:after="20"/>
            </w:pPr>
            <w:hyperlink r:id="rId21">
              <w:r>
                <w:rPr>
                  <w:color w:val="77230C"/>
                  <w:sz w:val="20"/>
                  <w:u w:val="single"/>
                </w:rPr>
                <w:t>Primary source</w:t>
              </w:r>
            </w:hyperlink>
            <w:r>
              <w:t xml:space="preserve"> | </w:t>
            </w:r>
            <w:hyperlink r:id="rId22">
              <w:r>
                <w:rPr>
                  <w:color w:val="77230C"/>
                  <w:sz w:val="20"/>
                  <w:u w:val="single"/>
                </w:rPr>
                <w:t>Full-text PDF</w:t>
              </w:r>
            </w:hyperlink>
          </w:p>
          <w:p>
            <w:pPr>
              <w:pStyle w:val="Normal"/>
              <w:widowControl/>
              <w:spacing w:before="60" w:after="20"/>
            </w:pPr>
            <w:r>
              <w:t xml:space="preserve">Locator: 60-page local author manuscript: pp1–3 publication identity, scope and methods; pp6–8 HCC/CCA statements; pp8–9 CCA rationale and multidisciplinary evaluation; pp25–27 LDLT statements 50–53 and safety/ethical considerations; pp27–28 selected nonhepatic malignancy guidance.</w:t>
            </w:r>
          </w:p>
          <w:p>
            <w:pPr>
              <w:pStyle w:val="Normal"/>
              <w:widowControl/>
              <w:spacing w:before="60" w:after="20"/>
            </w:pPr>
            <w:r>
              <w:t xml:space="preserve">Review depth: Complete 60-page author-manuscript PDF is present. Fresh targeted full-page reading of pp1–3, 6–9 and 25–28; the remaining guideline sections and complete reference list were not reread in this bounded supplemental review. This is a relevant-section review, not a claim of fresh cover-to-cover review.</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No new treatment-effect denominator or original survival endpoint. The guidance supports narrowly selected CCA candidacy rather than a validated advanced-iCCA expansion. It recommends multidisciplinary assessment of expected benefit, medical/psychosocial feasibility and patient wishes; for LDLT, donor safety and expected recipient outcome must be assessed together.</w:t>
            </w:r>
          </w:p>
          <w:p>
            <w:pPr>
              <w:pStyle w:val="Normal"/>
              <w:widowControl/>
              <w:spacing w:before="60" w:after="20"/>
            </w:pPr>
            <w:r>
              <w:rPr>
                <w:b/>
              </w:rPr>
              <w:t xml:space="preserve">Do not infer: </w:t>
            </w:r>
            <w:r>
              <w:t xml:space="preserve">Clinical guidance is distinct from binding OPTN policy and current NLRB recommendations. The manuscript links an older February 2025 NLRB posting. Its &lt;3 cm iCCA wording should not be silently changed to ≤3 cm to match another source; exact-boundary discrepancies require explicit source comparison. The broad pCCA-background list concerning prior chemotherapy/radiation must not be generalized to exclude all protocol-directed NAT, which statement 10 expressly recommends. Time origin: The iCCA rationale describes six months of imaging stability after locoregional or systemic therapy and cross-sectional imaging every three months while listed. This is the guideline's formulation, not a resolution of differently worded current allocation clock language. No new study survival clock exists for this guideline card.</w:t>
            </w:r>
          </w:p>
        </w:tc>
      </w:tr>
      <w:tr>
        <w:trPr/>
        <w:tc>
          <w:tcPr>
            <w:tcW w:w="3400" w:type="dxa"/>
            <w:tcMar>
              <w:top w:w="90" w:type="dxa"/>
              <w:left w:w="90" w:type="dxa"/>
              <w:bottom w:w="90" w:type="dxa"/>
              <w:right w:w="90" w:type="dxa"/>
            </w:tcMar>
          </w:tcPr>
          <w:p>
            <w:pPr>
              <w:pStyle w:val="Normal"/>
              <w:widowControl/>
              <w:spacing w:before="60" w:after="20"/>
            </w:pPr>
            <w:r>
              <w:rPr>
                <w:b/>
              </w:rPr>
              <w:t xml:space="preserve">Abdelrahim 2026 · HCC/CCA ICI</w:t>
            </w:r>
            <w:r>
              <w:t xml:space="preserve"> </w:t>
            </w:r>
            <w:r>
              <w:t xml:space="preserve"> </w:t>
            </w:r>
            <w:r>
              <w:fldChar w:fldCharType="begin"/>
            </w:r>
            <w:r>
              <w:instrText xml:space="preserve"> ADDIN EN.CITE </w:instrText>
            </w:r>
            <w:r>
              <w:fldChar w:fldCharType="begin">
                <w:fldData>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</w:fldData>
              </w:fldChar>
            </w:r>
            <w:r>
              <w:instrText xml:space="preserve"> ADDIN EN.CITE.DATA </w:instrText>
            </w:r>
            <w:r>
              <w:fldChar w:fldCharType="end"/>
            </w:r>
            <w:r>
              <w:fldChar w:fldCharType="separate"/>
            </w:r>
            <w:r>
              <w:t xml:space="preserve">[V12-25]</w:t>
            </w:r>
            <w:r>
              <w:fldChar w:fldCharType="end"/>
            </w:r>
          </w:p>
          <w:p>
            <w:pPr>
              <w:pStyle w:val="Normal"/>
              <w:widowControl/>
              <w:spacing w:before="60" w:after="20"/>
            </w:pPr>
            <w:r>
              <w:t xml:space="preserve">Single-center retrospective descriptive series of 25 selected transplant recipients after ICI, reported in main Methods as January 2019–December 2025. Table 2 identifies 17 HCC, seven iCCA and one pCCA recipient. No all-treated or referred-patient denominator and no comparator are supplied.</w:t>
            </w:r>
          </w:p>
          <w:p>
            <w:pPr>
              <w:pStyle w:val="Normal"/>
              <w:widowControl/>
              <w:spacing w:before="60" w:after="20"/>
            </w:pPr>
            <w:r>
              <w:t xml:space="preserve">Selection: Methods specify persistent unresectability, multidisciplinary review and at least six months of stability/regression after ICI. Patients actually received heterogeneous ICI, chemotherapy, targeted agents and locoregional therapy; case histories include progression and salvage. The series does not establish a reproducible selection algorithm.</w:t>
            </w:r>
          </w:p>
          <w:p>
            <w:pPr>
              <w:pStyle w:val="Normal"/>
              <w:widowControl/>
              <w:spacing w:before="60" w:after="20"/>
            </w:pPr>
            <w:hyperlink r:id="rId23">
              <w:r>
                <w:rPr>
                  <w:color w:val="77230C"/>
                  <w:sz w:val="20"/>
                  <w:u w:val="single"/>
                </w:rPr>
                <w:t>Primary source</w:t>
              </w:r>
            </w:hyperlink>
            <w:r>
              <w:t xml:space="preserve"> | </w:t>
            </w:r>
            <w:hyperlink r:id="rId24">
              <w:r>
                <w:rPr>
                  <w:color w:val="77230C"/>
                  <w:sz w:val="20"/>
                  <w:u w:val="single"/>
                </w:rPr>
                <w:t>Full-text PDF</w:t>
              </w:r>
            </w:hyperlink>
          </w:p>
          <w:p>
            <w:pPr>
              <w:pStyle w:val="Normal"/>
              <w:widowControl/>
              <w:spacing w:before="60" w:after="20"/>
            </w:pPr>
            <w:r>
              <w:t xml:space="preserve">Locator: PDF p1: abstract; p3: Methods/aggregate results; p4: aggregate disease attribution; p5: case 7; p6: case 10; pp7–8: CCA case histories, especially cases 18, 20 and 23; p9: Table 2; pp10–11: explant pathology; pp12–13: limitations, washout proposal and ethics paragraph.</w:t>
            </w:r>
          </w:p>
          <w:p>
            <w:pPr>
              <w:pStyle w:val="Normal"/>
              <w:widowControl/>
              <w:spacing w:before="60" w:after="20"/>
            </w:pPr>
            <w:r>
              <w:t xml:space="preserve">Review depth: Fresh complete reading of all 14 supplied publisher PDF pages, including every case narrative and Tables 1–3. No separate supplemental dataset was supplied or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Four HCC recurrences and four HCC deaths were reported. No CCA recurrence or death was reported at available follow-up, but a uniform follow-up distribution and fixed-time survival estimate are absent. The clinically important allograft outcomes are two hepatic acute-rejection events, one rejection of a concurrently transplanted kidney, and one immediate liver graft failure requiring retransplantation; the disease attribution must be read at case level.</w:t>
            </w:r>
          </w:p>
          <w:p>
            <w:pPr>
              <w:pStyle w:val="Normal"/>
              <w:widowControl/>
              <w:spacing w:before="60" w:after="20"/>
            </w:pPr>
            <w:r>
              <w:rPr>
                <w:b/>
              </w:rPr>
              <w:t xml:space="preserve">Do not infer: </w:t>
            </w:r>
            <w:r>
              <w:t xml:space="preserve">Severe selection/survivor bias, heterogeneous diagnoses and treatments, no ICI-naive comparator, no defined cohort follow-up distribution, and internal reporting inconsistencies. The aggregate statement assigning all rejection to HCC conflicts with case 23 and Table 2. The authors' approximate four-week washout suggestion is not a validated safe threshold; a favorable selected case cannot validate LT after progression, nodal disease or short washout. Time origin: Adverse-event and recurrence days are measured after LT. Main text reports median neoadjuvant-start-to-LT time of 52 weeks (range 2–181), which is not the same as a documented six-month control clock. Abstract washout median is 4.5 months, while the 25 displayed Table 2 values have a recalculated median of 4.0 months; do not silently present either as a reconciled study estimate.</w:t>
            </w:r>
          </w:p>
        </w:tc>
      </w:tr>
      <w:tr>
        <w:trPr/>
        <w:tc>
          <w:tcPr>
            <w:tcW w:w="3400" w:type="dxa"/>
            <w:tcMar>
              <w:top w:w="90" w:type="dxa"/>
              <w:left w:w="90" w:type="dxa"/>
              <w:bottom w:w="90" w:type="dxa"/>
              <w:right w:w="90" w:type="dxa"/>
            </w:tcMar>
          </w:tcPr>
          <w:p>
            <w:pPr>
              <w:pStyle w:val="Normal"/>
              <w:widowControl/>
              <w:spacing w:before="60" w:after="20"/>
            </w:pPr>
            <w:r>
              <w:rPr>
                <w:b/>
              </w:rPr>
              <w:t xml:space="preserve">Abecassis 2012</w:t>
            </w:r>
            <w:r>
              <w:t xml:space="preserve"> </w:t>
            </w:r>
            <w:r>
              <w:t xml:space="preserve"> </w:t>
            </w:r>
            <w:r>
              <w:fldChar w:fldCharType="begin"/>
            </w:r>
            <w:r>
              <w:instrText xml:space="preserve"> ADDIN EN.CITE </w:instrText>
            </w:r>
            <w:r>
              <w:fldChar w:fldCharType="begin">
                <w:fldData>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</w:fldData>
              </w:fldChar>
            </w:r>
            <w:r>
              <w:instrText xml:space="preserve"> ADDIN EN.CITE.DATA </w:instrText>
            </w:r>
            <w:r>
              <w:fldChar w:fldCharType="end"/>
            </w:r>
            <w:r>
              <w:fldChar w:fldCharType="separate"/>
            </w:r>
            <w:r>
              <w:t xml:space="preserve">[V12-26]</w:t>
            </w:r>
            <w:r>
              <w:fldChar w:fldCharType="end"/>
            </w:r>
          </w:p>
          <w:p>
            <w:pPr>
              <w:pStyle w:val="Normal"/>
              <w:widowControl/>
              <w:spacing w:before="60" w:after="20"/>
            </w:pPr>
            <w:r>
              <w:t xml:space="preserve">A2ALL cohort: 760 donor operations begun; 740 completed, mostly right lobes.</w:t>
            </w:r>
          </w:p>
          <w:p>
            <w:pPr>
              <w:pStyle w:val="Normal"/>
              <w:widowControl/>
              <w:spacing w:before="60" w:after="20"/>
            </w:pPr>
            <w:r>
              <w:t xml:space="preserve">Selection: Multicenter selected donors, older era; standardized complication ascertainment.</w:t>
            </w:r>
          </w:p>
          <w:p>
            <w:pPr>
              <w:pStyle w:val="Normal"/>
              <w:widowControl/>
              <w:spacing w:before="60" w:after="20"/>
            </w:pPr>
            <w:hyperlink r:id="rId25">
              <w:r>
                <w:rPr>
                  <w:color w:val="77230C"/>
                  <w:sz w:val="20"/>
                  <w:u w:val="single"/>
                </w:rPr>
                <w:t>Primary source</w:t>
              </w:r>
            </w:hyperlink>
            <w:r>
              <w:t xml:space="preserve"> | </w:t>
            </w:r>
            <w:hyperlink r:id="rId26">
              <w:r>
                <w:rPr>
                  <w:color w:val="77230C"/>
                  <w:sz w:val="20"/>
                  <w:u w:val="single"/>
                </w:rPr>
                <w:t>Full-text PDF</w:t>
              </w:r>
            </w:hyperlink>
          </w:p>
          <w:p>
            <w:pPr>
              <w:pStyle w:val="Normal"/>
              <w:widowControl/>
              <w:spacing w:before="60" w:after="20"/>
            </w:pPr>
            <w:r>
              <w:t xml:space="preserve">Locator: PDF pp2–8; Methods, donor flow, complications and late-events Discussion.</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A2ALL: 760 operations initiated, 20 aborted and 740 donations completed. Among completed donations, 296/740 (40%) had at least one complication (557 events); 140 had multiple events. Historical four-tier Clavien grade 3 residual disability occurred in 5 and grade 4 death in 3; one death was perioperative and two were late psychological deaths. An aborted donor also suffered bile leak/infection/abscess and was outside the 740-completion analysis.</w:t>
            </w:r>
          </w:p>
          <w:p>
            <w:pPr>
              <w:pStyle w:val="Normal"/>
              <w:widowControl/>
              <w:spacing w:before="60" w:after="20"/>
            </w:pPr>
            <w:r>
              <w:rPr>
                <w:b/>
              </w:rPr>
              <w:t xml:space="preserve">Do not infer: </w:t>
            </w:r>
            <w:r>
              <w:t xml:space="preserve">Historical classification is NOT modern Clavien–Dindo ≥III; 8/740 cannot be labeled a contemporary major-complication rate. Older expert-center cohort and mixed follow-up; late hernia/psychological events occurred years later. Use contemporary local donor outcomes as well as published estimates; never promise zero risk.</w:t>
            </w:r>
          </w:p>
        </w:tc>
      </w:tr>
      <w:tr>
        <w:trPr/>
        <w:tc>
          <w:tcPr>
            <w:tcW w:w="3400" w:type="dxa"/>
            <w:tcMar>
              <w:top w:w="90" w:type="dxa"/>
              <w:left w:w="90" w:type="dxa"/>
              <w:bottom w:w="90" w:type="dxa"/>
              <w:right w:w="90" w:type="dxa"/>
            </w:tcMar>
          </w:tcPr>
          <w:p>
            <w:pPr>
              <w:pStyle w:val="Normal"/>
              <w:widowControl/>
              <w:spacing w:before="60" w:after="20"/>
            </w:pPr>
            <w:r>
              <w:rPr>
                <w:b/>
              </w:rPr>
              <w:t xml:space="preserve">DiMartini 2017</w:t>
            </w:r>
            <w:r>
              <w:t xml:space="preserve"> </w:t>
            </w:r>
            <w:r>
              <w:t xml:space="preserve"> </w:t>
            </w:r>
            <w:r>
              <w:fldChar w:fldCharType="begin"/>
            </w:r>
            <w:r>
              <w:instrText xml:space="preserve"> ADDIN EN.CITE </w:instrText>
            </w:r>
            <w:r>
              <w:fldChar w:fldCharType="begin">
                <w:fldData>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TExL2FqdC4xNDA1NTwvdXJsPjwvcmVsYXRlZC11cmxzPjxwZGYtdXJscy8+PC91cmxzPjwvcmVjb3JkPjwvQ2l0ZT48L0VuZE5vdGU+</w:fldData>
              </w:fldChar>
            </w:r>
            <w:r>
              <w:instrText xml:space="preserve"> ADDIN EN.CITE.DATA </w:instrText>
            </w:r>
            <w:r>
              <w:fldChar w:fldCharType="end"/>
            </w:r>
            <w:r>
              <w:fldChar w:fldCharType="separate"/>
            </w:r>
            <w:r>
              <w:t xml:space="preserve">[V12-27]</w:t>
            </w:r>
            <w:r>
              <w:fldChar w:fldCharType="end"/>
            </w:r>
          </w:p>
          <w:p>
            <w:pPr>
              <w:pStyle w:val="Normal"/>
              <w:widowControl/>
              <w:spacing w:before="60" w:after="20"/>
            </w:pPr>
            <w:r>
              <w:t xml:space="preserve">Prospective A2ALL-2 interviews: 271/297 eligible donors, before and through 24 months after donation.</w:t>
            </w:r>
          </w:p>
          <w:p>
            <w:pPr>
              <w:pStyle w:val="Normal"/>
              <w:widowControl/>
              <w:spacing w:before="60" w:after="20"/>
            </w:pPr>
            <w:r>
              <w:t xml:space="preserve">Selection: Costs and social recovery reported by participants, not randomized financial support.</w:t>
            </w:r>
          </w:p>
          <w:p>
            <w:pPr>
              <w:pStyle w:val="Normal"/>
              <w:widowControl/>
              <w:spacing w:before="60" w:after="20"/>
            </w:pPr>
            <w:hyperlink r:id="rId27">
              <w:r>
                <w:rPr>
                  <w:color w:val="77230C"/>
                  <w:sz w:val="20"/>
                  <w:u w:val="single"/>
                </w:rPr>
                <w:t>Primary source</w:t>
              </w:r>
            </w:hyperlink>
            <w:r>
              <w:t xml:space="preserve"> | </w:t>
            </w:r>
            <w:hyperlink r:id="rId28">
              <w:r>
                <w:rPr>
                  <w:color w:val="77230C"/>
                  <w:sz w:val="20"/>
                  <w:u w:val="single"/>
                </w:rPr>
                <w:t>Full-text PDF</w:t>
              </w:r>
            </w:hyperlink>
          </w:p>
          <w:p>
            <w:pPr>
              <w:pStyle w:val="Normal"/>
              <w:widowControl/>
              <w:spacing w:before="60" w:after="20"/>
            </w:pPr>
            <w:r>
              <w:t xml:space="preserve">Locator: PDF pp2–14; Figure 1, Tables 3–4 and 7,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Prospective A2ALL-2 surveys: 271 donors with ≥1 survey, 263 with postdonation data and 245 with both pre/post data; 139 interviews at two years. Cumulatively 75% reported nonmedical out-of-pocket expenses, 45% lost wages, 37% uncovered medical expenses and 44% burdensome costs at ≥1 assessment. Burden was 39.6% at three months (99/250) and 19.4% at two years (27/139). Among 196 employed before donation, 40% ever modified work/jobs.</w:t>
            </w:r>
          </w:p>
          <w:p>
            <w:pPr>
              <w:pStyle w:val="Normal"/>
              <w:widowControl/>
              <w:spacing w:before="60" w:after="20"/>
            </w:pPr>
            <w:r>
              <w:rPr>
                <w:b/>
              </w:rPr>
              <w:t xml:space="preserve">Do not infer: </w:t>
            </w:r>
            <w:r>
              <w:t xml:space="preserve">Self-report, variable denominators, administrative censoring/attrition, English-only selected donors and two-year horizon. These are not all 271 donors reporting each endpoint at a single time. Positive relationships do not offset financial harms. Historical 2017 insurance/assistance descriptions must not be presented as current law or current benefit eligibility.</w:t>
            </w:r>
          </w:p>
        </w:tc>
      </w:tr>
      <w:tr>
        <w:trPr/>
        <w:tc>
          <w:tcPr>
            <w:tcW w:w="3400" w:type="dxa"/>
            <w:tcMar>
              <w:top w:w="90" w:type="dxa"/>
              <w:left w:w="90" w:type="dxa"/>
              <w:bottom w:w="90" w:type="dxa"/>
              <w:right w:w="90" w:type="dxa"/>
            </w:tcMar>
          </w:tcPr>
          <w:p>
            <w:pPr>
              <w:pStyle w:val="Normal"/>
              <w:widowControl/>
              <w:spacing w:before="60" w:after="20"/>
            </w:pPr>
            <w:r>
              <w:rPr>
                <w:b/>
              </w:rPr>
              <w:t xml:space="preserve">Xiao 2024</w:t>
            </w:r>
            <w:r>
              <w:t xml:space="preserve"> </w:t>
            </w:r>
            <w:r>
              <w:t xml:space="preserve"> </w:t>
            </w:r>
            <w:r>
              <w:fldChar w:fldCharType="begin"/>
            </w:r>
            <w:r>
              <w:instrText xml:space="preserve"> ADDIN EN.CITE </w:instrText>
            </w:r>
            <w:r>
              <w:fldChar w:fldCharType="begin">
                <w:fldData>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</w:fldData>
              </w:fldChar>
            </w:r>
            <w:r>
              <w:instrText xml:space="preserve"> ADDIN EN.CITE.DATA </w:instrText>
            </w:r>
            <w:r>
              <w:fldChar w:fldCharType="end"/>
            </w:r>
            <w:r>
              <w:fldChar w:fldCharType="separate"/>
            </w:r>
            <w:r>
              <w:t xml:space="preserve">[V12-28]</w:t>
            </w:r>
            <w:r>
              <w:fldChar w:fldCharType="end"/>
            </w:r>
          </w:p>
          <w:p>
            <w:pPr>
              <w:pStyle w:val="Normal"/>
              <w:widowControl/>
              <w:spacing w:before="60" w:after="20"/>
            </w:pPr>
            <w:r>
              <w:t xml:space="preserve">Published meta-analysis of 60,829 donors; primary abstract reports 87 articles.</w:t>
            </w:r>
          </w:p>
          <w:p>
            <w:pPr>
              <w:pStyle w:val="Normal"/>
              <w:widowControl/>
              <w:spacing w:before="60" w:after="20"/>
            </w:pPr>
            <w:r>
              <w:t xml:space="preserve">Selection: Heterogeneous centers, eras and complication definitions; full overlap audit pending.</w:t>
            </w:r>
          </w:p>
          <w:p>
            <w:pPr>
              <w:pStyle w:val="Normal"/>
              <w:widowControl/>
              <w:spacing w:before="60" w:after="20"/>
            </w:pPr>
            <w:hyperlink r:id="rId29">
              <w:r>
                <w:rPr>
                  <w:color w:val="77230C"/>
                  <w:sz w:val="20"/>
                  <w:u w:val="single"/>
                </w:rPr>
                <w:t>Primary source</w:t>
              </w:r>
            </w:hyperlink>
            <w:r>
              <w:t xml:space="preserve"> | </w:t>
            </w:r>
            <w:hyperlink r:id="rId30">
              <w:r>
                <w:rPr>
                  <w:color w:val="77230C"/>
                  <w:sz w:val="20"/>
                  <w:u w:val="single"/>
                </w:rPr>
                <w:t>Full-text PDF</w:t>
              </w:r>
            </w:hyperlink>
          </w:p>
          <w:p>
            <w:pPr>
              <w:pStyle w:val="Normal"/>
              <w:widowControl/>
              <w:spacing w:before="60" w:after="20"/>
            </w:pPr>
            <w:r>
              <w:t xml:space="preserve">Locator: PDF pp3–10; Methods, Tables 1–3, Results and limitations.</w:t>
            </w:r>
          </w:p>
          <w:p>
            <w:pPr>
              <w:pStyle w:val="Normal"/>
              <w:widowControl/>
              <w:spacing w:before="60" w:after="20"/>
            </w:pPr>
            <w:r>
              <w:t xml:space="preserve">Review depth: Full article clinical text, methods, results, limitations and tables reviewed; external supplements only if included in supplied PDF.</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Meta-analysis reports 187 articles/60,829 donors in full-text Results (abstract says 87). Endpoint denominators differ: any complication 24.7% (95% CI 21.6–28.1; 163 studies/34,317 donors), major Clavien–Dindo III–V 5.5% (4.5–6.7; 105/27,571), mortality 0.06% (0.0–0.1; 111/49,027). Psychological complications 7.6% (4.9–11.5; 35/17,171).</w:t>
            </w:r>
          </w:p>
          <w:p>
            <w:pPr>
              <w:pStyle w:val="Normal"/>
              <w:widowControl/>
              <w:spacing w:before="60" w:after="20"/>
            </w:pPr>
            <w:r>
              <w:rPr>
                <w:b/>
              </w:rPr>
              <w:t xml:space="preserve">Do not infer: </w:t>
            </w:r>
            <w:r>
              <w:t xml:space="preserve">Heterogeneous observational reports, variable follow-up, duplicate-cohort sensitivity analysis, underreporting and limited new-vs-preexisting psychiatric detail. No common 60,829-person denominator for every endpoint. Right/left graft comparisons are selected, not causal. Several textual inconsistencies (study count and operation duration) require Table-specific reporting.</w:t>
            </w:r>
          </w:p>
        </w:tc>
      </w:tr>
      <w:tr>
        <w:trPr/>
        <w:tc>
          <w:tcPr>
            <w:tcW w:w="3400" w:type="dxa"/>
            <w:tcMar>
              <w:top w:w="90" w:type="dxa"/>
              <w:left w:w="90" w:type="dxa"/>
              <w:bottom w:w="90" w:type="dxa"/>
              <w:right w:w="90" w:type="dxa"/>
            </w:tcMar>
          </w:tcPr>
          <w:p>
            <w:pPr>
              <w:pStyle w:val="Normal"/>
              <w:widowControl/>
              <w:spacing w:before="60" w:after="20"/>
            </w:pPr>
            <w:r>
              <w:rPr>
                <w:b/>
              </w:rPr>
              <w:t xml:space="preserve">neoGOLP 2026</w:t>
            </w:r>
            <w:r>
              <w:t xml:space="preserve"> </w:t>
            </w:r>
            <w:r>
              <w:t xml:space="preserve"> </w:t>
            </w:r>
            <w:r>
              <w:fldChar w:fldCharType="begin"/>
            </w:r>
            <w:r>
              <w:instrText xml:space="preserve"> ADDIN EN.CITE </w:instrText>
            </w:r>
            <w:r>
              <w:fldChar w:fldCharType="begin">
                <w:fldData>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</w:fldData>
              </w:fldChar>
            </w:r>
            <w:r>
              <w:instrText xml:space="preserve"> ADDIN EN.CITE.DATA </w:instrText>
            </w:r>
            <w:r>
              <w:fldChar w:fldCharType="end"/>
            </w:r>
            <w:r>
              <w:fldChar w:fldCharType="separate"/>
            </w:r>
            <w:r>
              <w:t xml:space="preserve">[V12-29]</w:t>
            </w:r>
            <w:r>
              <w:fldChar w:fldCharType="end"/>
            </w:r>
          </w:p>
          <w:p>
            <w:pPr>
              <w:pStyle w:val="Normal"/>
              <w:widowControl/>
              <w:spacing w:before="60" w:after="20"/>
            </w:pPr>
            <w:r>
              <w:t xml:space="preserve">Open-label randomized phase 2–3 trial at 11 Chinese hospitals; 178 patients randomized to neoadjuvant GOLP (n=88) or immediate surgery (n=90), analyzed by intention to treat. Both groups were intended to receive postoperative capecitabine.</w:t>
            </w:r>
          </w:p>
          <w:p>
            <w:pPr>
              <w:pStyle w:val="Normal"/>
              <w:widowControl/>
              <w:spacing w:before="60" w:after="20"/>
            </w:pPr>
            <w:r>
              <w:t xml:space="preserve">Selection: Resectable high-risk iCCA, age 18–70, ECOG 0 and Child-Pugh A. High-risk features included tumor &gt;5 cm, vascular invasion, multifocality, hepatic-portal nodes or elevated CA19-9. GOLP was gemcitabine/oxaliplatin plus toripalimab for three cycles and lenvatinib for nine weeks, followed by resection assessment.</w:t>
            </w:r>
          </w:p>
          <w:p>
            <w:pPr>
              <w:pStyle w:val="Normal"/>
              <w:widowControl/>
              <w:spacing w:before="60" w:after="20"/>
            </w:pPr>
            <w:hyperlink r:id="rId31">
              <w:r>
                <w:rPr>
                  <w:color w:val="77230C"/>
                  <w:sz w:val="20"/>
                  <w:u w:val="single"/>
                </w:rPr>
                <w:t>Primary source</w:t>
              </w:r>
            </w:hyperlink>
            <w:r>
              <w:t xml:space="preserve"> | </w:t>
            </w:r>
            <w:hyperlink r:id="rId32">
              <w:r>
                <w:rPr>
                  <w:color w:val="77230C"/>
                  <w:sz w:val="20"/>
                  <w:u w:val="single"/>
                </w:rPr>
                <w:t>Full-text PDF</w:t>
              </w:r>
            </w:hyperlink>
          </w:p>
          <w:p>
            <w:pPr>
              <w:pStyle w:val="Normal"/>
              <w:widowControl/>
              <w:spacing w:before="60" w:after="20"/>
            </w:pPr>
            <w:r>
              <w:t xml:space="preserve">Locator: PDF pp2–4: methods and statistical boundaries; pp5–7: flow, baseline population and results; p8: EFS figure; pp9–10: interim OS and interpretation; p11: adverse-event table; p12: limitations.</w:t>
            </w:r>
          </w:p>
          <w:p>
            <w:pPr>
              <w:pStyle w:val="Normal"/>
              <w:widowControl/>
              <w:spacing w:before="60" w:after="20"/>
            </w:pPr>
            <w:r>
              <w:t xml:space="preserve">Review depth: Fresh complete reading of all 13 supplied PDF pages, including methods, results, tables, figures and discussion. Separately hosted protocol and supplementary appendix were not reviewed; no supplement-only claims are used.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EFS was 18.0 versus 8.7 months (P&lt;0.001); 24-month EFS was 37% versus 25%. No primary EFS hazard ratio was estimated because hazards were nonproportional. R0 resection occurred in 84/88 versus 84/90 randomized patients. At interim analysis, 24-month OS was 79% versus 61% (HR 0.43, 95% CI 0.23–0.79; P=0.005), which did NOT meet the prespecified interim OS significance boundary of P=0.0019.</w:t>
            </w:r>
          </w:p>
          <w:p>
            <w:pPr>
              <w:pStyle w:val="Normal"/>
              <w:widowControl/>
              <w:spacing w:before="60" w:after="20"/>
            </w:pPr>
            <w:r>
              <w:rPr>
                <w:b/>
              </w:rPr>
              <w:t xml:space="preserve">Do not infer: </w:t>
            </w:r>
            <w:r>
              <w:t xml:space="preserve">Highly fit resectable population; median follow-up 16.9 months and interim OS analysis. This was neither a conversion-to-transplant trial nor an allograft-safety study. It does not validate transplantation with nodal disease or macrovascular involvement. Do not conflate neoGOLP (toripalimab; major pathological response ≤10% viable tumor) with TransGOLP (a different regimen, population and pathological-response definition). Time origin: EFS and OS begin at randomization, not surgery or transplantation. EFS includes progression preventing radical resection, postoperative recurrence/metastasis, second primary cancer or death. Data cutoff: April 30, 2025.</w:t>
            </w:r>
          </w:p>
        </w:tc>
      </w:tr>
      <w:tr>
        <w:trPr/>
        <w:tc>
          <w:tcPr>
            <w:tcW w:w="3400" w:type="dxa"/>
            <w:tcMar>
              <w:top w:w="90" w:type="dxa"/>
              <w:left w:w="90" w:type="dxa"/>
              <w:bottom w:w="90" w:type="dxa"/>
              <w:right w:w="90" w:type="dxa"/>
            </w:tcMar>
          </w:tcPr>
          <w:p>
            <w:pPr>
              <w:pStyle w:val="Normal"/>
              <w:widowControl/>
              <w:spacing w:before="60" w:after="20"/>
            </w:pPr>
            <w:r>
              <w:rPr>
                <w:b/>
              </w:rPr>
              <w:t xml:space="preserve">Dageforde 2021</w:t>
            </w:r>
            <w:r>
              <w:t xml:space="preserve"> </w:t>
            </w:r>
            <w:r>
              <w:t xml:space="preserve"> </w:t>
            </w:r>
            <w:r>
              <w:fldChar w:fldCharType="begin"/>
            </w:r>
            <w:r>
              <w:instrText xml:space="preserve"> ADDIN EN.CITE </w:instrText>
            </w:r>
            <w:r>
              <w:fldChar w:fldCharType="begin">
                <w:fldData>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</w:fldData>
              </w:fldChar>
            </w:r>
            <w:r>
              <w:instrText xml:space="preserve"> ADDIN EN.CITE.DATA </w:instrText>
            </w:r>
            <w:r>
              <w:fldChar w:fldCharType="end"/>
            </w:r>
            <w:r>
              <w:fldChar w:fldCharType="separate"/>
            </w:r>
            <w:r>
              <w:t xml:space="preserve">[V12-30]</w:t>
            </w:r>
            <w:r>
              <w:fldChar w:fldCharType="end"/>
            </w:r>
          </w:p>
          <w:p>
            <w:pPr>
              <w:pStyle w:val="Normal"/>
              <w:widowControl/>
              <w:spacing w:before="60" w:after="20"/>
            </w:pPr>
            <w:r>
              <w:t xml:space="preserve">12 centers, 2009–2017; 3206 patients (2998 HCC/208 mixed), including 99 mixed LT and 109 mixed resections. Of mixed LT: 67 within Milan, 14 beyond Milan/within UCSF, 18 beyond UCSF. Burden classified from initial-diagnosis imaging. Only two of 99 were known mixed tumors preoperatively; most presumed HCC.</w:t>
            </w:r>
          </w:p>
          <w:p>
            <w:pPr>
              <w:pStyle w:val="Normal"/>
              <w:widowControl/>
              <w:spacing w:before="60" w:after="20"/>
            </w:pPr>
            <w:hyperlink r:id="rId33">
              <w:r>
                <w:rPr>
                  <w:color w:val="77230C"/>
                  <w:sz w:val="20"/>
                  <w:u w:val="single"/>
                </w:rPr>
                <w:t>Primary source</w:t>
              </w:r>
            </w:hyperlink>
            <w:r>
              <w:t xml:space="preserve"> | </w:t>
            </w:r>
            <w:hyperlink r:id="rId34">
              <w:r>
                <w:rPr>
                  <w:color w:val="77230C"/>
                  <w:sz w:val="20"/>
                  <w:u w:val="single"/>
                </w:rPr>
                <w:t>Full-text PDF</w:t>
              </w:r>
            </w:hyperlink>
          </w:p>
          <w:p>
            <w:pPr>
              <w:pStyle w:val="Normal"/>
              <w:widowControl/>
              <w:spacing w:before="60" w:after="20"/>
            </w:pPr>
            <w:r>
              <w:t xml:space="preserve">Locator: Complete original J Am Coll Surg 2021; 232:361–371 PDF, Methods and Tables 1–4/subgroup figures. A separate commentary begins but is incomplete.</w:t>
            </w:r>
          </w:p>
          <w:p>
            <w:pPr>
              <w:pStyle w:val="Normal"/>
              <w:widowControl/>
              <w:spacing w:before="60" w:after="20"/>
            </w:pPr>
            <w:r>
              <w:t xml:space="preserve">Review depth: Complete original J Am Coll Surg 2021; 232:361–371 study. Byte-identical to V7 PDF. Last page additionally starts a separate invited commentary; that separate commentary is incomplete and is not claimed as reviewed in full.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Initial-imaging within-Milan mixed LT five-year OS was 70.1%, with recurrence 23.1%; corresponding HCC values were 73.4%/11.5%. Mixed LT versus resection within Milan: OS 70.1% versus 49.7%, p=.078; recurrence 23.1% versus 45.7%, p=.009. Beyond UCSF, mixed LT OS was 15.8%. DFS was approximately 70% versus 33.6%; text 70.3% and Table 4 70.1% conflict, so avoid unqualified precision.</w:t>
            </w:r>
          </w:p>
          <w:p>
            <w:pPr>
              <w:pStyle w:val="Normal"/>
              <w:widowControl/>
              <w:spacing w:before="60" w:after="20"/>
            </w:pPr>
            <w:r>
              <w:rPr>
                <w:b/>
              </w:rPr>
              <w:t xml:space="preserve">Do not infer: </w:t>
            </w:r>
            <w:r>
              <w:t xml:space="preserve">Only 2/99 mixed LT diagnoses were known preoperatively; burden was classified at initial imaging, not an approved prospective known-mixed expansion. Do not generalize the overall benefit association to beyond-UCSF disease.</w:t>
            </w:r>
          </w:p>
        </w:tc>
      </w:tr>
      <w:tr>
        <w:trPr/>
        <w:tc>
          <w:tcPr>
            <w:tcW w:w="3400" w:type="dxa"/>
            <w:tcMar>
              <w:top w:w="90" w:type="dxa"/>
              <w:left w:w="90" w:type="dxa"/>
              <w:bottom w:w="90" w:type="dxa"/>
              <w:right w:w="90" w:type="dxa"/>
            </w:tcMar>
          </w:tcPr>
          <w:p>
            <w:pPr>
              <w:pStyle w:val="Normal"/>
              <w:widowControl/>
              <w:spacing w:before="60" w:after="20"/>
            </w:pPr>
            <w:r>
              <w:rPr>
                <w:b/>
              </w:rPr>
              <w:t xml:space="preserve">De Martin 2020</w:t>
            </w:r>
            <w:r>
              <w:t xml:space="preserve"> </w:t>
            </w:r>
            <w:r>
              <w:t xml:space="preserve"> </w:t>
            </w:r>
            <w:r>
              <w:fldChar w:fldCharType="begin"/>
            </w:r>
            <w:r>
              <w:instrText xml:space="preserve"> ADDIN EN.CITE </w:instrText>
            </w:r>
            <w:r>
              <w:fldChar w:fldCharType="begin">
                <w:fldData>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</w:fldData>
              </w:fldChar>
            </w:r>
            <w:r>
              <w:instrText xml:space="preserve"> ADDIN EN.CITE.DATA </w:instrText>
            </w:r>
            <w:r>
              <w:fldChar w:fldCharType="end"/>
            </w:r>
            <w:r>
              <w:fldChar w:fldCharType="separate"/>
            </w:r>
            <w:r>
              <w:t xml:space="preserve">[V12-31]</w:t>
            </w:r>
            <w:r>
              <w:fldChar w:fldCharType="end"/>
            </w:r>
          </w:p>
          <w:p>
            <w:pPr>
              <w:pStyle w:val="Normal"/>
              <w:widowControl/>
              <w:spacing w:before="60" w:after="20"/>
            </w:pPr>
            <w:r>
              <w:t xml:space="preserve">Cirrhosis cohort: 49 LT (24 pure/25 mixed) versus 26 resections (20 pure/six mixed); largest nodule ≤5 cm, not cumulative burden ≤5 cm. All LT diagnoses were incidental: 44 presumed HCC and five cirrhosis.</w:t>
            </w:r>
          </w:p>
          <w:p>
            <w:pPr>
              <w:pStyle w:val="Normal"/>
              <w:widowControl/>
              <w:spacing w:before="60" w:after="20"/>
            </w:pPr>
            <w:r>
              <w:t xml:space="preserve">Selection: Three French centers, 2002–2015; 75 cirrhotic patients with iCCA/mixed tumors and largest nodule ≤5 cm, NOT cumulative burden ≤5 cm. LT 49 (24 pure/25 mixed), resection 26 (20 pure/six mixed). All LT diagnoses were incidental: 44 presumed HCC, five decompensated cirrhosis; 31 received LRT, mostly TACE, not a planned iCCA induction protocol.</w:t>
            </w:r>
          </w:p>
          <w:p>
            <w:pPr>
              <w:pStyle w:val="Normal"/>
              <w:widowControl/>
              <w:spacing w:before="60" w:after="20"/>
            </w:pPr>
            <w:hyperlink r:id="rId35">
              <w:r>
                <w:rPr>
                  <w:color w:val="77230C"/>
                  <w:sz w:val="20"/>
                  <w:u w:val="single"/>
                </w:rPr>
                <w:t>Primary source</w:t>
              </w:r>
            </w:hyperlink>
            <w:r>
              <w:t xml:space="preserve"> | </w:t>
            </w:r>
            <w:hyperlink r:id="rId36">
              <w:r>
                <w:rPr>
                  <w:color w:val="77230C"/>
                  <w:sz w:val="20"/>
                  <w:u w:val="single"/>
                </w:rPr>
                <w:t>Full-text PDF</w:t>
              </w:r>
            </w:hyperlink>
          </w:p>
          <w:p>
            <w:pPr>
              <w:pStyle w:val="Normal"/>
              <w:widowControl/>
              <w:spacing w:before="60" w:after="20"/>
            </w:pPr>
            <w:r>
              <w:t xml:space="preserve">Locator: Complete 14-page Liver Transpl 2020; 26:785–798 PDF, Methods, pathology, OS/RFS and multivariable/subgroup tables.</w:t>
            </w:r>
          </w:p>
          <w:p>
            <w:pPr>
              <w:pStyle w:val="Normal"/>
              <w:widowControl/>
              <w:spacing w:before="60" w:after="20"/>
            </w:pPr>
            <w:r>
              <w:t xml:space="preserve">Review depth: Complete original Liver Transpl 2020; 26:785–798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surgery, five-year OS was 67% versus 40%, p=.17; RFS 75% versus 36%, p=.004; recurrence 9/49 versus 12/26. Overall adjusted LT recurrence HR was .54 (CI .15–1.92), p=.34; &gt;2–5-cm subgroup HR .23 (.07–.82), p=.02. Grade HR was 3.74 (1.71–8.17).</w:t>
            </w:r>
          </w:p>
          <w:p>
            <w:pPr>
              <w:pStyle w:val="Normal"/>
              <w:widowControl/>
              <w:spacing w:before="60" w:after="20"/>
            </w:pPr>
            <w:r>
              <w:rPr>
                <w:b/>
              </w:rPr>
              <w:t xml:space="preserve">Do not infer: </w:t>
            </w:r>
            <w:r>
              <w:t xml:space="preserve">No ITT denominator or demonstrated OS advantage; long differential waiting, incidental/explant-defined mixed histology and nodal understaging. Does not validate prospectively known 5-cm or advanced mixed disease.</w:t>
            </w:r>
          </w:p>
        </w:tc>
      </w:tr>
      <w:tr>
        <w:trPr/>
        <w:tc>
          <w:tcPr>
            <w:tcW w:w="3400" w:type="dxa"/>
            <w:tcMar>
              <w:top w:w="90" w:type="dxa"/>
              <w:left w:w="90" w:type="dxa"/>
              <w:bottom w:w="90" w:type="dxa"/>
              <w:right w:w="90" w:type="dxa"/>
            </w:tcMar>
          </w:tcPr>
          <w:p>
            <w:pPr>
              <w:pStyle w:val="Normal"/>
              <w:widowControl/>
              <w:spacing w:before="60" w:after="20"/>
            </w:pPr>
            <w:r>
              <w:rPr>
                <w:b/>
              </w:rPr>
              <w:t xml:space="preserve">Giguet 2026</w:t>
            </w:r>
            <w:r>
              <w:t xml:space="preserve"> </w:t>
            </w:r>
            <w:r>
              <w:t xml:space="preserve"> </w:t>
            </w:r>
            <w:r>
              <w:fldChar w:fldCharType="begin"/>
            </w:r>
            <w:r>
              <w:instrText xml:space="preserve"> ADDIN EN.CITE </w:instrText>
            </w:r>
            <w:r>
              <w:fldChar w:fldCharType="begin">
                <w:fldData>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</w:fldData>
              </w:fldChar>
            </w:r>
            <w:r>
              <w:instrText xml:space="preserve"> ADDIN EN.CITE.DATA </w:instrText>
            </w:r>
            <w:r>
              <w:fldChar w:fldCharType="end"/>
            </w:r>
            <w:r>
              <w:fldChar w:fldCharType="separate"/>
            </w:r>
            <w:r>
              <w:t xml:space="preserve">[V12-32]</w:t>
            </w:r>
            <w:r>
              <w:fldChar w:fldCharType="end"/>
            </w:r>
          </w:p>
          <w:p>
            <w:pPr>
              <w:pStyle w:val="Normal"/>
              <w:widowControl/>
              <w:spacing w:before="60" w:after="20"/>
            </w:pPr>
            <w:r>
              <w:t xml:space="preserve">Rennes retrospective SIRT pathway: 147 treated (body 2010–2023); 44 age &lt;70 with ≥6-month control; 19 secondary resections; 25 remaining yielded six local listings, plus two external referrals, for eight listed and six LT. Do not label eight as completed LT or derive a pure 6/147 referral yield without the external-referral caveat.</w:t>
            </w:r>
          </w:p>
          <w:p>
            <w:pPr>
              <w:pStyle w:val="Normal"/>
              <w:widowControl/>
              <w:spacing w:before="60" w:after="20"/>
            </w:pPr>
            <w:r>
              <w:t xml:space="preserve">Selection: ≥6 months of control; CT/MRI every two to three months. Median diagnosis-to-listing interval was 351 days and listing-to-LT 114 days. In one ICI-treated patient, the three-month interruption was before LISTING, not a proven stop-to-LT safety interval.</w:t>
            </w:r>
          </w:p>
          <w:p>
            <w:pPr>
              <w:pStyle w:val="Normal"/>
              <w:widowControl/>
              <w:spacing w:before="60" w:after="20"/>
            </w:pPr>
            <w:hyperlink r:id="rId37">
              <w:r>
                <w:rPr>
                  <w:color w:val="77230C"/>
                  <w:sz w:val="20"/>
                  <w:u w:val="single"/>
                </w:rPr>
                <w:t>Primary source</w:t>
              </w:r>
            </w:hyperlink>
            <w:r>
              <w:t xml:space="preserve"> | </w:t>
            </w:r>
            <w:hyperlink r:id="rId38">
              <w:r>
                <w:rPr>
                  <w:color w:val="77230C"/>
                  <w:sz w:val="20"/>
                  <w:u w:val="single"/>
                </w:rPr>
                <w:t>Full-text PDF</w:t>
              </w:r>
            </w:hyperlink>
          </w:p>
          <w:p>
            <w:pPr>
              <w:pStyle w:val="Normal"/>
              <w:widowControl/>
              <w:spacing w:before="60" w:after="20"/>
            </w:pPr>
            <w:r>
              <w:t xml:space="preserve">Locator: Complete JHEP Rep 2026 PDF, Table 3 and late-complication Results.</w:t>
            </w:r>
          </w:p>
          <w:p>
            <w:pPr>
              <w:pStyle w:val="Normal"/>
              <w:widowControl/>
              <w:spacing w:before="60" w:after="20"/>
            </w:pPr>
            <w:r>
              <w:t xml:space="preserve">Review depth: Complete JHEP Reports 2026; 8:101830 article, one graphical-abstract cover plus eight article pages. Complete main paper reviewed; separate supplements not independently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Six declined-graft DDLT recipients, not LDLT. Arterial complications in 3/6 and biliary complications in 4/6; three recurrences; one retransplantation at 12 years and one septic-cholangitis death at 6.4 years, despite five-year OS of 100%.</w:t>
            </w:r>
          </w:p>
          <w:p>
            <w:pPr>
              <w:pStyle w:val="Normal"/>
              <w:widowControl/>
              <w:spacing w:before="60" w:after="20"/>
            </w:pPr>
            <w:r>
              <w:rPr>
                <w:b/>
              </w:rPr>
              <w:t xml:space="preserve">Do not infer: </w:t>
            </w:r>
            <w:r>
              <w:t xml:space="preserve">The effects of SIRT, complex surgery and marginal-graft quality cannot be separated. High five-year OS does not mean low morbidity, cure or absence of additional graft use.</w:t>
            </w:r>
          </w:p>
        </w:tc>
      </w:tr>
      <w:tr>
        <w:trPr/>
        <w:tc>
          <w:tcPr>
            <w:tcW w:w="3400" w:type="dxa"/>
            <w:tcMar>
              <w:top w:w="90" w:type="dxa"/>
              <w:left w:w="90" w:type="dxa"/>
              <w:bottom w:w="90" w:type="dxa"/>
              <w:right w:w="90" w:type="dxa"/>
            </w:tcMar>
          </w:tcPr>
          <w:p>
            <w:pPr>
              <w:pStyle w:val="Normal"/>
              <w:widowControl/>
              <w:spacing w:before="60" w:after="20"/>
            </w:pPr>
            <w:r>
              <w:rPr>
                <w:b/>
              </w:rPr>
              <w:t xml:space="preserve">Sethi 2026 · iCCA LDLT</w:t>
            </w:r>
            <w:r>
              <w:t xml:space="preserve"> </w:t>
            </w:r>
            <w:r>
              <w:t xml:space="preserve"> </w:t>
            </w:r>
            <w:r>
              <w:fldChar w:fldCharType="begin"/>
            </w:r>
            <w:r>
              <w:instrText xml:space="preserve"> ADDIN EN.CITE </w:instrText>
            </w:r>
            <w:r>
              <w:fldChar w:fldCharType="begin">
                <w:fldData>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</w:fldData>
              </w:fldChar>
            </w:r>
            <w:r>
              <w:instrText xml:space="preserve"> ADDIN EN.CITE.DATA </w:instrText>
            </w:r>
            <w:r>
              <w:fldChar w:fldCharType="end"/>
            </w:r>
            <w:r>
              <w:fldChar w:fldCharType="separate"/>
            </w:r>
            <w:r>
              <w:t xml:space="preserve">[V12-9]</w:t>
            </w:r>
            <w:r>
              <w:fldChar w:fldCharType="end"/>
            </w:r>
          </w:p>
          <w:p>
            <w:pPr>
              <w:pStyle w:val="Normal"/>
              <w:widowControl/>
              <w:spacing w:before="60" w:after="20"/>
            </w:pPr>
            <w:r>
              <w:t xml:space="preserve">Retrospective UPMC seven-iCCA-recipient LDLT series; 116 referrals were mixed CCA-associated diagnoses, not 116 pure iCCA. Thirty-one explorations, seven aborted; 24 total LDLT recipients included seven with iCCA.</w:t>
            </w:r>
          </w:p>
          <w:p>
            <w:pPr>
              <w:pStyle w:val="Normal"/>
              <w:widowControl/>
              <w:spacing w:before="60" w:after="20"/>
            </w:pPr>
            <w:r>
              <w:t xml:space="preserve">Selection: Generally ≥6 months of nonprogression; six planned biopsy-confirmed cases and one incidental case; recipient staging before donor surgery; no size/count cap. A three-week minimum ICI hold was center practice, not validated safety.</w:t>
            </w:r>
          </w:p>
          <w:p>
            <w:pPr>
              <w:pStyle w:val="Normal"/>
              <w:widowControl/>
              <w:spacing w:before="60" w:after="20"/>
            </w:pPr>
            <w:hyperlink r:id="rId39">
              <w:r>
                <w:rPr>
                  <w:color w:val="77230C"/>
                  <w:sz w:val="20"/>
                  <w:u w:val="single"/>
                </w:rPr>
                <w:t>Primary source</w:t>
              </w:r>
            </w:hyperlink>
            <w:r>
              <w:t xml:space="preserve"> | </w:t>
            </w:r>
            <w:hyperlink r:id="rId40">
              <w:r>
                <w:rPr>
                  <w:color w:val="77230C"/>
                  <w:sz w:val="20"/>
                  <w:u w:val="single"/>
                </w:rPr>
                <w:t>Full-text PDF</w:t>
              </w:r>
            </w:hyperlink>
          </w:p>
          <w:p>
            <w:pPr>
              <w:pStyle w:val="Normal"/>
              <w:widowControl/>
              <w:spacing w:before="60" w:after="20"/>
            </w:pPr>
            <w:r>
              <w:t xml:space="preserve">Locator: Complete 11-page AJT 2026 proof, Methods, flow, Tables 1–2, recipient/donor outcomes and survival; DOI 10.1016/j.ajt.2026.09.039.</w:t>
            </w:r>
          </w:p>
          <w:p>
            <w:pPr>
              <w:pStyle w:val="Normal"/>
              <w:widowControl/>
              <w:spacing w:before="60" w:after="20"/>
            </w:pPr>
            <w:r>
              <w:t xml:space="preserve">Review depth: Complete original accepted/proof AJT article, accepted 23 September 2026. All main-paper pages reviewed; separate supplementary patient-level materials not independently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5.1 years; two recurrences and one death. Five-year post-LDLT OS 85.7% (CI 33.4–97.9), RFS 71.4% (25.8–92.0), with OS/RFS risk sets of four/one at five years. Two recipient grade III complications. One of seven donors had postoperative-day-1 reoperation and month-2 percutaneous drainage; all donors were alive.</w:t>
            </w:r>
          </w:p>
          <w:p>
            <w:pPr>
              <w:pStyle w:val="Normal"/>
              <w:widowControl/>
              <w:spacing w:before="60" w:after="20"/>
            </w:pPr>
            <w:r>
              <w:rPr>
                <w:b/>
              </w:rPr>
              <w:t xml:space="preserve">Do not infer: </w:t>
            </w:r>
            <w:r>
              <w:t xml:space="preserve">Complete main PDF verified; remaining gaps are separate supplements, precise individual ICI intervals and causal comparative benefit, not absence of main methods or donor-morbidity information. Seven recipients and wide confidence intervals cannot establish net benefit.</w:t>
            </w:r>
          </w:p>
        </w:tc>
      </w:tr>
      <w:tr>
        <w:trPr/>
        <w:tc>
          <w:tcPr>
            <w:tcW w:w="3400" w:type="dxa"/>
            <w:tcMar>
              <w:top w:w="90" w:type="dxa"/>
              <w:left w:w="90" w:type="dxa"/>
              <w:bottom w:w="90" w:type="dxa"/>
              <w:right w:w="90" w:type="dxa"/>
            </w:tcMar>
          </w:tcPr>
          <w:p>
            <w:pPr>
              <w:pStyle w:val="Normal"/>
              <w:widowControl/>
              <w:spacing w:before="60" w:after="20"/>
            </w:pPr>
            <w:r>
              <w:rPr>
                <w:b/>
              </w:rPr>
              <w:t xml:space="preserve">Yaqub 2025</w:t>
            </w:r>
            <w:r>
              <w:t xml:space="preserve"> </w:t>
            </w:r>
            <w:r>
              <w:t xml:space="preserve"> </w:t>
            </w:r>
            <w:r>
              <w:fldChar w:fldCharType="begin"/>
            </w:r>
            <w:r>
              <w:instrText xml:space="preserve"> ADDIN EN.CITE </w:instrText>
            </w:r>
            <w:r>
              <w:fldChar w:fldCharType="begin">
                <w:fldData>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</w:fldData>
              </w:fldChar>
            </w:r>
            <w:r>
              <w:instrText xml:space="preserve"> ADDIN EN.CITE.DATA </w:instrText>
            </w:r>
            <w:r>
              <w:fldChar w:fldCharType="end"/>
            </w:r>
            <w:r>
              <w:fldChar w:fldCharType="separate"/>
            </w:r>
            <w:r>
              <w:t xml:space="preserve">[V12-10]</w:t>
            </w:r>
            <w:r>
              <w:fldChar w:fldCharType="end"/>
            </w:r>
          </w:p>
          <w:p>
            <w:pPr>
              <w:pStyle w:val="Normal"/>
              <w:widowControl/>
              <w:spacing w:before="60" w:after="20"/>
            </w:pPr>
            <w:r>
              <w:t xml:space="preserve">Seven referred, six enrolled and five LT. One ECOG 3 referral excluded and one exploration excluded for nodal/peritoneal disease. Figure 1 specifies 12 months' response. Median diagnosis-to-LT 26 months; no size/count cap in the reported cohort.</w:t>
            </w:r>
          </w:p>
          <w:p>
            <w:pPr>
              <w:pStyle w:val="Normal"/>
              <w:widowControl/>
              <w:spacing w:before="60" w:after="20"/>
            </w:pPr>
            <w:r>
              <w:t xml:space="preserve">Selection: Figure 1 specifies 12 months of response; median diagnosis-to-LT interval was 26 months.</w:t>
            </w:r>
          </w:p>
          <w:p>
            <w:pPr>
              <w:pStyle w:val="Normal"/>
              <w:widowControl/>
              <w:spacing w:before="60" w:after="20"/>
            </w:pPr>
            <w:hyperlink r:id="rId41">
              <w:r>
                <w:rPr>
                  <w:color w:val="77230C"/>
                  <w:sz w:val="20"/>
                  <w:u w:val="single"/>
                </w:rPr>
                <w:t>Primary source</w:t>
              </w:r>
            </w:hyperlink>
            <w:r>
              <w:t xml:space="preserve"> | </w:t>
            </w:r>
            <w:hyperlink r:id="rId42">
              <w:r>
                <w:rPr>
                  <w:color w:val="77230C"/>
                  <w:sz w:val="20"/>
                  <w:u w:val="single"/>
                </w:rPr>
                <w:t>Full-text PDF</w:t>
              </w:r>
            </w:hyperlink>
          </w:p>
          <w:p>
            <w:pPr>
              <w:pStyle w:val="Normal"/>
              <w:widowControl/>
              <w:spacing w:before="60" w:after="20"/>
            </w:pPr>
            <w:r>
              <w:t xml:space="preserve">Locator: BJS 2025 complete three-page letter, Figure 1 and Table 1.</w:t>
            </w:r>
          </w:p>
          <w:p>
            <w:pPr>
              <w:pStyle w:val="Normal"/>
              <w:widowControl/>
              <w:spacing w:before="60" w:after="20"/>
            </w:pPr>
            <w:r>
              <w:t xml:space="preserve">Review depth: Complete published three-page BJS 2025 research letter, not a conference abstract. All main-letter pages, Table 1 and Figure 1 reviewed; separate supplementary eligibility detail not verified.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Two extensively multifocal patients recurred despite prolonged selection.</w:t>
            </w:r>
          </w:p>
          <w:p>
            <w:pPr>
              <w:pStyle w:val="Normal"/>
              <w:widowControl/>
              <w:spacing w:before="60" w:after="20"/>
            </w:pPr>
            <w:r>
              <w:rPr>
                <w:b/>
              </w:rPr>
              <w:t xml:space="preserve">Do not infer: </w:t>
            </w:r>
            <w:r>
              <w:t xml:space="preserve">Complete main letter read; the separate eligibility supplement remains unverified. No comparison establishes 12 months as superior or sufficient to neutralize burden.</w:t>
            </w:r>
          </w:p>
        </w:tc>
      </w:tr>
      <w:tr>
        <w:trPr/>
        <w:tc>
          <w:tcPr>
            <w:tcW w:w="3400" w:type="dxa"/>
            <w:tcMar>
              <w:top w:w="90" w:type="dxa"/>
              <w:left w:w="90" w:type="dxa"/>
              <w:bottom w:w="90" w:type="dxa"/>
              <w:right w:w="90" w:type="dxa"/>
            </w:tcMar>
          </w:tcPr>
          <w:p>
            <w:pPr>
              <w:pStyle w:val="Normal"/>
              <w:widowControl/>
              <w:spacing w:before="60" w:after="20"/>
            </w:pPr>
            <w:r>
              <w:rPr>
                <w:b/>
              </w:rPr>
              <w:t xml:space="preserve">McMillan 2022 · Houston update</w:t>
            </w:r>
            <w:r>
              <w:t xml:space="preserve"> </w:t>
            </w:r>
            <w:r>
              <w:t xml:space="preserve"> </w:t>
            </w:r>
            <w:r>
              <w:fldChar w:fldCharType="begin"/>
            </w:r>
            <w:r>
              <w:instrText xml:space="preserve"> ADDIN EN.CITE </w:instrText>
            </w:r>
            <w:r>
              <w:fldChar w:fldCharType="begin">
                <w:fldData>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</w:fldData>
              </w:fldChar>
            </w:r>
            <w:r>
              <w:instrText xml:space="preserve"> ADDIN EN.CITE.DATA </w:instrText>
            </w:r>
            <w:r>
              <w:fldChar w:fldCharType="end"/>
            </w:r>
            <w:r>
              <w:fldChar w:fldCharType="separate"/>
            </w:r>
            <w:r>
              <w:t xml:space="preserve">[V12-8]</w:t>
            </w:r>
            <w:r>
              <w:fldChar w:fldCharType="end"/>
            </w:r>
          </w:p>
          <w:p>
            <w:pPr>
              <w:pStyle w:val="Normal"/>
              <w:widowControl/>
              <w:spacing w:before="60" w:after="20"/>
            </w:pPr>
            <w:r>
              <w:t xml:space="preserve">65 referred; 28 denied (14 extrahepatic disease, seven resectable, seven other); 37 listed. Five converted to resection and were excluded from the 32-person LT-pathway analysis. Eighteen LT, seven delisted and seven still listed. Biopsy-proven pure iCCA, no size/count limits, at least six months' response/stability; major vascular encasement/involvement excluded. Four previously resected patients were listed and three transplanted.</w:t>
            </w:r>
          </w:p>
          <w:p>
            <w:pPr>
              <w:pStyle w:val="Normal"/>
              <w:widowControl/>
              <w:spacing w:before="60" w:after="20"/>
            </w:pPr>
            <w:r>
              <w:t xml:space="preserve">Selection: At least six months of response/stability, typically GemCis; CT every three months. Intraliver progression deferred LT and could permit re-entry after control; extrahepatic disease prompted delisting. Prior resection did not categorically exclude this research cohort.</w:t>
            </w:r>
          </w:p>
          <w:p>
            <w:pPr>
              <w:pStyle w:val="Normal"/>
              <w:widowControl/>
              <w:spacing w:before="60" w:after="20"/>
            </w:pPr>
            <w:hyperlink r:id="rId43">
              <w:r>
                <w:rPr>
                  <w:color w:val="77230C"/>
                  <w:sz w:val="20"/>
                  <w:u w:val="single"/>
                </w:rPr>
                <w:t>Primary source</w:t>
              </w:r>
            </w:hyperlink>
            <w:r>
              <w:t xml:space="preserve"> | </w:t>
            </w:r>
            <w:hyperlink r:id="rId44">
              <w:r>
                <w:rPr>
                  <w:color w:val="77230C"/>
                  <w:sz w:val="20"/>
                  <w:u w:val="single"/>
                </w:rPr>
                <w:t>Full-text PDF</w:t>
              </w:r>
            </w:hyperlink>
          </w:p>
          <w:p>
            <w:pPr>
              <w:pStyle w:val="Normal"/>
              <w:widowControl/>
              <w:spacing w:before="60" w:after="20"/>
            </w:pPr>
            <w:r>
              <w:t xml:space="preserve">Locator: Complete AJT 2022 PDF §§2.1–2.4 and 3.1–3.5.</w:t>
            </w:r>
          </w:p>
          <w:p>
            <w:pPr>
              <w:pStyle w:val="Normal"/>
              <w:widowControl/>
              <w:spacing w:before="60" w:after="20"/>
            </w:pPr>
            <w:r>
              <w:t xml:space="preserve">Review depth: Complete original Am J Transplant 2022; 22:823–832 article; all main-paper pages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65 referred, 37 listed; five converted to resection and were excluded from the 32-person LT analysis. Of 32, 18 received LT, seven were delisted and seven were still listed. Three of 18 grafts were domino grafts, not healthy-donor LDLT.</w:t>
            </w:r>
          </w:p>
          <w:p>
            <w:pPr>
              <w:pStyle w:val="Normal"/>
              <w:widowControl/>
              <w:spacing w:before="60" w:after="20"/>
            </w:pPr>
            <w:r>
              <w:rPr>
                <w:b/>
              </w:rPr>
              <w:t xml:space="preserve">Do not infer: </w:t>
            </w:r>
            <w:r>
              <w:t xml:space="preserve">No optimal-duration or salvage-line comparison. The proposed one-salvage ceiling and approximately eight-week imaging are local choices, not this study's validated rules. Preserve listing and LT survival origins.</w:t>
            </w:r>
          </w:p>
        </w:tc>
      </w:tr>
      <w:tr>
        <w:trPr/>
        <w:tc>
          <w:tcPr>
            <w:tcW w:w="3400" w:type="dxa"/>
            <w:tcMar>
              <w:top w:w="90" w:type="dxa"/>
              <w:left w:w="90" w:type="dxa"/>
              <w:bottom w:w="90" w:type="dxa"/>
              <w:right w:w="90" w:type="dxa"/>
            </w:tcMar>
          </w:tcPr>
          <w:p>
            <w:pPr>
              <w:pStyle w:val="Normal"/>
              <w:widowControl/>
              <w:spacing w:before="60" w:after="20"/>
            </w:pPr>
            <w:r>
              <w:rPr>
                <w:b/>
              </w:rPr>
              <w:t xml:space="preserve">Moeckli 2025</w:t>
            </w:r>
            <w:r>
              <w:t xml:space="preserve"> </w:t>
            </w:r>
            <w:r>
              <w:t xml:space="preserve"> </w:t>
            </w:r>
            <w:r>
              <w:fldChar w:fldCharType="begin"/>
            </w:r>
            <w:r>
              <w:instrText xml:space="preserve"> ADDIN EN.CITE </w:instrText>
            </w:r>
            <w:r>
              <w:fldChar w:fldCharType="begin">
                <w:fldData>PEVuZE5vdGU+PENpdGU+PEF1dGhvcj5Nb2Vja2xpPC9BdXRob3I+PFllYXI+MjAyNTwvWWVhcj48UmVjTnVtPjE1PC9SZWNOdW0+PERpc3BsYXlUZXh0PltWMTItMTVdPC9EaXNwbGF5VGV4dD48cmVjb3JkPjxyZWMtbnVtYmVyPjE1PC9yZWMtbnVtYmVyPjxmb3JlaWduLWtleXM+PGtleSBhcHA9IkVOIiBkYi1pZD0iMDc0ZjVlY2QtZjQ1MC01MzE3LWI3MTctYzhkN2U2ZWVlMjA2IiB0aW1lc3RhbXA9IjE3OTI5MjEwODUiPjE1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[V12-15]</w:t>
            </w:r>
            <w:r>
              <w:fldChar w:fldCharType="end"/>
            </w:r>
          </w:p>
          <w:p>
            <w:pPr>
              <w:pStyle w:val="Normal"/>
              <w:widowControl/>
              <w:spacing w:before="60" w:after="20"/>
            </w:pPr>
            <w:r>
              <w:t xml:space="preserve">International retrospective individual-patient assembly from literature search (2017–25 Nov 2024), author/center follow-up and five previously unpublished patients; 119 recipients from 29 centers after 3 exclusions. Not 119 independent newly recruited patients. Required ICI type, washout, rejection information and ≥2 weeks post-LT follow-up. Duplicates within this assembly removed; overlap with prior IPD review acknowledged.</w:t>
            </w:r>
          </w:p>
          <w:p>
            <w:pPr>
              <w:pStyle w:val="Normal"/>
              <w:widowControl/>
              <w:spacing w:before="60" w:after="20"/>
            </w:pPr>
            <w:hyperlink r:id="rId45">
              <w:r>
                <w:rPr>
                  <w:color w:val="77230C"/>
                  <w:sz w:val="20"/>
                  <w:u w:val="single"/>
                </w:rPr>
                <w:t>Primary source</w:t>
              </w:r>
            </w:hyperlink>
            <w:r>
              <w:t xml:space="preserve"> | </w:t>
            </w:r>
            <w:hyperlink r:id="rId46">
              <w:r>
                <w:rPr>
                  <w:color w:val="77230C"/>
                  <w:sz w:val="20"/>
                  <w:u w:val="single"/>
                </w:rPr>
                <w:t>Full-text PDF</w:t>
              </w:r>
            </w:hyperlink>
          </w:p>
          <w:p>
            <w:pPr>
              <w:pStyle w:val="Normal"/>
              <w:widowControl/>
              <w:spacing w:before="60" w:after="20"/>
            </w:pPr>
            <w:r>
              <w:t xml:space="preserve">Locator: PDF p 3–4/j 1124–1125 inclusion, outcome/statistical definitions | PDF p 5–7/j 1126–1128 Table 1 and graft-loss outcomes | PDF p 8/j 1129 Figure 2 | PDF p 10–11/j 1131–1132 Table 2 | PDF p 13/j 1134 missing follow-up/limitations</w:t>
            </w:r>
          </w:p>
          <w:p>
            <w:pPr>
              <w:pStyle w:val="Normal"/>
              <w:widowControl/>
              <w:spacing w:before="60" w:after="20"/>
            </w:pPr>
            <w:r>
              <w:t xml:space="preserve">Review depth: Complete 16-page main-paper PDF read, including both parts of regression Table 2 and all figures. Supplemental Appendix/Table S1–S2/Figures S1–S3 not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follow-up 18 mo (IQR 11–27). Reported washout bins: 0–30 d n 30, 15 rejections; 30–50 d n 23, 6; 50–90 d n 28, 2; &gt;90 d n 38, 1. Combined short 53 had 21 rejections versus long 66 had 3. Table 2 multivariable ORs versus &gt;50 d: 0–30 d 34.0 (95% CI 7.17–267), 30–50 d 10.8 (2.3–78.6); univariate 21.3/9.48. Continuous sensitivity OR .97/day (.95–.99). Data-driven 50 day choice sought observed rejection &lt;10%. No detected recurrence difference; body reports 36 mo recurrence-free 71% vs 66%, abstract 67% comparator (minor inconsistency). Safety: 24/119 rejection 20.2%, median 9 d; six rejection-related graft losses (6/119 5.0%; 6/24 25%). Four patients with graft loss subsequently died and two were retransplanted; do not label all four deaths definitively rejection-attributable without case supplement. Nine deaths among 92 with available status. Rejection/persistent graft-loss risk not zero after 90 days (one of 38).</w:t>
            </w:r>
          </w:p>
          <w:p>
            <w:pPr>
              <w:pStyle w:val="Normal"/>
              <w:widowControl/>
              <w:spacing w:before="60" w:after="20"/>
            </w:pPr>
            <w:r>
              <w:rPr>
                <w:b/>
              </w:rPr>
              <w:t xml:space="preserve">Do not infer: </w:t>
            </w:r>
            <w:r>
              <w:t xml:space="preserve">Literature-derived/publication bias, heterogeneous ascertainment and immunosuppression, one-third clinically diagnosed, small event count/data-driven cutpoint and very wide adjusted intervals. Missing donor factors undermine reassurance from nonsignificance. No capture of progression/dropout during washout, so no estimate of the longer-wait oncologic tradeoff. Main paper does not externally validate the 50 day threshold.</w:t>
            </w:r>
          </w:p>
        </w:tc>
      </w:tr>
      <w:tr>
        <w:trPr/>
        <w:tc>
          <w:tcPr>
            <w:tcW w:w="3400" w:type="dxa"/>
            <w:tcMar>
              <w:top w:w="90" w:type="dxa"/>
              <w:left w:w="90" w:type="dxa"/>
              <w:bottom w:w="90" w:type="dxa"/>
              <w:right w:w="90" w:type="dxa"/>
            </w:tcMar>
          </w:tcPr>
          <w:p>
            <w:pPr>
              <w:pStyle w:val="Normal"/>
              <w:widowControl/>
              <w:spacing w:before="60" w:after="20"/>
            </w:pPr>
            <w:r>
              <w:rPr>
                <w:b/>
              </w:rPr>
              <w:t xml:space="preserve">SWOG S1815</w:t>
            </w:r>
            <w:r>
              <w:t xml:space="preserve"> </w:t>
            </w:r>
            <w:r>
              <w:t xml:space="preserve"> </w:t>
            </w:r>
            <w:r>
              <w:fldChar w:fldCharType="begin"/>
            </w:r>
            <w:r>
              <w:instrText xml:space="preserve"> ADDIN EN.CITE </w:instrText>
            </w:r>
            <w:r>
              <w:fldChar w:fldCharType="begin">
                <w:fldData>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</w:fldData>
              </w:fldChar>
            </w:r>
            <w:r>
              <w:instrText xml:space="preserve"> ADDIN EN.CITE.DATA </w:instrText>
            </w:r>
            <w:r>
              <w:fldChar w:fldCharType="end"/>
            </w:r>
            <w:r>
              <w:fldChar w:fldCharType="separate"/>
            </w:r>
            <w:r>
              <w:t xml:space="preserve">[V12-33]</w:t>
            </w:r>
            <w:r>
              <w:fldChar w:fldCharType="end"/>
            </w:r>
          </w:p>
          <w:p>
            <w:pPr>
              <w:pStyle w:val="Normal"/>
              <w:widowControl/>
              <w:spacing w:before="60" w:after="20"/>
            </w:pPr>
            <w:r>
              <w:t xml:space="preserve">Multicenter open-label phase III trial, 2:1 gemcitabine/cisplatin/nab-paclitaxel (GAP) versus gemcitabine/cisplatin (GC). Of 452 randomized, 441 eligible participants were analyzed (294 versus 147); this is not an all-randomized 452-patient analysis.</w:t>
            </w:r>
          </w:p>
          <w:p>
            <w:pPr>
              <w:pStyle w:val="Normal"/>
              <w:widowControl/>
              <w:spacing w:before="60" w:after="20"/>
            </w:pPr>
            <w:r>
              <w:t xml:space="preserve">Selection: Previously untreated advanced biliary tract cancer, Zubrod performance status 0–1 and adequate organ function. Of 441, 297 (67%) had iCCA, 74 (17%) extrahepatic CCA and 70 (16%) gallbladder cancer; 323 (73%) had metastatic rather than locally advanced disease. No transplant selection strategy was tested.</w:t>
            </w:r>
          </w:p>
          <w:p>
            <w:pPr>
              <w:pStyle w:val="Normal"/>
              <w:widowControl/>
              <w:spacing w:before="60" w:after="20"/>
            </w:pPr>
            <w:hyperlink r:id="rId47">
              <w:r>
                <w:rPr>
                  <w:color w:val="77230C"/>
                  <w:sz w:val="20"/>
                  <w:u w:val="single"/>
                </w:rPr>
                <w:t>Primary source</w:t>
              </w:r>
            </w:hyperlink>
            <w:r>
              <w:t xml:space="preserve"> | </w:t>
            </w:r>
            <w:hyperlink r:id="rId48">
              <w:r>
                <w:rPr>
                  <w:color w:val="77230C"/>
                  <w:sz w:val="20"/>
                  <w:u w:val="single"/>
                </w:rPr>
                <w:t>Full-text PDF</w:t>
              </w:r>
            </w:hyperlink>
          </w:p>
          <w:p>
            <w:pPr>
              <w:pStyle w:val="Normal"/>
              <w:widowControl/>
              <w:spacing w:before="60" w:after="20"/>
            </w:pPr>
            <w:r>
              <w:t xml:space="preserve">Locator: PDF pp2–3: eligibility, analysis population and flow; p4: baseline data and survival; pp5–6: response and toxicity; p7: Table 3 adverse events; p8: interpretation; pp12–15: included Appendix Tables A1–A4.</w:t>
            </w:r>
          </w:p>
          <w:p>
            <w:pPr>
              <w:pStyle w:val="Normal"/>
              <w:widowControl/>
              <w:spacing w:before="60" w:after="20"/>
            </w:pPr>
            <w:r>
              <w:t xml:space="preserve">Review depth: Fresh complete reading of all 15 supplied PDF pages, including the main article, disclosures and included appendix tables. The separate trial protocol was not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Median OS was 14.0 versus 13.6 months (HR 0.91, 95% CI 0.72–1.14; P=0.41); PFS was 7.5 versus 6.3 months (HR 0.89, 95% CI 0.71–1.12; P=0.32). Response was 91/290 (31%) versus 31/146 (21%) among response-evaluable patients. The iCCA subgroup had median OS 13.5 versus 13.6 months; exploratory locally advanced/subsite signals did not establish an OS-benefiting subgroup.</w:t>
            </w:r>
          </w:p>
          <w:p>
            <w:pPr>
              <w:pStyle w:val="Normal"/>
              <w:widowControl/>
              <w:spacing w:before="60" w:after="20"/>
            </w:pPr>
            <w:r>
              <w:rPr>
                <w:b/>
              </w:rPr>
              <w:t xml:space="preserve">Do not infer: </w:t>
            </w:r>
            <w:r>
              <w:t xml:space="preserve">Mostly metastatic and mixed-subsite population; no ICI comparator, LT arm or prospective conversion-to-LT endpoint. Exploratory subgroup analyses and higher response cannot establish a transplant survival benefit. Response assessment was local rather than central; dose-intensity information was not collected. Time origin: OS and PFS begin at random assignment. Outcomes are not post-LT survival and should not be plotted as though they share the starting point of recipient-only LT series.</w:t>
            </w:r>
          </w:p>
        </w:tc>
      </w:tr>
      <w:tr>
        <w:trPr/>
        <w:tc>
          <w:tcPr>
            <w:tcW w:w="3400" w:type="dxa"/>
            <w:tcMar>
              <w:top w:w="90" w:type="dxa"/>
              <w:left w:w="90" w:type="dxa"/>
              <w:bottom w:w="90" w:type="dxa"/>
              <w:right w:w="90" w:type="dxa"/>
            </w:tcMar>
          </w:tcPr>
          <w:p>
            <w:pPr>
              <w:pStyle w:val="Normal"/>
              <w:widowControl/>
              <w:spacing w:before="60" w:after="20"/>
            </w:pPr>
            <w:r>
              <w:rPr>
                <w:b/>
              </w:rPr>
              <w:t xml:space="preserve">Gül-Klein 2022</w:t>
            </w:r>
            <w:r>
              <w:t xml:space="preserve"> </w:t>
            </w:r>
            <w:r>
              <w:t xml:space="preserve"> </w:t>
            </w:r>
            <w:r>
              <w:fldChar w:fldCharType="begin"/>
            </w:r>
            <w:r>
              <w:instrText xml:space="preserve"> ADDIN EN.CITE </w:instrText>
            </w:r>
            <w:r>
              <w:fldChar w:fldCharType="begin">
                <w:fldData>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</w:fldData>
              </w:fldChar>
            </w:r>
            <w:r>
              <w:instrText xml:space="preserve"> ADDIN EN.CITE.DATA </w:instrText>
            </w:r>
            <w:r>
              <w:fldChar w:fldCharType="end"/>
            </w:r>
            <w:r>
              <w:fldChar w:fldCharType="separate"/>
            </w:r>
            <w:r>
              <w:t xml:space="preserve">[V12-23]</w:t>
            </w:r>
            <w:r>
              <w:fldChar w:fldCharType="end"/>
            </w:r>
          </w:p>
          <w:p>
            <w:pPr>
              <w:pStyle w:val="Normal"/>
              <w:widowControl/>
              <w:spacing w:before="60" w:after="20"/>
            </w:pPr>
            <w:r>
              <w:t xml:space="preserve">Historical single-center retrospective cohort, 1988–2022: 67 LT recipients (37 pCCA, 17 iCCA, 13 mixed HCC-CCA); 44 recurred. Twenty-three of 44 underwent restrictive immunosuppression management (RIM).</w:t>
            </w:r>
          </w:p>
          <w:p>
            <w:pPr>
              <w:pStyle w:val="Normal"/>
              <w:widowControl/>
              <w:spacing w:before="60" w:after="20"/>
            </w:pPr>
            <w:hyperlink r:id="rId49">
              <w:r>
                <w:rPr>
                  <w:color w:val="77230C"/>
                  <w:sz w:val="20"/>
                  <w:u w:val="single"/>
                </w:rPr>
                <w:t>Primary source</w:t>
              </w:r>
            </w:hyperlink>
            <w:r>
              <w:t xml:space="preserve"> | </w:t>
            </w:r>
            <w:hyperlink r:id="rId50">
              <w:r>
                <w:rPr>
                  <w:color w:val="77230C"/>
                  <w:sz w:val="20"/>
                  <w:u w:val="single"/>
                </w:rPr>
                <w:t>Full-text PDF</w:t>
              </w:r>
            </w:hyperlink>
          </w:p>
          <w:p>
            <w:pPr>
              <w:pStyle w:val="Normal"/>
              <w:widowControl/>
              <w:spacing w:before="60" w:after="20"/>
            </w:pPr>
            <w:r>
              <w:t xml:space="preserve">Locator: PDF pp 2–3 methods and RIM definition; p 7 RIM results; pp 8–9/Table 3 models; pp 10–11 limitations.</w:t>
            </w:r>
          </w:p>
          <w:p>
            <w:pPr>
              <w:pStyle w:val="Normal"/>
              <w:widowControl/>
              <w:spacing w:before="60" w:after="20"/>
            </w:pPr>
            <w:r>
              <w:t xml:space="preserve">Review depth: Complete 14-page main paper read. Some PDF text is duplicated by overlaid proof/extraction layers; the scientific main article is complete.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RIM meant reducing/discontinuing calcineurin inhibitors, MMF and/or steroids. Merely adding mTOR therapy without reducing another agent was not classified as RIM.; Median post-recurrence OS was 16.7 months with RIM versus 5.3 months without it. Absence of RIM was associated with worse survival in the adjusted model (HR 4.19, 95% CI 1.29–13.58).; No clinically significant rejection was reported after RIM, but the sample and design cannot guarantee safety for an individual recipient.; mTOR treatment before or after recurrence did not show an independent survival association. Table 3 post-recurrence mTOR HR was 0.91 (0.28–2.91; p=.87).; Surgical treatment of recurrence was also associated with longer survival, but selection by fitness, tumor distribution and treatability strongly limits causal interpretation.</w:t>
            </w:r>
          </w:p>
          <w:p>
            <w:pPr>
              <w:pStyle w:val="Normal"/>
              <w:widowControl/>
              <w:spacing w:before="60" w:after="20"/>
            </w:pPr>
            <w:r>
              <w:rPr>
                <w:b/>
              </w:rPr>
              <w:t xml:space="preserve">Do not infer: </w:t>
            </w:r>
            <w:r>
              <w:t xml:space="preserve">Small, nonrandomized, &gt;30-year mixed-disease cohort; treatment selection and performance-status confounding; RIM not standardized; era differences; no proof that reducing immunosuppression causes survival improvement or that mTOR alone prevents recurrence. Time origin: Recurrence-management OS starts at recurrence, not LT. Median LT-to-recurrence was 15.8 months and median post-recurrence OS 7.4 months.</w:t>
            </w:r>
          </w:p>
        </w:tc>
      </w:tr>
      <w:tr>
        <w:trPr/>
        <w:tc>
          <w:tcPr>
            <w:tcW w:w="3400" w:type="dxa"/>
            <w:tcMar>
              <w:top w:w="90" w:type="dxa"/>
              <w:left w:w="90" w:type="dxa"/>
              <w:bottom w:w="90" w:type="dxa"/>
              <w:right w:w="90" w:type="dxa"/>
            </w:tcMar>
          </w:tcPr>
          <w:p>
            <w:pPr>
              <w:pStyle w:val="Normal"/>
              <w:widowControl/>
              <w:spacing w:before="60" w:after="20"/>
            </w:pPr>
            <w:r>
              <w:rPr>
                <w:b/>
              </w:rPr>
              <w:t xml:space="preserve">Sharma 2025</w:t>
            </w:r>
            <w:r>
              <w:t xml:space="preserve"> </w:t>
            </w:r>
            <w:r>
              <w:t xml:space="preserve"> </w:t>
            </w:r>
            <w:r>
              <w:fldChar w:fldCharType="begin"/>
            </w:r>
            <w:r>
              <w:instrText xml:space="preserve"> ADDIN EN.CITE </w:instrText>
            </w:r>
            <w:r>
              <w:fldChar w:fldCharType="begin">
                <w:fldData>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</w:fldData>
              </w:fldChar>
            </w:r>
            <w:r>
              <w:instrText xml:space="preserve"> ADDIN EN.CITE.DATA </w:instrText>
            </w:r>
            <w:r>
              <w:fldChar w:fldCharType="end"/>
            </w:r>
            <w:r>
              <w:fldChar w:fldCharType="separate"/>
            </w:r>
            <w:r>
              <w:t xml:space="preserve">[V12-22]</w:t>
            </w:r>
            <w:r>
              <w:fldChar w:fldCharType="end"/>
            </w:r>
          </w:p>
          <w:p>
            <w:pPr>
              <w:pStyle w:val="Normal"/>
              <w:widowControl/>
              <w:spacing w:before="60" w:after="20"/>
            </w:pPr>
            <w:r>
              <w:t xml:space="preserve">AASLD/AST adult LT practice guideline, online 2025 and 2026 issue, addressing non-graft complications. The recurrent HCC/CCA disease-specific management domain is explicitly outside this cancer-screening section.</w:t>
            </w:r>
          </w:p>
          <w:p>
            <w:pPr>
              <w:pStyle w:val="Normal"/>
              <w:widowControl/>
              <w:spacing w:before="60" w:after="20"/>
            </w:pPr>
            <w:hyperlink r:id="rId51">
              <w:r>
                <w:rPr>
                  <w:color w:val="77230C"/>
                  <w:sz w:val="20"/>
                  <w:u w:val="single"/>
                </w:rPr>
                <w:t>Primary source</w:t>
              </w:r>
            </w:hyperlink>
            <w:r>
              <w:t xml:space="preserve"> | </w:t>
            </w:r>
            <w:hyperlink r:id="rId52">
              <w:r>
                <w:rPr>
                  <w:color w:val="77230C"/>
                  <w:sz w:val="20"/>
                  <w:u w:val="single"/>
                </w:rPr>
                <w:t>Full-text PDF</w:t>
              </w:r>
            </w:hyperlink>
          </w:p>
          <w:p>
            <w:pPr>
              <w:pStyle w:val="Normal"/>
              <w:widowControl/>
              <w:spacing w:before="60" w:after="20"/>
            </w:pPr>
            <w:r>
              <w:t xml:space="preserve">Locator: PDF p 12/Table 3; p 14/journal 1170 statements 44–46; p 15/journal 1171 statements 47–51 and rationale.</w:t>
            </w:r>
          </w:p>
          <w:p>
            <w:pPr>
              <w:pStyle w:val="Normal"/>
              <w:widowControl/>
              <w:spacing w:before="60" w:after="20"/>
            </w:pPr>
            <w:r>
              <w:t xml:space="preserve">Review depth: Targeted full-text review of guideline scope and cancer-screening sections: PDF p 1, p 12/Table 3 and pp 14–15/statements 44–51. Not a claim to have reread all 37 pages on unrelated non-graft complications.</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Statements 44–45 support age-appropriate cancer screening and yearly clinical skin examinations.; Statement 49 says average-risk LT recipients may consider five-yearly colonoscopy (weak recommendation, level 3), not that this interval is mandatory for everyone.; Statement 50 recommends annual colonoscopy with random biopsies for PSC with IBD (strong, level 2).; Statement 51 recommends colonoscopy with ileal intubation and colonic biopsies every five years for PSC without IBD (strong, level 3).; Colonoscopy is preferred over stool testing in the discussed LT context because of limited advanced-adenoma sensitivity; de novo screening should not be confused with CCA-recurrence imaging.</w:t>
            </w:r>
          </w:p>
          <w:p>
            <w:pPr>
              <w:pStyle w:val="Normal"/>
              <w:widowControl/>
              <w:spacing w:before="60" w:after="20"/>
            </w:pPr>
            <w:r>
              <w:rPr>
                <w:b/>
              </w:rPr>
              <w:t xml:space="preserve">Do not infer: </w:t>
            </w:r>
            <w:r>
              <w:t xml:space="preserve">Recommendation strengths differ; population screening and recurrent-cancer surveillance are separate. No support for using this guideline as proof of a particular iCCA recurrence-imaging interval. Time origin: Not applicable; screening guidance rather than a new survival cohort.</w:t>
            </w:r>
          </w:p>
        </w:tc>
      </w:tr>
      <w:tr>
        <w:trPr/>
        <w:tc>
          <w:tcPr>
            <w:tcW w:w="3400" w:type="dxa"/>
            <w:tcMar>
              <w:top w:w="90" w:type="dxa"/>
              <w:left w:w="90" w:type="dxa"/>
              <w:bottom w:w="90" w:type="dxa"/>
              <w:right w:w="90" w:type="dxa"/>
            </w:tcMar>
          </w:tcPr>
          <w:p>
            <w:pPr>
              <w:pStyle w:val="Normal"/>
              <w:widowControl/>
              <w:spacing w:before="60" w:after="20"/>
            </w:pPr>
            <w:r>
              <w:rPr>
                <w:b/>
              </w:rPr>
              <w:t xml:space="preserve">Semaan 2025</w:t>
            </w:r>
            <w:r>
              <w:t xml:space="preserve"> </w:t>
            </w:r>
            <w:r>
              <w:t xml:space="preserve"> </w:t>
            </w:r>
            <w:r>
              <w:fldChar w:fldCharType="begin"/>
            </w:r>
            <w:r>
              <w:instrText xml:space="preserve"> ADDIN EN.CITE </w:instrText>
            </w:r>
            <w:r>
              <w:fldChar w:fldCharType="begin">
                <w:fldData>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</w:fldData>
              </w:fldChar>
            </w:r>
            <w:r>
              <w:instrText xml:space="preserve"> ADDIN EN.CITE.DATA </w:instrText>
            </w:r>
            <w:r>
              <w:fldChar w:fldCharType="end"/>
            </w:r>
            <w:r>
              <w:fldChar w:fldCharType="separate"/>
            </w:r>
            <w:r>
              <w:t xml:space="preserve">[V12-19]</w:t>
            </w:r>
            <w:r>
              <w:fldChar w:fldCharType="end"/>
            </w:r>
          </w:p>
          <w:p>
            <w:pPr>
              <w:pStyle w:val="Normal"/>
              <w:widowControl/>
              <w:spacing w:before="60" w:after="20"/>
            </w:pPr>
            <w:r>
              <w:t xml:space="preserve">Retrospective Houston Methodist cohort, 2008–2023: 53 LT recipients, 27 pCCA and 26 iCCA; 49 received neoadjuvant treatment. Results overlap earlier Houston iCCA series and must not be counted as independent replication.</w:t>
            </w:r>
          </w:p>
          <w:p>
            <w:pPr>
              <w:pStyle w:val="Normal"/>
              <w:widowControl/>
              <w:spacing w:before="60" w:after="20"/>
            </w:pPr>
            <w:hyperlink r:id="rId53">
              <w:r>
                <w:rPr>
                  <w:color w:val="77230C"/>
                  <w:sz w:val="20"/>
                  <w:u w:val="single"/>
                </w:rPr>
                <w:t>Primary source</w:t>
              </w:r>
            </w:hyperlink>
            <w:r>
              <w:t xml:space="preserve"> | </w:t>
            </w:r>
            <w:hyperlink r:id="rId54">
              <w:r>
                <w:rPr>
                  <w:color w:val="77230C"/>
                  <w:sz w:val="20"/>
                  <w:u w:val="single"/>
                </w:rPr>
                <w:t>Full-text PDF</w:t>
              </w:r>
            </w:hyperlink>
          </w:p>
          <w:p>
            <w:pPr>
              <w:pStyle w:val="Normal"/>
              <w:widowControl/>
              <w:spacing w:before="60" w:after="20"/>
            </w:pPr>
            <w:r>
              <w:t xml:space="preserve">Locator: PDF pp 1–2 methods; p 4/Table 2 exposure and timing; pp 5–7/Table 4 time-dependent models and Table 5 survival; pp 7–8 discussion.</w:t>
            </w:r>
          </w:p>
          <w:p>
            <w:pPr>
              <w:pStyle w:val="Normal"/>
              <w:widowControl/>
              <w:spacing w:before="60" w:after="20"/>
            </w:pPr>
            <w:r>
              <w:t xml:space="preserve">Review depth: Complete nine-page main article read. Tables and time-dependent analysis verified.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Thirty-nine of 53 patients received an mTOR inhibitor (73.6%); the abstract's 71.7% is inconsistent with 39/53 and matches the everolimus count of 38. Five received sirolimus and four received both sequentially.; Median initiation was 38 days after LT (IQR 27–79.5), not a tested mandatory day 30–38 conversion interval.; Three-year OS was 69.2% (95% CI 56.9–84.2) and RFS 57.4% (43.7–75.4); 21 patients developed recurrence.; The optimized conventional Cox association between mTOR use and OS was HR 0.16 (0.06–0.45; p=.001). It was not confirmed when mTOR exposure was treated as time-dependent: OS HR 0.52 (0.19–1.43; p=.2); RFS HR 0.82 (0.32–2.08; p=.7).; Pathology included multifocal iCCA, occult nodal disease and other adverse features; presumed pre-LT N 0 status does not establish the safety of knowingly transplanting node-positive patients.</w:t>
            </w:r>
          </w:p>
          <w:p>
            <w:pPr>
              <w:pStyle w:val="Normal"/>
              <w:widowControl/>
              <w:spacing w:before="60" w:after="20"/>
            </w:pPr>
            <w:r>
              <w:rPr>
                <w:b/>
              </w:rPr>
              <w:t xml:space="preserve">Do not infer: </w:t>
            </w:r>
            <w:r>
              <w:t xml:space="preserve">Small, heterogeneous, nonrandomized cohort; stepwise model selection; post-LT exposure timing; overlapping Houston patients. The source's current/prior/never-use categories are not readily reconciled with 39 ever-exposed patients. Do not infer a causal survival benefit, an optimal trough target, or a mandatory conversion date. Time origin: OS and RFS begin at LT; median post-LT follow-up 910 days. mTOR exposure starts after LT, creating an important timing/immortal-time problem in simple ever-treated comparisons.</w:t>
            </w:r>
          </w:p>
        </w:tc>
      </w:tr>
      <w:tr>
        <w:trPr/>
        <w:tc>
          <w:tcPr>
            <w:tcW w:w="3400" w:type="dxa"/>
            <w:tcMar>
              <w:top w:w="90" w:type="dxa"/>
              <w:left w:w="90" w:type="dxa"/>
              <w:bottom w:w="90" w:type="dxa"/>
              <w:right w:w="90" w:type="dxa"/>
            </w:tcMar>
          </w:tcPr>
          <w:p>
            <w:pPr>
              <w:pStyle w:val="Normal"/>
              <w:widowControl/>
              <w:spacing w:before="60" w:after="20"/>
            </w:pPr>
            <w:r>
              <w:rPr>
                <w:b/>
              </w:rPr>
              <w:t xml:space="preserve">Ramanan 2017</w:t>
            </w:r>
            <w:r>
              <w:t xml:space="preserve"> </w:t>
            </w:r>
            <w:r>
              <w:t xml:space="preserve"> </w:t>
            </w:r>
            <w:r>
              <w:fldChar w:fldCharType="begin"/>
            </w:r>
            <w:r>
              <w:instrText xml:space="preserve"> ADDIN EN.CITE </w:instrText>
            </w:r>
            <w:r>
              <w:fldChar w:fldCharType="begin">
                <w:fldData>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</w:fldData>
              </w:fldChar>
            </w:r>
            <w:r>
              <w:instrText xml:space="preserve"> ADDIN EN.CITE.DATA </w:instrText>
            </w:r>
            <w:r>
              <w:fldChar w:fldCharType="end"/>
            </w:r>
            <w:r>
              <w:fldChar w:fldCharType="separate"/>
            </w:r>
            <w:r>
              <w:t xml:space="preserve">[V12-18]</w:t>
            </w:r>
            <w:r>
              <w:fldChar w:fldCharType="end"/>
            </w:r>
          </w:p>
          <w:p>
            <w:pPr>
              <w:pStyle w:val="Normal"/>
              <w:widowControl/>
              <w:spacing w:before="60" w:after="20"/>
            </w:pPr>
            <w:r>
              <w:t xml:space="preserve">Retrospective Mayo cohort of 124 pCCA recipients after neoadjuvant treatment and LT, 2004–2013; two incidental/no-neoadjuvant cases excluded from 126. Forty-five received LDLT; all had Roux-en-Y reconstruction. This is an infection cohort, not a randomized immunosuppression trial.</w:t>
            </w:r>
          </w:p>
          <w:p>
            <w:pPr>
              <w:pStyle w:val="Normal"/>
              <w:widowControl/>
              <w:spacing w:before="60" w:after="20"/>
            </w:pPr>
            <w:hyperlink r:id="rId55">
              <w:r>
                <w:rPr>
                  <w:color w:val="77230C"/>
                  <w:sz w:val="20"/>
                  <w:u w:val="single"/>
                </w:rPr>
                <w:t>Primary source</w:t>
              </w:r>
            </w:hyperlink>
            <w:r>
              <w:t xml:space="preserve"> | </w:t>
            </w:r>
            <w:hyperlink r:id="rId56">
              <w:r>
                <w:rPr>
                  <w:color w:val="77230C"/>
                  <w:sz w:val="20"/>
                  <w:u w:val="single"/>
                </w:rPr>
                <w:t>Full-text PDF</w:t>
              </w:r>
            </w:hyperlink>
          </w:p>
          <w:p>
            <w:pPr>
              <w:pStyle w:val="Normal"/>
              <w:widowControl/>
              <w:spacing w:before="60" w:after="20"/>
            </w:pPr>
            <w:r>
              <w:t xml:space="preserve">Locator: PDF p 2 §§2.4–2.5 (immunosuppression/prophylaxis); pp 3–4 infection denominators and timing; pp 5–7 outcome models and limitations.</w:t>
            </w:r>
          </w:p>
          <w:p>
            <w:pPr>
              <w:pStyle w:val="Normal"/>
              <w:widowControl/>
              <w:spacing w:before="60" w:after="20"/>
            </w:pPr>
            <w:r>
              <w:t xml:space="preserve">Review depth: Complete seven-page main article read, including methods, results, tables, discussion and references. Separate supplements not independently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There were 255 infections in 105/124 patients (84.7%); 53/124 had intra-abdominal infection, with 88 episodes. Forty-three had bloodstream infection, with 67 episodes.; The described regimen used tacrolimus, MMF and prednisone; prednisone was withdrawn on postoperative day 121 and MMF at 2–4 months when feasible, aiming for tacrolimus monotherapy. It does not support universal MMF cessation at 30 days or steroid withdrawal at 30 days.; The center used basiliximab with delayed tacrolimus in renal insufficiency (creatinine clearance &lt;40 mL/min or dialysis). This is a reported institutional strategy, not a proven pCCA-specific numeric threshold.; Associations with time to first infection of any type (Table3), not specifically abdominal infection, included LDLT HR 6.63 (95% CI 2.74–16.0), hepatic artery thrombosis HR 2.62 (1.34–5.12), biliary stricture HR 3.76 (1.60–8.82), and abdominal fluid collections HR 4.20 (2.14–8.23). These are nonrandomized associations, not proof that LDLT causes infection.; There were 36 deaths, 26 from recurrent CCA. Abdominal infection was associated with mortality after adjustment for recurrent CCA; the paper does not establish the effect of changing the immunosuppression schedule.</w:t>
            </w:r>
          </w:p>
          <w:p>
            <w:pPr>
              <w:pStyle w:val="Normal"/>
              <w:widowControl/>
              <w:spacing w:before="60" w:after="20"/>
            </w:pPr>
            <w:r>
              <w:rPr>
                <w:b/>
              </w:rPr>
              <w:t xml:space="preserve">Do not infer: </w:t>
            </w:r>
            <w:r>
              <w:t xml:space="preserve">Single center, historical practice, confounding by technical complexity and complications. Do not transfer old antimicrobial prophylaxis or immunosuppression details into a current mandatory order set. Time origin: Infection and survival outcomes begin at LT; median follow-up 4.2 years. Kaplan–Meier median time to first infection was 105.8 days. The 37-day median among infected patients is a different statistic.</w:t>
            </w:r>
          </w:p>
        </w:tc>
      </w:tr>
      <w:tr>
        <w:trPr/>
        <w:tc>
          <w:tcPr>
            <w:tcW w:w="3400" w:type="dxa"/>
            <w:tcMar>
              <w:top w:w="90" w:type="dxa"/>
              <w:left w:w="90" w:type="dxa"/>
              <w:bottom w:w="90" w:type="dxa"/>
              <w:right w:w="90" w:type="dxa"/>
            </w:tcMar>
          </w:tcPr>
          <w:p>
            <w:pPr>
              <w:pStyle w:val="Normal"/>
              <w:widowControl/>
              <w:spacing w:before="60" w:after="20"/>
            </w:pPr>
            <w:r>
              <w:rPr>
                <w:b/>
              </w:rPr>
              <w:t xml:space="preserve">Heinrich 2026</w:t>
            </w:r>
            <w:r>
              <w:t xml:space="preserve"> </w:t>
            </w:r>
            <w:r>
              <w:t xml:space="preserve"> </w:t>
            </w:r>
            <w:r>
              <w:fldChar w:fldCharType="begin"/>
            </w:r>
            <w:r>
              <w:instrText xml:space="preserve"> ADDIN EN.CITE </w:instrText>
            </w:r>
            <w:r>
              <w:fldChar w:fldCharType="begin">
                <w:fldData>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</w:fldData>
              </w:fldChar>
            </w:r>
            <w:r>
              <w:instrText xml:space="preserve"> ADDIN EN.CITE.DATA </w:instrText>
            </w:r>
            <w:r>
              <w:fldChar w:fldCharType="end"/>
            </w:r>
            <w:r>
              <w:fldChar w:fldCharType="separate"/>
            </w:r>
            <w:r>
              <w:t xml:space="preserve">[V12-21]</w:t>
            </w:r>
            <w:r>
              <w:fldChar w:fldCharType="end"/>
            </w:r>
          </w:p>
          <w:p>
            <w:pPr>
              <w:pStyle w:val="Normal"/>
              <w:widowControl/>
              <w:spacing w:before="60" w:after="20"/>
            </w:pPr>
            <w:r>
              <w:t xml:space="preserve">Retrospective three-center German study, 2002–2021: 19 incidental biliary tract cancers found on explant versus 140 HCC recipients within Milan criteria. All incidental cases were T 1/T 2; the cohort includes more than just iCCA/pCCA. Twelve of 19 had PSC or autoimmune liver disease.</w:t>
            </w:r>
          </w:p>
          <w:p>
            <w:pPr>
              <w:pStyle w:val="Normal"/>
              <w:widowControl/>
              <w:spacing w:before="60" w:after="20"/>
            </w:pPr>
            <w:hyperlink r:id="rId57">
              <w:r>
                <w:rPr>
                  <w:color w:val="77230C"/>
                  <w:sz w:val="20"/>
                  <w:u w:val="single"/>
                </w:rPr>
                <w:t>Primary source</w:t>
              </w:r>
            </w:hyperlink>
            <w:r>
              <w:t xml:space="preserve"> | </w:t>
            </w:r>
            <w:hyperlink r:id="rId58">
              <w:r>
                <w:rPr>
                  <w:color w:val="77230C"/>
                  <w:sz w:val="20"/>
                  <w:u w:val="single"/>
                </w:rPr>
                <w:t>Full-text PDF</w:t>
              </w:r>
            </w:hyperlink>
          </w:p>
          <w:p>
            <w:pPr>
              <w:pStyle w:val="Normal"/>
              <w:widowControl/>
              <w:spacing w:before="60" w:after="20"/>
            </w:pPr>
            <w:r>
              <w:t xml:space="preserve">Locator: PDF p 2 methods and surveillance; p 3 overall outcomes; pp 5–7 subgroup analyses and limitations; p 8 supporting-information descriptions.</w:t>
            </w:r>
          </w:p>
          <w:p>
            <w:pPr>
              <w:pStyle w:val="Normal"/>
              <w:widowControl/>
              <w:spacing w:before="60" w:after="20"/>
            </w:pPr>
            <w:r>
              <w:t xml:space="preserve">Review depth: Complete eight-page main article read. Supporting-information captions were read but separate supporting tables were not retrieved.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Five-year OS was 65% in incidental BTC versus 73% in HCC (p=.31); DFS 54% versus 69% (p approximately .25). Failure to reject a difference is not proof of equivalence.; Six of 19 developed recurrence. Seventeen received no adjuvant treatment; two treated cases do not establish adjuvant benefit.; The observed surveillance schedule was CT/MRI every six months for three years, then annually through year five. It does not support attributing an every-three-month years 1–2/every-six-month years 3–5 schedule to this study.; CA 19-9 was available in only 13 patients; the four with &gt;100 U/mL all recurred. This tiny incomplete-data association is not a new absolute exclusion threshold.; Subgroup denominators in the body are internally inconsistent with total n=19; do not reproduce separate iCCA/pCCA/distal/GBC recurrence denominators without supporting-table clarification.</w:t>
            </w:r>
          </w:p>
          <w:p>
            <w:pPr>
              <w:pStyle w:val="Normal"/>
              <w:widowControl/>
              <w:spacing w:before="60" w:after="20"/>
            </w:pPr>
            <w:r>
              <w:rPr>
                <w:b/>
              </w:rPr>
              <w:t xml:space="preserve">Do not infer: </w:t>
            </w:r>
            <w:r>
              <w:t xml:space="preserve">Incidental tumors without pre-LT suspicion, mixed anatomic sites, tiny sample, selection/era confounding and underpowered survival comparisons. Not evidence for intentional transplantation of known advanced iCCA or pCCA. Surveillance was observed practice, not randomized optimization. Time origin: OS and DFS begin at LT; death without recurrence counts as a DFS event. Mean follow-up 61 months, range 4–254 months.</w:t>
            </w:r>
          </w:p>
        </w:tc>
      </w:tr>
      <w:tr>
        <w:trPr/>
        <w:tc>
          <w:tcPr>
            <w:tcW w:w="3400" w:type="dxa"/>
            <w:tcMar>
              <w:top w:w="90" w:type="dxa"/>
              <w:left w:w="90" w:type="dxa"/>
              <w:bottom w:w="90" w:type="dxa"/>
              <w:right w:w="90" w:type="dxa"/>
            </w:tcMar>
          </w:tcPr>
          <w:p>
            <w:pPr>
              <w:pStyle w:val="Normal"/>
              <w:widowControl/>
              <w:spacing w:before="60" w:after="20"/>
            </w:pPr>
            <w:r>
              <w:rPr>
                <w:b/>
              </w:rPr>
              <w:t xml:space="preserve">NCCN Biliary Tract Cancers v1.2026</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</w:fldData>
              </w:fldChar>
            </w:r>
            <w:r>
              <w:instrText xml:space="preserve"> ADDIN EN.CITE.DATA </w:instrText>
            </w:r>
            <w:r>
              <w:fldChar w:fldCharType="end"/>
            </w:r>
            <w:r>
              <w:fldChar w:fldCharType="separate"/>
            </w:r>
            <w:r>
              <w:t xml:space="preserve">[V12-3]</w:t>
            </w:r>
            <w:r>
              <w:fldChar w:fldCharType="end"/>
            </w:r>
          </w:p>
          <w:p>
            <w:pPr>
              <w:pStyle w:val="Normal"/>
              <w:widowControl/>
              <w:spacing w:before="60" w:after="20"/>
            </w:pPr>
            <w:r>
              <w:t xml:space="preserve">NCCN clinical practice guideline, verified local 2026 edition; relevant complete sections reviewed, not a patient cohort.</w:t>
            </w:r>
          </w:p>
          <w:p>
            <w:pPr>
              <w:pStyle w:val="Normal"/>
              <w:widowControl/>
              <w:spacing w:before="60" w:after="20"/>
            </w:pPr>
            <w:r>
              <w:t xml:space="preserve">Selection: Clinical guidance and allocation criteria are separate; no new independent transplant outcomes.</w:t>
            </w:r>
          </w:p>
          <w:p>
            <w:pPr>
              <w:pStyle w:val="Normal"/>
              <w:widowControl/>
              <w:spacing w:before="60" w:after="20"/>
            </w:pPr>
            <w:hyperlink r:id="rId59">
              <w:r>
                <w:rPr>
                  <w:color w:val="77230C"/>
                  <w:sz w:val="20"/>
                  <w:u w:val="single"/>
                </w:rPr>
                <w:t>Primary source</w:t>
              </w:r>
            </w:hyperlink>
            <w:r>
              <w:t xml:space="preserve"> | </w:t>
            </w:r>
            <w:hyperlink r:id="rId60">
              <w:r>
                <w:rPr>
                  <w:color w:val="77230C"/>
                  <w:sz w:val="20"/>
                  <w:u w:val="single"/>
                </w:rPr>
                <w:t>Full-text PDF</w:t>
              </w:r>
            </w:hyperlink>
          </w:p>
          <w:p>
            <w:pPr>
              <w:pStyle w:val="Normal"/>
              <w:widowControl/>
              <w:spacing w:before="60" w:after="20"/>
            </w:pPr>
            <w:r>
              <w:t xml:space="preserve">Locator: PDF 23 EXTRA-1 footnote h; PDF 65 MS-18 transplantation discussion; PDF 16 INTRA-1 footnotes l and s; PDF 61 MS-14; PDF 23 EXTRA-1 footnote h; PDF 58–59 MS-11–12; PDF 16 INTRA-1 and PDF 21 INTRA-C; PDF 18 INTRA-A; PDF 25 EXTRA-A; PDF 59 MS-12; PDF 16 INTRA-1 footnotes; PDF 61 MS-14; PDF 36 BIL-C 1; PDF 37 BIL-C 2; PDF 41 BIL-D; PDF 65 MS-18; PDF 23 EXTRA-1; PDF 37 BIL-C 2; PDF 65 MS-18; PDF 17 INTRA-2; PDF 24 EXTRA-2; PDF 61 MS-14 and PDF 65 MS-18</w:t>
            </w:r>
          </w:p>
          <w:p>
            <w:pPr>
              <w:pStyle w:val="Normal"/>
              <w:widowControl/>
              <w:spacing w:before="60" w:after="20"/>
            </w:pPr>
            <w:r>
              <w:t xml:space="preserve">Review depth: Targeted complete relevant guideline sections reviewed; exact pages and limits in nccn_biliary_final_check.json</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NCCN uses radial size ≤3 cm for highly selected pCCA LT consideration, with no nodal, intrahepatic or extrahepatic metastatic disease. This differs from current OPTN Policy 9.5.A's single mass &lt;3 cm requirement. The transplant-referral option links to footnote l for small single tumors &lt;3 cm. Footnotes also describe biopsy-proven iCCA/mixed HCC-iCCA, cirrhosis, unresectability, prior locoregional/systemic therapy and six months from diagnosis or last treatment without new lesions/extrahepatic disease. Current NLRB guidance uses ≤3 cm, so the exactly 3.0 cm boundary is not identical. Determine pCCA resection/transplant status before primary biopsy; potential LT candidates should be referred before transperitoneal or surgical primary-tumor biopsy. For unresectable iCCA, obtain tissue confirmation and biomarkers. A preoperative biopsy is not always necessary when proceeding directly to potentially curative resection. These are different clinical settings. Resection remains the standard potentially curative route when feasible. For pCCA, assess functional/volumetric FLR, arterial and portal inflow, biliary drainage, and whether remnant-directed drainage/PVE or expert vascular reconstruction can permit R 0 surgery. The guideline does not define a universal numeric FLR cutoff in these sections. The original diagnosis-or-last-treatment wording is genuinely present in this version of NCCN, not a fabricated phrase. NCCN's summary does not resolve the two formulations in the controlling NLRB guidance. The systemic-therapy page's named neoadjuvant subsection is for gallbladder cancer only. Unresectable/metastatic BTC regimens include GemCis plus durvalumab/pembrolizumab as preferred options, and chemotherapy-only alternatives. This does not establish a transplant-specific NAT regimen or pre-LT ICI safety. The pCCA LT discussion cites selected neoadjuvant chemoradiation experience without prescribing a universal radiation schedule. NCCN supports tissue/genomic assessment for unresectable disease to guide systemic treatment. It does not establish a blanket permanent LT exclusion for every prior targeted or other systemic therapy. The postoperative-resection algorithms suggest abdominal/pelvic cross-sectional imaging plus chest CT every 3–6 months for 2 years, then every 6–12 months through year 5. Both explicitly acknowledge lack of data for an optimal schedule and cite the BILCAP schedule. NCCN summarizes highly selected observational and small prospective LT experience and notes selection differences in pCCA LT/resection comparisons. This does not overturn the main-paper evidence audit or validate expanded advanced/node-positive disease.</w:t>
            </w:r>
          </w:p>
          <w:p>
            <w:pPr>
              <w:pStyle w:val="Normal"/>
              <w:widowControl/>
              <w:spacing w:before="60" w:after="20"/>
            </w:pPr>
            <w:r>
              <w:rPr>
                <w:b/>
              </w:rPr>
              <w:t xml:space="preserve">Do not infer: </w:t>
            </w:r>
            <w:r>
              <w:t xml:space="preserve">Targeted relevant-section review, not a whole-guideline audit. Source-specific wording does not override OPTN policy or establish an experimentally expanded eligibility rule. Time origin: Not an outcomes cohort.</w:t>
            </w:r>
          </w:p>
        </w:tc>
      </w:tr>
      <w:tr>
        <w:trPr/>
        <w:tc>
          <w:tcPr>
            <w:tcW w:w="3400" w:type="dxa"/>
            <w:tcMar>
              <w:top w:w="90" w:type="dxa"/>
              <w:left w:w="90" w:type="dxa"/>
              <w:bottom w:w="90" w:type="dxa"/>
              <w:right w:w="90" w:type="dxa"/>
            </w:tcMar>
          </w:tcPr>
          <w:p>
            <w:pPr>
              <w:pStyle w:val="Normal"/>
              <w:widowControl/>
              <w:spacing w:before="60" w:after="20"/>
            </w:pPr>
            <w:r>
              <w:rPr>
                <w:b/>
              </w:rPr>
              <w:t xml:space="preserve">Te 2025</w:t>
            </w:r>
            <w:r>
              <w:t xml:space="preserve"> </w:t>
            </w:r>
            <w:r>
              <w:t xml:space="preserve"> </w:t>
            </w:r>
            <w:r>
              <w:fldChar w:fldCharType="begin"/>
            </w:r>
            <w:r>
              <w:instrText xml:space="preserve"> ADDIN EN.CITE </w:instrText>
            </w:r>
            <w:r>
              <w:fldChar w:fldCharType="begin">
                <w:fldData>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</w:fldData>
              </w:fldChar>
            </w:r>
            <w:r>
              <w:instrText xml:space="preserve"> ADDIN EN.CITE.DATA </w:instrText>
            </w:r>
            <w:r>
              <w:fldChar w:fldCharType="end"/>
            </w:r>
            <w:r>
              <w:fldChar w:fldCharType="separate"/>
            </w:r>
            <w:r>
              <w:t xml:space="preserve">[V12-24]</w:t>
            </w:r>
            <w:r>
              <w:fldChar w:fldCharType="end"/>
            </w:r>
          </w:p>
          <w:p>
            <w:pPr>
              <w:pStyle w:val="Normal"/>
              <w:widowControl/>
              <w:spacing w:before="60" w:after="20"/>
            </w:pPr>
            <w:r>
              <w:t xml:space="preserve">AASLD/AST clinical practice guideline, published online 2025 / volume 2026; systematic search updated through 12 September 2024.</w:t>
            </w:r>
          </w:p>
          <w:p>
            <w:pPr>
              <w:pStyle w:val="Normal"/>
              <w:widowControl/>
              <w:spacing w:before="60" w:after="20"/>
            </w:pPr>
            <w:hyperlink r:id="rId61">
              <w:r>
                <w:rPr>
                  <w:color w:val="77230C"/>
                  <w:sz w:val="20"/>
                  <w:u w:val="single"/>
                </w:rPr>
                <w:t>Primary source</w:t>
              </w:r>
            </w:hyperlink>
            <w:r>
              <w:t xml:space="preserve"> | </w:t>
            </w:r>
            <w:hyperlink r:id="rId62">
              <w:r>
                <w:rPr>
                  <w:color w:val="77230C"/>
                  <w:sz w:val="20"/>
                  <w:u w:val="single"/>
                </w:rPr>
                <w:t>Full-text PDF</w:t>
              </w:r>
            </w:hyperlink>
          </w:p>
          <w:p>
            <w:pPr>
              <w:pStyle w:val="Normal"/>
              <w:widowControl/>
              <w:spacing w:before="60" w:after="20"/>
            </w:pPr>
            <w:r>
              <w:t xml:space="preserve">Locator: PDF pp 13–18, statements 25–33 and Tables 3–5; pp 19–21 statements 34–40/Table 6; printed 456–464.</w:t>
            </w:r>
          </w:p>
          <w:p>
            <w:pPr>
              <w:pStyle w:val="Normal"/>
              <w:widowControl/>
              <w:spacing w:before="60" w:after="20"/>
            </w:pPr>
            <w:r>
              <w:t xml:space="preserve">Review depth: Targeted full-section review of 47-page guideline: PDF pp 1–2 (scope/methods) and pp 12–21 (printed 455–464; immunosuppression, minimization and rejection statements/tables). Other graft/recurrent-disease chapters were not fully reviewed.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Statement 25: basiliximab may permit delayed CNI initiation for renal recovery (Weak, Level 2); statement 26 advises against ATG induction (Strong, Level 2). These are general LT recommendations, not NET/CRLM-specific anticancer induction.; Statements 28–31 support individualized tacrolimus-based therapy, selective combination/CNI minimization and caution against routine steroid-free therapy. Table 4 explicitly notes dose/trough targets vary with transplant-professional judgment.; Statement 32 only suggests mTOR use for HCC WITHIN Milan to improve RFS up to three years (Weak, Level 3). It does not establish NET/CRLM recurrence reduction or a general preferred oncologic regimen.; Statement 33 supports early mTOR consideration for CKD, a renal indication. Statement 36 does not recommend routine complete immunosuppression withdrawal.; Search excluded conference abstracts and unpublished reports from the systematic evidence review; this provides a better current general-immunosuppression source than an unretrieved older review.</w:t>
            </w:r>
          </w:p>
          <w:p>
            <w:pPr>
              <w:pStyle w:val="Normal"/>
              <w:widowControl/>
              <w:spacing w:before="60" w:after="20"/>
            </w:pPr>
            <w:r>
              <w:rPr>
                <w:b/>
              </w:rPr>
              <w:t xml:space="preserve">Do not infer: </w:t>
            </w:r>
            <w:r>
              <w:t xml:space="preserve">Most immunosuppression and cancer evidence is indication-specific; do not extrapolate HCC benefit causally to NET/CRLM.; Not a 2026 literature search: substantive search update ended September 2024.; Dosing examples are not local standing orders. Supplementary methods/flowchart referenced at links.lww.com/LVT/B9 were not reviewed.</w:t>
            </w:r>
          </w:p>
        </w:tc>
      </w:tr>
      <w:tr>
        <w:trPr/>
        <w:tc>
          <w:tcPr>
            <w:tcW w:w="3400" w:type="dxa"/>
            <w:tcMar>
              <w:top w:w="90" w:type="dxa"/>
              <w:left w:w="90" w:type="dxa"/>
              <w:bottom w:w="90" w:type="dxa"/>
              <w:right w:w="90" w:type="dxa"/>
            </w:tcMar>
          </w:tcPr>
          <w:p>
            <w:pPr>
              <w:pStyle w:val="Normal"/>
              <w:widowControl/>
              <w:spacing w:before="60" w:after="20"/>
            </w:pPr>
            <w:r>
              <w:rPr>
                <w:b/>
              </w:rPr>
              <w:t xml:space="preserve">Bowlus 2022</w:t>
            </w:r>
            <w:r>
              <w:t xml:space="preserve"> </w:t>
            </w:r>
            <w:r>
              <w:t xml:space="preserve"> </w:t>
            </w:r>
            <w:r>
              <w:fldChar w:fldCharType="begin"/>
            </w:r>
            <w:r>
              <w:instrText xml:space="preserve"> ADDIN EN.CITE </w:instrText>
            </w:r>
            <w:r>
              <w:fldChar w:fldCharType="begin">
                <w:fldData>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</w:fldData>
              </w:fldChar>
            </w:r>
            <w:r>
              <w:instrText xml:space="preserve"> ADDIN EN.CITE.DATA </w:instrText>
            </w:r>
            <w:r>
              <w:fldChar w:fldCharType="end"/>
            </w:r>
            <w:r>
              <w:fldChar w:fldCharType="separate"/>
            </w:r>
            <w:r>
              <w:t xml:space="preserve">[V12-6]</w:t>
            </w:r>
            <w:r>
              <w:fldChar w:fldCharType="end"/>
            </w:r>
          </w:p>
          <w:p>
            <w:pPr>
              <w:pStyle w:val="Normal"/>
              <w:widowControl/>
              <w:spacing w:before="60" w:after="20"/>
            </w:pPr>
            <w:r>
              <w:t xml:space="preserve">AASLD practice guidance, published online 2022 and in the 2023 issue; no new trial denominator. Recommendations and their underlying studies must be distinguished.</w:t>
            </w:r>
          </w:p>
          <w:p>
            <w:pPr>
              <w:pStyle w:val="Normal"/>
              <w:widowControl/>
              <w:spacing w:before="60" w:after="20"/>
            </w:pPr>
            <w:hyperlink r:id="rId63">
              <w:r>
                <w:rPr>
                  <w:color w:val="77230C"/>
                  <w:sz w:val="20"/>
                  <w:u w:val="single"/>
                </w:rPr>
                <w:t>Primary source</w:t>
              </w:r>
            </w:hyperlink>
            <w:r>
              <w:t xml:space="preserve"> | </w:t>
            </w:r>
            <w:hyperlink r:id="rId64">
              <w:r>
                <w:rPr>
                  <w:color w:val="77230C"/>
                  <w:sz w:val="20"/>
                  <w:u w:val="single"/>
                </w:rPr>
                <w:t>Full-text PDF</w:t>
              </w:r>
            </w:hyperlink>
          </w:p>
          <w:p>
            <w:pPr>
              <w:pStyle w:val="Normal"/>
              <w:widowControl/>
              <w:spacing w:before="60" w:after="20"/>
            </w:pPr>
            <w:r>
              <w:t xml:space="preserve">Locator: PDF p 24 guidance statement 33 and diagnostic workup; p 25 statements 39–40 and iCCA discussion; pp 26–28 pCCA biopsy, resection, NAT/LT and statement 48.</w:t>
            </w:r>
          </w:p>
          <w:p>
            <w:pPr>
              <w:pStyle w:val="Normal"/>
              <w:widowControl/>
              <w:spacing w:before="60" w:after="20"/>
            </w:pPr>
            <w:r>
              <w:t xml:space="preserve">Review depth: Targeted full-text review of all biliary cancer clinical sections in PDF pp 21–28, including diagnostic, resection and LT guidance and Figure 9. The unrelated remainder of the 44-page PSC guideline was not reread in full during this supplement.</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iCCA diagnosis requires core biopsy and molecular characterization as appropriate; primary-tumor transperitoneal/EUS avoidance belongs to potential pCCA-LT candidates. EUS sampling of suspicious regional nodes is a different procedure.; R 0 resection with sufficient functional remnant remains the curative first route when feasible. The guidance's general remnant discussion is not a universal 40% numeric rule for every patient.; Guidance statement 48 uses pCCA radial size ≤3 cm, whereas current OPTN Policy 9.5.A requires a single mass, if present, &lt;3 cm. Exactly 3.0 cm is an explicit guideline/policy discrepancy, not an automatic standardized-exception case.; The guidance describes selected very-early iCCA evidence and keeps advanced iCCA in research; it does not turn incidental-cohort outcomes into a routine advanced-disease indication.; The guidance narrative mislabels the multicenter Murad 78% RFS as five-year; the primary article gives 78% at two years and 65% at five years. Its De Martin burden description also should not replace the primary largest-nodule measurement.</w:t>
            </w:r>
          </w:p>
          <w:p>
            <w:pPr>
              <w:pStyle w:val="Normal"/>
              <w:widowControl/>
              <w:spacing w:before="60" w:after="20"/>
            </w:pPr>
            <w:r>
              <w:rPr>
                <w:b/>
              </w:rPr>
              <w:t xml:space="preserve">Do not infer: </w:t>
            </w:r>
            <w:r>
              <w:t xml:space="preserve">Professional guidance is not allocation policy. Several secondary numerical summaries are inaccurate; use verified primary-study results. The systemic-treatment section predates newer trial updates and is not the sole source for 2026 non-LT therapy. Time origin: Not applicable to the guidance itself; use primary studies for outcome origins.</w:t>
            </w:r>
          </w:p>
        </w:tc>
      </w:tr>
      <w:tr>
        <w:trPr/>
        <w:tc>
          <w:tcPr>
            <w:tcW w:w="3400" w:type="dxa"/>
            <w:tcMar>
              <w:top w:w="90" w:type="dxa"/>
              <w:left w:w="90" w:type="dxa"/>
              <w:bottom w:w="90" w:type="dxa"/>
              <w:right w:w="90" w:type="dxa"/>
            </w:tcMar>
          </w:tcPr>
          <w:p>
            <w:pPr>
              <w:pStyle w:val="Normal"/>
              <w:widowControl/>
              <w:spacing w:before="60" w:after="20"/>
            </w:pPr>
            <w:r>
              <w:rPr>
                <w:b/>
              </w:rPr>
              <w:t xml:space="preserve">Oh 2025</w:t>
            </w:r>
            <w:r>
              <w:t xml:space="preserve"> </w:t>
            </w:r>
            <w:r>
              <w:t xml:space="preserve"> </w:t>
            </w:r>
            <w:r>
              <w:fldChar w:fldCharType="begin"/>
            </w:r>
            <w:r>
              <w:instrText xml:space="preserve"> ADDIN EN.CITE </w:instrText>
            </w:r>
            <w:r>
              <w:fldChar w:fldCharType="begin">
                <w:fldData>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</w:fldData>
              </w:fldChar>
            </w:r>
            <w:r>
              <w:instrText xml:space="preserve"> ADDIN EN.CITE.DATA </w:instrText>
            </w:r>
            <w:r>
              <w:fldChar w:fldCharType="end"/>
            </w:r>
            <w:r>
              <w:fldChar w:fldCharType="separate"/>
            </w:r>
            <w:r>
              <w:t xml:space="preserve">[V12-34]</w:t>
            </w:r>
            <w:r>
              <w:fldChar w:fldCharType="end"/>
            </w:r>
          </w:p>
          <w:p>
            <w:pPr>
              <w:pStyle w:val="Normal"/>
              <w:widowControl/>
              <w:spacing w:before="60" w:after="20"/>
            </w:pPr>
            <w:r>
              <w:t xml:space="preserve">Exploratory three-year update of randomized TOPAZ-1: 685 participants, 341 durvalumab/GemCis and 344 placebo/GemCis; not an independent new trial.</w:t>
            </w:r>
          </w:p>
          <w:p>
            <w:pPr>
              <w:pStyle w:val="Normal"/>
              <w:widowControl/>
              <w:spacing w:before="60" w:after="20"/>
            </w:pPr>
            <w:r>
              <w:t xml:space="preserve">Selection: 589/685 metastatic, 95 locally advanced and one unknown; 383 iCCA. Not a liver-only, six-month-response-selected LT population.</w:t>
            </w:r>
          </w:p>
          <w:p>
            <w:pPr>
              <w:pStyle w:val="Normal"/>
              <w:widowControl/>
              <w:spacing w:before="60" w:after="20"/>
            </w:pPr>
            <w:hyperlink r:id="rId65">
              <w:r>
                <w:rPr>
                  <w:color w:val="77230C"/>
                  <w:sz w:val="20"/>
                  <w:u w:val="single"/>
                </w:rPr>
                <w:t>Primary source</w:t>
              </w:r>
            </w:hyperlink>
            <w:r>
              <w:t xml:space="preserve"> | </w:t>
            </w:r>
            <w:hyperlink r:id="rId66">
              <w:r>
                <w:rPr>
                  <w:color w:val="77230C"/>
                  <w:sz w:val="20"/>
                  <w:u w:val="single"/>
                </w:rPr>
                <w:t>Full-text PDF</w:t>
              </w:r>
            </w:hyperlink>
          </w:p>
          <w:p>
            <w:pPr>
              <w:pStyle w:val="Normal"/>
              <w:widowControl/>
              <w:spacing w:before="60" w:after="20"/>
            </w:pPr>
            <w:r>
              <w:t xml:space="preserve">Locator: Complete 11-page J Hepatol 2025; 83:1092–1101 PDF, Methods, baseline, survival and safety.</w:t>
            </w:r>
          </w:p>
          <w:p>
            <w:pPr>
              <w:pStyle w:val="Normal"/>
              <w:widowControl/>
              <w:spacing w:before="60" w:after="20"/>
            </w:pPr>
            <w:r>
              <w:t xml:space="preserve">Review depth: Complete J Hepatol 2025; 83:1092–1101 article plus graphical-abstract cover; all main-paper pages reviewed. Exploratory three-year update of the existing randomized trial, not a new trial.</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From randomization, median OS 12.9 versus 11.3 months; HR .74 (CI .63–.87), 36-month OS 14.6% versus 6.9%, median follow-up 41.3 months. Serious adverse events: 165/338 versus 152/342; treatment-related serious events: 52/338 versus 59/342.</w:t>
            </w:r>
          </w:p>
          <w:p>
            <w:pPr>
              <w:pStyle w:val="Normal"/>
              <w:widowControl/>
              <w:spacing w:before="60" w:after="20"/>
            </w:pPr>
            <w:r>
              <w:rPr>
                <w:b/>
              </w:rPr>
              <w:t xml:space="preserve">Do not infer: </w:t>
            </w:r>
            <w:r>
              <w:t xml:space="preserve">Strong non-LT systemic evidence, not validation of LT benefit, pre-LT ICI safety or washout. No formal confirmatory test in this update; only serious-adverse-event collection continued after February 2022.</w:t>
            </w:r>
          </w:p>
        </w:tc>
      </w:tr>
      <w:tr>
        <w:trPr/>
        <w:tc>
          <w:tcPr>
            <w:tcW w:w="3400" w:type="dxa"/>
            <w:tcMar>
              <w:top w:w="90" w:type="dxa"/>
              <w:left w:w="90" w:type="dxa"/>
              <w:bottom w:w="90" w:type="dxa"/>
              <w:right w:w="90" w:type="dxa"/>
            </w:tcMar>
          </w:tcPr>
          <w:p>
            <w:pPr>
              <w:pStyle w:val="Normal"/>
              <w:widowControl/>
              <w:spacing w:before="60" w:after="20"/>
            </w:pPr>
            <w:r>
              <w:rPr>
                <w:b/>
              </w:rPr>
              <w:t xml:space="preserve">VITALITY · Tabrizian</w:t>
            </w:r>
            <w:r>
              <w:t xml:space="preserve"> </w:t>
            </w:r>
            <w:r>
              <w:t xml:space="preserve"> </w:t>
            </w:r>
            <w:r>
              <w:fldChar w:fldCharType="begin"/>
            </w:r>
            <w:r>
              <w:instrText xml:space="preserve"> ADDIN EN.CITE </w:instrText>
            </w:r>
            <w:r>
              <w:fldChar w:fldCharType="begin">
                <w:fldData>PEVuZE5vdGU+PENpdGU+PEF1dGhvcj5UYWJyaXppYW48L0F1dGhvcj48WWVhcj4yMDI1PC9ZZWFyPjxSZWNOdW0+MTY8L1JlY051bT48RGlzcGxheVRleHQ+W1YxMi0xNl08L0Rpc3BsYXlUZXh0PjxyZWNvcmQ+PHJlYy1udW1iZXI+MTY8L3JlYy1udW1iZXI+PGZvcmVpZ24ta2V5cz48a2V5IGFwcD0iRU4iIGRiLWlkPSIwNzRmNWVjZC1mNDUwLTUzMTctYjcxNy1jOGQ3ZTZlZWUyMDYiIHRpbWVzdGFtcD0iMTc5MjkyMTA4NSI+MTY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[V12-16]</w:t>
            </w:r>
            <w:r>
              <w:fldChar w:fldCharType="end"/>
            </w:r>
          </w:p>
          <w:p>
            <w:pPr>
              <w:pStyle w:val="Normal"/>
              <w:widowControl/>
              <w:spacing w:before="60" w:after="20"/>
            </w:pPr>
            <w:r>
              <w:t xml:space="preserve">Prospectively collected six-center observational cohort, January 2016–August 2023; 117 ICI-treated adults with intent to transplant. Baseline 70 within Milan and 47 beyond; 39 of the original within-Milan patients later progressed, yielding 31 always-within and 86 ever-beyond. ICI chosen after inadequate/exhausted LRT, high AFP or technical LRT infeasibility; 110/117 also received LRT.</w:t>
            </w:r>
          </w:p>
          <w:p>
            <w:pPr>
              <w:pStyle w:val="Normal"/>
              <w:widowControl/>
              <w:spacing w:before="60" w:after="20"/>
            </w:pPr>
            <w:hyperlink r:id="rId67">
              <w:r>
                <w:rPr>
                  <w:color w:val="77230C"/>
                  <w:sz w:val="20"/>
                  <w:u w:val="single"/>
                </w:rPr>
                <w:t>Primary source</w:t>
              </w:r>
            </w:hyperlink>
            <w:r>
              <w:t xml:space="preserve"> | </w:t>
            </w:r>
            <w:hyperlink r:id="rId68">
              <w:r>
                <w:rPr>
                  <w:color w:val="77230C"/>
                  <w:sz w:val="20"/>
                  <w:u w:val="single"/>
                </w:rPr>
                <w:t>Full-text PDF</w:t>
              </w:r>
            </w:hyperlink>
          </w:p>
          <w:p>
            <w:pPr>
              <w:pStyle w:val="Normal"/>
              <w:widowControl/>
              <w:spacing w:before="60" w:after="20"/>
            </w:pPr>
            <w:r>
              <w:t xml:space="preserve">Locator: PDF p 3/j 513 Methods and time origins | PDF p 4/j 514 baseline counts | PDF p 5/j 515 toxicities/outcomes | PDF p 6/j 516 Figure 1 and LT outcomes | PDF p 8–9/j 518–519 Tables 3–5 | PDF p 10/j 520 limitations</w:t>
            </w:r>
          </w:p>
          <w:p>
            <w:pPr>
              <w:pStyle w:val="Normal"/>
              <w:widowControl/>
              <w:spacing w:before="60" w:after="20"/>
            </w:pPr>
            <w:r>
              <w:t xml:space="preserve">Review depth: Complete main-paper PDF read: all 12 pages, including methods/results/tables/discussion, Figure 1 and references. Separate supplement not supplied.</w:t>
            </w:r>
          </w:p>
        </w:tc>
        <w:tc>
          <w:tcPr>
            <w:tcW w:w="5600" w:type="dxa"/>
            <w:tcMar>
              <w:top w:w="90" w:type="dxa"/>
              <w:left w:w="90" w:type="dxa"/>
              <w:bottom w:w="90" w:type="dxa"/>
              <w:right w:w="90" w:type="dxa"/>
            </w:tcMar>
          </w:tcPr>
          <w:p>
            <w:pPr>
              <w:pStyle w:val="Normal"/>
              <w:widowControl/>
              <w:spacing w:before="60" w:after="20"/>
            </w:pPr>
            <w:r>
              <w:rPr>
                <w:b/>
              </w:rPr>
              <w:t xml:space="preserve">Reported result: </w:t>
            </w:r>
            <w:r>
              <w:t xml:space="preserve">65/86 ever-beyond downstaged (75.6%), median 5.6 months. Three-year ITT survival 71.1% (Results/Figure 2; minor conflicting 70.8% in Discussion); recipient three-year survival 85%. Three-year cumulative LT 33.9%, dropout 42.6%. Complete necrosis 10/42 evaluable explants; micro/macrovascular invasion 13/41. Five HCC recurrences, none with complete explant necrosis. Median ICI washout 43 days; 29/43 &lt;3 months, 14/43 ≥3 months. Safety: Seven biopsy-proven rejections, six after &lt;3-month washout; one graft loss/retransplant after 54-day washout, no rejection-related death. Report 7 events/43 recipients (16.3% crude calculation); article says 16.7%, and Table 5 long-washout 1/13 = 7.7% despite n 14 header: one evaluable-status ambiguity remains. No grade 4–5 waitlist toxicity; two grade 3 events—Figure 1 'no grade3–5' conflicts with Table 2/text.</w:t>
            </w:r>
          </w:p>
          <w:p>
            <w:pPr>
              <w:pStyle w:val="Normal"/>
              <w:widowControl/>
              <w:spacing w:before="60" w:after="20"/>
            </w:pPr>
            <w:r>
              <w:rPr>
                <w:b/>
              </w:rPr>
              <w:t xml:space="preserve">Do not infer: </w:t>
            </w:r>
            <w:r>
              <w:t xml:space="preserve">No non-ICI comparator; treatment mix and prior-treatment survival selection; short post-LT follow-up. No demonstrated advantage from ICI addition, validated washout cutoff, immune assay or induction regimen. Supplements Figure S1 not provided.</w:t>
            </w:r>
          </w:p>
        </w:tc>
      </w:tr>
    </w:tbl>
    <w:p>
      <w:pPr>
        <w:pStyle w:val="Normal"/>
        <w:widowControl/>
      </w:pPr>
      <w:hyperlink r:id="rId69">
        <w:r>
          <w:rPr>
            <w:color w:val="77230C"/>
            <w:sz w:val="20"/>
            <w:u w:val="single"/>
          </w:rPr>
          <w:t>Separate evidence/alignment meeting record — OPEN boundary decisions</w:t>
        </w:r>
      </w:hyperlink>
    </w:p>
    <w:p>
      <w:pPr>
        <w:pStyle w:val="Normal"/>
        <w:widowControl/>
      </w:pPr>
      <w:r>
        <w:t xml:space="preserve">Evidence review record: </w:t>
      </w:r>
      <w:hyperlink r:id="rId70">
        <w:r>
          <w:rPr>
            <w:color w:val="77230C"/>
            <w:sz w:val="20"/>
            <w:u w:val="single"/>
          </w:rPr>
          <w:t>Five analyst comments and reconciliation</w:t>
        </w:r>
      </w:hyperlink>
      <w:r>
        <w:t xml:space="preserve">  |  </w:t>
      </w:r>
      <w:hyperlink r:id="rId71">
        <w:r>
          <w:rPr>
            <w:color w:val="77230C"/>
            <w:sz w:val="20"/>
            <w:u w:val="single"/>
          </w:rPr>
          <w:t>Prospective outcomes dataset</w:t>
        </w:r>
      </w:hyperlink>
    </w:p>
    <w:p>
      <w:pPr>
        <w:pStyle w:val="Heading1"/>
        <w:keepNext/>
        <w:widowControl/>
        <w:keepLines/>
      </w:pPr>
      <w:r>
        <w:t xml:space="preserve">Revision note</w:t>
      </w:r>
    </w:p>
    <w:p>
      <w:pPr>
        <w:pStyle w:val="Normal"/>
        <w:keepNext/>
        <w:widowControl/>
        <w:keepLines/>
      </w:pPr>
      <w:r>
        <w:t xml:space="preserve">Revised 2026-10-24 12:46 CDT. V8 incorporates the matched local full-text PDFs and recorded corrections below. Prior versions and external analyst reviews remain preserved. Institutional decisions remain OPEN.</w:t>
      </w:r>
    </w:p>
    <w:p>
      <w:pPr>
        <w:pStyle w:val="Normal"/>
        <w:keepNext/>
        <w:widowControl/>
        <w:keepLines/>
      </w:pPr>
      <w:r>
        <w:rPr>
          <w:b/>
        </w:rPr>
        <w:t xml:space="preserve">Problem: </w:t>
      </w:r>
      <w:r>
        <w:t xml:space="preserve">Selected-recipient survival and early LDLT reports omitted key timing and donor-morbidity qualifications. </w:t>
      </w:r>
      <w:r>
        <w:rPr>
          <w:b/>
        </w:rPr>
        <w:t xml:space="preserve">Correction and reason: </w:t>
      </w:r>
      <w:r>
        <w:t xml:space="preserve">Added listing-based time origins, occult adverse pathology, donor reoperation/drainage and the distinction between conversion-to-resection evidence and transplant evidence.</w:t>
      </w:r>
    </w:p>
    <w:p>
      <w:pPr>
        <w:pStyle w:val="Normal"/>
        <w:keepNext/>
        <w:widowControl/>
        <w:keepLines/>
      </w:pPr>
      <w:r>
        <w:rPr>
          <w:b/>
        </w:rPr>
        <w:t xml:space="preserve">Problem: </w:t>
      </w:r>
      <w:r>
        <w:t xml:space="preserve">pCCA-specific biopsy/resection exclusions and a CRLM growth rule had been imported into iCCA. </w:t>
      </w:r>
      <w:r>
        <w:rPr>
          <w:b/>
        </w:rPr>
        <w:t xml:space="preserve">Correction and reason: </w:t>
      </w:r>
      <w:r>
        <w:t xml:space="preserve">Removed those cross-disease errors; retained required tissue diagnosis, appropriate reassessment and the actual iCCA guidance criteria.</w:t>
      </w:r>
    </w:p>
    <w:p>
      <w:pPr>
        <w:pStyle w:val="Normal"/>
        <w:keepNext/>
        <w:widowControl/>
        <w:keepLines/>
      </w:pPr>
      <w:r>
        <w:rPr>
          <w:b/>
        </w:rPr>
        <w:t xml:space="preserve">Problem: </w:t>
      </w:r>
      <w:r>
        <w:t xml:space="preserve">Six-month clock wording and the 2–3-cm evidence boundary were oversimplified. </w:t>
      </w:r>
      <w:r>
        <w:rPr>
          <w:b/>
        </w:rPr>
        <w:t xml:space="preserve">Correction and reason: </w:t>
      </w:r>
      <w:r>
        <w:t xml:space="preserve">Kept both official clock formulations visible for allocation clarification and distinguished selected early-iCCA outcomes from expanded LT evidence.</w:t>
      </w:r>
    </w:p>
    <w:p>
      <w:pPr>
        <w:pStyle w:val="Normal"/>
        <w:keepNext/>
        <w:widowControl/>
        <w:keepLines/>
      </w:pPr>
      <w:r>
        <w:rPr>
          <w:b/>
        </w:rPr>
        <w:t xml:space="preserve">Problem: </w:t>
      </w:r>
      <w:r>
        <w:t xml:space="preserve">A cohort median mTOR start and surveillance practice appeared as mandatory rules. </w:t>
      </w:r>
      <w:r>
        <w:rPr>
          <w:b/>
        </w:rPr>
        <w:t xml:space="preserve">Correction and reason: </w:t>
      </w:r>
      <w:r>
        <w:t xml:space="preserve">Removed the fixed conversion deadline and unproven cancer benefit; retained day-30 everolimus safety, graft safeguards and explicitly proposed follow-up.</w:t>
      </w:r>
    </w:p>
    <w:p>
      <w:pPr>
        <w:pStyle w:val="Normal"/>
        <w:keepNext/>
        <w:widowControl/>
        <w:keepLines/>
      </w:pPr>
      <w:r>
        <w:rPr>
          <w:b/>
        </w:rPr>
        <w:t xml:space="preserve">Problem: </w:t>
      </w:r>
      <w:r>
        <w:t xml:space="preserve">The new full texts were not linked to an updated evidence appraisal. </w:t>
      </w:r>
      <w:r>
        <w:rPr>
          <w:b/>
        </w:rPr>
        <w:t xml:space="preserve">Correction and reason: </w:t>
      </w:r>
      <w:r>
        <w:t xml:space="preserve">Added study-level outcomes, harms, denominators, source-specific limitations and depot links; the detailed paragraph reconciliation is retained in source/standard_body_reconciliation.json.</w:t>
      </w:r>
    </w:p>
    <w:p>
      <w:pPr>
        <w:pStyle w:val="Normal"/>
        <w:keepNext/>
        <w:widowControl/>
        <w:keepLines/>
      </w:pPr>
      <w:r>
        <w:rPr>
          <w:b/>
        </w:rPr>
        <w:t xml:space="preserve">Problem: </w:t>
      </w:r>
      <w:r>
        <w:t xml:space="preserve">Citation fields and source versions needed a consistent rebuild. </w:t>
      </w:r>
      <w:r>
        <w:rPr>
          <w:b/>
        </w:rPr>
        <w:t xml:space="preserve">Correction and reason: </w:t>
      </w:r>
      <w:r>
        <w:t xml:space="preserve">Populated structured EndNote citations and references, individual XML/RIS libraries and actual DOCX/PDF copies. Native Word/EndNote updating remains untested.</w:t>
      </w:r>
    </w:p>
    <w:p>
      <w:pPr>
        <w:pStyle w:val="Normal"/>
        <w:widowControl/>
        <w:keepLines/>
      </w:pPr>
      <w:r>
        <w:t xml:space="preserve">Approval record  Clinical lead __________  Allocation review __________  Research authorization if required __________  Donor review if applicable __________  Date __________</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[V12-1] Organ Procurement and Transplantation Network. OPTN Policies: liver allocation and living donation. HRSA/OPTN. 2026. </w:t>
      </w:r>
      <w:hyperlink r:id="rId141">
        <w:r>
          <w:rPr>
            <w:color w:val="0563C1"/>
            <w:u w:val="single"/>
          </w:rPr>
          <w:t>Source</w:t>
        </w:r>
      </w:hyperlink>
      <w:r>
        <w:t xml:space="preserve"> | </w:t>
      </w:r>
      <w:hyperlink r:id="rId142">
        <w:r>
          <w:rPr>
            <w:color w:val="0563C1"/>
            <w:u w:val="single"/>
          </w:rPr>
          <w:t>Full-text access</w:t>
        </w:r>
      </w:hyperlink>
    </w:p>
    <w:p>
      <w:pPr>
        <w:pStyle w:val="Normal"/>
        <w:widowControl/>
        <w:spacing w:after="120"/>
      </w:pPr>
      <w:r>
        <w:t xml:space="preserve"/>
      </w:r>
      <w:r>
        <w:t xml:space="preserve">[V12-2] Organ Procurement and Transplantation Network. Adult MELD Exceptions for Transplant Oncology. HRSA/OPTN. 2025. </w:t>
      </w:r>
      <w:hyperlink r:id="rId143">
        <w:r>
          <w:rPr>
            <w:color w:val="0563C1"/>
            <w:u w:val="single"/>
          </w:rPr>
          <w:t>Source</w:t>
        </w:r>
      </w:hyperlink>
      <w:r>
        <w:t xml:space="preserve"> | </w:t>
      </w:r>
      <w:hyperlink r:id="rId144">
        <w:r>
          <w:rPr>
            <w:color w:val="0563C1"/>
            <w:u w:val="single"/>
          </w:rPr>
          <w:t>Full-text access</w:t>
        </w:r>
      </w:hyperlink>
    </w:p>
    <w:p>
      <w:pPr>
        <w:pStyle w:val="Normal"/>
        <w:widowControl/>
        <w:spacing w:after="120"/>
      </w:pPr>
      <w:r>
        <w:t xml:space="preserve"/>
      </w:r>
      <w:r>
        <w:t xml:space="preserve">[V12-3] National Comprehensive Cancer Network. NCCN Clinical Practice Guidelines in Oncology: Biliary Tract Cancers, Version 1.2026 (10 March 2026). . 2026. </w:t>
      </w:r>
      <w:hyperlink r:id="rId145">
        <w:r>
          <w:rPr>
            <w:color w:val="0563C1"/>
            <w:u w:val="single"/>
          </w:rPr>
          <w:t>Source</w:t>
        </w:r>
      </w:hyperlink>
      <w:r>
        <w:t xml:space="preserve"> | </w:t>
      </w:r>
      <w:hyperlink r:id="rId146">
        <w:r>
          <w:rPr>
            <w:color w:val="0563C1"/>
            <w:u w:val="single"/>
          </w:rPr>
          <w:t>Full-text access</w:t>
        </w:r>
      </w:hyperlink>
    </w:p>
    <w:p>
      <w:pPr>
        <w:pStyle w:val="Normal"/>
        <w:widowControl/>
        <w:spacing w:after="120"/>
      </w:pPr>
      <w:r>
        <w:t xml:space="preserve"/>
      </w:r>
      <w:r>
        <w:t xml:space="preserve">[V12-4] Dove, Lorna; Chadha, Ryan M.; Lai, Jennifer C.; et al. AASLD AST Practice Guideline on adult liver transplantation: Candidate evaluation. Hepatology. 2026; 83(6):1609-1645. </w:t>
      </w:r>
      <w:hyperlink r:id="rId147">
        <w:r>
          <w:rPr>
            <w:color w:val="0563C1"/>
            <w:u w:val="single"/>
          </w:rPr>
          <w:t>Source</w:t>
        </w:r>
      </w:hyperlink>
      <w:r>
        <w:t xml:space="preserve"> | </w:t>
      </w:r>
      <w:hyperlink r:id="rId148">
        <w:r>
          <w:rPr>
            <w:color w:val="0563C1"/>
            <w:u w:val="single"/>
          </w:rPr>
          <w:t>Full-text access</w:t>
        </w:r>
      </w:hyperlink>
    </w:p>
    <w:p>
      <w:pPr>
        <w:pStyle w:val="Normal"/>
        <w:widowControl/>
        <w:spacing w:after="120"/>
      </w:pPr>
      <w:r>
        <w:t xml:space="preserve"/>
      </w:r>
      <w:r>
        <w:t xml:space="preserve">[V12-5] Sapisochin, G; Facciuto, M; Rubbia-Brandt, L; et al. Liver transplantation for "very early" intrahepatic cholangiocarcinoma: International retrospective study supporting a prospective assessment. Hepatology (Baltimore, Md.). 2016; 64(4):1178-88. </w:t>
      </w:r>
      <w:hyperlink r:id="rId149">
        <w:r>
          <w:rPr>
            <w:color w:val="0563C1"/>
            <w:u w:val="single"/>
          </w:rPr>
          <w:t>Source</w:t>
        </w:r>
      </w:hyperlink>
      <w:r>
        <w:t xml:space="preserve"> | </w:t>
      </w:r>
      <w:hyperlink r:id="rId150">
        <w:r>
          <w:rPr>
            <w:color w:val="0563C1"/>
            <w:u w:val="single"/>
          </w:rPr>
          <w:t>Full-text access</w:t>
        </w:r>
      </w:hyperlink>
    </w:p>
    <w:p>
      <w:pPr>
        <w:pStyle w:val="Normal"/>
        <w:widowControl/>
        <w:spacing w:after="120"/>
      </w:pPr>
      <w:r>
        <w:t xml:space="preserve"/>
      </w:r>
      <w:r>
        <w:t xml:space="preserve">[V12-6] Bowlus, Christopher L.; Arrivé, Lionel; Bergquist, Annika; et al. AASLD practice guidance on primary sclerosing cholangitis and cholangiocarcinoma. Hepatology. 2022; 77(2):659-702. </w:t>
      </w:r>
      <w:hyperlink r:id="rId151">
        <w:r>
          <w:rPr>
            <w:color w:val="0563C1"/>
            <w:u w:val="single"/>
          </w:rPr>
          <w:t>Source</w:t>
        </w:r>
      </w:hyperlink>
      <w:r>
        <w:t xml:space="preserve"> | </w:t>
      </w:r>
      <w:hyperlink r:id="rId152">
        <w:r>
          <w:rPr>
            <w:color w:val="0563C1"/>
            <w:u w:val="single"/>
          </w:rPr>
          <w:t>Full-text access</w:t>
        </w:r>
      </w:hyperlink>
    </w:p>
    <w:p>
      <w:pPr>
        <w:pStyle w:val="Normal"/>
        <w:widowControl/>
        <w:spacing w:after="120"/>
      </w:pPr>
      <w:r>
        <w:t xml:space="preserve"/>
      </w:r>
      <w:r>
        <w:t xml:space="preserve">[V12-7] Schleimer, Lauren E; Rousian, Merve; Alessandris, Remo; et al. Eligibility for Liver Transplantation in Patients with Intrahepatic Cholangiocarcinoma. Annals of surgical oncology. 2026; 33(7):6099-6109. </w:t>
      </w:r>
      <w:hyperlink r:id="rId153">
        <w:r>
          <w:rPr>
            <w:color w:val="0563C1"/>
            <w:u w:val="single"/>
          </w:rPr>
          <w:t>Source</w:t>
        </w:r>
      </w:hyperlink>
      <w:r>
        <w:t xml:space="preserve"> | </w:t>
      </w:r>
      <w:hyperlink r:id="rId154">
        <w:r>
          <w:rPr>
            <w:color w:val="0563C1"/>
            <w:u w:val="single"/>
          </w:rPr>
          <w:t>Full-text access</w:t>
        </w:r>
      </w:hyperlink>
    </w:p>
    <w:p>
      <w:pPr>
        <w:pStyle w:val="Normal"/>
        <w:widowControl/>
        <w:spacing w:after="120"/>
      </w:pPr>
      <w:r>
        <w:t xml:space="preserve"/>
      </w:r>
      <w:r>
        <w:t xml:space="preserve">[V12-8] McMillan, Robert R; Javle, Milind; Kodali, Sudha; et al. Survival following liver transplantation for locally advanced, unresectable intrahepatic cholangiocarcinoma. American journal of transplantation : official journal of the American Society of Transplantation and the American Society of Transplant Surgeons. 2022; 22(3):823-832. </w:t>
      </w:r>
      <w:hyperlink r:id="rId155">
        <w:r>
          <w:rPr>
            <w:color w:val="0563C1"/>
            <w:u w:val="single"/>
          </w:rPr>
          <w:t>Source</w:t>
        </w:r>
      </w:hyperlink>
      <w:r>
        <w:t xml:space="preserve"> | </w:t>
      </w:r>
      <w:hyperlink r:id="rId156">
        <w:r>
          <w:rPr>
            <w:color w:val="0563C1"/>
            <w:u w:val="single"/>
          </w:rPr>
          <w:t>Full-text access</w:t>
        </w:r>
      </w:hyperlink>
    </w:p>
    <w:p>
      <w:pPr>
        <w:pStyle w:val="Normal"/>
        <w:widowControl/>
        <w:spacing w:after="120"/>
      </w:pPr>
      <w:r>
        <w:t xml:space="preserve"/>
      </w:r>
      <w:r>
        <w:t xml:space="preserve">[V12-9] Sethi, Vrishketan; Gunabushanam, Vikraman; Liu, Hao; et al. Outcomes after living donor liver transplant for intrahepatic cholangiocarcinoma. American Journal of Transplantation. 2026. </w:t>
      </w:r>
      <w:hyperlink r:id="rId157">
        <w:r>
          <w:rPr>
            <w:color w:val="0563C1"/>
            <w:u w:val="single"/>
          </w:rPr>
          <w:t>Source</w:t>
        </w:r>
      </w:hyperlink>
      <w:r>
        <w:t xml:space="preserve"> | </w:t>
      </w:r>
      <w:hyperlink r:id="rId158">
        <w:r>
          <w:rPr>
            <w:color w:val="0563C1"/>
            <w:u w:val="single"/>
          </w:rPr>
          <w:t>Full-text access</w:t>
        </w:r>
      </w:hyperlink>
    </w:p>
    <w:p>
      <w:pPr>
        <w:pStyle w:val="Normal"/>
        <w:widowControl/>
        <w:spacing w:after="120"/>
      </w:pPr>
      <w:r>
        <w:t xml:space="preserve"/>
      </w:r>
      <w:r>
        <w:t xml:space="preserve">[V12-10] Yaqub, Sheraz; Busund, Sondre; Smedman, Tor Magnus; et al. Liver transplantation for locally advanced non-resectable intrahepatic cholangiocarcinoma treated with neoadjuvant therapy: early results from the TESLA trial. British Journal of Surgery. 2025. </w:t>
      </w:r>
      <w:hyperlink r:id="rId159">
        <w:r>
          <w:rPr>
            <w:color w:val="0563C1"/>
            <w:u w:val="single"/>
          </w:rPr>
          <w:t>Source</w:t>
        </w:r>
      </w:hyperlink>
      <w:r>
        <w:t xml:space="preserve"> | </w:t>
      </w:r>
      <w:hyperlink r:id="rId160">
        <w:r>
          <w:rPr>
            <w:color w:val="0563C1"/>
            <w:u w:val="single"/>
          </w:rPr>
          <w:t>Full-text access</w:t>
        </w:r>
      </w:hyperlink>
    </w:p>
    <w:p>
      <w:pPr>
        <w:pStyle w:val="Normal"/>
        <w:widowControl/>
        <w:spacing w:after="120"/>
      </w:pPr>
      <w:r>
        <w:t xml:space="preserve"/>
      </w:r>
      <w:r>
        <w:t xml:space="preserve">[V12-11] Shroff RT; Kennedy EB; Alarcon Rozas AE; et al. Treatment of Advanced Biliary Tract Cancer: ASCO Living Guideline, Version 2026.1.0.. Journal of clinical oncology : official journal of the American Society of Clinical Oncology. 2026; :101200JCO2602462. </w:t>
      </w:r>
      <w:hyperlink r:id="rId161">
        <w:r>
          <w:rPr>
            <w:color w:val="0563C1"/>
            <w:u w:val="single"/>
          </w:rPr>
          <w:t>Source</w:t>
        </w:r>
      </w:hyperlink>
      <w:r>
        <w:t xml:space="preserve"> | </w:t>
      </w:r>
      <w:hyperlink r:id="rId162">
        <w:r>
          <w:rPr>
            <w:color w:val="0563C1"/>
            <w:u w:val="single"/>
          </w:rPr>
          <w:t>Full-text access</w:t>
        </w:r>
      </w:hyperlink>
    </w:p>
    <w:p>
      <w:pPr>
        <w:pStyle w:val="Normal"/>
        <w:widowControl/>
        <w:spacing w:after="120"/>
      </w:pPr>
      <w:r>
        <w:t xml:space="preserve"/>
      </w:r>
      <w:r>
        <w:t xml:space="preserve">[V12-12] Vogel A; Saborowski A; Wenzel P; et al. Nanoliposomal irinotecan and fluorouracil plus leucovorin versus fluorouracil plus leucovorin in patients with cholangiocarcinoma and gallbladder carcinoma previously treated with gemcitabine-based therapies (AIO NALIRICC): a multicentre, open-label, randomised, phase 2 trial. The lancet. Gastroenterology &amp; hepatology. 2024; 9(8):734-744. </w:t>
      </w:r>
      <w:hyperlink r:id="rId163">
        <w:r>
          <w:rPr>
            <w:color w:val="0563C1"/>
            <w:u w:val="single"/>
          </w:rPr>
          <w:t>Source</w:t>
        </w:r>
      </w:hyperlink>
      <w:r>
        <w:t xml:space="preserve"> | </w:t>
      </w:r>
      <w:hyperlink r:id="rId164">
        <w:r>
          <w:rPr>
            <w:color w:val="0563C1"/>
            <w:u w:val="single"/>
          </w:rPr>
          <w:t>Full-text access</w:t>
        </w:r>
      </w:hyperlink>
    </w:p>
    <w:p>
      <w:pPr>
        <w:pStyle w:val="Normal"/>
        <w:widowControl/>
        <w:spacing w:after="120"/>
      </w:pPr>
      <w:r>
        <w:t xml:space="preserve"/>
      </w:r>
      <w:r>
        <w:t xml:space="preserve">[V12-13] Kobayashi S; Terashima T; Shiba S; et al. Multicenter retrospective analysis of systemic chemotherapy for unresectable combined hepatocellular and cholangiocarcinoma.. Cancer science. 2018; 109(8):2549-2557. </w:t>
      </w:r>
      <w:hyperlink r:id="rId165">
        <w:r>
          <w:rPr>
            <w:color w:val="0563C1"/>
            <w:u w:val="single"/>
          </w:rPr>
          <w:t>Source</w:t>
        </w:r>
      </w:hyperlink>
      <w:r>
        <w:t xml:space="preserve"> | </w:t>
      </w:r>
      <w:hyperlink r:id="rId166">
        <w:r>
          <w:rPr>
            <w:color w:val="0563C1"/>
            <w:u w:val="single"/>
          </w:rPr>
          <w:t>Full-text access</w:t>
        </w:r>
      </w:hyperlink>
    </w:p>
    <w:p>
      <w:pPr>
        <w:pStyle w:val="Normal"/>
        <w:widowControl/>
        <w:spacing w:after="120"/>
      </w:pPr>
      <w:r>
        <w:t xml:space="preserve"/>
      </w:r>
      <w:r>
        <w:t xml:space="preserve">[V12-14] Singal, Amit G; Llovet, Josep M; Yarchoan, Mark; et al. AASLD Practice Guidance on prevention, diagnosis, and treatment of hepatocellular carcinoma. Hepatology (Baltimore, Md.). 2023; 78(6):1922-1965. </w:t>
      </w:r>
      <w:hyperlink r:id="rId167">
        <w:r>
          <w:rPr>
            <w:color w:val="0563C1"/>
            <w:u w:val="single"/>
          </w:rPr>
          <w:t>Source</w:t>
        </w:r>
      </w:hyperlink>
      <w:r>
        <w:t xml:space="preserve"> | </w:t>
      </w:r>
      <w:hyperlink r:id="rId168">
        <w:r>
          <w:rPr>
            <w:color w:val="0563C1"/>
            <w:u w:val="single"/>
          </w:rPr>
          <w:t>Full-text access</w:t>
        </w:r>
      </w:hyperlink>
    </w:p>
    <w:p>
      <w:pPr>
        <w:pStyle w:val="Normal"/>
        <w:widowControl/>
        <w:spacing w:after="120"/>
      </w:pPr>
      <w:r>
        <w:t xml:space="preserve"/>
      </w:r>
      <w:r>
        <w:t xml:space="preserve">[V12-15] Moeckli, Beat; Wassmer, Charles-Henri; El Hajji, Sofia; et al. Determining safe washout period for immune checkpoint inhibitors prior to liver transplantation: An international retrospective cohort study. Hepatology. 2025; 82(5):1122-1137. </w:t>
      </w:r>
      <w:hyperlink r:id="rId169">
        <w:r>
          <w:rPr>
            <w:color w:val="0563C1"/>
            <w:u w:val="single"/>
          </w:rPr>
          <w:t>Source</w:t>
        </w:r>
      </w:hyperlink>
      <w:r>
        <w:t xml:space="preserve"> | </w:t>
      </w:r>
      <w:hyperlink r:id="rId170">
        <w:r>
          <w:rPr>
            <w:color w:val="0563C1"/>
            <w:u w:val="single"/>
          </w:rPr>
          <w:t>Full-text access</w:t>
        </w:r>
      </w:hyperlink>
    </w:p>
    <w:p>
      <w:pPr>
        <w:pStyle w:val="Normal"/>
        <w:widowControl/>
        <w:spacing w:after="120"/>
      </w:pPr>
      <w:r>
        <w:t xml:space="preserve"/>
      </w:r>
      <w:r>
        <w:t xml:space="preserve">[V12-16] Tabrizian, Parissa; Holzner, Matthew L.; Ajmera, Veeral; et al. Intention-to-treat outcomes of patients with hepatocellular carcinoma receiving immunotherapy before liver transplant: The multicenter VITALITY study. Journal of Hepatology. 2025; 82(3):512-522. </w:t>
      </w:r>
      <w:hyperlink r:id="rId171">
        <w:r>
          <w:rPr>
            <w:color w:val="0563C1"/>
            <w:u w:val="single"/>
          </w:rPr>
          <w:t>Source</w:t>
        </w:r>
      </w:hyperlink>
      <w:r>
        <w:t xml:space="preserve"> | </w:t>
      </w:r>
      <w:hyperlink r:id="rId172">
        <w:r>
          <w:rPr>
            <w:color w:val="0563C1"/>
            <w:u w:val="single"/>
          </w:rPr>
          <w:t>Full-text access</w:t>
        </w:r>
      </w:hyperlink>
    </w:p>
    <w:p>
      <w:pPr>
        <w:pStyle w:val="Normal"/>
        <w:widowControl/>
        <w:spacing w:after="120"/>
      </w:pPr>
      <w:r>
        <w:t xml:space="preserve"/>
      </w:r>
      <w:r>
        <w:t xml:space="preserve">[V12-17] Lunsford, Keri E; Javle, Milind; Heyne, Kirk; et al. Liver transplantation for locally advanced intrahepatic cholangiocarcinoma treated with neoadjuvant therapy: a prospective case-series. The lancet. Gastroenterology &amp; hepatology. 2018; 3(5):337-348. </w:t>
      </w:r>
      <w:hyperlink r:id="rId173">
        <w:r>
          <w:rPr>
            <w:color w:val="0563C1"/>
            <w:u w:val="single"/>
          </w:rPr>
          <w:t>Source</w:t>
        </w:r>
      </w:hyperlink>
      <w:r>
        <w:t xml:space="preserve"> | </w:t>
      </w:r>
      <w:hyperlink r:id="rId174">
        <w:r>
          <w:rPr>
            <w:color w:val="0563C1"/>
            <w:u w:val="single"/>
          </w:rPr>
          <w:t>Full-text access</w:t>
        </w:r>
      </w:hyperlink>
    </w:p>
    <w:p>
      <w:pPr>
        <w:pStyle w:val="Normal"/>
        <w:widowControl/>
        <w:spacing w:after="120"/>
      </w:pPr>
      <w:r>
        <w:t xml:space="preserve"/>
      </w:r>
      <w:r>
        <w:t xml:space="preserve">[V12-18] Ramanan, Poornima; Cummins, Nathan W.; Wilhelm, Mark P.; et al. Epidemiology, risk factors, and outcomes of infections in patients undergoing liver transplantation for hilar cholangiocarcinoma. Clinical Transplantation. 2017; 31(8). </w:t>
      </w:r>
      <w:hyperlink r:id="rId175">
        <w:r>
          <w:rPr>
            <w:color w:val="0563C1"/>
            <w:u w:val="single"/>
          </w:rPr>
          <w:t>Source</w:t>
        </w:r>
      </w:hyperlink>
      <w:r>
        <w:t xml:space="preserve"> | </w:t>
      </w:r>
      <w:hyperlink r:id="rId176">
        <w:r>
          <w:rPr>
            <w:color w:val="0563C1"/>
            <w:u w:val="single"/>
          </w:rPr>
          <w:t>Full-text access</w:t>
        </w:r>
      </w:hyperlink>
    </w:p>
    <w:p>
      <w:pPr>
        <w:pStyle w:val="Normal"/>
        <w:widowControl/>
        <w:spacing w:after="120"/>
      </w:pPr>
      <w:r>
        <w:t xml:space="preserve"/>
      </w:r>
      <w:r>
        <w:t xml:space="preserve">[V12-19] Semaan, Samar; Connor, Ashton A.; Saharia, Ashish; et al. Transplantation for Peri-Hilar and Intrahepatic Cholangiocarcinoma With mTOR Immunosuppression. Transplantation Proceedings. 2025; 57(2):255-263. </w:t>
      </w:r>
      <w:hyperlink r:id="rId177">
        <w:r>
          <w:rPr>
            <w:color w:val="0563C1"/>
            <w:u w:val="single"/>
          </w:rPr>
          <w:t>Source</w:t>
        </w:r>
      </w:hyperlink>
      <w:r>
        <w:t xml:space="preserve"> | </w:t>
      </w:r>
      <w:hyperlink r:id="rId178">
        <w:r>
          <w:rPr>
            <w:color w:val="0563C1"/>
            <w:u w:val="single"/>
          </w:rPr>
          <w:t>Full-text access</w:t>
        </w:r>
      </w:hyperlink>
    </w:p>
    <w:p>
      <w:pPr>
        <w:pStyle w:val="Normal"/>
        <w:widowControl/>
        <w:spacing w:after="120"/>
      </w:pPr>
      <w:r>
        <w:t xml:space="preserve"/>
      </w:r>
      <w:r>
        <w:t xml:space="preserve">[V12-20] Novartis Pharmaceuticals Corporation. Zortress (everolimus) US prescribing information, updated 16 September 2026. DailyMed. 2026. </w:t>
      </w:r>
      <w:hyperlink r:id="rId179">
        <w:r>
          <w:rPr>
            <w:color w:val="0563C1"/>
            <w:u w:val="single"/>
          </w:rPr>
          <w:t>Source</w:t>
        </w:r>
      </w:hyperlink>
      <w:r>
        <w:t xml:space="preserve"> | </w:t>
      </w:r>
      <w:hyperlink r:id="rId180">
        <w:r>
          <w:rPr>
            <w:color w:val="0563C1"/>
            <w:u w:val="single"/>
          </w:rPr>
          <w:t>Full-text access</w:t>
        </w:r>
      </w:hyperlink>
    </w:p>
    <w:p>
      <w:pPr>
        <w:pStyle w:val="Normal"/>
        <w:widowControl/>
        <w:spacing w:after="120"/>
      </w:pPr>
      <w:r>
        <w:t xml:space="preserve"/>
      </w:r>
      <w:r>
        <w:t xml:space="preserve">[V12-21] Heinrich, Sophia; Campos‐Murguia, Alejandro; Mensah, Angelina; et al. A Retrospective Multicenter Study Identifies a Similar Overall Survival of Patients After Liver Transplantation With Incidental Cholangiocarcinoma Compared to Hepatocellular Carcinoma. Clinical Transplantation. 2026; 40(5). </w:t>
      </w:r>
      <w:hyperlink r:id="rId181">
        <w:r>
          <w:rPr>
            <w:color w:val="0563C1"/>
            <w:u w:val="single"/>
          </w:rPr>
          <w:t>Source</w:t>
        </w:r>
      </w:hyperlink>
      <w:r>
        <w:t xml:space="preserve"> | </w:t>
      </w:r>
      <w:hyperlink r:id="rId182">
        <w:r>
          <w:rPr>
            <w:color w:val="0563C1"/>
            <w:u w:val="single"/>
          </w:rPr>
          <w:t>Full-text access</w:t>
        </w:r>
      </w:hyperlink>
    </w:p>
    <w:p>
      <w:pPr>
        <w:pStyle w:val="Normal"/>
        <w:widowControl/>
        <w:spacing w:after="120"/>
      </w:pPr>
      <w:r>
        <w:t xml:space="preserve"/>
      </w:r>
      <w:r>
        <w:t xml:space="preserve">[V12-22] Sharma, Pratima; Izzy, Manhal; Ghabril, Marwan S.; et al. AASLD AST Practice Guideline on adult liver transplantation: Diagnosis and post-transplant management of non-graft–related complications. Liver Transplantation. 2025; 32(8):1157-1193. </w:t>
      </w:r>
      <w:hyperlink r:id="rId183">
        <w:r>
          <w:rPr>
            <w:color w:val="0563C1"/>
            <w:u w:val="single"/>
          </w:rPr>
          <w:t>Source</w:t>
        </w:r>
      </w:hyperlink>
      <w:r>
        <w:t xml:space="preserve"> | </w:t>
      </w:r>
      <w:hyperlink r:id="rId184">
        <w:r>
          <w:rPr>
            <w:color w:val="0563C1"/>
            <w:u w:val="single"/>
          </w:rPr>
          <w:t>Full-text access</w:t>
        </w:r>
      </w:hyperlink>
    </w:p>
    <w:p>
      <w:pPr>
        <w:pStyle w:val="Normal"/>
        <w:widowControl/>
        <w:spacing w:after="120"/>
      </w:pPr>
      <w:r>
        <w:t xml:space="preserve"/>
      </w:r>
      <w:r>
        <w:t xml:space="preserve">[V12-23] Gül-Klein, Safak; Schmitz, Paulina; Schöning, Wenzel; et al. The Role of Immunosuppression for Recurrent Cholangiocellular Carcinoma after Liver Transplantation. Cancers. 2022; 14(12):2890. </w:t>
      </w:r>
      <w:hyperlink r:id="rId185">
        <w:r>
          <w:rPr>
            <w:color w:val="0563C1"/>
            <w:u w:val="single"/>
          </w:rPr>
          <w:t>Source</w:t>
        </w:r>
      </w:hyperlink>
      <w:r>
        <w:t xml:space="preserve"> | </w:t>
      </w:r>
      <w:hyperlink r:id="rId186">
        <w:r>
          <w:rPr>
            <w:color w:val="0563C1"/>
            <w:u w:val="single"/>
          </w:rPr>
          <w:t>Full-text access</w:t>
        </w:r>
      </w:hyperlink>
    </w:p>
    <w:p>
      <w:pPr>
        <w:pStyle w:val="Normal"/>
        <w:widowControl/>
        <w:spacing w:after="120"/>
      </w:pPr>
      <w:r>
        <w:t xml:space="preserve"/>
      </w:r>
      <w:r>
        <w:t xml:space="preserve">[V12-24] Te, Helen S.; Agopian, Vatche G.; Demetris, Anthony J.; et al. AASLD AST Practice Guideline on adult liver transplantation: Diagnosis and management of graft-related complications. Liver Transplantation. 2025; 32(3):444-490. </w:t>
      </w:r>
      <w:hyperlink r:id="rId187">
        <w:r>
          <w:rPr>
            <w:color w:val="0563C1"/>
            <w:u w:val="single"/>
          </w:rPr>
          <w:t>Source</w:t>
        </w:r>
      </w:hyperlink>
      <w:r>
        <w:t xml:space="preserve"> | </w:t>
      </w:r>
      <w:hyperlink r:id="rId188">
        <w:r>
          <w:rPr>
            <w:color w:val="0563C1"/>
            <w:u w:val="single"/>
          </w:rPr>
          <w:t>Full-text access</w:t>
        </w:r>
      </w:hyperlink>
    </w:p>
    <w:p>
      <w:pPr>
        <w:pStyle w:val="Normal"/>
        <w:widowControl/>
        <w:spacing w:after="120"/>
      </w:pPr>
      <w:r>
        <w:t xml:space="preserve"/>
      </w:r>
      <w:r>
        <w:t xml:space="preserve">[V12-25] Abdelrahim, Maen; Esmail, Abdullah; Connor, Ashton A; et al. Utilization of immunotherapy as a neoadjuvant treatment in liver transplant recipients with hepatobiliary carcinoma. Frontiers in oncology. 2026; 16:1866870. </w:t>
      </w:r>
      <w:hyperlink r:id="rId189">
        <w:r>
          <w:rPr>
            <w:color w:val="0563C1"/>
            <w:u w:val="single"/>
          </w:rPr>
          <w:t>Source</w:t>
        </w:r>
      </w:hyperlink>
      <w:r>
        <w:t xml:space="preserve"> | </w:t>
      </w:r>
      <w:hyperlink r:id="rId190">
        <w:r>
          <w:rPr>
            <w:color w:val="0563C1"/>
            <w:u w:val="single"/>
          </w:rPr>
          <w:t>Full-text access</w:t>
        </w:r>
      </w:hyperlink>
    </w:p>
    <w:p>
      <w:pPr>
        <w:pStyle w:val="Normal"/>
        <w:widowControl/>
        <w:spacing w:after="120"/>
      </w:pPr>
      <w:r>
        <w:t xml:space="preserve"/>
      </w:r>
      <w:r>
        <w:t xml:space="preserve">[V12-26] Abecassis, M.M.; Fisher, R.A.; Olthoff, K.M.; et al. Complications of Living Donor Hepatic Lobectomy—A Comprehensive Report. American Journal of Transplantation. 2012; 12(5):1208-1217. </w:t>
      </w:r>
      <w:hyperlink r:id="rId191">
        <w:r>
          <w:rPr>
            <w:color w:val="0563C1"/>
            <w:u w:val="single"/>
          </w:rPr>
          <w:t>Source</w:t>
        </w:r>
      </w:hyperlink>
      <w:r>
        <w:t xml:space="preserve"> | </w:t>
      </w:r>
      <w:hyperlink r:id="rId192">
        <w:r>
          <w:rPr>
            <w:color w:val="0563C1"/>
            <w:u w:val="single"/>
          </w:rPr>
          <w:t>Full-text access</w:t>
        </w:r>
      </w:hyperlink>
    </w:p>
    <w:p>
      <w:pPr>
        <w:pStyle w:val="Normal"/>
        <w:widowControl/>
        <w:spacing w:after="120"/>
      </w:pPr>
      <w:r>
        <w:t xml:space="preserve"/>
      </w:r>
      <w:r>
        <w:t xml:space="preserve">[V12-27] DiMartini, A.; Dew, M.A.; Liu, Q.; et al. Social and Financial Outcomes of Living Liver Donation: A Prospective Investigation Within the Adult-to-Adult Living Donor Liver Transplantation Cohort Study 2 (A2ALL-2). American Journal of Transplantation. 2017; 17(4):1081-1096. </w:t>
      </w:r>
      <w:hyperlink r:id="rId193">
        <w:r>
          <w:rPr>
            <w:color w:val="0563C1"/>
            <w:u w:val="single"/>
          </w:rPr>
          <w:t>Source</w:t>
        </w:r>
      </w:hyperlink>
      <w:r>
        <w:t xml:space="preserve"> | </w:t>
      </w:r>
      <w:hyperlink r:id="rId194">
        <w:r>
          <w:rPr>
            <w:color w:val="0563C1"/>
            <w:u w:val="single"/>
          </w:rPr>
          <w:t>Full-text access</w:t>
        </w:r>
      </w:hyperlink>
    </w:p>
    <w:p>
      <w:pPr>
        <w:pStyle w:val="Normal"/>
        <w:widowControl/>
        <w:spacing w:after="120"/>
      </w:pPr>
      <w:r>
        <w:t xml:space="preserve"/>
      </w:r>
      <w:r>
        <w:t xml:space="preserve">[V12-28] Xiao, Jieling; Zeng, Rebecca Wenling; Lim, Wen Hui; et al. The incidence of adverse outcome in donors after living donor liver transplantation: A meta-analysis of 60,829 donors. Liver Transplantation. 2024; 30(5):493-504. </w:t>
      </w:r>
      <w:hyperlink r:id="rId195">
        <w:r>
          <w:rPr>
            <w:color w:val="0563C1"/>
            <w:u w:val="single"/>
          </w:rPr>
          <w:t>Source</w:t>
        </w:r>
      </w:hyperlink>
      <w:r>
        <w:t xml:space="preserve"> | </w:t>
      </w:r>
      <w:hyperlink r:id="rId196">
        <w:r>
          <w:rPr>
            <w:color w:val="0563C1"/>
            <w:u w:val="single"/>
          </w:rPr>
          <w:t>Full-text access</w:t>
        </w:r>
      </w:hyperlink>
    </w:p>
    <w:p>
      <w:pPr>
        <w:pStyle w:val="Normal"/>
        <w:widowControl/>
        <w:spacing w:after="120"/>
      </w:pPr>
      <w:r>
        <w:t xml:space="preserve"/>
      </w:r>
      <w:r>
        <w:t xml:space="preserve">[V12-29] Shi, Guo-Ming; Huang, Xiao-Yong; Liang, Fei; et al. Neoadjuvant GOLP in Resectable High-Risk Intrahepatic Cholangiocarcinoma. The New England journal of medicine. 2026; 394(10):983-995. </w:t>
      </w:r>
      <w:hyperlink r:id="rId197">
        <w:r>
          <w:rPr>
            <w:color w:val="0563C1"/>
            <w:u w:val="single"/>
          </w:rPr>
          <w:t>Source</w:t>
        </w:r>
      </w:hyperlink>
      <w:r>
        <w:t xml:space="preserve"> | </w:t>
      </w:r>
      <w:hyperlink r:id="rId198">
        <w:r>
          <w:rPr>
            <w:color w:val="0563C1"/>
            <w:u w:val="single"/>
          </w:rPr>
          <w:t>Full-text access</w:t>
        </w:r>
      </w:hyperlink>
    </w:p>
    <w:p>
      <w:pPr>
        <w:pStyle w:val="Normal"/>
        <w:widowControl/>
        <w:spacing w:after="120"/>
      </w:pPr>
      <w:r>
        <w:t xml:space="preserve"/>
      </w:r>
      <w:r>
        <w:t xml:space="preserve">[V12-30] Dageforde, Leigh Anne; Vachharajani, Neeta; Tabrizian, Parissa; et al. Multi-Center Analysis of Liver Transplantation for Combined Hepatocellular Carcinoma-Cholangiocarcinoma Liver Tumors. Journal of the American College of Surgeons. 2021. </w:t>
      </w:r>
      <w:hyperlink r:id="rId199">
        <w:r>
          <w:rPr>
            <w:color w:val="0563C1"/>
            <w:u w:val="single"/>
          </w:rPr>
          <w:t>Source</w:t>
        </w:r>
      </w:hyperlink>
      <w:r>
        <w:t xml:space="preserve"> | </w:t>
      </w:r>
      <w:hyperlink r:id="rId200">
        <w:r>
          <w:rPr>
            <w:color w:val="0563C1"/>
            <w:u w:val="single"/>
          </w:rPr>
          <w:t>Full-text access</w:t>
        </w:r>
      </w:hyperlink>
    </w:p>
    <w:p>
      <w:pPr>
        <w:pStyle w:val="Normal"/>
        <w:widowControl/>
        <w:spacing w:after="120"/>
      </w:pPr>
      <w:r>
        <w:t xml:space="preserve"/>
      </w:r>
      <w:r>
        <w:t xml:space="preserve">[V12-31] De Martin, E; Rayar, M; Golse, N; et al. Analysis of Liver Resection Versus Liver Transplantation on Outcome of Small Intrahepatic Cholangiocarcinoma and Combined Hepatocellular-Cholangiocarcinoma in the Setting of Cirrhosis. Liver Transplantation. 2020. </w:t>
      </w:r>
      <w:hyperlink r:id="rId201">
        <w:r>
          <w:rPr>
            <w:color w:val="0563C1"/>
            <w:u w:val="single"/>
          </w:rPr>
          <w:t>Source</w:t>
        </w:r>
      </w:hyperlink>
      <w:r>
        <w:t xml:space="preserve"> | </w:t>
      </w:r>
      <w:hyperlink r:id="rId202">
        <w:r>
          <w:rPr>
            <w:color w:val="0563C1"/>
            <w:u w:val="single"/>
          </w:rPr>
          <w:t>Full-text access</w:t>
        </w:r>
      </w:hyperlink>
    </w:p>
    <w:p>
      <w:pPr>
        <w:pStyle w:val="Normal"/>
        <w:widowControl/>
        <w:spacing w:after="120"/>
      </w:pPr>
      <w:r>
        <w:t xml:space="preserve"/>
      </w:r>
      <w:r>
        <w:t xml:space="preserve">[V12-32] Giguet, Baptiste; Artru, Florent; Jeddou, Heithem; et al. Liver transplantation in unresectable intrahepatic cholangiocarcinoma following neoadjuvant chemotherapy and SIRT. JHEP Reports. 2026. </w:t>
      </w:r>
      <w:hyperlink r:id="rId203">
        <w:r>
          <w:rPr>
            <w:color w:val="0563C1"/>
            <w:u w:val="single"/>
          </w:rPr>
          <w:t>Source</w:t>
        </w:r>
      </w:hyperlink>
      <w:r>
        <w:t xml:space="preserve"> | </w:t>
      </w:r>
      <w:hyperlink r:id="rId204">
        <w:r>
          <w:rPr>
            <w:color w:val="0563C1"/>
            <w:u w:val="single"/>
          </w:rPr>
          <w:t>Full-text access</w:t>
        </w:r>
      </w:hyperlink>
    </w:p>
    <w:p>
      <w:pPr>
        <w:pStyle w:val="Normal"/>
        <w:widowControl/>
        <w:spacing w:after="120"/>
      </w:pPr>
      <w:r>
        <w:t xml:space="preserve"/>
      </w:r>
      <w:r>
        <w:t xml:space="preserve">[V12-33] Shroff, Rachna T; King, Gentry; Colby, Sarah; et al. SWOG S1815: A Phase III Randomized Trial of Gemcitabine, Cisplatin, and Nab-Paclitaxel Versus Gemcitabine and Cisplatin in Newly Diagnosed, Advanced Biliary Tract Cancers. Journal of clinical oncology : official journal of the American Society of Clinical Oncology. 2025; 43(5):536-544. </w:t>
      </w:r>
      <w:hyperlink r:id="rId205">
        <w:r>
          <w:rPr>
            <w:color w:val="0563C1"/>
            <w:u w:val="single"/>
          </w:rPr>
          <w:t>Source</w:t>
        </w:r>
      </w:hyperlink>
      <w:r>
        <w:t xml:space="preserve"> | </w:t>
      </w:r>
      <w:hyperlink r:id="rId206">
        <w:r>
          <w:rPr>
            <w:color w:val="0563C1"/>
            <w:u w:val="single"/>
          </w:rPr>
          <w:t>Full-text access</w:t>
        </w:r>
      </w:hyperlink>
    </w:p>
    <w:p>
      <w:pPr>
        <w:pStyle w:val="Normal"/>
        <w:widowControl/>
        <w:spacing w:after="120"/>
      </w:pPr>
      <w:r>
        <w:t xml:space="preserve"/>
      </w:r>
      <w:r>
        <w:t xml:space="preserve">[V12-34] Oh, Do-Youn; He, Aiwu Ruth; Qin, Shukui; et al. Durvalumab plus chemotherapy in advanced biliary tract cancer: 3-year overall survival update from the phase III TOPAZ-1 study. Journal of Hepatology. 2025. </w:t>
      </w:r>
      <w:hyperlink r:id="rId207">
        <w:r>
          <w:rPr>
            <w:color w:val="0563C1"/>
            <w:u w:val="single"/>
          </w:rPr>
          <w:t>Source</w:t>
        </w:r>
      </w:hyperlink>
      <w:r>
        <w:t xml:space="preserve"> | </w:t>
      </w:r>
      <w:hyperlink r:id="rId208">
        <w:r>
          <w:rPr>
            <w:color w:val="0563C1"/>
            <w:u w:val="single"/>
          </w:rPr>
          <w:t>Full-text access</w:t>
        </w:r>
      </w:hyperlink>
      <w:r>
        <w:fldChar w:fldCharType="end"/>
      </w:r>
    </w:p>
    <w:p>
      <w:pPr>
        <w:pStyle w:val="Heading1"/>
        <w:widowControl/>
        <w:keepNext/>
      </w:pPr>
      <w:r>
        <w:t xml:space="preserve">V12 revision note</w:t>
      </w:r>
    </w:p>
    <w:p>
      <w:pPr>
        <w:pStyle w:val="Normal"/>
        <w:widowControl/>
        <w:spacing w:after="120"/>
      </w:pPr>
      <w:r>
        <w:t xml:space="preserve">2026-10-25 04:38 CDT. Problem and correction: Integrate iCCA full-text findings at the treatment/selection interface. Separate systemic cancer control from transplant eligibility and allocation. Do not infer new transplant eligibility from these regimen studies.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abstractNum w:abstractNumId="3">
    <w:multiLevelType w:val="multilevel"/>
    <w:lvl w:ilvl="0">
      <w:start w:val="1"/>
      <w:numFmt w:val="bullet"/>
      <w:lvlText w:val="•"/>
      <w:lvlJc w:val="left"/>
      <w:pPr>
        <w:ind w:left="360" w:hanging="220"/>
      </w:pPr>
    </w:lvl>
    <w:lvl w:ilvl="1">
      <w:start w:val="1"/>
      <w:numFmt w:val="bullet"/>
      <w:lvlText w:val="–"/>
      <w:lvlJc w:val="left"/>
      <w:pPr>
        <w:ind w:left="720" w:hanging="220"/>
      </w:pPr>
    </w:lvl>
    <w:lvl w:ilvl="2">
      <w:start w:val="1"/>
      <w:numFmt w:val="bullet"/>
      <w:lvlText w:val="–"/>
      <w:lvlJc w:val="left"/>
      <w:pPr>
        <w:ind w:left="1080" w:hanging="220"/>
      </w:pPr>
    </w:lvl>
  </w:abstractNum>
  <w:num w:numId="3">
    <w:abstractNumId w:val="3"/>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D09"/>
    <w:rPr>
      <w:sz w:val="20"/>
      <w:szCs w:val="20"/>
    </w:rPr>
  </w:style>
  <w:style w:type="paragraph" w:styleId="Heading1">
    <w:name w:val="heading 1"/>
    <w:basedOn w:val="Normal"/>
    <w:next w:val="Normal"/>
    <w:link w:val="Heading1Char"/>
    <w:uiPriority w:val="9"/>
    <w:qFormat/>
    <w:rsid w:val="00073D0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073D0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073D09"/>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073D09"/>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073D09"/>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073D09"/>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073D09"/>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073D09"/>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73D09"/>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73D09"/>
    <w:pPr>
      <w:spacing w:before="720"/>
    </w:pPr>
    <w:rPr>
      <w:caps/>
      <w:color w:val="156082" w:themeColor="accent1"/>
      <w:spacing w:val="10"/>
      <w:kern w:val="28"/>
      <w:sz w:val="52"/>
      <w:szCs w:val="52"/>
    </w:rPr>
  </w:style>
  <w:style w:type="paragraph" w:customStyle="1" w:styleId="Strong1">
    <w:name w:val="Strong1"/>
    <w:basedOn w:val="Normal"/>
    <w:next w:val="Normal"/>
    <w:rPr>
      <w:b/>
      <w:bCs/>
    </w:rPr>
  </w:style>
  <w:style w:type="paragraph" w:styleId="ListParagraph">
    <w:name w:val="List Paragraph"/>
    <w:basedOn w:val="Normal"/>
    <w:uiPriority w:val="34"/>
    <w:qFormat/>
    <w:rsid w:val="00073D09"/>
    <w:pPr>
      <w:ind w:left="720"/>
      <w:contextualSpacing/>
    </w:pPr>
  </w:style>
  <w:style w:type="character" w:styleId="Hyperlink">
    <w:name w:val="Hyperlink"/>
    <w:uiPriority w:val="99"/>
    <w:unhideWhenUsed/>
    <w:qFormat/>
    <w:rPr>
      <w:b w:val="0"/>
      <w:bCs w:val="0"/>
      <w:color w:val="0000FF"/>
      <w:sz w:val="24"/>
      <w:szCs w:val="24"/>
      <w:u w:val="single" w:color="0000F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073D09"/>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073D09"/>
    <w:rPr>
      <w:caps/>
      <w:spacing w:val="15"/>
      <w:shd w:val="clear" w:color="auto" w:fill="C1E4F5" w:themeFill="accent1" w:themeFillTint="33"/>
    </w:rPr>
  </w:style>
  <w:style w:type="character" w:customStyle="1" w:styleId="Heading3Char">
    <w:name w:val="Heading 3 Char"/>
    <w:basedOn w:val="DefaultParagraphFont"/>
    <w:link w:val="Heading3"/>
    <w:uiPriority w:val="9"/>
    <w:rsid w:val="00073D09"/>
    <w:rPr>
      <w:caps/>
      <w:color w:val="0A2F40" w:themeColor="accent1" w:themeShade="7F"/>
      <w:spacing w:val="15"/>
    </w:rPr>
  </w:style>
  <w:style w:type="character" w:customStyle="1" w:styleId="Heading4Char">
    <w:name w:val="Heading 4 Char"/>
    <w:basedOn w:val="DefaultParagraphFont"/>
    <w:link w:val="Heading4"/>
    <w:uiPriority w:val="9"/>
    <w:semiHidden/>
    <w:rsid w:val="00073D09"/>
    <w:rPr>
      <w:caps/>
      <w:color w:val="0F4761" w:themeColor="accent1" w:themeShade="BF"/>
      <w:spacing w:val="10"/>
    </w:rPr>
  </w:style>
  <w:style w:type="character" w:customStyle="1" w:styleId="Heading5Char">
    <w:name w:val="Heading 5 Char"/>
    <w:basedOn w:val="DefaultParagraphFont"/>
    <w:link w:val="Heading5"/>
    <w:uiPriority w:val="9"/>
    <w:semiHidden/>
    <w:rsid w:val="00073D09"/>
    <w:rPr>
      <w:caps/>
      <w:color w:val="0F4761" w:themeColor="accent1" w:themeShade="BF"/>
      <w:spacing w:val="10"/>
    </w:rPr>
  </w:style>
  <w:style w:type="character" w:customStyle="1" w:styleId="Heading6Char">
    <w:name w:val="Heading 6 Char"/>
    <w:basedOn w:val="DefaultParagraphFont"/>
    <w:link w:val="Heading6"/>
    <w:uiPriority w:val="9"/>
    <w:semiHidden/>
    <w:rsid w:val="00073D09"/>
    <w:rPr>
      <w:caps/>
      <w:color w:val="0F4761" w:themeColor="accent1" w:themeShade="BF"/>
      <w:spacing w:val="10"/>
    </w:rPr>
  </w:style>
  <w:style w:type="character" w:customStyle="1" w:styleId="Heading7Char">
    <w:name w:val="Heading 7 Char"/>
    <w:basedOn w:val="DefaultParagraphFont"/>
    <w:link w:val="Heading7"/>
    <w:uiPriority w:val="9"/>
    <w:semiHidden/>
    <w:rsid w:val="00073D09"/>
    <w:rPr>
      <w:caps/>
      <w:color w:val="0F4761" w:themeColor="accent1" w:themeShade="BF"/>
      <w:spacing w:val="10"/>
    </w:rPr>
  </w:style>
  <w:style w:type="character" w:customStyle="1" w:styleId="Heading8Char">
    <w:name w:val="Heading 8 Char"/>
    <w:basedOn w:val="DefaultParagraphFont"/>
    <w:link w:val="Heading8"/>
    <w:uiPriority w:val="9"/>
    <w:semiHidden/>
    <w:rsid w:val="00073D09"/>
    <w:rPr>
      <w:caps/>
      <w:spacing w:val="10"/>
      <w:sz w:val="18"/>
      <w:szCs w:val="18"/>
    </w:rPr>
  </w:style>
  <w:style w:type="character" w:customStyle="1" w:styleId="Heading9Char">
    <w:name w:val="Heading 9 Char"/>
    <w:basedOn w:val="DefaultParagraphFont"/>
    <w:link w:val="Heading9"/>
    <w:uiPriority w:val="9"/>
    <w:semiHidden/>
    <w:rsid w:val="00073D09"/>
    <w:rPr>
      <w:i/>
      <w:caps/>
      <w:spacing w:val="10"/>
      <w:sz w:val="18"/>
      <w:szCs w:val="18"/>
    </w:rPr>
  </w:style>
  <w:style w:type="paragraph" w:styleId="Caption">
    <w:name w:val="caption"/>
    <w:basedOn w:val="Normal"/>
    <w:next w:val="Normal"/>
    <w:uiPriority w:val="35"/>
    <w:semiHidden/>
    <w:unhideWhenUsed/>
    <w:qFormat/>
    <w:rsid w:val="00073D09"/>
    <w:rPr>
      <w:b/>
      <w:bCs/>
      <w:color w:val="0F4761" w:themeColor="accent1" w:themeShade="BF"/>
      <w:sz w:val="16"/>
      <w:szCs w:val="16"/>
    </w:rPr>
  </w:style>
  <w:style w:type="character" w:customStyle="1" w:styleId="TitleChar">
    <w:name w:val="Title Char"/>
    <w:basedOn w:val="DefaultParagraphFont"/>
    <w:link w:val="Title"/>
    <w:uiPriority w:val="10"/>
    <w:rsid w:val="00073D09"/>
    <w:rPr>
      <w:caps/>
      <w:color w:val="156082" w:themeColor="accent1"/>
      <w:spacing w:val="10"/>
      <w:kern w:val="28"/>
      <w:sz w:val="52"/>
      <w:szCs w:val="52"/>
    </w:rPr>
  </w:style>
  <w:style w:type="paragraph" w:styleId="Subtitle">
    <w:name w:val="Subtitle"/>
    <w:basedOn w:val="Normal"/>
    <w:next w:val="Normal"/>
    <w:link w:val="SubtitleChar"/>
    <w:uiPriority w:val="11"/>
    <w:qFormat/>
    <w:rsid w:val="00073D09"/>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073D09"/>
    <w:rPr>
      <w:caps/>
      <w:color w:val="595959" w:themeColor="text1" w:themeTint="A6"/>
      <w:spacing w:val="10"/>
      <w:sz w:val="24"/>
      <w:szCs w:val="24"/>
    </w:rPr>
  </w:style>
  <w:style w:type="character" w:styleId="Strong">
    <w:name w:val="Strong"/>
    <w:uiPriority w:val="22"/>
    <w:qFormat/>
    <w:rsid w:val="00073D09"/>
    <w:rPr>
      <w:b/>
      <w:bCs/>
    </w:rPr>
  </w:style>
  <w:style w:type="character" w:styleId="Emphasis">
    <w:name w:val="Emphasis"/>
    <w:uiPriority w:val="20"/>
    <w:qFormat/>
    <w:rsid w:val="00073D09"/>
    <w:rPr>
      <w:caps/>
      <w:color w:val="0A2F40" w:themeColor="accent1" w:themeShade="7F"/>
      <w:spacing w:val="5"/>
    </w:rPr>
  </w:style>
  <w:style w:type="paragraph" w:styleId="NoSpacing">
    <w:name w:val="No Spacing"/>
    <w:basedOn w:val="Normal"/>
    <w:link w:val="NoSpacingChar"/>
    <w:uiPriority w:val="1"/>
    <w:qFormat/>
    <w:rsid w:val="00073D09"/>
    <w:pPr>
      <w:spacing w:before="0" w:after="0" w:line="240" w:lineRule="auto"/>
    </w:pPr>
  </w:style>
  <w:style w:type="character" w:customStyle="1" w:styleId="NoSpacingChar">
    <w:name w:val="No Spacing Char"/>
    <w:basedOn w:val="DefaultParagraphFont"/>
    <w:link w:val="NoSpacing"/>
    <w:uiPriority w:val="1"/>
    <w:rsid w:val="00073D09"/>
    <w:rPr>
      <w:sz w:val="20"/>
      <w:szCs w:val="20"/>
    </w:rPr>
  </w:style>
  <w:style w:type="paragraph" w:styleId="Quote">
    <w:name w:val="Quote"/>
    <w:basedOn w:val="Normal"/>
    <w:next w:val="Normal"/>
    <w:link w:val="QuoteChar"/>
    <w:uiPriority w:val="29"/>
    <w:qFormat/>
    <w:rsid w:val="00073D09"/>
    <w:rPr>
      <w:i/>
      <w:iCs/>
    </w:rPr>
  </w:style>
  <w:style w:type="character" w:customStyle="1" w:styleId="QuoteChar">
    <w:name w:val="Quote Char"/>
    <w:basedOn w:val="DefaultParagraphFont"/>
    <w:link w:val="Quote"/>
    <w:uiPriority w:val="29"/>
    <w:rsid w:val="00073D09"/>
    <w:rPr>
      <w:i/>
      <w:iCs/>
      <w:sz w:val="20"/>
      <w:szCs w:val="20"/>
    </w:rPr>
  </w:style>
  <w:style w:type="paragraph" w:styleId="IntenseQuote">
    <w:name w:val="Intense Quote"/>
    <w:basedOn w:val="Normal"/>
    <w:next w:val="Normal"/>
    <w:link w:val="IntenseQuoteChar"/>
    <w:uiPriority w:val="30"/>
    <w:qFormat/>
    <w:rsid w:val="00073D09"/>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073D09"/>
    <w:rPr>
      <w:i/>
      <w:iCs/>
      <w:color w:val="156082" w:themeColor="accent1"/>
      <w:sz w:val="20"/>
      <w:szCs w:val="20"/>
    </w:rPr>
  </w:style>
  <w:style w:type="character" w:styleId="SubtleEmphasis">
    <w:name w:val="Subtle Emphasis"/>
    <w:uiPriority w:val="19"/>
    <w:qFormat/>
    <w:rsid w:val="00073D09"/>
    <w:rPr>
      <w:i/>
      <w:iCs/>
      <w:color w:val="0A2F40" w:themeColor="accent1" w:themeShade="7F"/>
    </w:rPr>
  </w:style>
  <w:style w:type="character" w:styleId="IntenseEmphasis">
    <w:name w:val="Intense Emphasis"/>
    <w:uiPriority w:val="21"/>
    <w:qFormat/>
    <w:rsid w:val="00073D09"/>
    <w:rPr>
      <w:b/>
      <w:bCs/>
      <w:caps/>
      <w:color w:val="0A2F40" w:themeColor="accent1" w:themeShade="7F"/>
      <w:spacing w:val="10"/>
    </w:rPr>
  </w:style>
  <w:style w:type="character" w:styleId="SubtleReference">
    <w:name w:val="Subtle Reference"/>
    <w:uiPriority w:val="31"/>
    <w:qFormat/>
    <w:rsid w:val="00073D09"/>
    <w:rPr>
      <w:b/>
      <w:bCs/>
      <w:color w:val="156082" w:themeColor="accent1"/>
    </w:rPr>
  </w:style>
  <w:style w:type="character" w:styleId="IntenseReference">
    <w:name w:val="Intense Reference"/>
    <w:uiPriority w:val="32"/>
    <w:qFormat/>
    <w:rsid w:val="00073D09"/>
    <w:rPr>
      <w:b/>
      <w:bCs/>
      <w:i/>
      <w:iCs/>
      <w:caps/>
      <w:color w:val="156082" w:themeColor="accent1"/>
    </w:rPr>
  </w:style>
  <w:style w:type="character" w:styleId="BookTitle">
    <w:name w:val="Book Title"/>
    <w:uiPriority w:val="33"/>
    <w:qFormat/>
    <w:rsid w:val="00073D09"/>
    <w:rPr>
      <w:b/>
      <w:bCs/>
      <w:i/>
      <w:iCs/>
      <w:spacing w:val="9"/>
    </w:rPr>
  </w:style>
  <w:style w:type="paragraph" w:styleId="TOCHeading">
    <w:name w:val="TOC Heading"/>
    <w:basedOn w:val="Heading1"/>
    <w:next w:val="Normal"/>
    <w:uiPriority w:val="39"/>
    <w:semiHidden/>
    <w:unhideWhenUsed/>
    <w:qFormat/>
    <w:rsid w:val="00073D09"/>
    <w:pPr>
      <w:outlineLvl w:val="9"/>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qa-q5pxnh6rlrbigja05" Type="http://schemas.openxmlformats.org/officeDocument/2006/relationships/hyperlink" Target="https://www.nccn.org/professionals/physician_gls/pdf/btc.pdf#page=16" TargetMode="External"/><Relationship Id="rIdsfzbedrz9qzcr937bzzuc" Type="http://schemas.openxmlformats.org/officeDocument/2006/relationships/hyperlink" Target="https://doi.org/10.1097/HEP.0000000000001644" TargetMode="External"/><Relationship Id="rIdcg8meyfsz0bmjnhwzvczz" Type="http://schemas.openxmlformats.org/officeDocument/2006/relationships/hyperlink" Target="https://doi.org/10.1002/hep.32771" TargetMode="External"/><Relationship Id="rIdhpve-elr2_shlzi_mvxxl" Type="http://schemas.openxmlformats.org/officeDocument/2006/relationships/hyperlink" Target="https://pubmed.ncbi.nlm.nih.gov/41991890" TargetMode="External"/><Relationship Id="rIdexda8wsukgi3v3vy8b8pf" Type="http://schemas.openxmlformats.org/officeDocument/2006/relationships/hyperlink" Target="https://pubmed.ncbi.nlm.nih.gov/42073607" TargetMode="External"/><Relationship Id="rId1v8pv354vpkxaaef2ri8t" Type="http://schemas.openxmlformats.org/officeDocument/2006/relationships/hyperlink" Target="https://www.ncbi.nlm.nih.gov/pmc/articles/PMC10663390/" TargetMode="External"/><Relationship Id="rIdpgx8utgpalcrktmuninc4" Type="http://schemas.openxmlformats.org/officeDocument/2006/relationships/hyperlink" Target="https://meetings.asco.org/abstracts-presentations/247656" TargetMode="External"/><Relationship Id="rId2v02qz9e8hk69cpv1wpda" Type="http://schemas.openxmlformats.org/officeDocument/2006/relationships/hyperlink" Target="https://meetings.asco.org/abstracts-presentations/255564" TargetMode="External"/><Relationship Id="rIdezmd3b86lfy-ymntip4zo" Type="http://schemas.openxmlformats.org/officeDocument/2006/relationships/hyperlink" Target="https://pubmed.ncbi.nlm.nih.gov/29548617" TargetMode="External"/><Relationship Id="rIdbzxdx5z8iv-cu9gjngpt0" Type="http://schemas.openxmlformats.org/officeDocument/2006/relationships/hyperlink" Target="https://onlinelibrary.wiley.com/doi/10.1111/ctr.13023" TargetMode="External"/><Relationship Id="rIdszyp66l9fiesl4dpma6yy" Type="http://schemas.openxmlformats.org/officeDocument/2006/relationships/hyperlink" Target="https://pubmed.ncbi.nlm.nih.gov/39939239" TargetMode="External"/><Relationship Id="rId5eboyzog_xvnwugtgbhjc" Type="http://schemas.openxmlformats.org/officeDocument/2006/relationships/hyperlink" Target="https://onlinelibrary.wiley.com/doi/10.1111/ctr.70547" TargetMode="External"/><Relationship Id="rIdjfu1dqn2hmy7dilosodu2" Type="http://schemas.openxmlformats.org/officeDocument/2006/relationships/hyperlink" Target="https://doi.org/10.1097/LVT.0000000000000785" TargetMode="External"/><Relationship Id="rIdcljpb_ryluws-ziqqiu2e" Type="http://schemas.openxmlformats.org/officeDocument/2006/relationships/hyperlink" Target="https://pubmed.ncbi.nlm.nih.gov/35740555" TargetMode="External"/><Relationship Id="rId20" Type="http://schemas.openxmlformats.org/officeDocument/2006/relationships/fontTable" Target="fontTable.xml"/><Relationship Id="rId21" Type="http://schemas.openxmlformats.org/officeDocument/2006/relationships/hyperlink" Target="https://doi.org/10.1097/HEP.0000000000001644" TargetMode="External"/><Relationship Id="rId22" Type="http://schemas.openxmlformats.org/officeDocument/2006/relationships/hyperlink" Target="https://libkey.io/libraries/480/10.1097/HEP.0000000000001644" TargetMode="External"/><Relationship Id="rId23" Type="http://schemas.openxmlformats.org/officeDocument/2006/relationships/hyperlink" Target="https://doi.org/10.3389/fonc.2026.1866870" TargetMode="External"/><Relationship Id="rId24" Type="http://schemas.openxmlformats.org/officeDocument/2006/relationships/hyperlink" Target="https://libkey.io/libraries/480/10.3389/fonc.2026.1866870" TargetMode="External"/><Relationship Id="rId25" Type="http://schemas.openxmlformats.org/officeDocument/2006/relationships/hyperlink" Target="https://doi.org/10.1111/j.1600-6143.2011.03972.x" TargetMode="External"/><Relationship Id="rId26" Type="http://schemas.openxmlformats.org/officeDocument/2006/relationships/hyperlink" Target="https://libkey.io/libraries/480/10.1111/j.1600-6143.2011.03972.x" TargetMode="External"/><Relationship Id="rId27" Type="http://schemas.openxmlformats.org/officeDocument/2006/relationships/hyperlink" Target="https://doi.org/10.1111/ajt.14055" TargetMode="External"/><Relationship Id="rId28" Type="http://schemas.openxmlformats.org/officeDocument/2006/relationships/hyperlink" Target="https://libkey.io/libraries/480/10.1111/ajt.14055" TargetMode="External"/><Relationship Id="rId29" Type="http://schemas.openxmlformats.org/officeDocument/2006/relationships/hyperlink" Target="https://doi.org/10.1097/LVT.0000000000000303" TargetMode="External"/><Relationship Id="rId30" Type="http://schemas.openxmlformats.org/officeDocument/2006/relationships/hyperlink" Target="https://libkey.io/libraries/480/10.1097/LVT.0000000000000303" TargetMode="External"/><Relationship Id="rId31" Type="http://schemas.openxmlformats.org/officeDocument/2006/relationships/hyperlink" Target="https://doi.org/10.1056/NEJMoa2513918" TargetMode="External"/><Relationship Id="rId32" Type="http://schemas.openxmlformats.org/officeDocument/2006/relationships/hyperlink" Target="https://libkey.io/libraries/480/10.1056/NEJMoa2513918" TargetMode="External"/><Relationship Id="rId33" Type="http://schemas.openxmlformats.org/officeDocument/2006/relationships/hyperlink" Target="https://pubmed.ncbi.nlm.nih.gov/33316425/" TargetMode="External"/><Relationship Id="rId34" Type="http://schemas.openxmlformats.org/officeDocument/2006/relationships/hyperlink" Target="https://libkey.io/libraries/480/10.1016/j.jamcollsurg.2020.11.017" TargetMode="External"/><Relationship Id="rId35" Type="http://schemas.openxmlformats.org/officeDocument/2006/relationships/hyperlink" Target="https://onlinelibrary.wiley.com/doi/full/10.1002/lt.25737" TargetMode="External"/><Relationship Id="rId36" Type="http://schemas.openxmlformats.org/officeDocument/2006/relationships/hyperlink" Target="https://libkey.io/libraries/480/10.1002/lt.25737" TargetMode="External"/><Relationship Id="rId37" Type="http://schemas.openxmlformats.org/officeDocument/2006/relationships/hyperlink" Target="https://pmc.ncbi.nlm.nih.gov/articles/PMC13254992/" TargetMode="External"/><Relationship Id="rId38" Type="http://schemas.openxmlformats.org/officeDocument/2006/relationships/hyperlink" Target="https://libkey.io/libraries/480/10.1016/j.jhepr.2026.101830" TargetMode="External"/><Relationship Id="rId39" Type="http://schemas.openxmlformats.org/officeDocument/2006/relationships/hyperlink" Target="https://doi.org/10.1016/j.ajt.2026.09.039" TargetMode="External"/><Relationship Id="rId40" Type="http://schemas.openxmlformats.org/officeDocument/2006/relationships/hyperlink" Target="https://libkey.io/libraries/480/10.1016/j.ajt.2026.09.039" TargetMode="External"/><Relationship Id="rId41" Type="http://schemas.openxmlformats.org/officeDocument/2006/relationships/hyperlink" Target="https://academic.oup.com/bjs/article/112/3/znaf054/8083032" TargetMode="External"/><Relationship Id="rId42" Type="http://schemas.openxmlformats.org/officeDocument/2006/relationships/hyperlink" Target="https://libkey.io/libraries/480/10.1093/bjs/znaf054" TargetMode="External"/><Relationship Id="rId43" Type="http://schemas.openxmlformats.org/officeDocument/2006/relationships/hyperlink" Target="https://doi.org/10.1111/ajt.16906" TargetMode="External"/><Relationship Id="rId44" Type="http://schemas.openxmlformats.org/officeDocument/2006/relationships/hyperlink" Target="https://libkey.io/libraries/480/10.1111/ajt.16906" TargetMode="External"/><Relationship Id="rId45" Type="http://schemas.openxmlformats.org/officeDocument/2006/relationships/hyperlink" Target="https://doi.org/10.1097/HEP.0000000000001289" TargetMode="External"/><Relationship Id="rId46" Type="http://schemas.openxmlformats.org/officeDocument/2006/relationships/hyperlink" Target="https://libkey.io/libraries/480/10.1097/HEP.0000000000001289" TargetMode="External"/><Relationship Id="rId47" Type="http://schemas.openxmlformats.org/officeDocument/2006/relationships/hyperlink" Target="https://doi.org/10.1200/JCO-24-01383" TargetMode="External"/><Relationship Id="rId48" Type="http://schemas.openxmlformats.org/officeDocument/2006/relationships/hyperlink" Target="https://libkey.io/libraries/480/10.1200/JCO-24-01383" TargetMode="External"/><Relationship Id="rId49" Type="http://schemas.openxmlformats.org/officeDocument/2006/relationships/hyperlink" Target="https://pubmed.ncbi.nlm.nih.gov/35740555" TargetMode="External"/><Relationship Id="rId50" Type="http://schemas.openxmlformats.org/officeDocument/2006/relationships/hyperlink" Target="https://libkey.io/libraries/480/10.3390/cancers14122890" TargetMode="External"/><Relationship Id="rId51" Type="http://schemas.openxmlformats.org/officeDocument/2006/relationships/hyperlink" Target="https://doi.org/10.1097/lvt.0000000000000785" TargetMode="External"/><Relationship Id="rId52" Type="http://schemas.openxmlformats.org/officeDocument/2006/relationships/hyperlink" Target="https://libkey.io/libraries/480/10.1097/lvt.0000000000000785" TargetMode="External"/><Relationship Id="rId53" Type="http://schemas.openxmlformats.org/officeDocument/2006/relationships/hyperlink" Target="https://pubmed.ncbi.nlm.nih.gov/39939239" TargetMode="External"/><Relationship Id="rId54" Type="http://schemas.openxmlformats.org/officeDocument/2006/relationships/hyperlink" Target="https://libkey.io/libraries/480/10.1016/j.transproceed.2025.02.001" TargetMode="External"/><Relationship Id="rId55" Type="http://schemas.openxmlformats.org/officeDocument/2006/relationships/hyperlink" Target="https://onlinelibrary.wiley.com/doi/10.1111/ctr.13023" TargetMode="External"/><Relationship Id="rId56" Type="http://schemas.openxmlformats.org/officeDocument/2006/relationships/hyperlink" Target="https://libkey.io/libraries/480/10.1111/ctr.13023" TargetMode="External"/><Relationship Id="rId57" Type="http://schemas.openxmlformats.org/officeDocument/2006/relationships/hyperlink" Target="https://onlinelibrary.wiley.com/doi/10.1111/ctr.70547" TargetMode="External"/><Relationship Id="rId58" Type="http://schemas.openxmlformats.org/officeDocument/2006/relationships/hyperlink" Target="https://libkey.io/libraries/480/10.1111/ctr.70547" TargetMode="External"/><Relationship Id="rId59" Type="http://schemas.openxmlformats.org/officeDocument/2006/relationships/hyperlink" Target="https://www.nccn.org/professionals/physician_gls/pdf/btc.pdf#page=16" TargetMode="External"/><Relationship Id="rId60" Type="http://schemas.openxmlformats.org/officeDocument/2006/relationships/hyperlink" Target="https://drliuhao.github.io/mh-liver-pathways/evidence/2026-10-25/" TargetMode="External"/><Relationship Id="rId61" Type="http://schemas.openxmlformats.org/officeDocument/2006/relationships/hyperlink" Target="https://doi.org/10.1097/lvt.0000000000000715" TargetMode="External"/><Relationship Id="rId62" Type="http://schemas.openxmlformats.org/officeDocument/2006/relationships/hyperlink" Target="https://libkey.io/libraries/480/10.1097/lvt.0000000000000715" TargetMode="External"/><Relationship Id="rId63" Type="http://schemas.openxmlformats.org/officeDocument/2006/relationships/hyperlink" Target="https://doi.org/10.1002/hep.32771" TargetMode="External"/><Relationship Id="rId64" Type="http://schemas.openxmlformats.org/officeDocument/2006/relationships/hyperlink" Target="https://libkey.io/libraries/480/10.1002/hep.32771" TargetMode="External"/><Relationship Id="rId65" Type="http://schemas.openxmlformats.org/officeDocument/2006/relationships/hyperlink" Target="https://www.journal-of-hepatology.eu/article/S0168-8278(25)02201-9/fulltext" TargetMode="External"/><Relationship Id="rId66" Type="http://schemas.openxmlformats.org/officeDocument/2006/relationships/hyperlink" Target="https://libkey.io/libraries/480/10.1016/j.jhep.2025.05.003" TargetMode="External"/><Relationship Id="rId67" Type="http://schemas.openxmlformats.org/officeDocument/2006/relationships/hyperlink" Target="https://doi.org/10.1016/j.jhep.2024.09.003" TargetMode="External"/><Relationship Id="rId68" Type="http://schemas.openxmlformats.org/officeDocument/2006/relationships/hyperlink" Target="https://libkey.io/libraries/480/10.1016/j.jhep.2024.09.003" TargetMode="External"/><Relationship Id="rId69" Type="http://schemas.openxmlformats.org/officeDocument/2006/relationships/hyperlink" Target="https://drliuhao.github.io/mh-liver-pathways/evidence/2026-10-25/" TargetMode="External"/><Relationship Id="rId70" Type="http://schemas.openxmlformats.org/officeDocument/2006/relationships/hyperlink" Target="https://drliuhao.github.io/mh-liver-pathways/evidence/2026-10-25/" TargetMode="External"/><Relationship Id="rId71" Type="http://schemas.openxmlformats.org/officeDocument/2006/relationships/hyperlink" Target="https://drliuhao.github.io/mh-liver-pathways/evidence/2026-10-25/" TargetMode="External"/><Relationship Id="rId72" Type="http://schemas.openxmlformats.org/officeDocument/2006/relationships/hyperlink" Target="https://www.hrsa.gov/sites/default/files/hrsa/optn/optn_policies.pdf" TargetMode="External"/><Relationship Id="rId73" Type="http://schemas.openxmlformats.org/officeDocument/2006/relationships/hyperlink" Target="https://drliuhao.github.io/mh-liver-pathways/evidence/2026-10-25/" TargetMode="External"/><Relationship Id="rId74" Type="http://schemas.openxmlformats.org/officeDocument/2006/relationships/hyperlink" Target="https://www.hrsa.gov/sites/default/files/hrsa/optn/adult-meld-exception-transplant-oncology-review-guidance.pdf" TargetMode="External"/><Relationship Id="rId75" Type="http://schemas.openxmlformats.org/officeDocument/2006/relationships/hyperlink" Target="https://drliuhao.github.io/mh-liver-pathways/evidence/2026-10-25/" TargetMode="External"/><Relationship Id="rId76" Type="http://schemas.openxmlformats.org/officeDocument/2006/relationships/hyperlink" Target="https://www.nccn.org/professionals/physician_gls/pdf/btc.pdf#page=16" TargetMode="External"/><Relationship Id="rId77" Type="http://schemas.openxmlformats.org/officeDocument/2006/relationships/hyperlink" Target="https://drliuhao.github.io/mh-liver-pathways/evidence/2026-10-25/" TargetMode="External"/><Relationship Id="rId78" Type="http://schemas.openxmlformats.org/officeDocument/2006/relationships/hyperlink" Target="https://doi.org/10.1097/HEP.0000000000001644" TargetMode="External"/><Relationship Id="rId79" Type="http://schemas.openxmlformats.org/officeDocument/2006/relationships/hyperlink" Target="https://libkey.io/libraries/480/10.1097/HEP.0000000000001644" TargetMode="External"/><Relationship Id="rId80" Type="http://schemas.openxmlformats.org/officeDocument/2006/relationships/hyperlink" Target="https://doi.org/10.1002/hep.28744" TargetMode="External"/><Relationship Id="rId81" Type="http://schemas.openxmlformats.org/officeDocument/2006/relationships/hyperlink" Target="https://libkey.io/libraries/480/10.1002/hep.28744" TargetMode="External"/><Relationship Id="rId82" Type="http://schemas.openxmlformats.org/officeDocument/2006/relationships/hyperlink" Target="https://doi.org/10.1002/hep.32771" TargetMode="External"/><Relationship Id="rId83" Type="http://schemas.openxmlformats.org/officeDocument/2006/relationships/hyperlink" Target="https://libkey.io/libraries/480/10.1002/hep.32771" TargetMode="External"/><Relationship Id="rId84" Type="http://schemas.openxmlformats.org/officeDocument/2006/relationships/hyperlink" Target="https://doi.org/10.1245/s10434-026-19652-8" TargetMode="External"/><Relationship Id="rId85" Type="http://schemas.openxmlformats.org/officeDocument/2006/relationships/hyperlink" Target="https://libkey.io/libraries/480/10.1245/s10434-026-19652-8" TargetMode="External"/><Relationship Id="rId86" Type="http://schemas.openxmlformats.org/officeDocument/2006/relationships/hyperlink" Target="https://doi.org/10.1111/ajt.16906" TargetMode="External"/><Relationship Id="rId87" Type="http://schemas.openxmlformats.org/officeDocument/2006/relationships/hyperlink" Target="https://libkey.io/libraries/480/10.1111/ajt.16906" TargetMode="External"/><Relationship Id="rId88" Type="http://schemas.openxmlformats.org/officeDocument/2006/relationships/hyperlink" Target="https://doi.org/10.1016/j.ajt.2026.09.039" TargetMode="External"/><Relationship Id="rId89" Type="http://schemas.openxmlformats.org/officeDocument/2006/relationships/hyperlink" Target="https://libkey.io/libraries/480/10.1016/j.ajt.2026.09.039" TargetMode="External"/><Relationship Id="rId90" Type="http://schemas.openxmlformats.org/officeDocument/2006/relationships/hyperlink" Target="https://academic.oup.com/bjs/article/112/3/znaf054/8083032" TargetMode="External"/><Relationship Id="rId91" Type="http://schemas.openxmlformats.org/officeDocument/2006/relationships/hyperlink" Target="https://libkey.io/libraries/480/10.1093/bjs/znaf054" TargetMode="External"/><Relationship Id="rId92" Type="http://schemas.openxmlformats.org/officeDocument/2006/relationships/hyperlink" Target="https://doi.org/10.1097/HEP.0000000000000466" TargetMode="External"/><Relationship Id="rId93" Type="http://schemas.openxmlformats.org/officeDocument/2006/relationships/hyperlink" Target="https://libkey.io/libraries/480/10.1097/HEP.0000000000000466" TargetMode="External"/><Relationship Id="rId94" Type="http://schemas.openxmlformats.org/officeDocument/2006/relationships/hyperlink" Target="https://doi.org/10.1097/HEP.0000000000001289" TargetMode="External"/><Relationship Id="rId95" Type="http://schemas.openxmlformats.org/officeDocument/2006/relationships/hyperlink" Target="https://libkey.io/libraries/480/10.1097/HEP.0000000000001289" TargetMode="External"/><Relationship Id="rId96" Type="http://schemas.openxmlformats.org/officeDocument/2006/relationships/hyperlink" Target="https://doi.org/10.1016/j.jhep.2024.09.003" TargetMode="External"/><Relationship Id="rId97" Type="http://schemas.openxmlformats.org/officeDocument/2006/relationships/hyperlink" Target="https://libkey.io/libraries/480/10.1016/j.jhep.2024.09.003" TargetMode="External"/><Relationship Id="rId98" Type="http://schemas.openxmlformats.org/officeDocument/2006/relationships/hyperlink" Target="https://doi.org/10.1016/S2468-1253(18)30045-1" TargetMode="External"/><Relationship Id="rId99" Type="http://schemas.openxmlformats.org/officeDocument/2006/relationships/hyperlink" Target="https://libkey.io/libraries/480/10.1016/S2468-1253(18)30045-1" TargetMode="External"/><Relationship Id="rId100" Type="http://schemas.openxmlformats.org/officeDocument/2006/relationships/hyperlink" Target="https://onlinelibrary.wiley.com/doi/10.1111/ctr.13023" TargetMode="External"/><Relationship Id="rId101" Type="http://schemas.openxmlformats.org/officeDocument/2006/relationships/hyperlink" Target="https://libkey.io/libraries/480/10.1111/ctr.13023" TargetMode="External"/><Relationship Id="rId102" Type="http://schemas.openxmlformats.org/officeDocument/2006/relationships/hyperlink" Target="https://pubmed.ncbi.nlm.nih.gov/39939239" TargetMode="External"/><Relationship Id="rId103" Type="http://schemas.openxmlformats.org/officeDocument/2006/relationships/hyperlink" Target="https://libkey.io/libraries/480/10.1016/j.transproceed.2025.02.001" TargetMode="External"/><Relationship Id="rId104" Type="http://schemas.openxmlformats.org/officeDocument/2006/relationships/hyperlink" Target="https://dailymed.nlm.nih.gov/dailymed/drugInfo.cfm?setid=e082a024-7850-400b-a5c2-2a140612562a" TargetMode="External"/><Relationship Id="rId105" Type="http://schemas.openxmlformats.org/officeDocument/2006/relationships/hyperlink" Target="https://drliuhao.github.io/mh-liver-pathways/evidence/2026-10-25/" TargetMode="External"/><Relationship Id="rId106" Type="http://schemas.openxmlformats.org/officeDocument/2006/relationships/hyperlink" Target="https://onlinelibrary.wiley.com/doi/10.1111/ctr.70547" TargetMode="External"/><Relationship Id="rId107" Type="http://schemas.openxmlformats.org/officeDocument/2006/relationships/hyperlink" Target="https://libkey.io/libraries/480/10.1111/ctr.70547" TargetMode="External"/><Relationship Id="rId108" Type="http://schemas.openxmlformats.org/officeDocument/2006/relationships/hyperlink" Target="https://doi.org/10.1097/lvt.0000000000000785" TargetMode="External"/><Relationship Id="rId109" Type="http://schemas.openxmlformats.org/officeDocument/2006/relationships/hyperlink" Target="https://libkey.io/libraries/480/10.1097/lvt.0000000000000785" TargetMode="External"/><Relationship Id="rId110" Type="http://schemas.openxmlformats.org/officeDocument/2006/relationships/hyperlink" Target="https://pubmed.ncbi.nlm.nih.gov/35740555" TargetMode="External"/><Relationship Id="rId111" Type="http://schemas.openxmlformats.org/officeDocument/2006/relationships/hyperlink" Target="https://libkey.io/libraries/480/10.3390/cancers14122890" TargetMode="External"/><Relationship Id="rId112" Type="http://schemas.openxmlformats.org/officeDocument/2006/relationships/hyperlink" Target="https://doi.org/10.1097/lvt.0000000000000715" TargetMode="External"/><Relationship Id="rId113" Type="http://schemas.openxmlformats.org/officeDocument/2006/relationships/hyperlink" Target="https://libkey.io/libraries/480/10.1097/lvt.0000000000000715" TargetMode="External"/><Relationship Id="rId114" Type="http://schemas.openxmlformats.org/officeDocument/2006/relationships/hyperlink" Target="https://doi.org/10.3389/fonc.2026.1866870" TargetMode="External"/><Relationship Id="rId115" Type="http://schemas.openxmlformats.org/officeDocument/2006/relationships/hyperlink" Target="https://libkey.io/libraries/480/10.3389/fonc.2026.1866870" TargetMode="External"/><Relationship Id="rId116" Type="http://schemas.openxmlformats.org/officeDocument/2006/relationships/hyperlink" Target="https://doi.org/10.1111/j.1600-6143.2011.03972.x" TargetMode="External"/><Relationship Id="rId117" Type="http://schemas.openxmlformats.org/officeDocument/2006/relationships/hyperlink" Target="https://libkey.io/libraries/480/10.1111/j.1600-6143.2011.03972.x" TargetMode="External"/><Relationship Id="rId118" Type="http://schemas.openxmlformats.org/officeDocument/2006/relationships/hyperlink" Target="https://doi.org/10.1111/ajt.14055" TargetMode="External"/><Relationship Id="rId119" Type="http://schemas.openxmlformats.org/officeDocument/2006/relationships/hyperlink" Target="https://libkey.io/libraries/480/10.1111/ajt.14055" TargetMode="External"/><Relationship Id="rId120" Type="http://schemas.openxmlformats.org/officeDocument/2006/relationships/hyperlink" Target="https://doi.org/10.1097/LVT.0000000000000303" TargetMode="External"/><Relationship Id="rId121" Type="http://schemas.openxmlformats.org/officeDocument/2006/relationships/hyperlink" Target="https://libkey.io/libraries/480/10.1097/LVT.0000000000000303" TargetMode="External"/><Relationship Id="rId122" Type="http://schemas.openxmlformats.org/officeDocument/2006/relationships/hyperlink" Target="https://doi.org/10.1056/NEJMoa2513918" TargetMode="External"/><Relationship Id="rId123" Type="http://schemas.openxmlformats.org/officeDocument/2006/relationships/hyperlink" Target="https://libkey.io/libraries/480/10.1056/NEJMoa2513918" TargetMode="External"/><Relationship Id="rId124" Type="http://schemas.openxmlformats.org/officeDocument/2006/relationships/hyperlink" Target="https://pubmed.ncbi.nlm.nih.gov/33316425/" TargetMode="External"/><Relationship Id="rId125" Type="http://schemas.openxmlformats.org/officeDocument/2006/relationships/hyperlink" Target="https://libkey.io/libraries/480/10.1016/j.jamcollsurg.2020.11.017" TargetMode="External"/><Relationship Id="rId126" Type="http://schemas.openxmlformats.org/officeDocument/2006/relationships/hyperlink" Target="https://onlinelibrary.wiley.com/doi/full/10.1002/lt.25737" TargetMode="External"/><Relationship Id="rId127" Type="http://schemas.openxmlformats.org/officeDocument/2006/relationships/hyperlink" Target="https://libkey.io/libraries/480/10.1002/lt.25737" TargetMode="External"/><Relationship Id="rId128" Type="http://schemas.openxmlformats.org/officeDocument/2006/relationships/hyperlink" Target="https://pmc.ncbi.nlm.nih.gov/articles/PMC13254992/" TargetMode="External"/><Relationship Id="rId129" Type="http://schemas.openxmlformats.org/officeDocument/2006/relationships/hyperlink" Target="https://libkey.io/libraries/480/10.1016/j.jhepr.2026.101830" TargetMode="External"/><Relationship Id="rId130" Type="http://schemas.openxmlformats.org/officeDocument/2006/relationships/hyperlink" Target="https://doi.org/10.1200/JCO-24-01383" TargetMode="External"/><Relationship Id="rId131" Type="http://schemas.openxmlformats.org/officeDocument/2006/relationships/hyperlink" Target="https://libkey.io/libraries/480/10.1200/JCO-24-01383" TargetMode="External"/><Relationship Id="rId132" Type="http://schemas.openxmlformats.org/officeDocument/2006/relationships/hyperlink" Target="https://www.journal-of-hepatology.eu/article/S0168-8278(25)02201-9/fulltext" TargetMode="External"/><Relationship Id="rId133" Type="http://schemas.openxmlformats.org/officeDocument/2006/relationships/hyperlink" Target="https://libkey.io/libraries/480/10.1016/j.jhep.2025.05.003" TargetMode="External"/><Relationship Id="rId134" Type="http://schemas.openxmlformats.org/officeDocument/2006/relationships/hyperlink" Target="https://drliuhao.github.io/mh-liver-pathways/evidence/2026-10-25/docs/HPB_Cross_Tumor_Systemic_Treatment_Matrix_2026-10-25.docx" TargetMode="External"/><Relationship Id="rId135" Type="http://schemas.openxmlformats.org/officeDocument/2006/relationships/hyperlink" Target="https://doi.org/10.1200/JCO-26-02462" TargetMode="External"/><Relationship Id="rId136" Type="http://schemas.openxmlformats.org/officeDocument/2006/relationships/hyperlink" Target="https://libkey.io/libraries/480/10.1200/JCO-26-02462" TargetMode="External"/><Relationship Id="rId137" Type="http://schemas.openxmlformats.org/officeDocument/2006/relationships/hyperlink" Target="https://doi.org/10.1016/S2468-1253(24)00119-5" TargetMode="External"/><Relationship Id="rId138" Type="http://schemas.openxmlformats.org/officeDocument/2006/relationships/hyperlink" Target="https://libkey.io/libraries/480/10.1016/S2468-1253(24)00119-5" TargetMode="External"/><Relationship Id="rId139" Type="http://schemas.openxmlformats.org/officeDocument/2006/relationships/hyperlink" Target="https://doi.org/10.1111/cas.13656" TargetMode="External"/><Relationship Id="rId140" Type="http://schemas.openxmlformats.org/officeDocument/2006/relationships/hyperlink" Target="https://libkey.io/libraries/480/10.1111/cas.13656" TargetMode="External"/><Relationship Id="rId141" Type="http://schemas.openxmlformats.org/officeDocument/2006/relationships/hyperlink" Target="https://www.hrsa.gov/sites/default/files/hrsa/optn/optn_policies.pdf" TargetMode="External"/><Relationship Id="rId142" Type="http://schemas.openxmlformats.org/officeDocument/2006/relationships/hyperlink" Target="https://drliuhao.github.io/mh-liver-pathways/evidence/2026-10-25/" TargetMode="External"/><Relationship Id="rId143" Type="http://schemas.openxmlformats.org/officeDocument/2006/relationships/hyperlink" Target="https://www.hrsa.gov/sites/default/files/hrsa/optn/adult-meld-exception-transplant-oncology-review-guidance.pdf" TargetMode="External"/><Relationship Id="rId144" Type="http://schemas.openxmlformats.org/officeDocument/2006/relationships/hyperlink" Target="https://drliuhao.github.io/mh-liver-pathways/evidence/2026-10-25/" TargetMode="External"/><Relationship Id="rId145" Type="http://schemas.openxmlformats.org/officeDocument/2006/relationships/hyperlink" Target="https://www.nccn.org/professionals/physician_gls/pdf/btc.pdf#page=16" TargetMode="External"/><Relationship Id="rId146" Type="http://schemas.openxmlformats.org/officeDocument/2006/relationships/hyperlink" Target="https://drliuhao.github.io/mh-liver-pathways/evidence/2026-10-25/" TargetMode="External"/><Relationship Id="rId147" Type="http://schemas.openxmlformats.org/officeDocument/2006/relationships/hyperlink" Target="https://doi.org/10.1097/HEP.0000000000001644" TargetMode="External"/><Relationship Id="rId148" Type="http://schemas.openxmlformats.org/officeDocument/2006/relationships/hyperlink" Target="https://libkey.io/libraries/480/10.1097/HEP.0000000000001644" TargetMode="External"/><Relationship Id="rId149" Type="http://schemas.openxmlformats.org/officeDocument/2006/relationships/hyperlink" Target="https://doi.org/10.1002/hep.28744" TargetMode="External"/><Relationship Id="rId150" Type="http://schemas.openxmlformats.org/officeDocument/2006/relationships/hyperlink" Target="https://libkey.io/libraries/480/10.1002/hep.28744" TargetMode="External"/><Relationship Id="rId151" Type="http://schemas.openxmlformats.org/officeDocument/2006/relationships/hyperlink" Target="https://doi.org/10.1002/hep.32771" TargetMode="External"/><Relationship Id="rId152" Type="http://schemas.openxmlformats.org/officeDocument/2006/relationships/hyperlink" Target="https://libkey.io/libraries/480/10.1002/hep.32771" TargetMode="External"/><Relationship Id="rId153" Type="http://schemas.openxmlformats.org/officeDocument/2006/relationships/hyperlink" Target="https://doi.org/10.1245/s10434-026-19652-8" TargetMode="External"/><Relationship Id="rId154" Type="http://schemas.openxmlformats.org/officeDocument/2006/relationships/hyperlink" Target="https://libkey.io/libraries/480/10.1245/s10434-026-19652-8" TargetMode="External"/><Relationship Id="rId155" Type="http://schemas.openxmlformats.org/officeDocument/2006/relationships/hyperlink" Target="https://doi.org/10.1111/ajt.16906" TargetMode="External"/><Relationship Id="rId156" Type="http://schemas.openxmlformats.org/officeDocument/2006/relationships/hyperlink" Target="https://libkey.io/libraries/480/10.1111/ajt.16906" TargetMode="External"/><Relationship Id="rId157" Type="http://schemas.openxmlformats.org/officeDocument/2006/relationships/hyperlink" Target="https://doi.org/10.1016/j.ajt.2026.09.039" TargetMode="External"/><Relationship Id="rId158" Type="http://schemas.openxmlformats.org/officeDocument/2006/relationships/hyperlink" Target="https://libkey.io/libraries/480/10.1016/j.ajt.2026.09.039" TargetMode="External"/><Relationship Id="rId159" Type="http://schemas.openxmlformats.org/officeDocument/2006/relationships/hyperlink" Target="https://academic.oup.com/bjs/article/112/3/znaf054/8083032" TargetMode="External"/><Relationship Id="rId160" Type="http://schemas.openxmlformats.org/officeDocument/2006/relationships/hyperlink" Target="https://libkey.io/libraries/480/10.1093/bjs/znaf054" TargetMode="External"/><Relationship Id="rId161" Type="http://schemas.openxmlformats.org/officeDocument/2006/relationships/hyperlink" Target="https://doi.org/10.1200/JCO-26-02462" TargetMode="External"/><Relationship Id="rId162" Type="http://schemas.openxmlformats.org/officeDocument/2006/relationships/hyperlink" Target="https://libkey.io/libraries/480/10.1200/JCO-26-02462" TargetMode="External"/><Relationship Id="rId163" Type="http://schemas.openxmlformats.org/officeDocument/2006/relationships/hyperlink" Target="https://doi.org/10.1016/S2468-1253(24)00119-5" TargetMode="External"/><Relationship Id="rId164" Type="http://schemas.openxmlformats.org/officeDocument/2006/relationships/hyperlink" Target="https://libkey.io/libraries/480/10.1016/S2468-1253(24)00119-5" TargetMode="External"/><Relationship Id="rId165" Type="http://schemas.openxmlformats.org/officeDocument/2006/relationships/hyperlink" Target="https://doi.org/10.1111/cas.13656" TargetMode="External"/><Relationship Id="rId166" Type="http://schemas.openxmlformats.org/officeDocument/2006/relationships/hyperlink" Target="https://libkey.io/libraries/480/10.1111/cas.13656" TargetMode="External"/><Relationship Id="rId167" Type="http://schemas.openxmlformats.org/officeDocument/2006/relationships/hyperlink" Target="https://doi.org/10.1097/HEP.0000000000000466" TargetMode="External"/><Relationship Id="rId168" Type="http://schemas.openxmlformats.org/officeDocument/2006/relationships/hyperlink" Target="https://libkey.io/libraries/480/10.1097/HEP.0000000000000466" TargetMode="External"/><Relationship Id="rId169" Type="http://schemas.openxmlformats.org/officeDocument/2006/relationships/hyperlink" Target="https://doi.org/10.1097/HEP.0000000000001289" TargetMode="External"/><Relationship Id="rId170" Type="http://schemas.openxmlformats.org/officeDocument/2006/relationships/hyperlink" Target="https://libkey.io/libraries/480/10.1097/HEP.0000000000001289" TargetMode="External"/><Relationship Id="rId171" Type="http://schemas.openxmlformats.org/officeDocument/2006/relationships/hyperlink" Target="https://doi.org/10.1016/j.jhep.2024.09.003" TargetMode="External"/><Relationship Id="rId172" Type="http://schemas.openxmlformats.org/officeDocument/2006/relationships/hyperlink" Target="https://libkey.io/libraries/480/10.1016/j.jhep.2024.09.003" TargetMode="External"/><Relationship Id="rId173" Type="http://schemas.openxmlformats.org/officeDocument/2006/relationships/hyperlink" Target="https://doi.org/10.1016/S2468-1253(18)30045-1" TargetMode="External"/><Relationship Id="rId174" Type="http://schemas.openxmlformats.org/officeDocument/2006/relationships/hyperlink" Target="https://libkey.io/libraries/480/10.1016/S2468-1253(18)30045-1" TargetMode="External"/><Relationship Id="rId175" Type="http://schemas.openxmlformats.org/officeDocument/2006/relationships/hyperlink" Target="https://onlinelibrary.wiley.com/doi/10.1111/ctr.13023" TargetMode="External"/><Relationship Id="rId176" Type="http://schemas.openxmlformats.org/officeDocument/2006/relationships/hyperlink" Target="https://libkey.io/libraries/480/10.1111/ctr.13023" TargetMode="External"/><Relationship Id="rId177" Type="http://schemas.openxmlformats.org/officeDocument/2006/relationships/hyperlink" Target="https://pubmed.ncbi.nlm.nih.gov/39939239" TargetMode="External"/><Relationship Id="rId178" Type="http://schemas.openxmlformats.org/officeDocument/2006/relationships/hyperlink" Target="https://libkey.io/libraries/480/10.1016/j.transproceed.2025.02.001" TargetMode="External"/><Relationship Id="rId179" Type="http://schemas.openxmlformats.org/officeDocument/2006/relationships/hyperlink" Target="https://dailymed.nlm.nih.gov/dailymed/drugInfo.cfm?setid=e082a024-7850-400b-a5c2-2a140612562a" TargetMode="External"/><Relationship Id="rId180" Type="http://schemas.openxmlformats.org/officeDocument/2006/relationships/hyperlink" Target="https://drliuhao.github.io/mh-liver-pathways/evidence/2026-10-25/" TargetMode="External"/><Relationship Id="rId181" Type="http://schemas.openxmlformats.org/officeDocument/2006/relationships/hyperlink" Target="https://onlinelibrary.wiley.com/doi/10.1111/ctr.70547" TargetMode="External"/><Relationship Id="rId182" Type="http://schemas.openxmlformats.org/officeDocument/2006/relationships/hyperlink" Target="https://libkey.io/libraries/480/10.1111/ctr.70547" TargetMode="External"/><Relationship Id="rId183" Type="http://schemas.openxmlformats.org/officeDocument/2006/relationships/hyperlink" Target="https://doi.org/10.1097/lvt.0000000000000785" TargetMode="External"/><Relationship Id="rId184" Type="http://schemas.openxmlformats.org/officeDocument/2006/relationships/hyperlink" Target="https://libkey.io/libraries/480/10.1097/lvt.0000000000000785" TargetMode="External"/><Relationship Id="rId185" Type="http://schemas.openxmlformats.org/officeDocument/2006/relationships/hyperlink" Target="https://pubmed.ncbi.nlm.nih.gov/35740555" TargetMode="External"/><Relationship Id="rId186" Type="http://schemas.openxmlformats.org/officeDocument/2006/relationships/hyperlink" Target="https://libkey.io/libraries/480/10.3390/cancers14122890" TargetMode="External"/><Relationship Id="rId187" Type="http://schemas.openxmlformats.org/officeDocument/2006/relationships/hyperlink" Target="https://doi.org/10.1097/lvt.0000000000000715" TargetMode="External"/><Relationship Id="rId188" Type="http://schemas.openxmlformats.org/officeDocument/2006/relationships/hyperlink" Target="https://libkey.io/libraries/480/10.1097/lvt.0000000000000715" TargetMode="External"/><Relationship Id="rId189" Type="http://schemas.openxmlformats.org/officeDocument/2006/relationships/hyperlink" Target="https://doi.org/10.3389/fonc.2026.1866870" TargetMode="External"/><Relationship Id="rId190" Type="http://schemas.openxmlformats.org/officeDocument/2006/relationships/hyperlink" Target="https://libkey.io/libraries/480/10.3389/fonc.2026.1866870" TargetMode="External"/><Relationship Id="rId191" Type="http://schemas.openxmlformats.org/officeDocument/2006/relationships/hyperlink" Target="https://doi.org/10.1111/j.1600-6143.2011.03972.x" TargetMode="External"/><Relationship Id="rId192" Type="http://schemas.openxmlformats.org/officeDocument/2006/relationships/hyperlink" Target="https://libkey.io/libraries/480/10.1111/j.1600-6143.2011.03972.x" TargetMode="External"/><Relationship Id="rId193" Type="http://schemas.openxmlformats.org/officeDocument/2006/relationships/hyperlink" Target="https://doi.org/10.1111/ajt.14055" TargetMode="External"/><Relationship Id="rId194" Type="http://schemas.openxmlformats.org/officeDocument/2006/relationships/hyperlink" Target="https://libkey.io/libraries/480/10.1111/ajt.14055" TargetMode="External"/><Relationship Id="rId195" Type="http://schemas.openxmlformats.org/officeDocument/2006/relationships/hyperlink" Target="https://doi.org/10.1097/LVT.0000000000000303" TargetMode="External"/><Relationship Id="rId196" Type="http://schemas.openxmlformats.org/officeDocument/2006/relationships/hyperlink" Target="https://libkey.io/libraries/480/10.1097/LVT.0000000000000303" TargetMode="External"/><Relationship Id="rId197" Type="http://schemas.openxmlformats.org/officeDocument/2006/relationships/hyperlink" Target="https://doi.org/10.1056/NEJMoa2513918" TargetMode="External"/><Relationship Id="rId198" Type="http://schemas.openxmlformats.org/officeDocument/2006/relationships/hyperlink" Target="https://libkey.io/libraries/480/10.1056/NEJMoa2513918" TargetMode="External"/><Relationship Id="rId199" Type="http://schemas.openxmlformats.org/officeDocument/2006/relationships/hyperlink" Target="https://pubmed.ncbi.nlm.nih.gov/33316425/" TargetMode="External"/><Relationship Id="rId200" Type="http://schemas.openxmlformats.org/officeDocument/2006/relationships/hyperlink" Target="https://libkey.io/libraries/480/10.1016/j.jamcollsurg.2020.11.017" TargetMode="External"/><Relationship Id="rId201" Type="http://schemas.openxmlformats.org/officeDocument/2006/relationships/hyperlink" Target="https://onlinelibrary.wiley.com/doi/full/10.1002/lt.25737" TargetMode="External"/><Relationship Id="rId202" Type="http://schemas.openxmlformats.org/officeDocument/2006/relationships/hyperlink" Target="https://libkey.io/libraries/480/10.1002/lt.25737" TargetMode="External"/><Relationship Id="rId203" Type="http://schemas.openxmlformats.org/officeDocument/2006/relationships/hyperlink" Target="https://pmc.ncbi.nlm.nih.gov/articles/PMC13254992/" TargetMode="External"/><Relationship Id="rId204" Type="http://schemas.openxmlformats.org/officeDocument/2006/relationships/hyperlink" Target="https://libkey.io/libraries/480/10.1016/j.jhepr.2026.101830" TargetMode="External"/><Relationship Id="rId205" Type="http://schemas.openxmlformats.org/officeDocument/2006/relationships/hyperlink" Target="https://doi.org/10.1200/JCO-24-01383" TargetMode="External"/><Relationship Id="rId206" Type="http://schemas.openxmlformats.org/officeDocument/2006/relationships/hyperlink" Target="https://libkey.io/libraries/480/10.1200/JCO-24-01383" TargetMode="External"/><Relationship Id="rId207" Type="http://schemas.openxmlformats.org/officeDocument/2006/relationships/hyperlink" Target="https://www.journal-of-hepatology.eu/article/S0168-8278(25)02201-9/fulltext" TargetMode="External"/><Relationship Id="rId208" Type="http://schemas.openxmlformats.org/officeDocument/2006/relationships/hyperlink" Target="https://libkey.io/libraries/480/10.1016/j.jhep.2025.05.003"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2026-07-15T23:24:01.673Z</dcterms:created>
  <dcterms:modified xsi:type="dcterms:W3CDTF">2026-10-25T09:38:05Z</dcterms:modified>
  <dc:title>UTHealth Houston / Memorial Hermann — Intrahepatic cholangiocarcinoma Standard / Guidance-Aligned Transplant Protocol V8</dc:title>
  <dc:subject>Non-standard NLRB pathway under December 2025 transplant-oncology guidance</dc:subject>
  <dc:description>V2 generated 2026-07-23 17:53:12 CDT; evidence corrections documented in 04_review_summary/OpenEvidence_Protocol_Audit_2026-07-23.md.</dc:description>
</cp:coreProperties>
</file>

<file path=docProps/custom.xml><?xml version="1.0" encoding="utf-8"?>
<Properties xmlns="http://schemas.openxmlformats.org/officeDocument/2006/custom-properties" xmlns:vt="http://schemas.openxmlformats.org/officeDocument/2006/docPropsVTypes"/>
</file>