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Heading1"/>
        <w:keepNext/>
        <w:widowControl/>
      </w:pPr>
      <w:r>
        <w:t xml:space="preserve">UTHealth Houston / Memorial Hermann — Colorectal liver metastases Standard / Guidance-Aligned Transplant Protocol V12</w:t>
      </w:r>
    </w:p>
    <w:p>
      <w:pPr>
        <w:pStyle w:val="Normal"/>
        <w:widowControl/>
      </w:pPr>
      <w:r>
        <w:t xml:space="preserve">Complete clinical-operational draft. Standard policy and nonstandard guidance categories are identified separately; local changes require institutional ratification. No experimental pathway is activated by this update.</w:t>
      </w:r>
    </w:p>
    <w:p>
      <w:pPr>
        <w:pStyle w:val="Normal"/>
        <w:widowControl/>
      </w:pPr>
      <w:r>
        <w:t xml:space="preserve">Version 12  |  Revised 2026-10-25 04:54 CDT  |  Institutional approval pending</w:t>
      </w:r>
    </w:p>
    <w:p>
      <w:pPr>
        <w:pStyle w:val="Heading2"/>
        <w:keepNext/>
        <w:widowControl/>
      </w:pPr>
      <w:r>
        <w:t xml:space="preserve">Policy and allocation status</w:t>
      </w:r>
    </w:p>
    <w:p>
      <w:pPr>
        <w:pStyle w:val="Normal"/>
        <w:widowControl/>
      </w:pPr>
      <w:r>
        <w:t xml:space="preserve">Analyst A structured critical review through 24 October 2026. All 27 B decisions remain OPEN. Primary evidence, selected-recipient outcomes, pathway-level outcomes, guideline wording and local safeguards are distinguished. This is not a PRISMA-complete systematic review, meta-analysis, fresh external-analyst consensus or institutional approval.</w:t>
      </w:r>
    </w:p>
    <w:p>
      <w:pPr>
        <w:pStyle w:val="Normal"/>
        <w:widowControl/>
      </w:pPr>
      <w:r>
        <w:t xml:space="preserve">Policy posting checked 24 October 2026: OPTN effective 1 October 2026; oncology guidance December 2025. Clinical suitability, allocation access, donor protection and research authorization remain separate. Recheck before any application.</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JjZTFlZjNiMS00NjUxLTU3NDMtYWM5MS02OTk1ZWM1N2FiYmYiIHRpbWVzdGFtcD0iMTc5MjkyMTA4N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JjZTFlZjNiMS00NjUxLTU3NDMtYWM5MS02OTk1ZWM1N2FiYmYiIHRpbWVzdGFtcD0iMTc5MjkyMTA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pPr>
      <w:r>
        <w:t xml:space="preserve">Use the adjacent study tables before interpreting a proposed cutoff. Abstract-only extraction and missing full PDFs are labeled; missing outcome estimates are not inferred from graphs or from one minus disease-free survival. Linked full text is in this document’s own PDF depot when available.</w:t>
      </w:r>
    </w:p>
    <w:p>
      <w:pPr>
        <w:pStyle w:val="Heading2"/>
        <w:keepNext/>
        <w:widowControl/>
      </w:pPr>
      <w:r>
        <w:t xml:space="preserve">Clinical pathway and allocation requirements</w:t>
      </w:r>
    </w:p>
    <w:p>
      <w:pPr>
        <w:pStyle w:val="Normal"/>
        <w:widowControl/>
      </w:pPr>
      <w:r>
        <w:t xml:space="preserve">GUIDANCE-ALIGNED NON-STANDARD EXCEPTION. CRLM is not a standardized diagnosis in OPTN Policy 9.5. The December 2025 guidance supports NLRB consideration only when all specified oncologic, molecular, timing, resection, imaging, chemotherapy, stability, lesion-size, and CEA criteria are met. Recommended score: MMaT-20, with a floor of 15 under Policy 9.4.E.</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JjZTFlZjNiMS00NjUxLTU3NDMtYWM5MS02OTk1ZWM1N2FiYmYiIHRpbWVzdGFtcD0iMTc5MjkyMTA4N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JjZTFlZjNiMS00NjUxLTU3NDMtYWM5MS02OTk1ZWM1N2FiYmYiIHRpbWVzdGFtcD0iMTc5MjkyMTA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pPr>
      <w:r>
        <w:t xml:space="preserve">Policy posting checked 24 October 2026: OPTN policy effective 1 October 2026 and transplant-oncology NLRB guidance December 2025. HCC and qualifying pCCA have standardized policy routes; iCCA, CRLM, NET, HEHE and HCA use nonstandard review. NLRB guidance is not OPTN policy or a clinical standard. Clinical candidacy, exception approval, donor clearance and research authorization are separate. Recheck the live source before submission.</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JjZTFlZjNiMS00NjUxLTU3NDMtYWM5MS02OTk1ZWM1N2FiYmYiIHRpbWVzdGFtcD0iMTc5MjkyMTA4N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JjZTFlZjNiMS00NjUxLTU3NDMtYWM5MS02OTk1ZWM1N2FiYmYiIHRpbWVzdGFtcD0iMTc5MjkyMTA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pPr>
      <w:r>
        <w:t xml:space="preserve">Extension requests should be submitted every 3 months with CT or MRI of chest/abdomen/pelvis, CEA &lt;80 µg/L, no hepatic progression, and no extrahepatic disease. All drug selection, dose, washout, immunosuppression, surveillance, donor-source, and stopping-rule decisions require current multidisciplinary review and applicable pharmacy, IRB, DSMB, institutional, and regulatory approval before clinical use.</w:t>
      </w:r>
    </w:p>
    <w:p>
      <w:pPr>
        <w:pStyle w:val="Heading2"/>
        <w:keepNext/>
        <w:widowControl/>
      </w:pPr>
      <w:r>
        <w:t xml:space="preserve">PROTOCOL A: STANDARD LIVER TRANSPLANTATION FOR UNRESECTABLE COLORECTAL LIVER METASTASES</w:t>
      </w:r>
    </w:p>
    <w:p>
      <w:pPr>
        <w:pStyle w:val="Heading3"/>
        <w:keepNext/>
        <w:widowControl/>
      </w:pPr>
      <w:r>
        <w:t xml:space="preserve">1. Purpose and Scope</w:t>
      </w:r>
    </w:p>
    <w:p>
      <w:pPr>
        <w:pStyle w:val="Normal"/>
        <w:widowControl/>
      </w:pPr>
      <w:r>
        <w:t xml:space="preserve">This protocol establishes a guidance-aligned institutional pathway for liver transplantation in patients with permanently unresectable colorectal cancer liver metastases at UTHealth Houston. It incorporates the December 2025 NLRB guidance and supporting evidence from the TransMet trial, SECA-II, IHPBA LT-CoMet 21 consensus, and AASLD/AST guidance.</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Mi0zXTwvRGlzcGxheVRleHQ+PHJlY29yZD48cmVjLW51bWJlcj4zPC9yZWMtbnVtYmVyPjxmb3JlaWduLWtleXM+PGtleSBhcHA9IkVOIiBkYi1pZD0iY2UxZWYzYjEtNDY1MS01NzQzLWFjOTEtNjk5NWVjNTdhYmJmIiB0aW1lc3RhbXA9IjE3OTI5MjEw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</w:fldData>
        </w:fldChar>
      </w:r>
      <w:r>
        <w:instrText xml:space="preserve"> ADDIN EN.CITE.DATA </w:instrText>
      </w:r>
      <w:r>
        <w:fldChar w:fldCharType="end"/>
      </w:r>
      <w:r>
        <w:fldChar w:fldCharType="separate"/>
      </w:r>
      <w:r>
        <w:t xml:space="preserve">[V12-4]</w:t>
      </w:r>
      <w:r>
        <w:fldChar w:fldCharType="end"/>
      </w:r>
      <w:r>
        <w:t xml:space="preserve"> </w:t>
      </w:r>
      <w:r>
        <w:t xml:space="preserve"> </w:t>
      </w:r>
      <w:r>
        <w:fldChar w:fldCharType="begin"/>
      </w:r>
      <w:r>
        <w:instrText xml:space="preserve"> ADDIN EN.CITE </w:instrText>
      </w:r>
      <w:r>
        <w:fldChar w:fldCharType="begin">
          <w:fldData>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</w:fldData>
        </w:fldChar>
      </w:r>
      <w:r>
        <w:instrText xml:space="preserve"> ADDIN EN.CITE.DATA </w:instrText>
      </w:r>
      <w:r>
        <w:fldChar w:fldCharType="end"/>
      </w:r>
      <w:r>
        <w:fldChar w:fldCharType="separate"/>
      </w:r>
      <w:r>
        <w:t xml:space="preserve">[V12-5]</w:t>
      </w:r>
      <w:r>
        <w:fldChar w:fldCharType="end"/>
      </w:r>
      <w:r>
        <w:t xml:space="preserve"> </w:t>
      </w:r>
      <w:r>
        <w:t xml:space="preserve"> </w:t>
      </w:r>
      <w:r>
        <w:fldChar w:fldCharType="begin"/>
      </w:r>
      <w:r>
        <w:instrText xml:space="preserve"> ADDIN EN.CITE </w:instrText>
      </w:r>
      <w:r>
        <w:fldChar w:fldCharType="begin">
          <w:fldData>PEVuZE5vdGU+PENpdGU+PEF1dGhvcj5Eb3ZlPC9BdXRob3I+PFllYXI+MjAyNjwvWWVhcj48UmVjTnVtPjY8L1JlY051bT48RGlzcGxheVRleHQ+W1YxMi02XTwvRGlzcGxheVRleHQ+PHJlY29yZD48cmVjLW51bWJlcj42PC9yZWMtbnVtYmVyPjxmb3JlaWduLWtleXM+PGtleSBhcHA9IkVOIiBkYi1pZD0iY2UxZWYzYjEtNDY1MS01NzQzLWFjOTEtNjk5NWVjNTdhYmJmIiB0aW1lc3RhbXA9IjE3OTI5MjEwODYiPjY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[V12-6]</w:t>
      </w:r>
      <w:r>
        <w:fldChar w:fldCharType="end"/>
      </w:r>
    </w:p>
    <w:p>
      <w:pPr>
        <w:pStyle w:val="Heading3"/>
        <w:keepNext/>
        <w:widowControl/>
      </w:pPr>
      <w:r>
        <w:t xml:space="preserve">2. Patient Selection — Inclusion Criteria</w:t>
      </w:r>
    </w:p>
    <w:p>
      <w:pPr>
        <w:pStyle w:val="Heading3"/>
        <w:keepNext/>
        <w:widowControl/>
      </w:pPr>
      <w:r>
        <w:t xml:space="preserve">2.1 General Requirements</w:t>
      </w:r>
    </w:p>
    <w:p>
      <w:pPr>
        <w:pStyle w:val="Normal"/>
        <w:widowControl/>
        <w:numPr>
          <w:ilvl w:val="0"/>
          <w:numId w:val="3"/>
        </w:numPr>
      </w:pPr>
      <w:r>
        <w:t xml:space="preserve">Age 18–65 years</w:t>
      </w:r>
    </w:p>
    <w:p>
      <w:pPr>
        <w:pStyle w:val="Normal"/>
        <w:widowControl/>
        <w:numPr>
          <w:ilvl w:val="0"/>
          <w:numId w:val="3"/>
        </w:numPr>
      </w:pPr>
      <w:r>
        <w:t xml:space="preserve">ECOG performance status 0–1</w:t>
      </w:r>
    </w:p>
    <w:p>
      <w:pPr>
        <w:pStyle w:val="Normal"/>
        <w:widowControl/>
        <w:numPr>
          <w:ilvl w:val="0"/>
          <w:numId w:val="3"/>
        </w:numPr>
      </w:pPr>
      <w:r>
        <w:t xml:space="preserve">Histologically confirmed colorectal adenocarcinoma with liver metastases</w:t>
      </w:r>
    </w:p>
    <w:p>
      <w:pPr>
        <w:pStyle w:val="Normal"/>
        <w:widowControl/>
        <w:numPr>
          <w:ilvl w:val="0"/>
          <w:numId w:val="3"/>
        </w:numPr>
      </w:pPr>
      <w:r>
        <w:t xml:space="preserve">Metastatic disease permanently unresectable as determined by multidisciplinary tumor board (hepatobiliary surgery, transplant surgery, medical oncology, interventional radiology, diagnostic radiology)</w:t>
      </w:r>
    </w:p>
    <w:p>
      <w:pPr>
        <w:pStyle w:val="Normal"/>
        <w:widowControl/>
        <w:numPr>
          <w:ilvl w:val="0"/>
          <w:numId w:val="3"/>
        </w:numPr>
      </w:pPr>
      <w:r>
        <w:t xml:space="preserve">No general contraindications to liver transplantation</w:t>
      </w:r>
    </w:p>
    <w:p>
      <w:pPr>
        <w:pStyle w:val="Normal"/>
        <w:widowControl/>
        <w:numPr>
          <w:ilvl w:val="0"/>
          <w:numId w:val="3"/>
        </w:numPr>
      </w:pPr>
      <w:r>
        <w:t xml:space="preserve">Adequate psychosocial support and ability to comply with post-transplant medical regimen</w:t>
      </w:r>
    </w:p>
    <w:p>
      <w:pPr>
        <w:pStyle w:val="Heading3"/>
        <w:keepNext/>
        <w:widowControl/>
      </w:pPr>
      <w:r>
        <w:t xml:space="preserve">2.2 Oncologic Requirements</w:t>
      </w:r>
    </w:p>
    <w:p>
      <w:pPr>
        <w:pStyle w:val="Normal"/>
        <w:widowControl/>
        <w:numPr>
          <w:ilvl w:val="0"/>
          <w:numId w:val="3"/>
        </w:numPr>
      </w:pPr>
      <w:r>
        <w:t xml:space="preserve">Primary colorectal tumor resected with negative margins (R0 resection)</w:t>
      </w:r>
      <w:r>
        <w:t xml:space="preserve"> </w:t>
      </w:r>
      <w:r>
        <w:t xml:space="preserve"> </w:t>
      </w:r>
      <w:r>
        <w:fldChar w:fldCharType="begin"/>
      </w:r>
      <w:r>
        <w:instrText xml:space="preserve"> ADDIN EN.CITE </w:instrText>
      </w:r>
      <w:r>
        <w:fldChar w:fldCharType="begin">
          <w:fldData>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</w:fldData>
        </w:fldChar>
      </w:r>
      <w:r>
        <w:instrText xml:space="preserve"> ADDIN EN.CITE.DATA </w:instrText>
      </w:r>
      <w:r>
        <w:fldChar w:fldCharType="end"/>
      </w:r>
      <w:r>
        <w:fldChar w:fldCharType="separate"/>
      </w:r>
      <w:r>
        <w:t xml:space="preserve">[V12-5]</w:t>
      </w:r>
      <w:r>
        <w:fldChar w:fldCharType="end"/>
      </w:r>
      <w:r>
        <w:t xml:space="preserve"> </w:t>
      </w:r>
      <w:r>
        <w:t xml:space="preserve"> </w:t>
      </w:r>
      <w:r>
        <w:fldChar w:fldCharType="begin"/>
      </w:r>
      <w:r>
        <w:instrText xml:space="preserve"> ADDIN EN.CITE </w:instrText>
      </w:r>
      <w:r>
        <w:fldChar w:fldCharType="begin">
          <w:fldData>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</w:fldData>
        </w:fldChar>
      </w:r>
      <w:r>
        <w:instrText xml:space="preserve"> ADDIN EN.CITE.DATA </w:instrText>
      </w:r>
      <w:r>
        <w:fldChar w:fldCharType="end"/>
      </w:r>
      <w:r>
        <w:fldChar w:fldCharType="separate"/>
      </w:r>
      <w:r>
        <w:t xml:space="preserve">[V12-7]</w:t>
      </w:r>
      <w:r>
        <w:fldChar w:fldCharType="end"/>
      </w:r>
    </w:p>
    <w:p>
      <w:pPr>
        <w:pStyle w:val="Normal"/>
        <w:widowControl/>
        <w:numPr>
          <w:ilvl w:val="0"/>
          <w:numId w:val="3"/>
        </w:numPr>
      </w:pPr>
      <w:r>
        <w:t xml:space="preserve">No local or regional recurrence of primary tumor</w:t>
      </w:r>
    </w:p>
    <w:p>
      <w:pPr>
        <w:pStyle w:val="Normal"/>
        <w:widowControl/>
        <w:numPr>
          <w:ilvl w:val="0"/>
          <w:numId w:val="3"/>
        </w:numPr>
      </w:pPr>
      <w:r>
        <w:t xml:space="preserve">No extrahepatic metastatic disease confirmed by PET-CT and cross-sectional imaging</w:t>
      </w:r>
      <w:r>
        <w:t xml:space="preserve"> </w:t>
      </w:r>
      <w:r>
        <w:t xml:space="preserve"> </w:t>
      </w:r>
      <w:r>
        <w:fldChar w:fldCharType="begin"/>
      </w:r>
      <w:r>
        <w:instrText xml:space="preserve"> ADDIN EN.CITE </w:instrText>
      </w:r>
      <w:r>
        <w:fldChar w:fldCharType="begin">
          <w:fldData>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</w:fldData>
        </w:fldChar>
      </w:r>
      <w:r>
        <w:instrText xml:space="preserve"> ADDIN EN.CITE.DATA </w:instrText>
      </w:r>
      <w:r>
        <w:fldChar w:fldCharType="end"/>
      </w:r>
      <w:r>
        <w:fldChar w:fldCharType="separate"/>
      </w:r>
      <w:r>
        <w:t xml:space="preserve">[V12-5]</w:t>
      </w:r>
      <w:r>
        <w:fldChar w:fldCharType="end"/>
      </w:r>
    </w:p>
    <w:p>
      <w:pPr>
        <w:pStyle w:val="Normal"/>
        <w:widowControl/>
        <w:numPr>
          <w:ilvl w:val="0"/>
          <w:numId w:val="3"/>
        </w:numPr>
      </w:pPr>
      <w:r>
        <w:t xml:space="preserve">Disease confined to the liver</w:t>
      </w:r>
    </w:p>
    <w:p>
      <w:pPr>
        <w:pStyle w:val="Normal"/>
        <w:widowControl/>
        <w:numPr>
          <w:ilvl w:val="0"/>
          <w:numId w:val="3"/>
        </w:numPr>
      </w:pPr>
      <w:r>
        <w:t xml:space="preserve">Disappearing-lesion assessment: retain the original lesion map and review contemporary liver MRI, CT and PET where indicated. PET-negative or radiographically disappearing disease may remain viable, but this alone does not prove persistent unresectability or LT benefit. Separate residual suspicious disease, true radiographic NED with preserved function and irreversible treatment-related liver failure. Do not deliberately induce hepatic failure or stop effective therapy to produce measurable disease.</w:t>
      </w:r>
      <w:r>
        <w:t xml:space="preserve"> </w:t>
      </w:r>
      <w:r>
        <w:t xml:space="preserve"> </w:t>
      </w:r>
      <w:r>
        <w:fldChar w:fldCharType="begin"/>
      </w:r>
      <w:r>
        <w:instrText xml:space="preserve"> ADDIN EN.CITE </w:instrText>
      </w:r>
      <w:r>
        <w:fldChar w:fldCharType="begin">
          <w:fldData>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</w:fldData>
        </w:fldChar>
      </w:r>
      <w:r>
        <w:instrText xml:space="preserve"> ADDIN EN.CITE.DATA </w:instrText>
      </w:r>
      <w:r>
        <w:fldChar w:fldCharType="end"/>
      </w:r>
      <w:r>
        <w:fldChar w:fldCharType="separate"/>
      </w:r>
      <w:r>
        <w:t xml:space="preserve">[V12-8]</w:t>
      </w:r>
      <w:r>
        <w:fldChar w:fldCharType="end"/>
      </w:r>
      <w:r>
        <w:t xml:space="preserve"> </w:t>
      </w:r>
      <w:r>
        <w:t xml:space="preserve"> </w:t>
      </w:r>
      <w:r>
        <w:fldChar w:fldCharType="begin"/>
      </w:r>
      <w:r>
        <w:instrText xml:space="preserve"> ADDIN EN.CITE </w:instrText>
      </w:r>
      <w:r>
        <w:fldChar w:fldCharType="begin">
          <w:fldData>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</w:fldData>
        </w:fldChar>
      </w:r>
      <w:r>
        <w:instrText xml:space="preserve"> ADDIN EN.CITE.DATA </w:instrText>
      </w:r>
      <w:r>
        <w:fldChar w:fldCharType="end"/>
      </w:r>
      <w:r>
        <w:fldChar w:fldCharType="separate"/>
      </w:r>
      <w:r>
        <w:t xml:space="preserve">[V12-9]</w:t>
      </w:r>
      <w:r>
        <w:fldChar w:fldCharType="end"/>
      </w:r>
      <w:r>
        <w:t xml:space="preserve"> </w:t>
      </w:r>
      <w:r>
        <w:t xml:space="preserve"> </w:t>
      </w:r>
      <w:r>
        <w:fldChar w:fldCharType="begin"/>
      </w:r>
      <w:r>
        <w:instrText xml:space="preserve"> ADDIN EN.CITE </w:instrText>
      </w:r>
      <w:r>
        <w:fldChar w:fldCharType="begin">
          <w:fldData>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</w:fldData>
        </w:fldChar>
      </w:r>
      <w:r>
        <w:instrText xml:space="preserve"> ADDIN EN.CITE.DATA </w:instrText>
      </w:r>
      <w:r>
        <w:fldChar w:fldCharType="end"/>
      </w:r>
      <w:r>
        <w:fldChar w:fldCharType="separate"/>
      </w:r>
      <w:r>
        <w:t xml:space="preserve">[V12-10]</w:t>
      </w:r>
      <w:r>
        <w:fldChar w:fldCharType="end"/>
      </w:r>
      <w:r>
        <w:t xml:space="preserve"> </w:t>
      </w:r>
      <w:r>
        <w:t xml:space="preserve"> </w:t>
      </w:r>
      <w:r>
        <w:fldChar w:fldCharType="begin"/>
      </w:r>
      <w:r>
        <w:instrText xml:space="preserve"> ADDIN EN.CITE </w:instrText>
      </w:r>
      <w:r>
        <w:fldChar w:fldCharType="begin">
          <w:fldData>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</w:fldData>
        </w:fldChar>
      </w:r>
      <w:r>
        <w:instrText xml:space="preserve"> ADDIN EN.CITE.DATA </w:instrText>
      </w:r>
      <w:r>
        <w:fldChar w:fldCharType="end"/>
      </w:r>
      <w:r>
        <w:fldChar w:fldCharType="separate"/>
      </w:r>
      <w:r>
        <w:t xml:space="preserve">[V12-11]</w:t>
      </w:r>
      <w:r>
        <w:fldChar w:fldCharType="end"/>
      </w:r>
    </w:p>
    <w:p>
      <w:pPr>
        <w:pStyle w:val="Normal"/>
        <w:widowControl/>
        <w:numPr>
          <w:ilvl w:val="0"/>
          <w:numId w:val="3"/>
        </w:numPr>
      </w:pPr>
      <w:r>
        <w:t xml:space="preserve">TransMet allowed stable or partially responding disease by RECIST for at least three months on no more than three chemotherapy lines; it did not require objective response in every patient. Current NLRB guidance separately requires at least six months of control. Keep study and allocation criteria distinct.</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Mi0zXTwvRGlzcGxheVRleHQ+PHJlY29yZD48cmVjLW51bWJlcj4zPC9yZWMtbnVtYmVyPjxmb3JlaWduLWtleXM+PGtleSBhcHA9IkVOIiBkYi1pZD0iY2UxZWYzYjEtNDY1MS01NzQzLWFjOTEtNjk5NWVjNTdhYmJmIiB0aW1lc3RhbXA9IjE3OTI5MjEw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JjZTFlZjNiMS00NjUxLTU3NDMtYWM5MS02OTk1ZWM1N2FiYmYiIHRpbWVzdGFtcD0iMTc5MjkyMTA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numPr>
          <w:ilvl w:val="0"/>
          <w:numId w:val="3"/>
        </w:numPr>
      </w:pPr>
      <w:r>
        <w:t xml:space="preserve">Observation interval: at least 12 months from diagnosis of liver metastases to the initial exception request, per the OPTN transplant-oncology guidance. Where an institutional bar is set more stringently than the trial or the guidance, state that it is an institutional restriction and record the reason; do not attribute it to the guidance or to the trial.</w:t>
      </w:r>
    </w:p>
    <w:p>
      <w:pPr>
        <w:pStyle w:val="Normal"/>
        <w:widowControl/>
        <w:numPr>
          <w:ilvl w:val="0"/>
          <w:numId w:val="3"/>
        </w:numPr>
      </w:pPr>
      <w:r>
        <w:t xml:space="preserve">≤3 lines of prior systemic chemotherapy</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Mi0zXTwvRGlzcGxheVRleHQ+PHJlY29yZD48cmVjLW51bWJlcj4zPC9yZWMtbnVtYmVyPjxmb3JlaWduLWtleXM+PGtleSBhcHA9IkVOIiBkYi1pZD0iY2UxZWYzYjEtNDY1MS01NzQzLWFjOTEtNjk5NWVjNTdhYmJmIiB0aW1lc3RhbXA9IjE3OTI5MjEw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numPr>
          <w:ilvl w:val="0"/>
          <w:numId w:val="3"/>
        </w:numPr>
      </w:pPr>
      <w:r>
        <w:t xml:space="preserve">Source-specific observation intervals: SECA-II Table 1 required at least one year from colorectal-cancer diagnosis to listing. The current NLRB liver-metastasis-diagnosis-to-initial-exception interval is a separate allocation requirement; use the verified allocation interval in Section 2.2 and do not attribute it to SECA-II.</w:t>
      </w:r>
      <w:r>
        <w:t xml:space="preserve"> </w:t>
      </w:r>
      <w:r>
        <w:t xml:space="preserve"> </w:t>
      </w:r>
      <w:r>
        <w:fldChar w:fldCharType="begin"/>
      </w:r>
      <w:r>
        <w:instrText xml:space="preserve"> ADDIN EN.CITE </w:instrText>
      </w:r>
      <w:r>
        <w:fldChar w:fldCharType="begin">
          <w:fldData>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</w:fldData>
        </w:fldChar>
      </w:r>
      <w:r>
        <w:instrText xml:space="preserve"> ADDIN EN.CITE.DATA </w:instrText>
      </w:r>
      <w:r>
        <w:fldChar w:fldCharType="end"/>
      </w:r>
      <w:r>
        <w:fldChar w:fldCharType="separate"/>
      </w:r>
      <w:r>
        <w:t xml:space="preserve">[V12-4]</w:t>
      </w:r>
      <w:r>
        <w:fldChar w:fldCharType="end"/>
      </w:r>
    </w:p>
    <w:p>
      <w:pPr>
        <w:pStyle w:val="Heading3"/>
        <w:keepNext/>
        <w:widowControl/>
      </w:pPr>
      <w:r>
        <w:t xml:space="preserve">2.3 Molecular and Histologic Requirements</w:t>
      </w:r>
    </w:p>
    <w:p>
      <w:pPr>
        <w:pStyle w:val="Normal"/>
        <w:widowControl/>
        <w:numPr>
          <w:ilvl w:val="0"/>
          <w:numId w:val="3"/>
        </w:numPr>
      </w:pPr>
      <w:r>
        <w:t xml:space="preserve">Guidance-aligned allocation requires BRAF wild type and microsatellite-stable disease. Do not treat a non-V600E BRAF mutation as an accepted exception within this standard pathway. KRAS mutation is a risk factor, not an automatic national exclusion. Molecular expansion belongs to a separate OPEN research decision.</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JjZTFlZjNiMS00NjUxLTU3NDMtYWM5MS02OTk1ZWM1N2FiYmYiIHRpbWVzdGFtcD0iMTc5MjkyMTA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numPr>
          <w:ilvl w:val="0"/>
          <w:numId w:val="3"/>
        </w:numPr>
      </w:pPr>
      <w:r>
        <w:t xml:space="preserve">Microsatellite stable (MSS) / proficient mismatch repair (pMMR)</w:t>
      </w:r>
      <w:r>
        <w:t xml:space="preserve"> </w:t>
      </w:r>
      <w:r>
        <w:t xml:space="preserve"> </w:t>
      </w:r>
      <w:r>
        <w:fldChar w:fldCharType="begin"/>
      </w:r>
      <w:r>
        <w:instrText xml:space="preserve"> ADDIN EN.CITE </w:instrText>
      </w:r>
      <w:r>
        <w:fldChar w:fldCharType="begin">
          <w:fldData>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</w:fldData>
        </w:fldChar>
      </w:r>
      <w:r>
        <w:instrText xml:space="preserve"> ADDIN EN.CITE.DATA </w:instrText>
      </w:r>
      <w:r>
        <w:fldChar w:fldCharType="end"/>
      </w:r>
      <w:r>
        <w:fldChar w:fldCharType="separate"/>
      </w:r>
      <w:r>
        <w:t xml:space="preserve">[V12-5]</w:t>
      </w:r>
      <w:r>
        <w:fldChar w:fldCharType="end"/>
      </w:r>
    </w:p>
    <w:p>
      <w:pPr>
        <w:pStyle w:val="Normal"/>
        <w:widowControl/>
        <w:numPr>
          <w:ilvl w:val="0"/>
          <w:numId w:val="3"/>
        </w:numPr>
      </w:pPr>
      <w:r>
        <w:t xml:space="preserve">No undifferentiated adenocarcinoma or signet ring cell carcinoma histology</w:t>
      </w:r>
      <w:r>
        <w:t xml:space="preserve"> </w:t>
      </w:r>
      <w:r>
        <w:t xml:space="preserve"> </w:t>
      </w:r>
      <w:r>
        <w:fldChar w:fldCharType="begin"/>
      </w:r>
      <w:r>
        <w:instrText xml:space="preserve"> ADDIN EN.CITE </w:instrText>
      </w:r>
      <w:r>
        <w:fldChar w:fldCharType="begin">
          <w:fldData>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</w:fldData>
        </w:fldChar>
      </w:r>
      <w:r>
        <w:instrText xml:space="preserve"> ADDIN EN.CITE.DATA </w:instrText>
      </w:r>
      <w:r>
        <w:fldChar w:fldCharType="end"/>
      </w:r>
      <w:r>
        <w:fldChar w:fldCharType="separate"/>
      </w:r>
      <w:r>
        <w:t xml:space="preserve">[V12-5]</w:t>
      </w:r>
      <w:r>
        <w:fldChar w:fldCharType="end"/>
      </w:r>
    </w:p>
    <w:p>
      <w:pPr>
        <w:pStyle w:val="Heading3"/>
        <w:keepNext/>
        <w:widowControl/>
      </w:pPr>
      <w:r>
        <w:t xml:space="preserve">2.4 Imaging and Biomarker Requirements</w:t>
      </w:r>
    </w:p>
    <w:p>
      <w:pPr>
        <w:pStyle w:val="Normal"/>
        <w:widowControl/>
        <w:numPr>
          <w:ilvl w:val="0"/>
          <w:numId w:val="3"/>
        </w:numPr>
      </w:pPr>
      <w:r>
        <w:t xml:space="preserve">No hepatic lesion &gt;10 cm before the start of treatment, as required by the December 2025 guidance.</w:t>
      </w:r>
    </w:p>
    <w:p>
      <w:pPr>
        <w:pStyle w:val="Normal"/>
        <w:widowControl/>
        <w:numPr>
          <w:ilvl w:val="0"/>
          <w:numId w:val="3"/>
        </w:numPr>
      </w:pPr>
      <w:r>
        <w:t xml:space="preserve">FDG PET-CT within 4 weeks of listing:</w:t>
      </w:r>
    </w:p>
    <w:p>
      <w:pPr>
        <w:pStyle w:val="Normal"/>
        <w:widowControl/>
        <w:numPr>
          <w:ilvl w:val="0"/>
          <w:numId w:val="3"/>
        </w:numPr>
      </w:pPr>
      <w:r>
        <w:t xml:space="preserve">PET-derived MTV and TLG are adjunctive prognostic measurements, not validated eligibility thresholds. Record technique and timing relative to chemotherapy. The Oslo analysis used a ROC-derived MTV threshold of 66.09 cm3 rounded to about 70 and TLG 238.8; other published thresholds must be source-labelled. PET negativity does not exclude viable cancer. Do not use MTV/TLG alone to activate, permanently exclude or mandate additional therapy.</w:t>
      </w:r>
      <w:r>
        <w:t xml:space="preserve"> </w:t>
      </w:r>
      <w:r>
        <w:t xml:space="preserve"> </w:t>
      </w:r>
      <w:r>
        <w:fldChar w:fldCharType="begin"/>
      </w:r>
      <w:r>
        <w:instrText xml:space="preserve"> ADDIN EN.CITE </w:instrText>
      </w:r>
      <w:r>
        <w:fldChar w:fldCharType="begin">
          <w:fldData>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</w:fldData>
        </w:fldChar>
      </w:r>
      <w:r>
        <w:instrText xml:space="preserve"> ADDIN EN.CITE.DATA </w:instrText>
      </w:r>
      <w:r>
        <w:fldChar w:fldCharType="end"/>
      </w:r>
      <w:r>
        <w:fldChar w:fldCharType="separate"/>
      </w:r>
      <w:r>
        <w:t xml:space="preserve">[V12-12]</w:t>
      </w:r>
      <w:r>
        <w:fldChar w:fldCharType="end"/>
      </w:r>
      <w:r>
        <w:t xml:space="preserve"> </w:t>
      </w:r>
      <w:r>
        <w:t xml:space="preserve"> </w:t>
      </w:r>
      <w:r>
        <w:fldChar w:fldCharType="begin"/>
      </w:r>
      <w:r>
        <w:instrText xml:space="preserve"> ADDIN EN.CITE </w:instrText>
      </w:r>
      <w:r>
        <w:fldChar w:fldCharType="begin">
          <w:fldData>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</w:fldData>
        </w:fldChar>
      </w:r>
      <w:r>
        <w:instrText xml:space="preserve"> ADDIN EN.CITE.DATA </w:instrText>
      </w:r>
      <w:r>
        <w:fldChar w:fldCharType="end"/>
      </w:r>
      <w:r>
        <w:fldChar w:fldCharType="separate"/>
      </w:r>
      <w:r>
        <w:t xml:space="preserve">[V12-11]</w:t>
      </w:r>
      <w:r>
        <w:fldChar w:fldCharType="end"/>
      </w:r>
    </w:p>
    <w:p>
      <w:pPr>
        <w:pStyle w:val="Normal"/>
        <w:widowControl/>
        <w:numPr>
          <w:ilvl w:val="0"/>
          <w:numId w:val="3"/>
        </w:numPr>
      </w:pPr>
      <w:r>
        <w:t xml:space="preserve">CEA gate: current guidance excludes an initial request with CEA &gt;80 µg/L and requires CEA &lt;80 for extension. Exactly 80 is a wording boundary requiring allocation clarification. OPEN local proposal uses &lt;80 ng/mL throughout for consistency; a falling value ≥80 does not satisfy that stricter proposal. Record assay/date and repeat unexpected values.</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JjZTFlZjNiMS00NjUxLTU3NDMtYWM5MS02OTk1ZWM1N2FiYmYiIHRpbWVzdGFtcD0iMTc5MjkyMTA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numPr>
          <w:ilvl w:val="0"/>
          <w:numId w:val="3"/>
        </w:numPr>
      </w:pPr>
      <w:r>
        <w:t xml:space="preserve">Largest liver lesion ≤5.5 cm (preferred; &gt;5.5 cm is a relative contraindication)</w:t>
      </w:r>
      <w:r>
        <w:t xml:space="preserve"> </w:t>
      </w:r>
      <w:r>
        <w:t xml:space="preserve"> </w:t>
      </w:r>
      <w:r>
        <w:fldChar w:fldCharType="begin"/>
      </w:r>
      <w:r>
        <w:instrText xml:space="preserve"> ADDIN EN.CITE </w:instrText>
      </w:r>
      <w:r>
        <w:fldChar w:fldCharType="begin">
          <w:fldData>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</w:fldData>
        </w:fldChar>
      </w:r>
      <w:r>
        <w:instrText xml:space="preserve"> ADDIN EN.CITE.DATA </w:instrText>
      </w:r>
      <w:r>
        <w:fldChar w:fldCharType="end"/>
      </w:r>
      <w:r>
        <w:fldChar w:fldCharType="separate"/>
      </w:r>
      <w:r>
        <w:t xml:space="preserve">[V12-7]</w:t>
      </w:r>
      <w:r>
        <w:fldChar w:fldCharType="end"/>
      </w:r>
    </w:p>
    <w:p>
      <w:pPr>
        <w:pStyle w:val="Heading3"/>
        <w:keepNext/>
        <w:widowControl/>
      </w:pPr>
      <w:r>
        <w:t xml:space="preserve">3. Patient Selection — Exclusion Criteria</w:t>
      </w:r>
    </w:p>
    <w:p>
      <w:pPr>
        <w:pStyle w:val="Normal"/>
        <w:widowControl/>
        <w:numPr>
          <w:ilvl w:val="0"/>
          <w:numId w:val="3"/>
        </w:numPr>
      </w:pPr>
      <w:r>
        <w:t xml:space="preserve">Any extrahepatic metastatic disease (including peritoneal, pulmonary, or nodal disease)</w:t>
      </w:r>
    </w:p>
    <w:p>
      <w:pPr>
        <w:pStyle w:val="Normal"/>
        <w:widowControl/>
        <w:numPr>
          <w:ilvl w:val="0"/>
          <w:numId w:val="3"/>
        </w:numPr>
      </w:pPr>
      <w:r>
        <w:t xml:space="preserve">Disease progression on most recent chemotherapy regimen</w:t>
      </w:r>
    </w:p>
    <w:p>
      <w:pPr>
        <w:pStyle w:val="Normal"/>
        <w:widowControl/>
        <w:numPr>
          <w:ilvl w:val="0"/>
          <w:numId w:val="3"/>
        </w:numPr>
      </w:pPr>
      <w:r>
        <w:t xml:space="preserve">Any BRAF mutation is outside the current guidance-aligned BRAF-wild-type route. Non-V600E alterations require a separate OPEN research/exception discussion; this restriction does not prove universal clinical futility.</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JjZTFlZjNiMS00NjUxLTU3NDMtYWM5MS02OTk1ZWM1N2FiYmYiIHRpbWVzdGFtcD0iMTc5MjkyMTA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t xml:space="preserve"> </w:t>
      </w:r>
      <w:r>
        <w:fldChar w:fldCharType="begin"/>
      </w:r>
      <w:r>
        <w:instrText xml:space="preserve"> ADDIN EN.CITE </w:instrText>
      </w:r>
      <w:r>
        <w:fldChar w:fldCharType="begin">
          <w:fldData>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</w:fldData>
        </w:fldChar>
      </w:r>
      <w:r>
        <w:instrText xml:space="preserve"> ADDIN EN.CITE.DATA </w:instrText>
      </w:r>
      <w:r>
        <w:fldChar w:fldCharType="end"/>
      </w:r>
      <w:r>
        <w:fldChar w:fldCharType="separate"/>
      </w:r>
      <w:r>
        <w:t xml:space="preserve">[V12-13]</w:t>
      </w:r>
      <w:r>
        <w:fldChar w:fldCharType="end"/>
      </w:r>
    </w:p>
    <w:p>
      <w:pPr>
        <w:pStyle w:val="Normal"/>
        <w:widowControl/>
        <w:numPr>
          <w:ilvl w:val="0"/>
          <w:numId w:val="3"/>
        </w:numPr>
      </w:pPr>
      <w:r>
        <w:t xml:space="preserve">dMMR/MSI-H tumors (these patients should be considered for immunotherapy-based approaches)</w:t>
      </w:r>
    </w:p>
    <w:p>
      <w:pPr>
        <w:pStyle w:val="Normal"/>
        <w:widowControl/>
        <w:numPr>
          <w:ilvl w:val="0"/>
          <w:numId w:val="3"/>
        </w:numPr>
      </w:pPr>
      <w:r>
        <w:t xml:space="preserve">Undifferentiated or signet ring cell histology</w:t>
      </w:r>
    </w:p>
    <w:p>
      <w:pPr>
        <w:pStyle w:val="Normal"/>
        <w:widowControl/>
        <w:numPr>
          <w:ilvl w:val="0"/>
          <w:numId w:val="3"/>
        </w:numPr>
      </w:pPr>
      <w:r>
        <w:t xml:space="preserve">Prior extrahepatic metastases or local recurrence, even if treated</w:t>
      </w:r>
    </w:p>
    <w:p>
      <w:pPr>
        <w:pStyle w:val="Normal"/>
        <w:widowControl/>
        <w:numPr>
          <w:ilvl w:val="0"/>
          <w:numId w:val="3"/>
        </w:numPr>
      </w:pPr>
      <w:r>
        <w:t xml:space="preserve">Active alcohol or substance abuse</w:t>
      </w:r>
    </w:p>
    <w:p>
      <w:pPr>
        <w:pStyle w:val="Normal"/>
        <w:widowControl/>
        <w:numPr>
          <w:ilvl w:val="0"/>
          <w:numId w:val="3"/>
        </w:numPr>
      </w:pPr>
      <w:r>
        <w:t xml:space="preserve">Active uncontrolled infection</w:t>
      </w:r>
    </w:p>
    <w:p>
      <w:pPr>
        <w:pStyle w:val="Normal"/>
        <w:widowControl/>
        <w:numPr>
          <w:ilvl w:val="0"/>
          <w:numId w:val="3"/>
        </w:numPr>
      </w:pPr>
      <w:r>
        <w:t xml:space="preserve">Other malignancy within 5 years (excluding non-melanoma skin cancer, in situ cervical cancer)</w:t>
      </w:r>
    </w:p>
    <w:p>
      <w:pPr>
        <w:pStyle w:val="Normal"/>
        <w:widowControl/>
        <w:numPr>
          <w:ilvl w:val="0"/>
          <w:numId w:val="3"/>
        </w:numPr>
      </w:pPr>
      <w:r>
        <w:t xml:space="preserve">Pregnancy</w:t>
      </w:r>
    </w:p>
    <w:p>
      <w:pPr>
        <w:pStyle w:val="Normal"/>
        <w:widowControl/>
        <w:numPr>
          <w:ilvl w:val="0"/>
          <w:numId w:val="3"/>
        </w:numPr>
      </w:pPr>
      <w:r>
        <w:t xml:space="preserve">General contraindications to liver transplantation per institutional policy</w:t>
      </w:r>
    </w:p>
    <w:p>
      <w:pPr>
        <w:pStyle w:val="Heading3"/>
        <w:keepNext/>
        <w:widowControl/>
      </w:pPr>
      <w:r>
        <w:t xml:space="preserve">4. Pre-Transplant Evaluation</w:t>
      </w:r>
    </w:p>
    <w:p>
      <w:pPr>
        <w:pStyle w:val="Heading3"/>
        <w:keepNext/>
        <w:widowControl/>
      </w:pPr>
      <w:r>
        <w:t xml:space="preserve">4.1 Multidisciplinary Tumor Board Review</w:t>
      </w:r>
    </w:p>
    <w:p>
      <w:pPr>
        <w:pStyle w:val="Normal"/>
        <w:widowControl/>
      </w:pPr>
      <w:r>
        <w:t xml:space="preserve">All candidates must be reviewed and approved by a multidisciplinary tumor board including:</w:t>
      </w:r>
    </w:p>
    <w:p>
      <w:pPr>
        <w:pStyle w:val="Normal"/>
        <w:widowControl/>
        <w:numPr>
          <w:ilvl w:val="0"/>
          <w:numId w:val="3"/>
        </w:numPr>
      </w:pPr>
      <w:r>
        <w:t xml:space="preserve">Transplant hepatology</w:t>
      </w:r>
    </w:p>
    <w:p>
      <w:pPr>
        <w:pStyle w:val="Normal"/>
        <w:widowControl/>
        <w:numPr>
          <w:ilvl w:val="0"/>
          <w:numId w:val="3"/>
        </w:numPr>
      </w:pPr>
      <w:r>
        <w:t xml:space="preserve">Transplant surgery</w:t>
      </w:r>
    </w:p>
    <w:p>
      <w:pPr>
        <w:pStyle w:val="Normal"/>
        <w:widowControl/>
        <w:numPr>
          <w:ilvl w:val="0"/>
          <w:numId w:val="3"/>
        </w:numPr>
      </w:pPr>
      <w:r>
        <w:t xml:space="preserve">Hepatobiliary surgery</w:t>
      </w:r>
    </w:p>
    <w:p>
      <w:pPr>
        <w:pStyle w:val="Normal"/>
        <w:widowControl/>
        <w:numPr>
          <w:ilvl w:val="0"/>
          <w:numId w:val="3"/>
        </w:numPr>
      </w:pPr>
      <w:r>
        <w:t xml:space="preserve">Medical oncology (GI)</w:t>
      </w:r>
    </w:p>
    <w:p>
      <w:pPr>
        <w:pStyle w:val="Normal"/>
        <w:widowControl/>
        <w:numPr>
          <w:ilvl w:val="0"/>
          <w:numId w:val="3"/>
        </w:numPr>
      </w:pPr>
      <w:r>
        <w:t xml:space="preserve">Diagnostic radiology</w:t>
      </w:r>
    </w:p>
    <w:p>
      <w:pPr>
        <w:pStyle w:val="Normal"/>
        <w:widowControl/>
        <w:numPr>
          <w:ilvl w:val="0"/>
          <w:numId w:val="3"/>
        </w:numPr>
      </w:pPr>
      <w:r>
        <w:t xml:space="preserve">Interventional radiology</w:t>
      </w:r>
    </w:p>
    <w:p>
      <w:pPr>
        <w:pStyle w:val="Normal"/>
        <w:widowControl/>
        <w:numPr>
          <w:ilvl w:val="0"/>
          <w:numId w:val="3"/>
        </w:numPr>
      </w:pPr>
      <w:r>
        <w:t xml:space="preserve">Pathology</w:t>
      </w:r>
    </w:p>
    <w:p>
      <w:pPr>
        <w:pStyle w:val="Heading3"/>
        <w:keepNext/>
        <w:widowControl/>
      </w:pPr>
      <w:r>
        <w:t xml:space="preserve">4.2 Oncologic Workup</w:t>
      </w:r>
    </w:p>
    <w:p>
      <w:pPr>
        <w:pStyle w:val="Normal"/>
        <w:widowControl/>
        <w:numPr>
          <w:ilvl w:val="0"/>
          <w:numId w:val="3"/>
        </w:numPr>
      </w:pPr>
      <w:r>
        <w:t xml:space="preserve">Contrast-enhanced CT chest/abdomen/pelvis (within 4 weeks of listing)</w:t>
      </w:r>
    </w:p>
    <w:p>
      <w:pPr>
        <w:pStyle w:val="Normal"/>
        <w:widowControl/>
        <w:numPr>
          <w:ilvl w:val="0"/>
          <w:numId w:val="3"/>
        </w:numPr>
      </w:pPr>
      <w:r>
        <w:t xml:space="preserve">FDG PET-CT (within 4 weeks of listing)</w:t>
      </w:r>
    </w:p>
    <w:p>
      <w:pPr>
        <w:pStyle w:val="Normal"/>
        <w:widowControl/>
        <w:numPr>
          <w:ilvl w:val="0"/>
          <w:numId w:val="3"/>
        </w:numPr>
      </w:pPr>
      <w:r>
        <w:t xml:space="preserve">Liver MRI with hepatobiliary contrast agent</w:t>
      </w:r>
    </w:p>
    <w:p>
      <w:pPr>
        <w:pStyle w:val="Normal"/>
        <w:widowControl/>
        <w:numPr>
          <w:ilvl w:val="0"/>
          <w:numId w:val="3"/>
        </w:numPr>
      </w:pPr>
      <w:r>
        <w:t xml:space="preserve">Colonoscopy (within 12 months, confirming no local recurrence)</w:t>
      </w:r>
    </w:p>
    <w:p>
      <w:pPr>
        <w:pStyle w:val="Normal"/>
        <w:widowControl/>
        <w:numPr>
          <w:ilvl w:val="0"/>
          <w:numId w:val="3"/>
        </w:numPr>
      </w:pPr>
      <w:r>
        <w:t xml:space="preserve">CEA and CA 19-9 levels</w:t>
      </w:r>
    </w:p>
    <w:p>
      <w:pPr>
        <w:pStyle w:val="Normal"/>
        <w:widowControl/>
        <w:numPr>
          <w:ilvl w:val="0"/>
          <w:numId w:val="3"/>
        </w:numPr>
      </w:pPr>
      <w:r>
        <w:t xml:space="preserve">Comprehensive molecular profiling of tumor (RAS, BRAF, MSI/MMR status, HER2)</w:t>
      </w:r>
    </w:p>
    <w:p>
      <w:pPr>
        <w:pStyle w:val="Normal"/>
        <w:widowControl/>
        <w:numPr>
          <w:ilvl w:val="0"/>
          <w:numId w:val="3"/>
        </w:numPr>
      </w:pPr>
      <w:r>
        <w:t xml:space="preserve">Review of all prior pathology</w:t>
      </w:r>
    </w:p>
    <w:p>
      <w:pPr>
        <w:pStyle w:val="Heading3"/>
        <w:keepNext/>
        <w:widowControl/>
      </w:pPr>
      <w:r>
        <w:t xml:space="preserve">4.3 Standard Transplant Evaluation</w:t>
      </w:r>
    </w:p>
    <w:p>
      <w:pPr>
        <w:pStyle w:val="Normal"/>
        <w:widowControl/>
        <w:numPr>
          <w:ilvl w:val="0"/>
          <w:numId w:val="3"/>
        </w:numPr>
      </w:pPr>
      <w:r>
        <w:t xml:space="preserve">Per institutional liver transplant evaluation protocol (cardiac, pulmonary, renal, psychosocial, infectious disease screening, etc.)</w:t>
      </w:r>
    </w:p>
    <w:p>
      <w:pPr>
        <w:pStyle w:val="Heading3"/>
        <w:keepNext/>
        <w:widowControl/>
      </w:pPr>
      <w:r>
        <w:t xml:space="preserve">5. Waitlist Management</w:t>
      </w:r>
    </w:p>
    <w:p>
      <w:pPr>
        <w:pStyle w:val="Normal"/>
        <w:widowControl/>
        <w:numPr>
          <w:ilvl w:val="0"/>
          <w:numId w:val="3"/>
        </w:numPr>
      </w:pPr>
      <w:r>
        <w:t xml:space="preserve">Submit a non-standard NLRB request. The December 2025 guidance recommends MMaT-20; if that is below 15, Policy 9.4.E sets the exception score to 15. Approval is not automatic.</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JjZTFlZjNiMS00NjUxLTU3NDMtYWM5MS02OTk1ZWM1N2FiYmYiIHRpbWVzdGFtcD0iMTc5MjkyMTA4N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JjZTFlZjNiMS00NjUxLTU3NDMtYWM5MS02OTk1ZWM1N2FiYmYiIHRpbWVzdGFtcD0iMTc5MjkyMTA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t xml:space="preserve"> </w:t>
      </w:r>
      <w:r>
        <w:fldChar w:fldCharType="begin"/>
      </w:r>
      <w:r>
        <w:instrText xml:space="preserve"> ADDIN EN.CITE </w:instrText>
      </w:r>
      <w:r>
        <w:fldChar w:fldCharType="begin">
          <w:fldData>PEVuZE5vdGU+PENpdGU+PEF1dGhvcj5Eb3ZlPC9BdXRob3I+PFllYXI+MjAyNjwvWWVhcj48UmVjTnVtPjY8L1JlY051bT48RGlzcGxheVRleHQ+W1YxMi02XTwvRGlzcGxheVRleHQ+PHJlY29yZD48cmVjLW51bWJlcj42PC9yZWMtbnVtYmVyPjxmb3JlaWduLWtleXM+PGtleSBhcHA9IkVOIiBkYi1pZD0iY2UxZWYzYjEtNDY1MS01NzQzLWFjOTEtNjk5NWVjNTdhYmJmIiB0aW1lc3RhbXA9IjE3OTI5MjEwODYiPjY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[V12-6]</w:t>
      </w:r>
      <w:r>
        <w:fldChar w:fldCharType="end"/>
      </w:r>
    </w:p>
    <w:p>
      <w:pPr>
        <w:pStyle w:val="Normal"/>
        <w:widowControl/>
        <w:numPr>
          <w:ilvl w:val="0"/>
          <w:numId w:val="3"/>
        </w:numPr>
      </w:pPr>
      <w:r>
        <w:t xml:space="preserve">Restaging every 8–12 weeks with:</w:t>
      </w:r>
    </w:p>
    <w:p>
      <w:pPr>
        <w:pStyle w:val="Normal"/>
        <w:widowControl/>
        <w:numPr>
          <w:ilvl w:val="0"/>
          <w:numId w:val="3"/>
        </w:numPr>
      </w:pPr>
      <w:r>
        <w:t xml:space="preserve">CT chest/abdomen/pelvis</w:t>
      </w:r>
    </w:p>
    <w:p>
      <w:pPr>
        <w:pStyle w:val="Normal"/>
        <w:widowControl/>
        <w:numPr>
          <w:ilvl w:val="0"/>
          <w:numId w:val="3"/>
        </w:numPr>
      </w:pPr>
      <w:r>
        <w:t xml:space="preserve">CEA levels</w:t>
      </w:r>
    </w:p>
    <w:p>
      <w:pPr>
        <w:pStyle w:val="Normal"/>
        <w:widowControl/>
        <w:numPr>
          <w:ilvl w:val="0"/>
          <w:numId w:val="3"/>
        </w:numPr>
      </w:pPr>
      <w:r>
        <w:t xml:space="preserve">PET-CT every 3–6 months while listed</w:t>
      </w:r>
    </w:p>
    <w:p>
      <w:pPr>
        <w:pStyle w:val="Normal"/>
        <w:widowControl/>
        <w:numPr>
          <w:ilvl w:val="0"/>
          <w:numId w:val="3"/>
        </w:numPr>
      </w:pPr>
      <w:r>
        <w:t xml:space="preserve">Continue an individualized bridging plan while listed, with agent-specific perioperative washout, toxicity recovery and repeat staging approved by oncology, transplant surgery and pharmacy. TransMet aimed to perform LT within 2 months of the last chemotherapy cycle; this trial implementation interval is not a universal validated exclusion threshold or an allocation guarantee.</w:t>
      </w:r>
      <w:r>
        <w:t xml:space="preserve"> </w:t>
      </w:r>
      <w:r>
        <w:t xml:space="preserve"> </w:t>
      </w:r>
      <w:r>
        <w:fldChar w:fldCharType="begin"/>
      </w:r>
      <w:r>
        <w:instrText xml:space="preserve"> ADDIN EN.CITE </w:instrText>
      </w:r>
      <w:r>
        <w:fldChar w:fldCharType="begin">
          <w:fldData>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</w:fldData>
        </w:fldChar>
      </w:r>
      <w:r>
        <w:instrText xml:space="preserve"> ADDIN EN.CITE.DATA </w:instrText>
      </w:r>
      <w:r>
        <w:fldChar w:fldCharType="end"/>
      </w:r>
      <w:r>
        <w:fldChar w:fldCharType="separate"/>
      </w:r>
      <w:r>
        <w:t xml:space="preserve">[V12-14]</w:t>
      </w:r>
      <w:r>
        <w:fldChar w:fldCharType="end"/>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Mi0zXTwvRGlzcGxheVRleHQ+PHJlY29yZD48cmVjLW51bWJlcj4zPC9yZWMtbnVtYmVyPjxmb3JlaWduLWtleXM+PGtleSBhcHA9IkVOIiBkYi1pZD0iY2UxZWYzYjEtNDY1MS01NzQzLWFjOTEtNjk5NWVjNTdhYmJmIiB0aW1lc3RhbXA9IjE3OTI5MjEw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numPr>
          <w:ilvl w:val="0"/>
          <w:numId w:val="3"/>
        </w:numPr>
      </w:pPr>
      <w:r>
        <w:t xml:space="preserve">A new extrahepatic lesion, local primary recurrence, hepatic progression, concerning CEA or molecular/pathology change is HOLD pending multidisciplinary confirmation and current guidance review. Apply verified guidance exclusions separately. An isolated rise beyond an observational PET/lesion prognostic threshold is not, by itself, an evidence-based permanent exclusion. Reassess true progression, technical options, biological control and allocation eligibility explicitly.</w:t>
      </w:r>
      <w:r>
        <w:t xml:space="preserve"> </w:t>
      </w:r>
      <w:r>
        <w:t xml:space="preserve"> </w:t>
      </w:r>
      <w:r>
        <w:fldChar w:fldCharType="begin"/>
      </w:r>
      <w:r>
        <w:instrText xml:space="preserve"> ADDIN EN.CITE </w:instrText>
      </w:r>
      <w:r>
        <w:fldChar w:fldCharType="begin">
          <w:fldData>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</w:fldData>
        </w:fldChar>
      </w:r>
      <w:r>
        <w:instrText xml:space="preserve"> ADDIN EN.CITE.DATA </w:instrText>
      </w:r>
      <w:r>
        <w:fldChar w:fldCharType="end"/>
      </w:r>
      <w:r>
        <w:fldChar w:fldCharType="separate"/>
      </w:r>
      <w:r>
        <w:t xml:space="preserve">[V12-12]</w:t>
      </w:r>
      <w:r>
        <w:fldChar w:fldCharType="end"/>
      </w:r>
      <w:r>
        <w:t xml:space="preserve"> </w:t>
      </w:r>
      <w:r>
        <w:t xml:space="preserve"> </w:t>
      </w:r>
      <w:r>
        <w:fldChar w:fldCharType="begin"/>
      </w:r>
      <w:r>
        <w:instrText xml:space="preserve"> ADDIN EN.CITE </w:instrText>
      </w:r>
      <w:r>
        <w:fldChar w:fldCharType="begin">
          <w:fldData>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</w:fldData>
        </w:fldChar>
      </w:r>
      <w:r>
        <w:instrText xml:space="preserve"> ADDIN EN.CITE.DATA </w:instrText>
      </w:r>
      <w:r>
        <w:fldChar w:fldCharType="end"/>
      </w:r>
      <w:r>
        <w:fldChar w:fldCharType="separate"/>
      </w:r>
      <w:r>
        <w:t xml:space="preserve">[V12-11]</w:t>
      </w:r>
      <w:r>
        <w:fldChar w:fldCharType="end"/>
      </w:r>
      <w:r>
        <w:t xml:space="preserve"> </w:t>
      </w:r>
      <w:r>
        <w:t xml:space="preserve"> </w:t>
      </w:r>
      <w:r>
        <w:fldChar w:fldCharType="begin"/>
      </w:r>
      <w:r>
        <w:instrText xml:space="preserve"> ADDIN EN.CITE </w:instrText>
      </w:r>
      <w:r>
        <w:fldChar w:fldCharType="begin">
          <w:fldData>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</w:fldData>
        </w:fldChar>
      </w:r>
      <w:r>
        <w:instrText xml:space="preserve"> ADDIN EN.CITE.DATA </w:instrText>
      </w:r>
      <w:r>
        <w:fldChar w:fldCharType="end"/>
      </w:r>
      <w:r>
        <w:fldChar w:fldCharType="separate"/>
      </w:r>
      <w:r>
        <w:t xml:space="preserve">[V12-15]</w:t>
      </w:r>
      <w:r>
        <w:fldChar w:fldCharType="end"/>
      </w:r>
    </w:p>
    <w:p>
      <w:pPr>
        <w:pStyle w:val="Normal"/>
        <w:widowControl/>
        <w:numPr>
          <w:ilvl w:val="0"/>
          <w:numId w:val="3"/>
        </w:numPr>
      </w:pPr>
      <w:r>
        <w:t xml:space="preserve">HOLD for confirmed hepatic progression or a new lesion and obtain renewed oncology, HPB/transplant and allocation review. Report standard RECIST separately from the NLRB-specific growth wording. Reactivation is not automatic after two scans: re-establish all current guidance criteria, including the applicable continuous six-month disease-control interval, with no extrahepatic disease and persistent unresectability. The separate time-since-CRLM-diagnosis requirement is not the biological-control clock. Any salvage/re-entry proposal remains OPEN for explicit committee and allocation adjudication.</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JjZTFlZjNiMS00NjUxLTU3NDMtYWM5MS02OTk1ZWM1N2FiYmYiIHRpbWVzdGFtcD0iMTc5MjkyMTA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t xml:space="preserve"> </w:t>
      </w:r>
      <w:r>
        <w:fldChar w:fldCharType="begin"/>
      </w:r>
      <w:r>
        <w:instrText xml:space="preserve"> ADDIN EN.CITE </w:instrText>
      </w:r>
      <w:r>
        <w:fldChar w:fldCharType="begin">
          <w:fldData>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</w:fldData>
        </w:fldChar>
      </w:r>
      <w:r>
        <w:instrText xml:space="preserve"> ADDIN EN.CITE.DATA </w:instrText>
      </w:r>
      <w:r>
        <w:fldChar w:fldCharType="end"/>
      </w:r>
      <w:r>
        <w:fldChar w:fldCharType="separate"/>
      </w:r>
      <w:r>
        <w:t xml:space="preserve">[V12-13]</w:t>
      </w:r>
      <w:r>
        <w:fldChar w:fldCharType="end"/>
      </w:r>
    </w:p>
    <w:p>
      <w:pPr>
        <w:pStyle w:val="Normal"/>
        <w:widowControl/>
        <w:numPr>
          <w:ilvl w:val="0"/>
          <w:numId w:val="3"/>
        </w:numPr>
      </w:pPr>
      <w:r>
        <w:t xml:space="preserve">Every removal and every reactivation is recorded with its category and the supporting evidence.</w:t>
      </w:r>
    </w:p>
    <w:p>
      <w:pPr>
        <w:pStyle w:val="Heading3"/>
        <w:keepNext/>
        <w:widowControl/>
      </w:pPr>
      <w:r>
        <w:t xml:space="preserve">6. Surgical Procedure</w:t>
      </w:r>
    </w:p>
    <w:p>
      <w:pPr>
        <w:pStyle w:val="Normal"/>
        <w:widowControl/>
        <w:numPr>
          <w:ilvl w:val="0"/>
          <w:numId w:val="3"/>
        </w:numPr>
      </w:pPr>
      <w:r>
        <w:t xml:space="preserve">Whole cadaveric liver graft with conventional orthotopic transplantation technique</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Mi0zXTwvRGlzcGxheVRleHQ+PHJlY29yZD48cmVjLW51bWJlcj4zPC9yZWMtbnVtYmVyPjxmb3JlaWduLWtleXM+PGtleSBhcHA9IkVOIiBkYi1pZD0iY2UxZWYzYjEtNDY1MS01NzQzLWFjOTEtNjk5NWVjNTdhYmJmIiB0aW1lc3RhbXA9IjE3OTI5MjEw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numPr>
          <w:ilvl w:val="0"/>
          <w:numId w:val="3"/>
        </w:numPr>
      </w:pPr>
      <w:r>
        <w:t xml:space="preserve">Complete abdominal exploration at laparotomy with frozen section of any suspicious lymph nodes</w:t>
      </w:r>
      <w:r>
        <w:t xml:space="preserve"> </w:t>
      </w:r>
      <w:r>
        <w:t xml:space="preserve"> </w:t>
      </w:r>
      <w:r>
        <w:fldChar w:fldCharType="begin"/>
      </w:r>
      <w:r>
        <w:instrText xml:space="preserve"> ADDIN EN.CITE </w:instrText>
      </w:r>
      <w:r>
        <w:fldChar w:fldCharType="begin">
          <w:fldData>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</w:fldData>
        </w:fldChar>
      </w:r>
      <w:r>
        <w:instrText xml:space="preserve"> ADDIN EN.CITE.DATA </w:instrText>
      </w:r>
      <w:r>
        <w:fldChar w:fldCharType="end"/>
      </w:r>
      <w:r>
        <w:fldChar w:fldCharType="separate"/>
      </w:r>
      <w:r>
        <w:t xml:space="preserve">[V12-14]</w:t>
      </w:r>
      <w:r>
        <w:fldChar w:fldCharType="end"/>
      </w:r>
    </w:p>
    <w:p>
      <w:pPr>
        <w:pStyle w:val="Normal"/>
        <w:widowControl/>
        <w:numPr>
          <w:ilvl w:val="0"/>
          <w:numId w:val="3"/>
        </w:numPr>
      </w:pPr>
      <w:r>
        <w:t xml:space="preserve">If extrahepatic disease is identified at exploration, transplant is aborted</w:t>
      </w:r>
    </w:p>
    <w:p>
      <w:pPr>
        <w:pStyle w:val="Normal"/>
        <w:widowControl/>
        <w:numPr>
          <w:ilvl w:val="0"/>
          <w:numId w:val="3"/>
        </w:numPr>
      </w:pPr>
      <w:r>
        <w:t xml:space="preserve">At transplantation, explore the abdomen and assess suspicious deposits and regional/pedicle nodes with pathology, including frozen section when indicated; metastatic nodal or extrahepatic disease should halt the guidance-aligned oncologic transplant plan. The extent of any systematic portal lymphadenectomy requires a separately documented surgical protocol; it is not established as mandatory by TransMet or by an ASCO abstract.</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Mi0zXTwvRGlzcGxheVRleHQ+PHJlY29yZD48cmVjLW51bWJlcj4zPC9yZWMtbnVtYmVyPjxmb3JlaWduLWtleXM+PGtleSBhcHA9IkVOIiBkYi1pZD0iY2UxZWYzYjEtNDY1MS01NzQzLWFjOTEtNjk5NWVjNTdhYmJmIiB0aW1lc3RhbXA9IjE3OTI5MjEw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</w:fldData>
        </w:fldChar>
      </w:r>
      <w:r>
        <w:instrText xml:space="preserve"> ADDIN EN.CITE.DATA </w:instrText>
      </w:r>
      <w:r>
        <w:fldChar w:fldCharType="end"/>
      </w:r>
      <w:r>
        <w:fldChar w:fldCharType="separate"/>
      </w:r>
      <w:r>
        <w:t xml:space="preserve">[V12-14]</w:t>
      </w:r>
      <w:r>
        <w:fldChar w:fldCharType="end"/>
      </w:r>
    </w:p>
    <w:p>
      <w:pPr>
        <w:pStyle w:val="Heading3"/>
        <w:keepNext/>
        <w:widowControl/>
      </w:pPr>
      <w:r>
        <w:t xml:space="preserve">7. Post-Transplant Immunosuppression</w:t>
      </w:r>
    </w:p>
    <w:p>
      <w:pPr>
        <w:pStyle w:val="Normal"/>
        <w:widowControl/>
      </w:pPr>
      <w:r>
        <w:t xml:space="preserve">Medication management — institutional LT and transplant-pharmacy protocol, not a copied trial prescription:</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Mi0zXTwvRGlzcGxheVRleHQ+PHJlY29yZD48cmVjLW51bWJlcj4zPC9yZWMtbnVtYmVyPjxmb3JlaWduLWtleXM+PGtleSBhcHA9IkVOIiBkYi1pZD0iY2UxZWYzYjEtNDY1MS01NzQzLWFjOTEtNjk5NWVjNTdhYmJmIiB0aW1lc3RhbXA9IjE3OTI5MjEw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numPr>
          <w:ilvl w:val="0"/>
          <w:numId w:val="3"/>
        </w:numPr>
      </w:pPr>
      <w:r>
        <w:t xml:space="preserve">Use the current signed institutional LT immunosuppression order set with transplant-pharmacy oversight. TransMet’s study regimen is descriptive and does not establish an oncologically superior CRLM regimen. Individualize induction, MMF duration, corticosteroid taper, CNI exposure and optional mTOR conversion; do not use this evidence summary as a stand-alone medication order.</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Mi0zXTwvRGlzcGxheVRleHQ+PHJlY29yZD48cmVjLW51bWJlcj4zPC9yZWMtbnVtYmVyPjxmb3JlaWduLWtleXM+PGtleSBhcHA9IkVOIiBkYi1pZD0iY2UxZWYzYjEtNDY1MS01NzQzLWFjOTEtNjk5NWVjNTdhYmJmIiB0aW1lc3RhbXA9IjE3OTI5MjEw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</w:fldData>
        </w:fldChar>
      </w:r>
      <w:r>
        <w:instrText xml:space="preserve"> ADDIN EN.CITE.DATA </w:instrText>
      </w:r>
      <w:r>
        <w:fldChar w:fldCharType="end"/>
      </w:r>
      <w:r>
        <w:fldChar w:fldCharType="separate"/>
      </w:r>
      <w:r>
        <w:t xml:space="preserve">[V12-16]</w:t>
      </w:r>
      <w:r>
        <w:fldChar w:fldCharType="end"/>
      </w:r>
      <w:r>
        <w:t xml:space="preserve"> </w:t>
      </w:r>
      <w:r>
        <w:t xml:space="preserve"> </w:t>
      </w:r>
      <w:r>
        <w:fldChar w:fldCharType="begin"/>
      </w:r>
      <w:r>
        <w:instrText xml:space="preserve"> ADDIN EN.CITE </w:instrText>
      </w:r>
      <w:r>
        <w:fldChar w:fldCharType="begin">
          <w:fldData>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</w:fldData>
        </w:fldChar>
      </w:r>
      <w:r>
        <w:instrText xml:space="preserve"> ADDIN EN.CITE.DATA </w:instrText>
      </w:r>
      <w:r>
        <w:fldChar w:fldCharType="end"/>
      </w:r>
      <w:r>
        <w:fldChar w:fldCharType="separate"/>
      </w:r>
      <w:r>
        <w:t xml:space="preserve">[V12-17]</w:t>
      </w:r>
      <w:r>
        <w:fldChar w:fldCharType="end"/>
      </w:r>
    </w:p>
    <w:p>
      <w:pPr>
        <w:pStyle w:val="Normal"/>
        <w:widowControl/>
      </w:pPr>
      <w:r>
        <w:t xml:space="preserve">Rationale for mTOR Inhibitor Use:</w:t>
      </w:r>
    </w:p>
    <w:p>
      <w:pPr>
        <w:pStyle w:val="Normal"/>
        <w:widowControl/>
      </w:pPr>
      <w:r>
        <w:t xml:space="preserve">mTOR-based calcineurin-inhibitor minimization may be considered for appropriate renal, immunologic and tolerability indications with transplant-pharmacy oversight. A reduction in CRLM recurrence from everolimus has not been established. The AASLD/AST conditional HCC-within-Milan recommendation must not be represented as CRLM-specific evidence or as a mandatory preferred regimen.</w:t>
      </w:r>
      <w:r>
        <w:t xml:space="preserve"> </w:t>
      </w:r>
      <w:r>
        <w:t xml:space="preserve"> </w:t>
      </w:r>
      <w:r>
        <w:fldChar w:fldCharType="begin"/>
      </w:r>
      <w:r>
        <w:instrText xml:space="preserve"> ADDIN EN.CITE </w:instrText>
      </w:r>
      <w:r>
        <w:fldChar w:fldCharType="begin">
          <w:fldData>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</w:fldData>
        </w:fldChar>
      </w:r>
      <w:r>
        <w:instrText xml:space="preserve"> ADDIN EN.CITE.DATA </w:instrText>
      </w:r>
      <w:r>
        <w:fldChar w:fldCharType="end"/>
      </w:r>
      <w:r>
        <w:fldChar w:fldCharType="separate"/>
      </w:r>
      <w:r>
        <w:t xml:space="preserve">[V12-16]</w:t>
      </w:r>
      <w:r>
        <w:fldChar w:fldCharType="end"/>
      </w:r>
      <w:r>
        <w:t xml:space="preserve"> </w:t>
      </w:r>
      <w:r>
        <w:t xml:space="preserve"> </w:t>
      </w:r>
      <w:r>
        <w:fldChar w:fldCharType="begin"/>
      </w:r>
      <w:r>
        <w:instrText xml:space="preserve"> ADDIN EN.CITE </w:instrText>
      </w:r>
      <w:r>
        <w:fldChar w:fldCharType="begin">
          <w:fldData>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</w:fldData>
        </w:fldChar>
      </w:r>
      <w:r>
        <w:instrText xml:space="preserve"> ADDIN EN.CITE.DATA </w:instrText>
      </w:r>
      <w:r>
        <w:fldChar w:fldCharType="end"/>
      </w:r>
      <w:r>
        <w:fldChar w:fldCharType="separate"/>
      </w:r>
      <w:r>
        <w:t xml:space="preserve">[V12-18]</w:t>
      </w:r>
      <w:r>
        <w:fldChar w:fldCharType="end"/>
      </w:r>
    </w:p>
    <w:p>
      <w:pPr>
        <w:pStyle w:val="Heading3"/>
        <w:keepNext/>
        <w:widowControl/>
      </w:pPr>
      <w:r>
        <w:t xml:space="preserve">8. Post-Transplant Adjuvant Chemotherapy</w:t>
      </w:r>
    </w:p>
    <w:p>
      <w:pPr>
        <w:pStyle w:val="Normal"/>
        <w:widowControl/>
        <w:numPr>
          <w:ilvl w:val="0"/>
          <w:numId w:val="3"/>
        </w:numPr>
      </w:pPr>
      <w:r>
        <w:t xml:space="preserve">Routine post-transplant systemic chemotherapy is not an established standard and is not recommended by the IHPBA LT-CoMet 21 consensus. Consider it only case-by-case or within a prospective protocol after graft recovery and multidisciplinary review.</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Mi0zXTwvRGlzcGxheVRleHQ+PHJlY29yZD48cmVjLW51bWJlcj4zPC9yZWMtbnVtYmVyPjxmb3JlaWduLWtleXM+PGtleSBhcHA9IkVOIiBkYi1pZD0iY2UxZWYzYjEtNDY1MS01NzQzLWFjOTEtNjk5NWVjNTdhYmJmIiB0aW1lc3RhbXA9IjE3OTI5MjEw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</w:fldData>
        </w:fldChar>
      </w:r>
      <w:r>
        <w:instrText xml:space="preserve"> ADDIN EN.CITE.DATA </w:instrText>
      </w:r>
      <w:r>
        <w:fldChar w:fldCharType="end"/>
      </w:r>
      <w:r>
        <w:fldChar w:fldCharType="separate"/>
      </w:r>
      <w:r>
        <w:t xml:space="preserve">[V12-13]</w:t>
      </w:r>
      <w:r>
        <w:fldChar w:fldCharType="end"/>
      </w:r>
    </w:p>
    <w:p>
      <w:pPr>
        <w:pStyle w:val="Normal"/>
        <w:widowControl/>
        <w:numPr>
          <w:ilvl w:val="0"/>
          <w:numId w:val="3"/>
        </w:numPr>
      </w:pPr>
      <w:r>
        <w:t xml:space="preserve">Any treatment decision requires joint medical-oncology, transplant-surgery, hepatology, and transplant-pharmacy review; the absence of proven overall-survival benefit must be documented.</w:t>
      </w:r>
    </w:p>
    <w:p>
      <w:pPr>
        <w:pStyle w:val="Normal"/>
        <w:widowControl/>
        <w:numPr>
          <w:ilvl w:val="0"/>
          <w:numId w:val="3"/>
        </w:numPr>
      </w:pPr>
      <w:r>
        <w:t xml:space="preserve">If investigational adjuvant therapy is selected, timing must depend on graft function, wound healing, infection status, marrow recovery, and immunosuppressant interactions.</w:t>
      </w:r>
    </w:p>
    <w:p>
      <w:pPr>
        <w:pStyle w:val="Normal"/>
        <w:widowControl/>
        <w:numPr>
          <w:ilvl w:val="0"/>
          <w:numId w:val="3"/>
        </w:numPr>
      </w:pPr>
      <w:r>
        <w:t xml:space="preserve">Duration is not evidence-defined after LT and must be specified by the approved protocol.</w:t>
      </w:r>
    </w:p>
    <w:p>
      <w:pPr>
        <w:pStyle w:val="Normal"/>
        <w:widowControl/>
        <w:numPr>
          <w:ilvl w:val="0"/>
          <w:numId w:val="3"/>
        </w:numPr>
      </w:pPr>
      <w:r>
        <w:t xml:space="preserve">Note: The IHPBA LT-CoMet 21 guidelines do not recommend routine adjuvant chemotherapy given the absence of proven OS benefit and risk of chemotoxicity in immunosuppressed patients</w:t>
      </w:r>
      <w:r>
        <w:t xml:space="preserve"> </w:t>
      </w:r>
      <w:r>
        <w:t xml:space="preserve"> </w:t>
      </w:r>
      <w:r>
        <w:fldChar w:fldCharType="begin"/>
      </w:r>
      <w:r>
        <w:instrText xml:space="preserve"> ADDIN EN.CITE </w:instrText>
      </w:r>
      <w:r>
        <w:fldChar w:fldCharType="begin">
          <w:fldData>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</w:fldData>
        </w:fldChar>
      </w:r>
      <w:r>
        <w:instrText xml:space="preserve"> ADDIN EN.CITE.DATA </w:instrText>
      </w:r>
      <w:r>
        <w:fldChar w:fldCharType="end"/>
      </w:r>
      <w:r>
        <w:fldChar w:fldCharType="separate"/>
      </w:r>
      <w:r>
        <w:t xml:space="preserve">[V12-13]</w:t>
      </w:r>
      <w:r>
        <w:fldChar w:fldCharType="end"/>
      </w:r>
    </w:p>
    <w:p>
      <w:pPr>
        <w:pStyle w:val="Heading3"/>
        <w:keepNext/>
        <w:widowControl/>
      </w:pPr>
      <w:r>
        <w:t xml:space="preserve">9. Post-Transplant Surveillance</w:t>
      </w:r>
    </w:p>
    <w:p>
      <w:pPr>
        <w:pStyle w:val="Normal"/>
        <w:widowControl/>
      </w:pPr>
      <w:r>
        <w:t xml:space="preserve">Oncologic Surveillance:</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Mi0zXTwvRGlzcGxheVRleHQ+PHJlY29yZD48cmVjLW51bWJlcj4zPC9yZWMtbnVtYmVyPjxmb3JlaWduLWtleXM+PGtleSBhcHA9IkVOIiBkYi1pZD0iY2UxZWYzYjEtNDY1MS01NzQzLWFjOTEtNjk5NWVjNTdhYmJmIiB0aW1lc3RhbXA9IjE3OTI5MjEw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numPr>
          <w:ilvl w:val="0"/>
          <w:numId w:val="3"/>
        </w:numPr>
      </w:pPr>
      <w:r>
        <w:t xml:space="preserve">CT chest/abdomen/pelvis + tumor markers (CEA) every 3 months for years 1–2</w:t>
      </w:r>
    </w:p>
    <w:p>
      <w:pPr>
        <w:pStyle w:val="Normal"/>
        <w:widowControl/>
        <w:numPr>
          <w:ilvl w:val="0"/>
          <w:numId w:val="3"/>
        </w:numPr>
      </w:pPr>
      <w:r>
        <w:t xml:space="preserve">CT chest/abdomen/pelvis + tumor markers every 6 months for years 3–5</w:t>
      </w:r>
    </w:p>
    <w:p>
      <w:pPr>
        <w:pStyle w:val="Normal"/>
        <w:widowControl/>
        <w:numPr>
          <w:ilvl w:val="0"/>
          <w:numId w:val="3"/>
        </w:numPr>
      </w:pPr>
      <w:r>
        <w:t xml:space="preserve">PET-CT at 6, 12, 24 months, then annually through year 5</w:t>
      </w:r>
    </w:p>
    <w:p>
      <w:pPr>
        <w:pStyle w:val="Normal"/>
        <w:widowControl/>
        <w:numPr>
          <w:ilvl w:val="0"/>
          <w:numId w:val="3"/>
        </w:numPr>
      </w:pPr>
      <w:r>
        <w:t xml:space="preserve">Colonoscopy at 1 year post-LT, then per standard CRC surveillance guidelines</w:t>
      </w:r>
    </w:p>
    <w:p>
      <w:pPr>
        <w:pStyle w:val="Normal"/>
        <w:widowControl/>
      </w:pPr>
      <w:r>
        <w:t xml:space="preserve">Transplant Surveillance:</w:t>
      </w:r>
    </w:p>
    <w:p>
      <w:pPr>
        <w:pStyle w:val="Normal"/>
        <w:widowControl/>
        <w:numPr>
          <w:ilvl w:val="0"/>
          <w:numId w:val="3"/>
        </w:numPr>
      </w:pPr>
      <w:r>
        <w:t xml:space="preserve">Per institutional liver transplant follow-up protocol (liver function tests, immunosuppression drug levels, renal function, metabolic monitoring)</w:t>
      </w:r>
    </w:p>
    <w:p>
      <w:pPr>
        <w:pStyle w:val="Heading3"/>
        <w:keepNext/>
        <w:widowControl/>
      </w:pPr>
      <w:r>
        <w:t xml:space="preserve">10. Management of Recurrence</w:t>
      </w:r>
    </w:p>
    <w:p>
      <w:pPr>
        <w:pStyle w:val="Normal"/>
        <w:widowControl/>
        <w:numPr>
          <w:ilvl w:val="0"/>
          <w:numId w:val="3"/>
        </w:numPr>
      </w:pPr>
      <w:r>
        <w:t xml:space="preserve">Recurrence is common (~50–74%), predominantly pulmonary</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Mi0zXTwvRGlzcGxheVRleHQ+PHJlY29yZD48cmVjLW51bWJlcj4zPC9yZWMtbnVtYmVyPjxmb3JlaWduLWtleXM+PGtleSBhcHA9IkVOIiBkYi1pZD0iY2UxZWYzYjEtNDY1MS01NzQzLWFjOTEtNjk5NWVjNTdhYmJmIiB0aW1lc3RhbXA9IjE3OTI5MjEw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numPr>
          <w:ilvl w:val="0"/>
          <w:numId w:val="3"/>
        </w:numPr>
      </w:pPr>
      <w:r>
        <w:t xml:space="preserve">Small, slow-growing pulmonary metastases may be observed until amenable to curative resection</w:t>
      </w:r>
      <w:r>
        <w:t xml:space="preserve"> </w:t>
      </w:r>
      <w:r>
        <w:t xml:space="preserve"> </w:t>
      </w:r>
      <w:r>
        <w:fldChar w:fldCharType="begin"/>
      </w:r>
      <w:r>
        <w:instrText xml:space="preserve"> ADDIN EN.CITE </w:instrText>
      </w:r>
      <w:r>
        <w:fldChar w:fldCharType="begin">
          <w:fldData>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</w:fldData>
        </w:fldChar>
      </w:r>
      <w:r>
        <w:instrText xml:space="preserve"> ADDIN EN.CITE.DATA </w:instrText>
      </w:r>
      <w:r>
        <w:fldChar w:fldCharType="end"/>
      </w:r>
      <w:r>
        <w:fldChar w:fldCharType="separate"/>
      </w:r>
      <w:r>
        <w:t xml:space="preserve">[V12-13]</w:t>
      </w:r>
      <w:r>
        <w:fldChar w:fldCharType="end"/>
      </w:r>
    </w:p>
    <w:p>
      <w:pPr>
        <w:pStyle w:val="Normal"/>
        <w:widowControl/>
        <w:numPr>
          <w:ilvl w:val="0"/>
          <w:numId w:val="3"/>
        </w:numPr>
      </w:pPr>
      <w:r>
        <w:t xml:space="preserve">Isolated extrahepatic recurrence, most commonly pulmonary, may reasonably be managed with metastasectomy or ablation when technically feasible and when the recurrence is solitary or oligometastatic and slow-growing. This is consensus opinion based on observational series, not a strong recommendation: no controlled data establish a survival benefit for aggressive local therapy of post-transplant recurrence in this population. Decisions require MDT review with explicit consideration of immunosuppression burden.</w:t>
      </w:r>
      <w:r>
        <w:t xml:space="preserve"> </w:t>
      </w:r>
      <w:r>
        <w:t xml:space="preserve"> </w:t>
      </w:r>
      <w:r>
        <w:fldChar w:fldCharType="begin"/>
      </w:r>
      <w:r>
        <w:instrText xml:space="preserve"> ADDIN EN.CITE </w:instrText>
      </w:r>
      <w:r>
        <w:fldChar w:fldCharType="begin">
          <w:fldData>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</w:fldData>
        </w:fldChar>
      </w:r>
      <w:r>
        <w:instrText xml:space="preserve"> ADDIN EN.CITE.DATA </w:instrText>
      </w:r>
      <w:r>
        <w:fldChar w:fldCharType="end"/>
      </w:r>
      <w:r>
        <w:fldChar w:fldCharType="separate"/>
      </w:r>
      <w:r>
        <w:t xml:space="preserve">[V12-13]</w:t>
      </w:r>
      <w:r>
        <w:fldChar w:fldCharType="end"/>
      </w:r>
    </w:p>
    <w:p>
      <w:pPr>
        <w:pStyle w:val="Normal"/>
        <w:widowControl/>
        <w:numPr>
          <w:ilvl w:val="0"/>
          <w:numId w:val="3"/>
        </w:numPr>
      </w:pPr>
      <w:r>
        <w:t xml:space="preserve">Systemic therapy for unresectable recurrence per standard mCRC guidelines</w:t>
      </w:r>
    </w:p>
    <w:p>
      <w:pPr>
        <w:pStyle w:val="Normal"/>
        <w:widowControl/>
        <w:numPr>
          <w:ilvl w:val="0"/>
          <w:numId w:val="3"/>
        </w:numPr>
      </w:pPr>
      <w:r>
        <w:t xml:space="preserve">Immunosuppression adjustment in consultation with transplant team</w:t>
      </w:r>
    </w:p>
    <w:p>
      <w:pPr>
        <w:pStyle w:val="Normal"/>
        <w:widowControl/>
      </w:pPr>
      <w:r>
        <w:t xml:space="preserve">Everolimus safety and evidence boundary: if selected under the current transplant-pharmacy protocol, adult liver-transplant use must not begin before postoperative day 30 under the US label. This is a drug-specific safety floor, not a mandatory conversion date, and does not establish cancer-recurrence benefit. Dose, trough target and CNI co-therapy require individualized graft, renal, vascular, wound, infection and interaction review.</w:t>
      </w:r>
      <w:r>
        <w:t xml:space="preserve"> </w:t>
      </w:r>
      <w:r>
        <w:t xml:space="preserve"> </w:t>
      </w:r>
      <w:r>
        <w:fldChar w:fldCharType="begin"/>
      </w:r>
      <w:r>
        <w:instrText xml:space="preserve"> ADDIN EN.CITE </w:instrText>
      </w:r>
      <w:r>
        <w:fldChar w:fldCharType="begin">
          <w:fldData>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</w:fldData>
        </w:fldChar>
      </w:r>
      <w:r>
        <w:instrText xml:space="preserve"> ADDIN EN.CITE.DATA </w:instrText>
      </w:r>
      <w:r>
        <w:fldChar w:fldCharType="end"/>
      </w:r>
      <w:r>
        <w:fldChar w:fldCharType="separate"/>
      </w:r>
      <w:r>
        <w:t xml:space="preserve">[V12-17]</w:t>
      </w:r>
      <w:r>
        <w:fldChar w:fldCharType="end"/>
      </w:r>
      <w:r>
        <w:t xml:space="preserve"> </w:t>
      </w:r>
      <w:r>
        <w:t xml:space="preserve"> </w:t>
      </w:r>
      <w:r>
        <w:fldChar w:fldCharType="begin"/>
      </w:r>
      <w:r>
        <w:instrText xml:space="preserve"> ADDIN EN.CITE </w:instrText>
      </w:r>
      <w:r>
        <w:fldChar w:fldCharType="begin">
          <w:fldData>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</w:fldData>
        </w:fldChar>
      </w:r>
      <w:r>
        <w:instrText xml:space="preserve"> ADDIN EN.CITE.DATA </w:instrText>
      </w:r>
      <w:r>
        <w:fldChar w:fldCharType="end"/>
      </w:r>
      <w:r>
        <w:fldChar w:fldCharType="separate"/>
      </w:r>
      <w:r>
        <w:t xml:space="preserve">[V12-16]</w:t>
      </w:r>
      <w:r>
        <w:fldChar w:fldCharType="end"/>
      </w:r>
    </w:p>
    <w:p>
      <w:pPr>
        <w:pStyle w:val="Heading2"/>
        <w:keepNext/>
        <w:widowControl/>
      </w:pPr>
      <w:r>
        <w:t xml:space="preserve">Full-text evidence update — interpret within the standard boundary</w:t>
      </w:r>
    </w:p>
    <w:p>
      <w:pPr>
        <w:pStyle w:val="Normal"/>
        <w:widowControl/>
      </w:pPr>
      <w:r>
        <w:t xml:space="preserve">The following new full-text findings qualify outcome counseling and operational decisions. Evidence from expanded or experimental cohorts does not enlarge this standard pathway. For proposed boundary changes, use the separately linked OPEN meeting record.</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C1E4F5"/>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C1E4F5"/>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AASLD/AST candidate evaluation</w:t>
            </w:r>
            <w:r>
              <w:t xml:space="preserve"> </w:t>
            </w:r>
            <w:r>
              <w:t xml:space="preserve"> </w:t>
            </w:r>
            <w:r>
              <w:fldChar w:fldCharType="begin"/>
            </w:r>
            <w:r>
              <w:instrText xml:space="preserve"> ADDIN EN.CITE </w:instrText>
            </w:r>
            <w:r>
              <w:fldChar w:fldCharType="begin">
                <w:fldData>PEVuZE5vdGU+PENpdGU+PEF1dGhvcj5Eb3ZlPC9BdXRob3I+PFllYXI+MjAyNjwvWWVhcj48UmVjTnVtPjY8L1JlY051bT48RGlzcGxheVRleHQ+W1YxMi02XTwvRGlzcGxheVRleHQ+PHJlY29yZD48cmVjLW51bWJlcj42PC9yZWMtbnVtYmVyPjxmb3JlaWduLWtleXM+PGtleSBhcHA9IkVOIiBkYi1pZD0iY2UxZWYzYjEtNDY1MS01NzQzLWFjOTEtNjk5NWVjNTdhYmJmIiB0aW1lc3RhbXA9IjE3OTI5MjEwODYiPjY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[V12-6]</w:t>
            </w:r>
            <w:r>
              <w:fldChar w:fldCharType="end"/>
            </w:r>
          </w:p>
          <w:p>
            <w:pPr>
              <w:pStyle w:val="Normal"/>
              <w:widowControl/>
              <w:spacing w:before="60" w:after="20"/>
            </w:pPr>
            <w:r>
              <w:t xml:space="preserve">AASLD/AST practice guideline, not an original patient cohort. Multidisciplinary evidence review with Oxford evidence levels; searches included a January 23, 2025 refresher. Recommendations combine evidence quality, benefit–risk assessment and patient preferences.</w:t>
            </w:r>
          </w:p>
          <w:p>
            <w:pPr>
              <w:pStyle w:val="Normal"/>
              <w:widowControl/>
              <w:spacing w:before="60" w:after="20"/>
            </w:pPr>
            <w:r>
              <w:t xml:space="preserve">Selection: pCCA statement 9: unresectable disease with radial diameter &lt;3 cm (Strong, Level 3). Statement 10: neoadjuvant radiation plus chemotherapy and operative staging (Strong, Level 3). iCCA/mixed HCC–CCA statement 11: biopsy-proven unresectable tumor, maximum diameter &lt;3 cm, no extrahepatic disease (Weak, Level 4); the explanatory paragraph adds solitary disease and underlying cirrhosis.</w:t>
            </w:r>
          </w:p>
          <w:p>
            <w:pPr>
              <w:pStyle w:val="Normal"/>
              <w:widowControl/>
              <w:spacing w:before="60" w:after="20"/>
            </w:pPr>
            <w:hyperlink r:id="rId8">
              <w:r>
                <w:rPr>
                  <w:color w:val="77230C"/>
                  <w:sz w:val="20"/>
                  <w:u w:val="single"/>
                </w:rPr>
                <w:t>Primary source</w:t>
              </w:r>
            </w:hyperlink>
            <w:r>
              <w:t xml:space="preserve"> | </w:t>
            </w:r>
            <w:hyperlink r:id="rId9">
              <w:r>
                <w:rPr>
                  <w:color w:val="77230C"/>
                  <w:sz w:val="20"/>
                  <w:u w:val="single"/>
                </w:rPr>
                <w:t>Full-text PDF</w:t>
              </w:r>
            </w:hyperlink>
          </w:p>
          <w:p>
            <w:pPr>
              <w:pStyle w:val="Normal"/>
              <w:widowControl/>
              <w:spacing w:before="60" w:after="20"/>
            </w:pPr>
            <w:r>
              <w:t xml:space="preserve">Locator: 60-page local author manuscript: pp1–3 publication identity, scope and methods; pp6–8 HCC/CCA statements; pp8–9 CCA rationale and multidisciplinary evaluation; pp25–27 LDLT statements 50–53 and safety/ethical considerations; pp27–28 selected nonhepatic malignancy guidance.</w:t>
            </w:r>
          </w:p>
          <w:p>
            <w:pPr>
              <w:pStyle w:val="Normal"/>
              <w:widowControl/>
              <w:spacing w:before="60" w:after="20"/>
            </w:pPr>
            <w:r>
              <w:t xml:space="preserve">Review depth: Complete 60-page author-manuscript PDF is present. Fresh targeted full-page reading of pp1–3, 6–9 and 25–28; the remaining guideline sections and complete reference list were not reread in this bounded supplemental review. This is a relevant-section review, not a claim of fresh cover-to-cover review.</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No new treatment-effect denominator or original survival endpoint. The guidance supports narrowly selected CCA candidacy rather than a validated advanced-iCCA expansion. It recommends multidisciplinary assessment of expected benefit, medical/psychosocial feasibility and patient wishes; for LDLT, donor safety and expected recipient outcome must be assessed together.</w:t>
            </w:r>
          </w:p>
          <w:p>
            <w:pPr>
              <w:pStyle w:val="Normal"/>
              <w:widowControl/>
              <w:spacing w:before="60" w:after="20"/>
            </w:pPr>
            <w:r>
              <w:rPr>
                <w:b/>
              </w:rPr>
              <w:t xml:space="preserve">Do not infer: </w:t>
            </w:r>
            <w:r>
              <w:t xml:space="preserve">Clinical guidance is distinct from binding OPTN policy and current NLRB recommendations. The manuscript links an older February 2025 NLRB posting. Its &lt;3 cm iCCA wording should not be silently changed to ≤3 cm to match another source; exact-boundary discrepancies require explicit source comparison. The broad pCCA-background list concerning prior chemotherapy/radiation must not be generalized to exclude all protocol-directed NAT, which statement 10 expressly recommends. Time origin: The iCCA rationale describes six months of imaging stability after locoregional or systemic therapy and cross-sectional imaging every three months while listed. This is the guideline's formulation, not a resolution of differently worded current allocation clock language. No new study survival clock exists for this guideline card.</w:t>
            </w:r>
          </w:p>
        </w:tc>
      </w:tr>
      <w:tr>
        <w:trPr/>
        <w:tc>
          <w:tcPr>
            <w:tcW w:w="3400" w:type="dxa"/>
            <w:tcMar>
              <w:top w:w="90" w:type="dxa"/>
              <w:left w:w="90" w:type="dxa"/>
              <w:bottom w:w="90" w:type="dxa"/>
              <w:right w:w="90" w:type="dxa"/>
            </w:tcMar>
          </w:tcPr>
          <w:p>
            <w:pPr>
              <w:pStyle w:val="Normal"/>
              <w:widowControl/>
              <w:spacing w:before="60" w:after="20"/>
            </w:pPr>
            <w:r>
              <w:rPr>
                <w:b/>
              </w:rPr>
              <w:t xml:space="preserve">Wehrle 2023 · ctDNA</w:t>
            </w:r>
            <w:r>
              <w:t xml:space="preserve"> </w:t>
            </w:r>
            <w:r>
              <w:t xml:space="preserve"> </w:t>
            </w:r>
            <w:r>
              <w:fldChar w:fldCharType="begin"/>
            </w:r>
            <w:r>
              <w:instrText xml:space="preserve"> ADDIN EN.CITE </w:instrText>
            </w:r>
            <w:r>
              <w:fldChar w:fldCharType="begin">
                <w:fldData>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</w:fldData>
              </w:fldChar>
            </w:r>
            <w:r>
              <w:instrText xml:space="preserve"> ADDIN EN.CITE.DATA </w:instrText>
            </w:r>
            <w:r>
              <w:fldChar w:fldCharType="end"/>
            </w:r>
            <w:r>
              <w:fldChar w:fldCharType="separate"/>
            </w:r>
            <w:r>
              <w:t xml:space="preserve">[V12-19]</w:t>
            </w:r>
            <w:r>
              <w:fldChar w:fldCharType="end"/>
            </w:r>
          </w:p>
          <w:p>
            <w:pPr>
              <w:pStyle w:val="Normal"/>
              <w:widowControl/>
              <w:spacing w:before="60" w:after="20"/>
            </w:pPr>
            <w:r>
              <w:t xml:space="preserve">Exploratory January–August 2022 CRLM series: 52 patients, described as 34 preoperative and 18 postoperative tests; nine paired pre/postoperative samples. Twenty-nine operations comprised 24 resections and five LT. Guardant360 tumour-agnostic 83-gene assay.</w:t>
            </w:r>
          </w:p>
          <w:p>
            <w:pPr>
              <w:pStyle w:val="Normal"/>
              <w:widowControl/>
              <w:spacing w:before="60" w:after="20"/>
            </w:pPr>
            <w:hyperlink r:id="rId10">
              <w:r>
                <w:rPr>
                  <w:color w:val="77230C"/>
                  <w:sz w:val="20"/>
                  <w:u w:val="single"/>
                </w:rPr>
                <w:t>Primary source</w:t>
              </w:r>
            </w:hyperlink>
            <w:r>
              <w:t xml:space="preserve"> | </w:t>
            </w:r>
            <w:hyperlink r:id="rId11">
              <w:r>
                <w:rPr>
                  <w:color w:val="77230C"/>
                  <w:sz w:val="20"/>
                  <w:u w:val="single"/>
                </w:rPr>
                <w:t>Full-text PDF</w:t>
              </w:r>
            </w:hyperlink>
          </w:p>
          <w:p>
            <w:pPr>
              <w:pStyle w:val="Normal"/>
              <w:widowControl/>
              <w:spacing w:before="60" w:after="20"/>
            </w:pPr>
            <w:r>
              <w:t xml:space="preserve">Locator: PDF p 3: Results/Table 1; pp 4–5: paired cohort/Table 2; p 6: Figure 4; p 7: donor-derived/nononcologic DNA; p 8: limitations; p 10: appendix.</w:t>
            </w:r>
          </w:p>
          <w:p>
            <w:pPr>
              <w:pStyle w:val="Normal"/>
              <w:widowControl/>
              <w:spacing w:before="60" w:after="20"/>
            </w:pPr>
            <w:r>
              <w:t xml:space="preserve">Review depth: Complete ten-page paper read, including methods, Tables 1–2, figures, discussion and Appendix 1.</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Only four LT recipients had paired samples. Postoperative draws ranged from nine to 191 days and preoperative draws from one to 146 days. Mean postoperative follow-up 271 days overall; paired-LT follow-up mean 574 days (160–1160). These are not uniform landmark analyses. All nine paired patients had preoperative ctDNA; three remained positive postoperatively. Three of four paired LT recipients cleared ctDNA; none of the four recurred during reported follow-up. The Results describe 14 positive plus six negative postoperative tests, totaling 20, despite stating a postoperative cohort of 18; the associated eight of 14 versus zero of six recurrence comparison must not be presented as a reliable LT risk estimate. One post-LT NOTCH1-positive patient was NED at 4.5 years; newly detected variants may be donor-derived or nononcologic.</w:t>
            </w:r>
          </w:p>
          <w:p>
            <w:pPr>
              <w:pStyle w:val="Normal"/>
              <w:widowControl/>
              <w:spacing w:before="60" w:after="20"/>
            </w:pPr>
            <w:r>
              <w:rPr>
                <w:b/>
              </w:rPr>
              <w:t xml:space="preserve">Do not infer: </w:t>
            </w:r>
            <w:r>
              <w:t xml:space="preserve">Mixed resection/LT population, very small LT subset, discretionary testing, inconsistent postoperative denominator and variable sample timing. Paired-test P values differ between abstract, body and Table 2; avoid a definitive numerical significance claim. No validated ctDNA threshold for listing, delisting, surveillance escalation or transplant benefit. Tumour mutational burden was not significantly associated with response (P=.1035); no TMB eligibility cutoff. No assay safety problem was established; the important risks are false reassurance and inappropriate exclusion or treatment based on unvalidated results. Supplement access: Appendix 1 is included. No separately supplied supplement.</w:t>
            </w:r>
          </w:p>
        </w:tc>
      </w:tr>
      <w:tr>
        <w:trPr/>
        <w:tc>
          <w:tcPr>
            <w:tcW w:w="3400" w:type="dxa"/>
            <w:tcMar>
              <w:top w:w="90" w:type="dxa"/>
              <w:left w:w="90" w:type="dxa"/>
              <w:bottom w:w="90" w:type="dxa"/>
              <w:right w:w="90" w:type="dxa"/>
            </w:tcMar>
          </w:tcPr>
          <w:p>
            <w:pPr>
              <w:pStyle w:val="Normal"/>
              <w:widowControl/>
              <w:spacing w:before="60" w:after="20"/>
            </w:pPr>
            <w:r>
              <w:rPr>
                <w:b/>
              </w:rPr>
              <w:t xml:space="preserve">Abecassis 2012</w:t>
            </w:r>
            <w:r>
              <w:t xml:space="preserve"> </w:t>
            </w:r>
            <w:r>
              <w:t xml:space="preserve"> </w:t>
            </w:r>
            <w:r>
              <w:fldChar w:fldCharType="begin"/>
            </w:r>
            <w:r>
              <w:instrText xml:space="preserve"> ADDIN EN.CITE </w:instrText>
            </w:r>
            <w:r>
              <w:fldChar w:fldCharType="begin">
                <w:fldData>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</w:fldData>
              </w:fldChar>
            </w:r>
            <w:r>
              <w:instrText xml:space="preserve"> ADDIN EN.CITE.DATA </w:instrText>
            </w:r>
            <w:r>
              <w:fldChar w:fldCharType="end"/>
            </w:r>
            <w:r>
              <w:fldChar w:fldCharType="separate"/>
            </w:r>
            <w:r>
              <w:t xml:space="preserve">[V12-20]</w:t>
            </w:r>
            <w:r>
              <w:fldChar w:fldCharType="end"/>
            </w:r>
          </w:p>
          <w:p>
            <w:pPr>
              <w:pStyle w:val="Normal"/>
              <w:widowControl/>
              <w:spacing w:before="60" w:after="20"/>
            </w:pPr>
            <w:r>
              <w:t xml:space="preserve">A2ALL cohort: 760 donor operations begun; 740 completed, mostly right lobes.</w:t>
            </w:r>
          </w:p>
          <w:p>
            <w:pPr>
              <w:pStyle w:val="Normal"/>
              <w:widowControl/>
              <w:spacing w:before="60" w:after="20"/>
            </w:pPr>
            <w:r>
              <w:t xml:space="preserve">Selection: Multicenter selected donors, older era; standardized complication ascertainment.</w:t>
            </w:r>
          </w:p>
          <w:p>
            <w:pPr>
              <w:pStyle w:val="Normal"/>
              <w:widowControl/>
              <w:spacing w:before="60" w:after="20"/>
            </w:pPr>
            <w:hyperlink r:id="rId12">
              <w:r>
                <w:rPr>
                  <w:color w:val="77230C"/>
                  <w:sz w:val="20"/>
                  <w:u w:val="single"/>
                </w:rPr>
                <w:t>Primary source</w:t>
              </w:r>
            </w:hyperlink>
            <w:r>
              <w:t xml:space="preserve"> | </w:t>
            </w:r>
            <w:hyperlink r:id="rId13">
              <w:r>
                <w:rPr>
                  <w:color w:val="77230C"/>
                  <w:sz w:val="20"/>
                  <w:u w:val="single"/>
                </w:rPr>
                <w:t>Full-text PDF</w:t>
              </w:r>
            </w:hyperlink>
          </w:p>
          <w:p>
            <w:pPr>
              <w:pStyle w:val="Normal"/>
              <w:widowControl/>
              <w:spacing w:before="60" w:after="20"/>
            </w:pPr>
            <w:r>
              <w:t xml:space="preserve">Locator: PDF pp2–8; Methods, donor flow, complications and late-events Discussion.</w:t>
            </w:r>
          </w:p>
          <w:p>
            <w:pPr>
              <w:pStyle w:val="Normal"/>
              <w:widowControl/>
              <w:spacing w:before="60" w:after="20"/>
            </w:pPr>
            <w:r>
              <w:t xml:space="preserve">Review depth: Full article clinical text, methods, results, limitations and tables reviewed; external supplements only if included in supplied PDF.</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A2ALL: 760 operations initiated, 20 aborted and 740 donations completed. Among completed donations, 296/740 (40%) had at least one complication (557 events); 140 had multiple events. Historical four-tier Clavien grade 3 residual disability occurred in 5 and grade 4 death in 3; one death was perioperative and two were late psychological deaths. An aborted donor also suffered bile leak/infection/abscess and was outside the 740-completion analysis.</w:t>
            </w:r>
          </w:p>
          <w:p>
            <w:pPr>
              <w:pStyle w:val="Normal"/>
              <w:widowControl/>
              <w:spacing w:before="60" w:after="20"/>
            </w:pPr>
            <w:r>
              <w:rPr>
                <w:b/>
              </w:rPr>
              <w:t xml:space="preserve">Do not infer: </w:t>
            </w:r>
            <w:r>
              <w:t xml:space="preserve">Historical classification is NOT modern Clavien–Dindo ≥III; 8/740 cannot be labeled a contemporary major-complication rate. Older expert-center cohort and mixed follow-up; late hernia/psychological events occurred years later. Use contemporary local donor outcomes as well as published estimates; never promise zero risk.</w:t>
            </w:r>
          </w:p>
        </w:tc>
      </w:tr>
      <w:tr>
        <w:trPr/>
        <w:tc>
          <w:tcPr>
            <w:tcW w:w="3400" w:type="dxa"/>
            <w:tcMar>
              <w:top w:w="90" w:type="dxa"/>
              <w:left w:w="90" w:type="dxa"/>
              <w:bottom w:w="90" w:type="dxa"/>
              <w:right w:w="90" w:type="dxa"/>
            </w:tcMar>
          </w:tcPr>
          <w:p>
            <w:pPr>
              <w:pStyle w:val="Normal"/>
              <w:widowControl/>
              <w:spacing w:before="60" w:after="20"/>
            </w:pPr>
            <w:r>
              <w:rPr>
                <w:b/>
              </w:rPr>
              <w:t xml:space="preserve">DiMartini 2017</w:t>
            </w:r>
            <w:r>
              <w:t xml:space="preserve"> </w:t>
            </w:r>
            <w:r>
              <w:t xml:space="preserve"> </w:t>
            </w:r>
            <w:r>
              <w:fldChar w:fldCharType="begin"/>
            </w:r>
            <w:r>
              <w:instrText xml:space="preserve"> ADDIN EN.CITE </w:instrText>
            </w:r>
            <w:r>
              <w:fldChar w:fldCharType="begin">
                <w:fldData>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ExL2FqdC4xNDA1NTwvdXJsPjwvcmVsYXRlZC11cmxzPjxwZGYtdXJscy8+PC91cmxzPjwvcmVjb3JkPjwvQ2l0ZT48L0VuZE5vdGU+</w:fldData>
              </w:fldChar>
            </w:r>
            <w:r>
              <w:instrText xml:space="preserve"> ADDIN EN.CITE.DATA </w:instrText>
            </w:r>
            <w:r>
              <w:fldChar w:fldCharType="end"/>
            </w:r>
            <w:r>
              <w:fldChar w:fldCharType="separate"/>
            </w:r>
            <w:r>
              <w:t xml:space="preserve">[V12-21]</w:t>
            </w:r>
            <w:r>
              <w:fldChar w:fldCharType="end"/>
            </w:r>
          </w:p>
          <w:p>
            <w:pPr>
              <w:pStyle w:val="Normal"/>
              <w:widowControl/>
              <w:spacing w:before="60" w:after="20"/>
            </w:pPr>
            <w:r>
              <w:t xml:space="preserve">Prospective A2ALL-2 interviews: 271/297 eligible donors, before and through 24 months after donation.</w:t>
            </w:r>
          </w:p>
          <w:p>
            <w:pPr>
              <w:pStyle w:val="Normal"/>
              <w:widowControl/>
              <w:spacing w:before="60" w:after="20"/>
            </w:pPr>
            <w:r>
              <w:t xml:space="preserve">Selection: Costs and social recovery reported by participants, not randomized financial support.</w:t>
            </w:r>
          </w:p>
          <w:p>
            <w:pPr>
              <w:pStyle w:val="Normal"/>
              <w:widowControl/>
              <w:spacing w:before="60" w:after="20"/>
            </w:pPr>
            <w:hyperlink r:id="rId14">
              <w:r>
                <w:rPr>
                  <w:color w:val="77230C"/>
                  <w:sz w:val="20"/>
                  <w:u w:val="single"/>
                </w:rPr>
                <w:t>Primary source</w:t>
              </w:r>
            </w:hyperlink>
            <w:r>
              <w:t xml:space="preserve"> | </w:t>
            </w:r>
            <w:hyperlink r:id="rId15">
              <w:r>
                <w:rPr>
                  <w:color w:val="77230C"/>
                  <w:sz w:val="20"/>
                  <w:u w:val="single"/>
                </w:rPr>
                <w:t>Full-text PDF</w:t>
              </w:r>
            </w:hyperlink>
          </w:p>
          <w:p>
            <w:pPr>
              <w:pStyle w:val="Normal"/>
              <w:widowControl/>
              <w:spacing w:before="60" w:after="20"/>
            </w:pPr>
            <w:r>
              <w:t xml:space="preserve">Locator: PDF pp2–14; Figure 1, Tables 3–4 and 7, Results and limitations.</w:t>
            </w:r>
          </w:p>
          <w:p>
            <w:pPr>
              <w:pStyle w:val="Normal"/>
              <w:widowControl/>
              <w:spacing w:before="60" w:after="20"/>
            </w:pPr>
            <w:r>
              <w:t xml:space="preserve">Review depth: Full article clinical text, methods, results, limitations and tables reviewed; external supplements only if included in supplied PDF.</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Prospective A2ALL-2 surveys: 271 donors with ≥1 survey, 263 with postdonation data and 245 with both pre/post data; 139 interviews at two years. Cumulatively 75% reported nonmedical out-of-pocket expenses, 45% lost wages, 37% uncovered medical expenses and 44% burdensome costs at ≥1 assessment. Burden was 39.6% at three months (99/250) and 19.4% at two years (27/139). Among 196 employed before donation, 40% ever modified work/jobs.</w:t>
            </w:r>
          </w:p>
          <w:p>
            <w:pPr>
              <w:pStyle w:val="Normal"/>
              <w:widowControl/>
              <w:spacing w:before="60" w:after="20"/>
            </w:pPr>
            <w:r>
              <w:rPr>
                <w:b/>
              </w:rPr>
              <w:t xml:space="preserve">Do not infer: </w:t>
            </w:r>
            <w:r>
              <w:t xml:space="preserve">Self-report, variable denominators, administrative censoring/attrition, English-only selected donors and two-year horizon. These are not all 271 donors reporting each endpoint at a single time. Positive relationships do not offset financial harms. Historical 2017 insurance/assistance descriptions must not be presented as current law or current benefit eligibility.</w:t>
            </w:r>
          </w:p>
        </w:tc>
      </w:tr>
      <w:tr>
        <w:trPr/>
        <w:tc>
          <w:tcPr>
            <w:tcW w:w="3400" w:type="dxa"/>
            <w:tcMar>
              <w:top w:w="90" w:type="dxa"/>
              <w:left w:w="90" w:type="dxa"/>
              <w:bottom w:w="90" w:type="dxa"/>
              <w:right w:w="90" w:type="dxa"/>
            </w:tcMar>
          </w:tcPr>
          <w:p>
            <w:pPr>
              <w:pStyle w:val="Normal"/>
              <w:widowControl/>
              <w:spacing w:before="60" w:after="20"/>
            </w:pPr>
            <w:r>
              <w:rPr>
                <w:b/>
              </w:rPr>
              <w:t xml:space="preserve">Xiao 2024</w:t>
            </w:r>
            <w:r>
              <w:t xml:space="preserve"> </w:t>
            </w:r>
            <w:r>
              <w:t xml:space="preserve"> </w:t>
            </w:r>
            <w:r>
              <w:fldChar w:fldCharType="begin"/>
            </w:r>
            <w:r>
              <w:instrText xml:space="preserve"> ADDIN EN.CITE </w:instrText>
            </w:r>
            <w:r>
              <w:fldChar w:fldCharType="begin">
                <w:fldData>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Dk3L0xWVC4wMDAwMDAwMDAwMDAwMzAzPC91cmw+PC9yZWxhdGVkLXVybHM+PHBkZi11cmxzLz48L3VybHM+PC9yZWNvcmQ+PC9DaXRlPjwvRW5kTm90ZT4=</w:fldData>
              </w:fldChar>
            </w:r>
            <w:r>
              <w:instrText xml:space="preserve"> ADDIN EN.CITE.DATA </w:instrText>
            </w:r>
            <w:r>
              <w:fldChar w:fldCharType="end"/>
            </w:r>
            <w:r>
              <w:fldChar w:fldCharType="separate"/>
            </w:r>
            <w:r>
              <w:t xml:space="preserve">[V12-22]</w:t>
            </w:r>
            <w:r>
              <w:fldChar w:fldCharType="end"/>
            </w:r>
          </w:p>
          <w:p>
            <w:pPr>
              <w:pStyle w:val="Normal"/>
              <w:widowControl/>
              <w:spacing w:before="60" w:after="20"/>
            </w:pPr>
            <w:r>
              <w:t xml:space="preserve">Published meta-analysis of 60,829 donors; primary abstract reports 87 articles.</w:t>
            </w:r>
          </w:p>
          <w:p>
            <w:pPr>
              <w:pStyle w:val="Normal"/>
              <w:widowControl/>
              <w:spacing w:before="60" w:after="20"/>
            </w:pPr>
            <w:r>
              <w:t xml:space="preserve">Selection: Heterogeneous centers, eras and complication definitions; full overlap audit pending.</w:t>
            </w:r>
          </w:p>
          <w:p>
            <w:pPr>
              <w:pStyle w:val="Normal"/>
              <w:widowControl/>
              <w:spacing w:before="60" w:after="20"/>
            </w:pPr>
            <w:hyperlink r:id="rId16">
              <w:r>
                <w:rPr>
                  <w:color w:val="77230C"/>
                  <w:sz w:val="20"/>
                  <w:u w:val="single"/>
                </w:rPr>
                <w:t>Primary source</w:t>
              </w:r>
            </w:hyperlink>
            <w:r>
              <w:t xml:space="preserve"> | </w:t>
            </w:r>
            <w:hyperlink r:id="rId17">
              <w:r>
                <w:rPr>
                  <w:color w:val="77230C"/>
                  <w:sz w:val="20"/>
                  <w:u w:val="single"/>
                </w:rPr>
                <w:t>Full-text PDF</w:t>
              </w:r>
            </w:hyperlink>
          </w:p>
          <w:p>
            <w:pPr>
              <w:pStyle w:val="Normal"/>
              <w:widowControl/>
              <w:spacing w:before="60" w:after="20"/>
            </w:pPr>
            <w:r>
              <w:t xml:space="preserve">Locator: PDF pp3–10; Methods, Tables 1–3, Results and limitations.</w:t>
            </w:r>
          </w:p>
          <w:p>
            <w:pPr>
              <w:pStyle w:val="Normal"/>
              <w:widowControl/>
              <w:spacing w:before="60" w:after="20"/>
            </w:pPr>
            <w:r>
              <w:t xml:space="preserve">Review depth: Full article clinical text, methods, results, limitations and tables reviewed; external supplements only if included in supplied PDF.</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Meta-analysis reports 187 articles/60,829 donors in full-text Results (abstract says 87). Endpoint denominators differ: any complication 24.7% (95% CI 21.6–28.1; 163 studies/34,317 donors), major Clavien–Dindo III–V 5.5% (4.5–6.7; 105/27,571), mortality 0.06% (0.0–0.1; 111/49,027). Psychological complications 7.6% (4.9–11.5; 35/17,171).</w:t>
            </w:r>
          </w:p>
          <w:p>
            <w:pPr>
              <w:pStyle w:val="Normal"/>
              <w:widowControl/>
              <w:spacing w:before="60" w:after="20"/>
            </w:pPr>
            <w:r>
              <w:rPr>
                <w:b/>
              </w:rPr>
              <w:t xml:space="preserve">Do not infer: </w:t>
            </w:r>
            <w:r>
              <w:t xml:space="preserve">Heterogeneous observational reports, variable follow-up, duplicate-cohort sensitivity analysis, underreporting and limited new-vs-preexisting psychiatric detail. No common 60,829-person denominator for every endpoint. Right/left graft comparisons are selected, not causal. Several textual inconsistencies (study count and operation duration) require Table-specific reporting.</w:t>
            </w:r>
          </w:p>
        </w:tc>
      </w:tr>
      <w:tr>
        <w:trPr/>
        <w:tc>
          <w:tcPr>
            <w:tcW w:w="3400" w:type="dxa"/>
            <w:tcMar>
              <w:top w:w="90" w:type="dxa"/>
              <w:left w:w="90" w:type="dxa"/>
              <w:bottom w:w="90" w:type="dxa"/>
              <w:right w:w="90" w:type="dxa"/>
            </w:tcMar>
          </w:tcPr>
          <w:p>
            <w:pPr>
              <w:pStyle w:val="Normal"/>
              <w:widowControl/>
              <w:spacing w:before="60" w:after="20"/>
            </w:pPr>
            <w:r>
              <w:rPr>
                <w:b/>
              </w:rPr>
              <w:t xml:space="preserve">Kataoka 2025 · DREAM</w:t>
            </w:r>
            <w:r>
              <w:t xml:space="preserve"> </w:t>
            </w:r>
            <w:r>
              <w:t xml:space="preserve"> </w:t>
            </w:r>
            <w:r>
              <w:fldChar w:fldCharType="begin"/>
            </w:r>
            <w:r>
              <w:instrText xml:space="preserve"> ADDIN EN.CITE </w:instrText>
            </w:r>
            <w:r>
              <w:fldChar w:fldCharType="begin">
                <w:fldData>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</w:fldData>
              </w:fldChar>
            </w:r>
            <w:r>
              <w:instrText xml:space="preserve"> ADDIN EN.CITE.DATA </w:instrText>
            </w:r>
            <w:r>
              <w:fldChar w:fldCharType="end"/>
            </w:r>
            <w:r>
              <w:fldChar w:fldCharType="separate"/>
            </w:r>
            <w:r>
              <w:t xml:space="preserve">[V12-8]</w:t>
            </w:r>
            <w:r>
              <w:fldChar w:fldCharType="end"/>
            </w:r>
          </w:p>
          <w:p>
            <w:pPr>
              <w:pStyle w:val="Normal"/>
              <w:widowControl/>
              <w:spacing w:before="60" w:after="20"/>
            </w:pPr>
            <w:r>
              <w:t xml:space="preserve">Prospective international diagnostic study at 21 centres. 233 registered with initially borderline/unresectable CLM; 112 considered suitable for conversion surgery after chemotherapy and enrolled, 109 operated. WHO 0–1, with resectable extrahepatic disease allowed. R0 feasibility with functional vascular/biliary anatomy and ≥30% future liver remnant was this study's definition, not a universal LT criterion. CT disappearance = DLM; disappearance on CT and multiparametric MRI = cDLM.</w:t>
            </w:r>
          </w:p>
          <w:p>
            <w:pPr>
              <w:pStyle w:val="Normal"/>
              <w:widowControl/>
              <w:spacing w:before="60" w:after="20"/>
            </w:pPr>
            <w:hyperlink r:id="rId18">
              <w:r>
                <w:rPr>
                  <w:color w:val="77230C"/>
                  <w:sz w:val="20"/>
                  <w:u w:val="single"/>
                </w:rPr>
                <w:t>Primary source</w:t>
              </w:r>
            </w:hyperlink>
            <w:r>
              <w:t xml:space="preserve"> | </w:t>
            </w:r>
            <w:hyperlink r:id="rId19">
              <w:r>
                <w:rPr>
                  <w:color w:val="77230C"/>
                  <w:sz w:val="20"/>
                  <w:u w:val="single"/>
                </w:rPr>
                <w:t>Full-text PDF</w:t>
              </w:r>
            </w:hyperlink>
          </w:p>
          <w:p>
            <w:pPr>
              <w:pStyle w:val="Normal"/>
              <w:widowControl/>
              <w:spacing w:before="60" w:after="20"/>
            </w:pPr>
            <w:r>
              <w:t xml:space="preserve">Locator: Methods pp 1213–1214; patient table p 1215; flowchart and outcomes p 1216; NPV Figure 2 p 1217; survival Figure 4 and limitations p 1218.</w:t>
            </w:r>
          </w:p>
          <w:p>
            <w:pPr>
              <w:pStyle w:val="Normal"/>
              <w:widowControl/>
              <w:spacing w:before="60" w:after="20"/>
            </w:pPr>
            <w:r>
              <w:t xml:space="preserve">Review depth: All nine PDF pages read. Complete primary study pp 1212–1220, including references; final page also begins a separate invited commentary whose continuation is not included and was not treated as complete.</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203 cDLMs in 54 patients; 152 evaluable cDLMs in 44 patients (88 resected, 64 left). Fifty-one cDLMs excluded, including death before two years, missing/out-of-window MRI, ablation or pathology data. Median follow-up 26.1 months after surgery. Survival time zero is initial hepatic surgery. Primary endpoint combines pathology at surgery and lack of site recurrence at two years; these are not identical gold standards. Nonviability NPV for CT+MRI disappearance 95/152 =62.5% (90% CI 50.8–74.2), below prespecified 85%; CT-only DLM NPV 52.9%. Resected cDLMs: 50/88 nonviable, leaving 38/88 with residual viable disease. Left cDLMs: 45/64 without site recurrence at two years, 19/64 with recurrence. With CEUS and cDLM: 42/57 lesions invisible on CEUS were nonviable/no two-year site recurrence (73.7%; 90% CI 55.0–92.3), still imperfect. No equivalence to Oba's expert-centre results. Among 45 patients without extrahepatic disease and R0/R1 resection, all cDLMs removed (19) versus some left (26): DFS HR 0.92 (95% CI 0.48–1.77), OS HR 0.80 (0.21–3.08). Underpowered nonrandom comparison, not proof that resection is useless. Among 109 surgeries, grade ≥IIIa early complications 12/109 (11.0%), late complications 4/109 (3.7%); no postoperative mortality. Postoperative chemotherapy in 46/109.</w:t>
            </w:r>
          </w:p>
          <w:p>
            <w:pPr>
              <w:pStyle w:val="Normal"/>
              <w:widowControl/>
              <w:spacing w:before="60" w:after="20"/>
            </w:pPr>
            <w:r>
              <w:rPr>
                <w:b/>
              </w:rPr>
              <w:t xml:space="preserve">Do not infer: </w:t>
            </w:r>
            <w:r>
              <w:t xml:space="preserve">No central imaging review completed; mixed MRI contrast agents and intraoperative ultrasound practice. Selection and verification bias from conversion-only population and exclusions; per-lesion within-patient correlation was addressed statistically but clinical selection remained. Not powered for survival benefit, no adjustment of survival comparisons; trial discussion of possible LT is hypothesis, not direct evidence. Supplement 1 imaging/pathology guidelines, additional tables/figures and Supplement 2 data-sharing statement are not in this download. Supplement access: Main study complete; Supplement 1 and Supplement 2 absent. Separate invited commentary only begins on the last page.</w:t>
            </w:r>
          </w:p>
        </w:tc>
      </w:tr>
      <w:tr>
        <w:trPr/>
        <w:tc>
          <w:tcPr>
            <w:tcW w:w="3400" w:type="dxa"/>
            <w:tcMar>
              <w:top w:w="90" w:type="dxa"/>
              <w:left w:w="90" w:type="dxa"/>
              <w:bottom w:w="90" w:type="dxa"/>
              <w:right w:w="90" w:type="dxa"/>
            </w:tcMar>
          </w:tcPr>
          <w:p>
            <w:pPr>
              <w:pStyle w:val="Normal"/>
              <w:widowControl/>
              <w:spacing w:before="60" w:after="20"/>
            </w:pPr>
            <w:r>
              <w:rPr>
                <w:b/>
              </w:rPr>
              <w:t xml:space="preserve">Grut 2022 · MTV</w:t>
            </w:r>
            <w:r>
              <w:t xml:space="preserve"> </w:t>
            </w:r>
            <w:r>
              <w:t xml:space="preserve"> </w:t>
            </w:r>
            <w:r>
              <w:fldChar w:fldCharType="begin"/>
            </w:r>
            <w:r>
              <w:instrText xml:space="preserve"> ADDIN EN.CITE </w:instrText>
            </w:r>
            <w:r>
              <w:fldChar w:fldCharType="begin">
                <w:fldData>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</w:fldData>
              </w:fldChar>
            </w:r>
            <w:r>
              <w:instrText xml:space="preserve"> ADDIN EN.CITE.DATA </w:instrText>
            </w:r>
            <w:r>
              <w:fldChar w:fldCharType="end"/>
            </w:r>
            <w:r>
              <w:fldChar w:fldCharType="separate"/>
            </w:r>
            <w:r>
              <w:t xml:space="preserve">[V12-12]</w:t>
            </w:r>
            <w:r>
              <w:fldChar w:fldCharType="end"/>
            </w:r>
          </w:p>
          <w:p>
            <w:pPr>
              <w:pStyle w:val="Normal"/>
              <w:widowControl/>
              <w:spacing w:before="60" w:after="20"/>
            </w:pPr>
            <w:r>
              <w:t xml:space="preserve">Retrospective pooled prognostic analysis of 40 already-transplanted SECA recipients: 23 SECA-I and 17 SECA-II (November 2006–August 2018). ECOG 0–1, radically resected primary, liver-only unresectable metastases. Different trial criteria allowed progression in SECA-I, but not SECA-II.</w:t>
            </w:r>
          </w:p>
          <w:p>
            <w:pPr>
              <w:pStyle w:val="Normal"/>
              <w:widowControl/>
              <w:spacing w:before="60" w:after="20"/>
            </w:pPr>
            <w:hyperlink r:id="rId20">
              <w:r>
                <w:rPr>
                  <w:color w:val="77230C"/>
                  <w:sz w:val="20"/>
                  <w:u w:val="single"/>
                </w:rPr>
                <w:t>Primary source</w:t>
              </w:r>
            </w:hyperlink>
            <w:r>
              <w:t xml:space="preserve"> | </w:t>
            </w:r>
            <w:hyperlink r:id="rId21">
              <w:r>
                <w:rPr>
                  <w:color w:val="77230C"/>
                  <w:sz w:val="20"/>
                  <w:u w:val="single"/>
                </w:rPr>
                <w:t>Full-text PDF</w:t>
              </w:r>
            </w:hyperlink>
          </w:p>
          <w:p>
            <w:pPr>
              <w:pStyle w:val="Normal"/>
              <w:widowControl/>
              <w:spacing w:before="60" w:after="20"/>
            </w:pPr>
            <w:r>
              <w:t xml:space="preserve">Locator: Printed pp 1074–1075 Methods and ROC; Tables 1–2 pp 1075–1076; recurrence p 1077; limitations and scan timing p 1079.</w:t>
            </w:r>
          </w:p>
          <w:p>
            <w:pPr>
              <w:pStyle w:val="Normal"/>
              <w:widowControl/>
              <w:spacing w:before="60" w:after="20"/>
            </w:pPr>
            <w:r>
              <w:t xml:space="preserve">Review depth: Complete nine-page published paper read, including Methods, all tables/figures, Discussion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OS/DFS from LT to 22 December 2021, postrecurrence survival from relapse. Twenty-six MTV &lt;70 cm³ and 14 &gt;70; the exact equality boundary was not specified. ROC-derived cutpoint 66.09 rounded to 70. TLG ROC cutpoint 238.80, not 260. Five-/ten-year OS 76%/50% for low MTV versus 21%/7% for high MTV (P&lt;0.001). Median DFS 16 versus 4 months; all 14 high-MTV and 19/26 low-MTV recipients recurred. Five-/ten-year postrecurrence survival 57%/37% versus 14%/7%. No randomized comparison or incremental benefit analysis. High-MTV group had progression in 79% versus 19%, CEA median 95 versus 3, larger lesions 83 versus 29 mm and substantially more second/third-line treatment: strong confounding by biology. PET was performed after a reported chemotherapy pause of four to six weeks. Among 20 scanned &lt;90 days before LT, MTV was strongly associated with OS; among 20 scanned &gt;90 days, P=0.093. Timing subgroup findings do not prove an optimal universal interval.</w:t>
            </w:r>
          </w:p>
          <w:p>
            <w:pPr>
              <w:pStyle w:val="Normal"/>
              <w:widowControl/>
              <w:spacing w:before="60" w:after="20"/>
            </w:pPr>
            <w:r>
              <w:rPr>
                <w:b/>
              </w:rPr>
              <w:t xml:space="preserve">Do not infer: </w:t>
            </w:r>
            <w:r>
              <w:t xml:space="preserve">Threshold derived and assessed in the same small overlapping SECA cohort; no multivariable isolation of MTV and no untreated comparator. TLG separated the identical patients, so it is not independent validation or an additive test. The paper reports no PET-attributable harms; withholding chemotherapy four to six weeks was study practice, not a universally safe requirement. A zero MTV indicates below-threshold FDG uptake, not histological clearance. Supplement access: No separate supplement cited.</w:t>
            </w:r>
          </w:p>
        </w:tc>
      </w:tr>
      <w:tr>
        <w:trPr/>
        <w:tc>
          <w:tcPr>
            <w:tcW w:w="3400" w:type="dxa"/>
            <w:tcMar>
              <w:top w:w="90" w:type="dxa"/>
              <w:left w:w="90" w:type="dxa"/>
              <w:bottom w:w="90" w:type="dxa"/>
              <w:right w:w="90" w:type="dxa"/>
            </w:tcMar>
          </w:tcPr>
          <w:p>
            <w:pPr>
              <w:pStyle w:val="Normal"/>
              <w:widowControl/>
              <w:spacing w:before="60" w:after="20"/>
            </w:pPr>
            <w:r>
              <w:rPr>
                <w:b/>
              </w:rPr>
              <w:t xml:space="preserve">Oba 2018 · disappearing lesions</w:t>
            </w:r>
            <w:r>
              <w:t xml:space="preserve"> </w:t>
            </w:r>
            <w:r>
              <w:t xml:space="preserve"> </w:t>
            </w:r>
            <w:r>
              <w:fldChar w:fldCharType="begin"/>
            </w:r>
            <w:r>
              <w:instrText xml:space="preserve"> ADDIN EN.CITE </w:instrText>
            </w:r>
            <w:r>
              <w:fldChar w:fldCharType="begin">
                <w:fldData>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</w:fldData>
              </w:fldChar>
            </w:r>
            <w:r>
              <w:instrText xml:space="preserve"> ADDIN EN.CITE.DATA </w:instrText>
            </w:r>
            <w:r>
              <w:fldChar w:fldCharType="end"/>
            </w:r>
            <w:r>
              <w:fldChar w:fldCharType="separate"/>
            </w:r>
            <w:r>
              <w:t xml:space="preserve">[V12-9]</w:t>
            </w:r>
            <w:r>
              <w:fldChar w:fldCharType="end"/>
            </w:r>
          </w:p>
          <w:p>
            <w:pPr>
              <w:pStyle w:val="Normal"/>
              <w:widowControl/>
              <w:spacing w:before="60" w:after="20"/>
            </w:pPr>
            <w:r>
              <w:t xml:space="preserve">Single-centre diagnostic/surgical cohort: 392 hepatectomy patients, 228 treated with preoperative chemotherapy, 184 with CT, EOB-MRI and contrast-enhanced intraoperative ultrasound (CE-IOUS). Fifty-nine patients had 275 CT-disappearing liver metastases; median original size 8 mm. Ninety-eight percent had partial response and 75% received postoperative chemotherapy. This was not an LT cohort.</w:t>
            </w:r>
          </w:p>
          <w:p>
            <w:pPr>
              <w:pStyle w:val="Normal"/>
              <w:widowControl/>
              <w:spacing w:before="60" w:after="20"/>
            </w:pPr>
            <w:hyperlink r:id="rId22">
              <w:r>
                <w:rPr>
                  <w:color w:val="77230C"/>
                  <w:sz w:val="20"/>
                  <w:u w:val="single"/>
                </w:rPr>
                <w:t>Primary source</w:t>
              </w:r>
            </w:hyperlink>
            <w:r>
              <w:t xml:space="preserve"> | </w:t>
            </w:r>
            <w:hyperlink r:id="rId23">
              <w:r>
                <w:rPr>
                  <w:color w:val="77230C"/>
                  <w:sz w:val="20"/>
                  <w:u w:val="single"/>
                </w:rPr>
                <w:t>Full-text PDF</w:t>
              </w:r>
            </w:hyperlink>
          </w:p>
          <w:p>
            <w:pPr>
              <w:pStyle w:val="Normal"/>
              <w:widowControl/>
              <w:spacing w:before="60" w:after="20"/>
            </w:pPr>
            <w:r>
              <w:t xml:space="preserve">Locator: Printed pp 708–714; methods pp 709–710; Figure 2 p 711; Table 2 p 712; limitations p 713.</w:t>
            </w:r>
          </w:p>
          <w:p>
            <w:pPr>
              <w:pStyle w:val="Normal"/>
              <w:widowControl/>
              <w:spacing w:before="60" w:after="20"/>
            </w:pPr>
            <w:r>
              <w:t xml:space="preserve">Review depth: Complete seven-page main paper read, including methods, results, tables, figure text/captions, discussion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Lesion-level reference standard: pathology for resected lesions and subsequent site recurrence for unresected lesions. Unresected-site follow-up median 27 months (range 9–72), not a transplant survival endpoint. EOB-MRI detected 71 of 275 lesions, 65 viable. EOB-MRI plus CE-IOUS detected 165 lesions, 127 viable. Of 110 lesions undetected by both methods, 68 were resected with three viable; 42 were left in situ with six site recurrences. Table 2: combined sensitivity 127/136 (93%), negative predictive value 101/110 (92%).</w:t>
            </w:r>
          </w:p>
          <w:p>
            <w:pPr>
              <w:pStyle w:val="Normal"/>
              <w:widowControl/>
              <w:spacing w:before="60" w:after="20"/>
            </w:pPr>
            <w:r>
              <w:rPr>
                <w:b/>
              </w:rPr>
              <w:t xml:space="preserve">Do not infer: </w:t>
            </w:r>
            <w:r>
              <w:t xml:space="preserve">Unblinded imaging, operator-dependent ultrasound, different pathology and recurrence reference standards. Pathological sections 3–10 mm apart can miss residual cancer; postoperative chemotherapy can suppress recurrence. Japanese perflubutane protocol and expertise are not a mandate for an unavailable US contrast agent. Does not establish a survival benefit from blind resection of every old site or from LT; no comparative operative-harm estimate. Supplement access: No separate supplement included or identified in the main paper; earlier imaging-method papers were not re-reviewed.</w:t>
            </w:r>
          </w:p>
        </w:tc>
      </w:tr>
      <w:tr>
        <w:trPr/>
        <w:tc>
          <w:tcPr>
            <w:tcW w:w="3400" w:type="dxa"/>
            <w:tcMar>
              <w:top w:w="90" w:type="dxa"/>
              <w:left w:w="90" w:type="dxa"/>
              <w:bottom w:w="90" w:type="dxa"/>
              <w:right w:w="90" w:type="dxa"/>
            </w:tcMar>
          </w:tcPr>
          <w:p>
            <w:pPr>
              <w:pStyle w:val="Normal"/>
              <w:widowControl/>
              <w:spacing w:before="60" w:after="20"/>
            </w:pPr>
            <w:r>
              <w:rPr>
                <w:b/>
              </w:rPr>
              <w:t xml:space="preserve">Wehrle 2025 · PET</w:t>
            </w:r>
            <w:r>
              <w:t xml:space="preserve"> </w:t>
            </w:r>
            <w:r>
              <w:t xml:space="preserve"> </w:t>
            </w:r>
            <w:r>
              <w:fldChar w:fldCharType="begin"/>
            </w:r>
            <w:r>
              <w:instrText xml:space="preserve"> ADDIN EN.CITE </w:instrText>
            </w:r>
            <w:r>
              <w:fldChar w:fldCharType="begin">
                <w:fldData>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</w:fldData>
              </w:fldChar>
            </w:r>
            <w:r>
              <w:instrText xml:space="preserve"> ADDIN EN.CITE.DATA </w:instrText>
            </w:r>
            <w:r>
              <w:fldChar w:fldCharType="end"/>
            </w:r>
            <w:r>
              <w:fldChar w:fldCharType="separate"/>
            </w:r>
            <w:r>
              <w:t xml:space="preserve">[V12-11]</w:t>
            </w:r>
            <w:r>
              <w:fldChar w:fldCharType="end"/>
            </w:r>
          </w:p>
          <w:p>
            <w:pPr>
              <w:pStyle w:val="Normal"/>
              <w:widowControl/>
              <w:spacing w:before="60" w:after="20"/>
            </w:pPr>
            <w:r>
              <w:t xml:space="preserve">Retrospective two-US-centre study of 26 recipients (24 LDLT), 2017–2023; all Oslo score 0–2. Five had PET MTV ≥70 cm3 and 21 had lower MTV. No nontransplanted comparator.</w:t>
            </w:r>
          </w:p>
          <w:p>
            <w:pPr>
              <w:pStyle w:val="Normal"/>
              <w:widowControl/>
              <w:spacing w:before="60" w:after="20"/>
            </w:pPr>
            <w:hyperlink r:id="rId24">
              <w:r>
                <w:rPr>
                  <w:color w:val="77230C"/>
                  <w:sz w:val="20"/>
                  <w:u w:val="single"/>
                </w:rPr>
                <w:t>Primary source</w:t>
              </w:r>
            </w:hyperlink>
            <w:r>
              <w:t xml:space="preserve"> | </w:t>
            </w:r>
            <w:hyperlink r:id="rId25">
              <w:r>
                <w:rPr>
                  <w:color w:val="77230C"/>
                  <w:sz w:val="20"/>
                  <w:u w:val="single"/>
                </w:rPr>
                <w:t>Full-text PDF</w:t>
              </w:r>
            </w:hyperlink>
          </w:p>
          <w:p>
            <w:pPr>
              <w:pStyle w:val="Normal"/>
              <w:widowControl/>
              <w:spacing w:before="60" w:after="20"/>
            </w:pPr>
            <w:r>
              <w:t xml:space="preserve">Locator: PDF pp 4–6: methods, results and Table 1; pp 7–8: Table 2/explant viability; pp 10–11: chemotherapy timing and limitations.</w:t>
            </w:r>
          </w:p>
          <w:p>
            <w:pPr>
              <w:pStyle w:val="Normal"/>
              <w:widowControl/>
              <w:spacing w:before="60" w:after="20"/>
            </w:pPr>
            <w:r>
              <w:t xml:space="preserve">Review depth: Complete 13-page main paper read, including methods, Tables 1–2, figures/captions, discussion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Median recipient follow-up 21 months (IQR 11–36); PET within four months of LT, median 1.9 months. Chemotherapy-to-PET interval median 20 days (IQR 0–30), unlike the Oslo four-to-six-week interruption. One-/two-year survival percentages use mature denominators 18/13. Recurrence occurred in four of five high-MTV recipients versus four of 21 low-MTV recipients; two cancer deaths. One-/two-year RFS 15/18 (83%) and 8/13 (62%); OS 18/18 (100%) and 11/13 (85%). Nineteen of 26 explants were viable. All 11 PET-avid cases were viable; eight of 15 nonavid cases were also viable (53.3%). Eight of 19 viable and none of seven nonviable explants recurred. High-MTV patients also had more poorly differentiated tumours (80% versus 14.3%) and higher CEA (35 versus 3.3), without multivariable adjustment.</w:t>
            </w:r>
          </w:p>
          <w:p>
            <w:pPr>
              <w:pStyle w:val="Normal"/>
              <w:widowControl/>
              <w:spacing w:before="60" w:after="20"/>
            </w:pPr>
            <w:r>
              <w:rPr>
                <w:b/>
              </w:rPr>
              <w:t xml:space="preserve">Do not infer: </w:t>
            </w:r>
            <w:r>
              <w:t xml:space="preserve">Reported HR 2.42 with CI 2.2–62.2 is internally inconsistent; do not repair or reuse it without author clarification. Several count/percentage/table inconsistencies: 19/26 incorrectly labelled 69.2%; LDLT subgroup totals conflict; MTV IQR and cohort-centre totals differ. Use explicit raw counts and flag uncertainty. Recent chemotherapy can suppress FDG avidity. PET negativity is not pathological nonviability. Data-derived Youden MTV 1.6 is exploratory, not an alternative eligibility threshold. Small recipient-only cohort with possible overlap with other US series; cannot establish incremental transplant benefit or efficacy of reducing MTV. Supplement access: Supplementary Figures S1/S2 at http://links.lww.com/LVT/A684 are not included or reviewed.</w:t>
            </w:r>
          </w:p>
        </w:tc>
      </w:tr>
      <w:tr>
        <w:trPr/>
        <w:tc>
          <w:tcPr>
            <w:tcW w:w="3400" w:type="dxa"/>
            <w:tcMar>
              <w:top w:w="90" w:type="dxa"/>
              <w:left w:w="90" w:type="dxa"/>
              <w:bottom w:w="90" w:type="dxa"/>
              <w:right w:w="90" w:type="dxa"/>
            </w:tcMar>
          </w:tcPr>
          <w:p>
            <w:pPr>
              <w:pStyle w:val="Normal"/>
              <w:widowControl/>
              <w:spacing w:before="60" w:after="20"/>
            </w:pPr>
            <w:r>
              <w:rPr>
                <w:b/>
              </w:rPr>
              <w:t xml:space="preserve">Dueland 2020 · SECA-II</w:t>
            </w:r>
            <w:r>
              <w:t xml:space="preserve"> </w:t>
            </w:r>
            <w:r>
              <w:t xml:space="preserve"> </w:t>
            </w:r>
            <w:r>
              <w:fldChar w:fldCharType="begin"/>
            </w:r>
            <w:r>
              <w:instrText xml:space="preserve"> ADDIN EN.CITE </w:instrText>
            </w:r>
            <w:r>
              <w:fldChar w:fldCharType="begin">
                <w:fldData>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</w:fldData>
              </w:fldChar>
            </w:r>
            <w:r>
              <w:instrText xml:space="preserve"> ADDIN EN.CITE.DATA </w:instrText>
            </w:r>
            <w:r>
              <w:fldChar w:fldCharType="end"/>
            </w:r>
            <w:r>
              <w:fldChar w:fldCharType="separate"/>
            </w:r>
            <w:r>
              <w:t xml:space="preserve">[V12-4]</w:t>
            </w:r>
            <w:r>
              <w:fldChar w:fldCharType="end"/>
            </w:r>
          </w:p>
          <w:p>
            <w:pPr>
              <w:pStyle w:val="Normal"/>
              <w:widowControl/>
              <w:spacing w:before="60" w:after="20"/>
            </w:pPr>
            <w:r>
              <w:t xml:space="preserve">Prospective single-centre, single-arm study, 15 transplanted April 2012–November 2016. R0 primary, ECOG 0–1, no current or prior extrahepatic metastasis/local relapse, liver-only unresectable disease. At least 10% chemotherapy shrinkage; before treatment no lesion &gt;10 cm; when &gt;30 lesions, all &lt;5 cm and at least 30% shrinkage. Less than 10% chemotherapy response could be supplemented by at least 20% response to DEB-IRI or Y90. Table 1 requires at least one year from CRC diagnosis to listing, not merely an elapsed year by transplantation.</w:t>
            </w:r>
          </w:p>
          <w:p>
            <w:pPr>
              <w:pStyle w:val="Normal"/>
              <w:widowControl/>
              <w:spacing w:before="60" w:after="20"/>
            </w:pPr>
            <w:hyperlink r:id="rId26">
              <w:r>
                <w:rPr>
                  <w:color w:val="77230C"/>
                  <w:sz w:val="20"/>
                  <w:u w:val="single"/>
                </w:rPr>
                <w:t>Primary source</w:t>
              </w:r>
            </w:hyperlink>
            <w:r>
              <w:t xml:space="preserve"> | </w:t>
            </w:r>
            <w:hyperlink r:id="rId27">
              <w:r>
                <w:rPr>
                  <w:color w:val="77230C"/>
                  <w:sz w:val="20"/>
                  <w:u w:val="single"/>
                </w:rPr>
                <w:t>Full-text PDF</w:t>
              </w:r>
            </w:hyperlink>
          </w:p>
          <w:p>
            <w:pPr>
              <w:pStyle w:val="Normal"/>
              <w:widowControl/>
              <w:spacing w:before="60" w:after="20"/>
            </w:pPr>
            <w:r>
              <w:t xml:space="preserve">Locator: Printed pp 212–218; eligibility Table 1 p 213; outcomes and complications p 214; relapse Table 4 and cohort comparison Table 5 p 216.</w:t>
            </w:r>
          </w:p>
          <w:p>
            <w:pPr>
              <w:pStyle w:val="Normal"/>
              <w:widowControl/>
              <w:spacing w:before="60" w:after="20"/>
            </w:pPr>
            <w:r>
              <w:t xml:space="preserve">Review depth: Complete seven-page published main article read, including methods, Tables 1–5, figures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Fifteen transplanted; no wait-list dropout, median wait 29 days (7–148). OS and DFS start at LT. Median follow-up among living patients 36 months (5–60); five-year estimates have very few at risk. Median diagnosis-to-LT 24.0 months and primary resection-to-LT 22.6 months. One-, three- and five-year OS 100%, 83%, 83%; median DFS 13.7 months; one-, two-, three-year DFS 53%, 44%, 35%. Eight recurrences, six initially/only pulmonary. Five patients underwent six lung resections. Median interval detection-to-lung resection 21.4 months illustrates selection and slow growth, not a required waiting interval. Eleven of 15 were NED at last follow-up: seven never relapsed and four after salvage. Three-year NED 76.4% is not the same endpoint as DFS. Grade IIIa–IVa complications in seven of 15 (47%); no adjuvant chemotherapy. Two deaths from recurrence at 26 months.</w:t>
            </w:r>
          </w:p>
          <w:p>
            <w:pPr>
              <w:pStyle w:val="Normal"/>
              <w:widowControl/>
              <w:spacing w:before="60" w:after="20"/>
            </w:pPr>
            <w:r>
              <w:rPr>
                <w:b/>
              </w:rPr>
              <w:t xml:space="preserve">Do not infer: </w:t>
            </w:r>
            <w:r>
              <w:t xml:space="preserve">Highly selected recipients, no randomised comparator or all-evaluated denominator; favourable Oslo scores 0–1, CEA 1–30 and largest pre-LT lesions 3–47 mm. The comparison with expected chemotherapy survival is historical/selected and should not be used as a causal effect estimate. SECA-II long-term report expands and overlaps this cohort; do not count as an independent replication. Single old-era immunosuppression protocol is not a validated best regimen. Supplement access: No separate supplemental file is cited in the main paper.</w:t>
            </w:r>
          </w:p>
        </w:tc>
      </w:tr>
      <w:tr>
        <w:trPr/>
        <w:tc>
          <w:tcPr>
            <w:tcW w:w="3400" w:type="dxa"/>
            <w:tcMar>
              <w:top w:w="90" w:type="dxa"/>
              <w:left w:w="90" w:type="dxa"/>
              <w:bottom w:w="90" w:type="dxa"/>
              <w:right w:w="90" w:type="dxa"/>
            </w:tcMar>
          </w:tcPr>
          <w:p>
            <w:pPr>
              <w:pStyle w:val="Normal"/>
              <w:widowControl/>
              <w:spacing w:before="60" w:after="20"/>
            </w:pPr>
            <w:r>
              <w:rPr>
                <w:b/>
              </w:rPr>
              <w:t xml:space="preserve">Dueland 2026 · SECA-II ten-year</w:t>
            </w:r>
            <w:r>
              <w:t xml:space="preserve"> </w:t>
            </w:r>
            <w:r>
              <w:t xml:space="preserve"> </w:t>
            </w:r>
            <w:r>
              <w:fldChar w:fldCharType="begin"/>
            </w:r>
            <w:r>
              <w:instrText xml:space="preserve"> ADDIN EN.CITE </w:instrText>
            </w:r>
            <w:r>
              <w:fldChar w:fldCharType="begin">
                <w:fldData>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</w:fldData>
              </w:fldChar>
            </w:r>
            <w:r>
              <w:instrText xml:space="preserve"> ADDIN EN.CITE.DATA </w:instrText>
            </w:r>
            <w:r>
              <w:fldChar w:fldCharType="end"/>
            </w:r>
            <w:r>
              <w:fldChar w:fldCharType="separate"/>
            </w:r>
            <w:r>
              <w:t xml:space="preserve">[V12-15]</w:t>
            </w:r>
            <w:r>
              <w:fldChar w:fldCharType="end"/>
            </w:r>
          </w:p>
          <w:p>
            <w:pPr>
              <w:pStyle w:val="Normal"/>
              <w:widowControl/>
              <w:spacing w:before="60" w:after="20"/>
            </w:pPr>
            <w:r>
              <w:t xml:space="preserve">Twenty-five consecutive SECA-II recipients April 2012–November 2023; one metachronous, 24 synchronous. This expands and overlaps the original 15-patient SECA-II cohort, not an independent trial. A patient dying about four weeks after LT is included in OS/RFS but excluded from the 24-patient baseline and other analyses. Of those 24, CEA 1–33, largest lesion 4–48 mm, Oslo 0–2, only two MTV &gt;70 cm³; one ascending primary and one pN2.</w:t>
            </w:r>
          </w:p>
          <w:p>
            <w:pPr>
              <w:pStyle w:val="Normal"/>
              <w:widowControl/>
              <w:spacing w:before="60" w:after="20"/>
            </w:pPr>
            <w:hyperlink r:id="rId28">
              <w:r>
                <w:rPr>
                  <w:color w:val="77230C"/>
                  <w:sz w:val="20"/>
                  <w:u w:val="single"/>
                </w:rPr>
                <w:t>Primary source</w:t>
              </w:r>
            </w:hyperlink>
            <w:r>
              <w:t xml:space="preserve"> | </w:t>
            </w:r>
            <w:hyperlink r:id="rId29">
              <w:r>
                <w:rPr>
                  <w:color w:val="77230C"/>
                  <w:sz w:val="20"/>
                  <w:u w:val="single"/>
                </w:rPr>
                <w:t>Full-text PDF</w:t>
              </w:r>
            </w:hyperlink>
          </w:p>
          <w:p>
            <w:pPr>
              <w:pStyle w:val="Normal"/>
              <w:widowControl/>
              <w:spacing w:before="60" w:after="20"/>
            </w:pPr>
            <w:r>
              <w:t xml:space="preserve">Locator: PDF pp 2–3 methods and Results/Table 1; pp 4–5 relapse, potential-cure discussion and harms; pp 5–6 limitations.</w:t>
            </w:r>
          </w:p>
          <w:p>
            <w:pPr>
              <w:pStyle w:val="Normal"/>
              <w:widowControl/>
              <w:spacing w:before="60" w:after="20"/>
            </w:pPr>
            <w:r>
              <w:t xml:space="preserve">Review depth: Complete seven-page advance-online main article read, including all figures, table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Analysis to 1 January 2025. OS/RFS measured from LT. Median follow-up in living patients 97.2 months by reverse KM. Fourteen followed &gt;5 years, six ≥10 years. Twelve recurrences; postrecurrence survival starts at recurrence. Median OS 128.2 months (95% CI 74.8–181.6); five-/ten-year OS 77.8%/51.5%. Median RFS 24.3 months; 12/25 recurrences (six lung-only first relapse). Median survival after recurrence 62.9 months (25.7–101.1). Twelve without relapse for median 74 months (13–122); four ≥10 years. Four cancer deaths occurred &gt;5 years after LT. Long-term survival or salvaged NED is not proof of cure. Five grade IIIa complications, three grade IIIb and one grade V death from hepatic artery thrombosis. One patient was transplanted with progressive disease on a CT performed locally the preceding day because the result was unknown to the transplant centre. This is a process failure, not a validated expansion criterion.</w:t>
            </w:r>
          </w:p>
          <w:p>
            <w:pPr>
              <w:pStyle w:val="Normal"/>
              <w:widowControl/>
              <w:spacing w:before="60" w:after="20"/>
            </w:pPr>
            <w:r>
              <w:rPr>
                <w:b/>
              </w:rPr>
              <w:t xml:space="preserve">Do not infer: </w:t>
            </w:r>
            <w:r>
              <w:t xml:space="preserve">Single-centre selected nonrandomised recipient cohort, no contemporary control or screened denominator. Long-term tail small. Abstract says up to 15 potentially cured; body says up to 13 and relies partly on short recurrence-free intervals. Neither is a measured cure fraction. Discussion's assertion that RFS is invalid is stronger than the data: RFS remains relevant for recurrence burden, but is insufficient alone to measure benefit when salvage prolongs survival. Methods refer eligibility to reference 16, the SECA-I paper; cross-check original SECA-II Table 1 rather than assuming identical criteria. Table/source typographical inconsistencies do not alter the observed OS estimates. Supplement access: No separate supplementary file cited in this article.</w:t>
            </w:r>
          </w:p>
        </w:tc>
      </w:tr>
      <w:tr>
        <w:trPr/>
        <w:tc>
          <w:tcPr>
            <w:tcW w:w="3400" w:type="dxa"/>
            <w:tcMar>
              <w:top w:w="90" w:type="dxa"/>
              <w:left w:w="90" w:type="dxa"/>
              <w:bottom w:w="90" w:type="dxa"/>
              <w:right w:w="90" w:type="dxa"/>
            </w:tcMar>
          </w:tcPr>
          <w:p>
            <w:pPr>
              <w:pStyle w:val="Normal"/>
              <w:widowControl/>
              <w:spacing w:before="60" w:after="20"/>
            </w:pPr>
            <w:r>
              <w:rPr>
                <w:b/>
              </w:rPr>
              <w:t xml:space="preserve">Gorji 2024</w:t>
            </w:r>
            <w:r>
              <w:t xml:space="preserve"> </w:t>
            </w:r>
            <w:r>
              <w:t xml:space="preserve"> </w:t>
            </w:r>
            <w:r>
              <w:fldChar w:fldCharType="begin"/>
            </w:r>
            <w:r>
              <w:instrText xml:space="preserve"> ADDIN EN.CITE </w:instrText>
            </w:r>
            <w:r>
              <w:fldChar w:fldCharType="begin">
                <w:fldData>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</w:fldData>
              </w:fldChar>
            </w:r>
            <w:r>
              <w:instrText xml:space="preserve"> ADDIN EN.CITE.DATA </w:instrText>
            </w:r>
            <w:r>
              <w:fldChar w:fldCharType="end"/>
            </w:r>
            <w:r>
              <w:fldChar w:fldCharType="separate"/>
            </w:r>
            <w:r>
              <w:t xml:space="preserve">[V12-5]</w:t>
            </w:r>
            <w:r>
              <w:fldChar w:fldCharType="end"/>
            </w:r>
          </w:p>
          <w:p>
            <w:pPr>
              <w:pStyle w:val="Normal"/>
              <w:widowControl/>
              <w:spacing w:before="60" w:after="20"/>
            </w:pPr>
            <w:r>
              <w:t xml:space="preserve">Narrative review; no new patient cohort or meta-analysis.</w:t>
            </w:r>
          </w:p>
          <w:p>
            <w:pPr>
              <w:pStyle w:val="Normal"/>
              <w:widowControl/>
              <w:spacing w:before="60" w:after="20"/>
            </w:pPr>
            <w:hyperlink r:id="rId30">
              <w:r>
                <w:rPr>
                  <w:color w:val="77230C"/>
                  <w:sz w:val="20"/>
                  <w:u w:val="single"/>
                </w:rPr>
                <w:t>Primary source</w:t>
              </w:r>
            </w:hyperlink>
            <w:r>
              <w:t xml:space="preserve"> | </w:t>
            </w:r>
            <w:hyperlink r:id="rId31">
              <w:r>
                <w:rPr>
                  <w:color w:val="77230C"/>
                  <w:sz w:val="20"/>
                  <w:u w:val="single"/>
                </w:rPr>
                <w:t>Full-text PDF</w:t>
              </w:r>
            </w:hyperlink>
          </w:p>
          <w:p>
            <w:pPr>
              <w:pStyle w:val="Normal"/>
              <w:widowControl/>
              <w:spacing w:before="60" w:after="20"/>
            </w:pPr>
            <w:r>
              <w:t xml:space="preserve">Locator: pp 213–216 Tables 2–3, Figure 2, CRLM/NET and allocation sections; references pp 217–218.</w:t>
            </w:r>
          </w:p>
          <w:p>
            <w:pPr>
              <w:pStyle w:val="Normal"/>
              <w:widowControl/>
              <w:spacing w:before="60" w:after="20"/>
            </w:pPr>
            <w:r>
              <w:t xml:space="preserve">Review depth: Complete eight-page narrative review read, including tables, figures/captions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Useful historical synthesis, not a substitute for current allocation guidance or primary trial denominators.; Table 2 p 213 distinguishes Milan NET age &lt;60 (relative), &lt;50% burden and &gt;6-month stability from other guidance; Figure 2 p 215 imports older risk flags (Ki-67 &gt;10%, observation &lt;12 months), which are not proven universal gates.; CRLM p 214 uses IHPBA BRAF V600E and historical CEA/PET language; these are not interchangeable with current NLRB all-BRAF and CEA rules.</w:t>
            </w:r>
          </w:p>
          <w:p>
            <w:pPr>
              <w:pStyle w:val="Normal"/>
              <w:widowControl/>
              <w:spacing w:before="60" w:after="20"/>
            </w:pPr>
            <w:r>
              <w:rPr>
                <w:b/>
              </w:rPr>
              <w:t xml:space="preserve">Do not infer: </w:t>
            </w:r>
            <w:r>
              <w:t xml:space="preserve">The paper says no iCCA/CRLM MELD exceptions and uses older allocation sources: outdated for 2026.; NET ELTR sentence p 216 reverses pre-/post-2000 five-year OS (46% versus 59%); primary ELTR shows better post-2000 outcome.; SECA-II DFS labels p 215 use 1/3/5 years although the primary paper reports 1/2/3 years for 53/44/35%.; Do not count review citations as independent outcome data or adopt Figure 2 Ki-67/observation cutoffs over current evidence.</w:t>
            </w:r>
          </w:p>
        </w:tc>
      </w:tr>
      <w:tr>
        <w:trPr/>
        <w:tc>
          <w:tcPr>
            <w:tcW w:w="3400" w:type="dxa"/>
            <w:tcMar>
              <w:top w:w="90" w:type="dxa"/>
              <w:left w:w="90" w:type="dxa"/>
              <w:bottom w:w="90" w:type="dxa"/>
              <w:right w:w="90" w:type="dxa"/>
            </w:tcMar>
          </w:tcPr>
          <w:p>
            <w:pPr>
              <w:pStyle w:val="Normal"/>
              <w:widowControl/>
              <w:spacing w:before="60" w:after="20"/>
            </w:pPr>
            <w:r>
              <w:rPr>
                <w:b/>
              </w:rPr>
              <w:t xml:space="preserve">Ueberroth 2025</w:t>
            </w:r>
            <w:r>
              <w:t xml:space="preserve"> </w:t>
            </w:r>
            <w:r>
              <w:t xml:space="preserve"> </w:t>
            </w:r>
            <w:r>
              <w:fldChar w:fldCharType="begin"/>
            </w:r>
            <w:r>
              <w:instrText xml:space="preserve"> ADDIN EN.CITE </w:instrText>
            </w:r>
            <w:r>
              <w:fldChar w:fldCharType="begin">
                <w:fldData>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</w:fldData>
              </w:fldChar>
            </w:r>
            <w:r>
              <w:instrText xml:space="preserve"> ADDIN EN.CITE.DATA </w:instrText>
            </w:r>
            <w:r>
              <w:fldChar w:fldCharType="end"/>
            </w:r>
            <w:r>
              <w:fldChar w:fldCharType="separate"/>
            </w:r>
            <w:r>
              <w:t xml:space="preserve">[V12-7]</w:t>
            </w:r>
            <w:r>
              <w:fldChar w:fldCharType="end"/>
            </w:r>
          </w:p>
          <w:p>
            <w:pPr>
              <w:pStyle w:val="Normal"/>
              <w:widowControl/>
              <w:spacing w:before="60" w:after="20"/>
            </w:pPr>
            <w:r>
              <w:t xml:space="preserve">Narrative CRLM review; eight distinct primary cohorts plus overlapping follow-ups/cross-trial comparisons.</w:t>
            </w:r>
          </w:p>
          <w:p>
            <w:pPr>
              <w:pStyle w:val="Normal"/>
              <w:widowControl/>
              <w:spacing w:before="60" w:after="20"/>
            </w:pPr>
            <w:hyperlink r:id="rId32">
              <w:r>
                <w:rPr>
                  <w:color w:val="77230C"/>
                  <w:sz w:val="20"/>
                  <w:u w:val="single"/>
                </w:rPr>
                <w:t>Primary source</w:t>
              </w:r>
            </w:hyperlink>
            <w:r>
              <w:t xml:space="preserve"> | </w:t>
            </w:r>
            <w:hyperlink r:id="rId33">
              <w:r>
                <w:rPr>
                  <w:color w:val="77230C"/>
                  <w:sz w:val="20"/>
                  <w:u w:val="single"/>
                </w:rPr>
                <w:t>Full-text PDF</w:t>
              </w:r>
            </w:hyperlink>
          </w:p>
          <w:p>
            <w:pPr>
              <w:pStyle w:val="Normal"/>
              <w:widowControl/>
              <w:spacing w:before="60" w:after="20"/>
            </w:pPr>
            <w:r>
              <w:t xml:space="preserve">Locator: TransMet body p 2 and Table 1 pp 3–4; selection Table 2 pp 7–8; allocation Table 3 p 9; limitations pp 8–9.</w:t>
            </w:r>
          </w:p>
          <w:p>
            <w:pPr>
              <w:pStyle w:val="Normal"/>
              <w:widowControl/>
              <w:spacing w:before="60" w:after="20"/>
            </w:pPr>
            <w:r>
              <w:t xml:space="preserve">Review depth: Complete 12-page narrative review read, including Tables 1–3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Body p 2 correctly states stable disease or partial response as TransMet eligibility and separates ITT versus per-protocol survival.; CEA 80 and lesion size 5.5 cm are prognostic associations; Table 2 acknowledges non-prospective timing cutoffs, no dedicated lymph-node sampling study and lack of established molecular subgroup effects.; Post-LT adjuvant treatment and ctDNA-guided therapy are research questions, not established standards.</w:t>
            </w:r>
          </w:p>
          <w:p>
            <w:pPr>
              <w:pStyle w:val="Normal"/>
              <w:widowControl/>
              <w:spacing w:before="60" w:after="20"/>
            </w:pPr>
            <w:r>
              <w:rPr>
                <w:b/>
              </w:rPr>
              <w:t xml:space="preserve">Do not infer: </w:t>
            </w:r>
            <w:r>
              <w:t xml:space="preserve">Table 1 simultaneously lists stable disease as inclusion and exclusion for TransMet; the primary paper resolves this in favour of stable or partial response.; Table 1 calls SD/PR a shorter-survival factor in long-term SECA, contrary to its body; Table 2 reverses the direction of the &lt;2-year timing risk. Do not copy table rules blindly.; TransMet survival cited to interim safety paper rather than final efficacy source; recipient postoperative percentages are juxtaposed with one-year registry survival, which is not a matched comparison.; Review's allocation implementation wording and LDLT superiority conclusions are not current controlling policy or causal donor-source evidence.; Table 2 TLG &lt;257 differs from other PET studies; no universal threshold. Includes conference-abstract references among broader literature.</w:t>
            </w:r>
          </w:p>
        </w:tc>
      </w:tr>
      <w:tr>
        <w:trPr/>
        <w:tc>
          <w:tcPr>
            <w:tcW w:w="3400" w:type="dxa"/>
            <w:tcMar>
              <w:top w:w="90" w:type="dxa"/>
              <w:left w:w="90" w:type="dxa"/>
              <w:bottom w:w="90" w:type="dxa"/>
              <w:right w:w="90" w:type="dxa"/>
            </w:tcMar>
          </w:tcPr>
          <w:p>
            <w:pPr>
              <w:pStyle w:val="Normal"/>
              <w:widowControl/>
              <w:spacing w:before="60" w:after="20"/>
            </w:pPr>
            <w:r>
              <w:rPr>
                <w:b/>
              </w:rPr>
              <w:t xml:space="preserve">Adam 2024</w:t>
            </w:r>
            <w:r>
              <w:t xml:space="preserve"> </w:t>
            </w:r>
            <w:r>
              <w:t xml:space="preserve"> </w:t>
            </w:r>
            <w:r>
              <w:fldChar w:fldCharType="begin"/>
            </w:r>
            <w:r>
              <w:instrText xml:space="preserve"> ADDIN EN.CITE </w:instrText>
            </w:r>
            <w:r>
              <w:fldChar w:fldCharType="begin">
                <w:fldData>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</w:fldData>
              </w:fldChar>
            </w:r>
            <w:r>
              <w:instrText xml:space="preserve"> ADDIN EN.CITE.DATA </w:instrText>
            </w:r>
            <w:r>
              <w:fldChar w:fldCharType="end"/>
            </w:r>
            <w:r>
              <w:fldChar w:fldCharType="separate"/>
            </w:r>
            <w:r>
              <w:t xml:space="preserve">[V12-14]</w:t>
            </w:r>
            <w:r>
              <w:fldChar w:fldCharType="end"/>
            </w:r>
          </w:p>
          <w:p>
            <w:pPr>
              <w:pStyle w:val="Normal"/>
              <w:widowControl/>
              <w:spacing w:before="60" w:after="20"/>
            </w:pPr>
            <w:r>
              <w:t xml:space="preserve">Unplanned interim safety/feasibility analysis of TransMet RCT; 157 evaluated, 94 randomized, 47 per arm, 38 protocol-LT recipients.</w:t>
            </w:r>
          </w:p>
          <w:p>
            <w:pPr>
              <w:pStyle w:val="Normal"/>
              <w:widowControl/>
              <w:spacing w:before="60" w:after="20"/>
            </w:pPr>
            <w:hyperlink r:id="rId34">
              <w:r>
                <w:rPr>
                  <w:color w:val="77230C"/>
                  <w:sz w:val="20"/>
                  <w:u w:val="single"/>
                </w:rPr>
                <w:t>Primary source</w:t>
              </w:r>
            </w:hyperlink>
            <w:r>
              <w:t xml:space="preserve"> | </w:t>
            </w:r>
            <w:hyperlink r:id="rId35">
              <w:r>
                <w:rPr>
                  <w:color w:val="77230C"/>
                  <w:sz w:val="20"/>
                  <w:u w:val="single"/>
                </w:rPr>
                <w:t>Full-text PDF</w:t>
              </w:r>
            </w:hyperlink>
          </w:p>
          <w:p>
            <w:pPr>
              <w:pStyle w:val="Normal"/>
              <w:widowControl/>
              <w:spacing w:before="60" w:after="20"/>
            </w:pPr>
            <w:r>
              <w:t xml:space="preserve">Locator: Methods pp 3–4; detailed eligibility/dropout pp 4–5; Table 1 pp 6–7; complications Table 2 p 8; discussion p 9.</w:t>
            </w:r>
          </w:p>
          <w:p>
            <w:pPr>
              <w:pStyle w:val="Normal"/>
              <w:widowControl/>
              <w:spacing w:before="60" w:after="20"/>
            </w:pPr>
            <w:r>
              <w:t xml:space="preserve">Review depth: Complete ten-page open-access primary article read; matched index PDF rejected and actual complete article located.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Methods p 3: stable or partial RECIST response on last regimen ≥3 months within ≤3 chemotherapy lines; not objective response only. BRAF mutation excluded; CEA &lt;80 ng/mL OR ≥50% reduction was the trial rule, not the same as current NLRB.; Independent committee rejected 63/157. Detailed reasons: intrahepatic progression 18, extrahepatic 16, both two, equivocal unresectability 13, &gt;3 lines/resistance five, miscellaneous nine.; 38/47 reached LT after median 51 days; nine did not, including three occult metastatic nodes at laparotomy and one new prostate cancer. Eighty-one percent feasibility applies to selected/randomized candidates, not all screened.; Three of 38 retransplanted; one of 38 postoperative deaths. Grade ≥IIIb complications in 14/41 explored patients (24 events), not 14/38.; 26/38 received postoperative chemotherapy at median 71 days; this descriptive exposure does not establish adjuvant efficacy.; Table 1 p 6: KRAS 11/47 in LT arm and NRAS six (one missing); do not call the combined 17 KRAS-mutant.</w:t>
            </w:r>
          </w:p>
          <w:p>
            <w:pPr>
              <w:pStyle w:val="Normal"/>
              <w:widowControl/>
              <w:spacing w:before="60" w:after="20"/>
            </w:pPr>
            <w:r>
              <w:rPr>
                <w:b/>
              </w:rPr>
              <w:t xml:space="preserve">Do not infer: </w:t>
            </w:r>
            <w:r>
              <w:t xml:space="preserve">Unplanned interim analysis, incomplete long-term endpoint reporting; overlap with final TransMet RCT, not independent replication.; Abstract/discussion groups 50 exclusions as progression but detailed Results include other reasons; use detailed counts.; No universal two-month deadline or priority entitlement follows from allocation priority used in participating countries.; Main paper's frozen-section workup does not establish mandatory systematic portal lymphadenectomy.</w:t>
            </w:r>
          </w:p>
        </w:tc>
      </w:tr>
      <w:tr>
        <w:trPr/>
        <w:tc>
          <w:tcPr>
            <w:tcW w:w="3400" w:type="dxa"/>
            <w:tcMar>
              <w:top w:w="90" w:type="dxa"/>
              <w:left w:w="90" w:type="dxa"/>
              <w:bottom w:w="90" w:type="dxa"/>
              <w:right w:w="90" w:type="dxa"/>
            </w:tcMar>
          </w:tcPr>
          <w:p>
            <w:pPr>
              <w:pStyle w:val="Normal"/>
              <w:widowControl/>
              <w:spacing w:before="60" w:after="20"/>
            </w:pPr>
            <w:r>
              <w:rPr>
                <w:b/>
              </w:rPr>
              <w:t xml:space="preserve">Te 2025</w:t>
            </w:r>
            <w:r>
              <w:t xml:space="preserve"> </w:t>
            </w:r>
            <w:r>
              <w:t xml:space="preserve"> </w:t>
            </w:r>
            <w:r>
              <w:fldChar w:fldCharType="begin"/>
            </w:r>
            <w:r>
              <w:instrText xml:space="preserve"> ADDIN EN.CITE </w:instrText>
            </w:r>
            <w:r>
              <w:fldChar w:fldCharType="begin">
                <w:fldData>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</w:fldData>
              </w:fldChar>
            </w:r>
            <w:r>
              <w:instrText xml:space="preserve"> ADDIN EN.CITE.DATA </w:instrText>
            </w:r>
            <w:r>
              <w:fldChar w:fldCharType="end"/>
            </w:r>
            <w:r>
              <w:fldChar w:fldCharType="separate"/>
            </w:r>
            <w:r>
              <w:t xml:space="preserve">[V12-16]</w:t>
            </w:r>
            <w:r>
              <w:fldChar w:fldCharType="end"/>
            </w:r>
          </w:p>
          <w:p>
            <w:pPr>
              <w:pStyle w:val="Normal"/>
              <w:widowControl/>
              <w:spacing w:before="60" w:after="20"/>
            </w:pPr>
            <w:r>
              <w:t xml:space="preserve">AASLD/AST clinical practice guideline, published online 2025 / volume 2026; systematic search updated through 12 September 2024.</w:t>
            </w:r>
          </w:p>
          <w:p>
            <w:pPr>
              <w:pStyle w:val="Normal"/>
              <w:widowControl/>
              <w:spacing w:before="60" w:after="20"/>
            </w:pPr>
            <w:hyperlink r:id="rId36">
              <w:r>
                <w:rPr>
                  <w:color w:val="77230C"/>
                  <w:sz w:val="20"/>
                  <w:u w:val="single"/>
                </w:rPr>
                <w:t>Primary source</w:t>
              </w:r>
            </w:hyperlink>
            <w:r>
              <w:t xml:space="preserve"> | </w:t>
            </w:r>
            <w:hyperlink r:id="rId37">
              <w:r>
                <w:rPr>
                  <w:color w:val="77230C"/>
                  <w:sz w:val="20"/>
                  <w:u w:val="single"/>
                </w:rPr>
                <w:t>Full-text PDF</w:t>
              </w:r>
            </w:hyperlink>
          </w:p>
          <w:p>
            <w:pPr>
              <w:pStyle w:val="Normal"/>
              <w:widowControl/>
              <w:spacing w:before="60" w:after="20"/>
            </w:pPr>
            <w:r>
              <w:t xml:space="preserve">Locator: PDF pp 13–18, statements 25–33 and Tables 3–5; pp 19–21 statements 34–40/Table 6; printed 456–464.</w:t>
            </w:r>
          </w:p>
          <w:p>
            <w:pPr>
              <w:pStyle w:val="Normal"/>
              <w:widowControl/>
              <w:spacing w:before="60" w:after="20"/>
            </w:pPr>
            <w:r>
              <w:t xml:space="preserve">Review depth: Targeted full-section review of 47-page guideline: PDF pp 1–2 (scope/methods) and pp 12–21 (printed 455–464; immunosuppression, minimization and rejection statements/tables). Other graft/recurrent-disease chapters were not fully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Statement 25: basiliximab may permit delayed CNI initiation for renal recovery (Weak, Level 2); statement 26 advises against ATG induction (Strong, Level 2). These are general LT recommendations, not NET/CRLM-specific anticancer induction.; Statements 28–31 support individualized tacrolimus-based therapy, selective combination/CNI minimization and caution against routine steroid-free therapy. Table 4 explicitly notes dose/trough targets vary with transplant-professional judgment.; Statement 32 only suggests mTOR use for HCC WITHIN Milan to improve RFS up to three years (Weak, Level 3). It does not establish NET/CRLM recurrence reduction or a general preferred oncologic regimen.; Statement 33 supports early mTOR consideration for CKD, a renal indication. Statement 36 does not recommend routine complete immunosuppression withdrawal.; Search excluded conference abstracts and unpublished reports from the systematic evidence review; this provides a better current general-immunosuppression source than an unretrieved older review.</w:t>
            </w:r>
          </w:p>
          <w:p>
            <w:pPr>
              <w:pStyle w:val="Normal"/>
              <w:widowControl/>
              <w:spacing w:before="60" w:after="20"/>
            </w:pPr>
            <w:r>
              <w:rPr>
                <w:b/>
              </w:rPr>
              <w:t xml:space="preserve">Do not infer: </w:t>
            </w:r>
            <w:r>
              <w:t xml:space="preserve">Most immunosuppression and cancer evidence is indication-specific; do not extrapolate HCC benefit causally to NET/CRLM.; Not a 2026 literature search: substantive search update ended September 2024.; Dosing examples are not local standing orders. Supplementary methods/flowchart referenced at links.lww.com/LVT/B9 were not reviewed.</w:t>
            </w:r>
          </w:p>
        </w:tc>
      </w:tr>
      <w:tr>
        <w:trPr/>
        <w:tc>
          <w:tcPr>
            <w:tcW w:w="3400" w:type="dxa"/>
            <w:tcMar>
              <w:top w:w="90" w:type="dxa"/>
              <w:left w:w="90" w:type="dxa"/>
              <w:bottom w:w="90" w:type="dxa"/>
              <w:right w:w="90" w:type="dxa"/>
            </w:tcMar>
          </w:tcPr>
          <w:p>
            <w:pPr>
              <w:pStyle w:val="Normal"/>
              <w:widowControl/>
              <w:spacing w:before="60" w:after="20"/>
            </w:pPr>
            <w:r>
              <w:rPr>
                <w:b/>
              </w:rPr>
              <w:t xml:space="preserve">Wehrle 2024 · intensive LRT</w:t>
            </w:r>
            <w:r>
              <w:t xml:space="preserve"> </w:t>
            </w:r>
            <w:r>
              <w:t xml:space="preserve"> </w:t>
            </w:r>
            <w:r>
              <w:fldChar w:fldCharType="begin"/>
            </w:r>
            <w:r>
              <w:instrText xml:space="preserve"> ADDIN EN.CITE </w:instrText>
            </w:r>
            <w:r>
              <w:fldChar w:fldCharType="begin">
                <w:fldData>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</w:fldData>
              </w:fldChar>
            </w:r>
            <w:r>
              <w:instrText xml:space="preserve"> ADDIN EN.CITE.DATA </w:instrText>
            </w:r>
            <w:r>
              <w:fldChar w:fldCharType="end"/>
            </w:r>
            <w:r>
              <w:fldChar w:fldCharType="separate"/>
            </w:r>
            <w:r>
              <w:t xml:space="preserve">[V12-10]</w:t>
            </w:r>
            <w:r>
              <w:fldChar w:fldCharType="end"/>
            </w:r>
          </w:p>
          <w:p>
            <w:pPr>
              <w:pStyle w:val="Normal"/>
              <w:widowControl/>
              <w:spacing w:before="60" w:after="20"/>
            </w:pPr>
            <w:r>
              <w:t xml:space="preserve">Retrospective single-centre experience: 27 evaluated; 11 initially ineligible (two extrahepatic disease, four advanced burden, five comorbidity/performance); 16 entered intensive systemic/locoregional treatment; nine received LT, seven from living donors. Included one R1 primary, one MSI-high tumour and one pretreatment 12.3-cm lesion, which cannot validate those guidance departures.</w:t>
            </w:r>
          </w:p>
          <w:p>
            <w:pPr>
              <w:pStyle w:val="Normal"/>
              <w:widowControl/>
              <w:spacing w:before="60" w:after="20"/>
            </w:pPr>
            <w:hyperlink r:id="rId38">
              <w:r>
                <w:rPr>
                  <w:color w:val="77230C"/>
                  <w:sz w:val="20"/>
                  <w:u w:val="single"/>
                </w:rPr>
                <w:t>Primary source</w:t>
              </w:r>
            </w:hyperlink>
            <w:r>
              <w:t xml:space="preserve"> | </w:t>
            </w:r>
            <w:hyperlink r:id="rId39">
              <w:r>
                <w:rPr>
                  <w:color w:val="77230C"/>
                  <w:sz w:val="20"/>
                  <w:u w:val="single"/>
                </w:rPr>
                <w:t>Full-text PDF</w:t>
              </w:r>
            </w:hyperlink>
          </w:p>
          <w:p>
            <w:pPr>
              <w:pStyle w:val="Normal"/>
              <w:widowControl/>
              <w:spacing w:before="60" w:after="20"/>
            </w:pPr>
            <w:r>
              <w:t xml:space="preserve">Locator: PDF pp 4–5 / printed pp 1240–1241: cohort and conflicting chemotherapy cycles; PDF p 7 / printed p 1243: dropout/death and Table 2; PDF pp 8–11 / printed pp 1244–1247: Table 3, explant viability and NED definitions.</w:t>
            </w:r>
          </w:p>
          <w:p>
            <w:pPr>
              <w:pStyle w:val="Normal"/>
              <w:widowControl/>
              <w:spacing w:before="60" w:after="20"/>
            </w:pPr>
            <w:r>
              <w:t xml:space="preserve">Review depth: Complete 13-page PDF read: visual abstract and 12-page main paper, including patient-level tables, discussion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Six of 16 entrants progressed and one died from treatment-associated liver failure before LT. Recipient follow-up median 700 days (285–2024), with survival measured from LT. Published one-/two-year percentages use mature denominators of eight/five, not all nine recipients. Among nine recipients, three recurred. One-/two-year RFS 6/8 (75%) and 3/5 (60%); OS 7/8 (87.5%) and 4/5 (80%). Five recipients were labelled no detectable disease using PET/CEA, not proven CT/MRI or microscopic eradication. Five explants were viable and four nonviable; all three recurrences occurred with viable explants. Eight of nine explants showed treatment injury: seven cirrhosis and one bridging fibrosis. Four recipients were transplanted for injury. One of 16 entrants died from severe liver failure within two weeks of bilobar Y90 while receiving systemic chemo-immunotherapy. Four recipients required biliary drainage or reoperation; one also had acute rejection. Highest reported postoperative complication grade was IIIb.</w:t>
            </w:r>
          </w:p>
          <w:p>
            <w:pPr>
              <w:pStyle w:val="Normal"/>
              <w:widowControl/>
              <w:spacing w:before="60" w:after="20"/>
            </w:pPr>
            <w:r>
              <w:rPr>
                <w:b/>
              </w:rPr>
              <w:t xml:space="preserve">Do not infer: </w:t>
            </w:r>
            <w:r>
              <w:t xml:space="preserve">Nine selected recipients, no credible matched non-LT comparator; comparison of 16 entrants with 11 ineligible patients from evaluation is strongly confounded. Patient-level Table 2 and abstract give median 16 chemotherapy cycles (10–40), while the body gives 47 (20–77). Do not extract an eligibility cycle minimum. Body NED definition uses MTV zero and CEA &lt;5, while Figure 4 uses CEA &gt;10 for activity; individual borderline values further prevent a clean validated cutoff. Overlapping patients with other US PET, ctDNA and explant cohorts are not independent replications. Treatment-induced hepatic failure is a harm, not a therapeutic objective or evidence that a graft will rescue toxicity. Supplement access: No separate supplement supplied; patient-level Tables 2–3 are in the main PDF.</w:t>
            </w:r>
          </w:p>
        </w:tc>
      </w:tr>
    </w:tbl>
    <w:p>
      <w:pPr>
        <w:pStyle w:val="Normal"/>
        <w:widowControl/>
      </w:pPr>
      <w:hyperlink r:id="rId40">
        <w:r>
          <w:rPr>
            <w:color w:val="77230C"/>
            <w:sz w:val="20"/>
            <w:u w:val="single"/>
          </w:rPr>
          <w:t>Separate evidence/alignment meeting record — OPEN boundary decisions</w:t>
        </w:r>
      </w:hyperlink>
    </w:p>
    <w:p>
      <w:pPr>
        <w:pStyle w:val="Normal"/>
        <w:widowControl/>
      </w:pPr>
      <w:r>
        <w:t xml:space="preserve">Evidence review record: </w:t>
      </w:r>
      <w:hyperlink r:id="rId41">
        <w:r>
          <w:rPr>
            <w:color w:val="77230C"/>
            <w:sz w:val="20"/>
            <w:u w:val="single"/>
          </w:rPr>
          <w:t>Five analyst comments and reconciliation</w:t>
        </w:r>
      </w:hyperlink>
      <w:r>
        <w:t xml:space="preserve">  |  </w:t>
      </w:r>
      <w:hyperlink r:id="rId42">
        <w:r>
          <w:rPr>
            <w:color w:val="77230C"/>
            <w:sz w:val="20"/>
            <w:u w:val="single"/>
          </w:rPr>
          <w:t>Prospective outcomes dataset</w:t>
        </w:r>
      </w:hyperlink>
    </w:p>
    <w:p>
      <w:pPr>
        <w:pStyle w:val="Heading1"/>
        <w:keepNext/>
        <w:widowControl/>
        <w:keepLines/>
      </w:pPr>
      <w:r>
        <w:t xml:space="preserve">Revision note</w:t>
      </w:r>
    </w:p>
    <w:p>
      <w:pPr>
        <w:pStyle w:val="Normal"/>
        <w:keepNext/>
        <w:widowControl/>
        <w:keepLines/>
      </w:pPr>
      <w:r>
        <w:t xml:space="preserve">Revised 2026-10-24 12:46 CDT. V8 incorporates the matched local full-text PDFs and recorded corrections below. Prior versions and external analyst reviews remain preserved. Institutional decisions remain OPEN.</w:t>
      </w:r>
    </w:p>
    <w:p>
      <w:pPr>
        <w:pStyle w:val="Normal"/>
        <w:keepNext/>
        <w:widowControl/>
        <w:keepLines/>
      </w:pPr>
      <w:r>
        <w:rPr>
          <w:b/>
        </w:rPr>
        <w:t xml:space="preserve">Problem: </w:t>
      </w:r>
      <w:r>
        <w:t xml:space="preserve">Treatment-intensive conversion and radiographic disappearance could imply safe eligibility or eradication. </w:t>
      </w:r>
      <w:r>
        <w:rPr>
          <w:b/>
        </w:rPr>
        <w:t xml:space="preserve">Correction and reason: </w:t>
      </w:r>
      <w:r>
        <w:t xml:space="preserve">Added failure-to-reach-LT denominators, the pre-LT death after bilobar Y90 and the distinction between microscopic viability, persistent unresectability and proven transplant benefit.</w:t>
      </w:r>
    </w:p>
    <w:p>
      <w:pPr>
        <w:pStyle w:val="Normal"/>
        <w:keepNext/>
        <w:widowControl/>
        <w:keepLines/>
      </w:pPr>
      <w:r>
        <w:rPr>
          <w:b/>
        </w:rPr>
        <w:t xml:space="preserve">Problem: </w:t>
      </w:r>
      <w:r>
        <w:t xml:space="preserve">TransMet was incorrectly described as requiring objective response and mandatory lymphadenectomy. </w:t>
      </w:r>
      <w:r>
        <w:rPr>
          <w:b/>
        </w:rPr>
        <w:t xml:space="preserve">Correction and reason: </w:t>
      </w:r>
      <w:r>
        <w:t xml:space="preserve">Allowed the trial’s stable-or-partial-response criterion and separated current NLRB requirements; replaced universal dissection with suspicious-lesion/node assessment and a local operative SOP.</w:t>
      </w:r>
    </w:p>
    <w:p>
      <w:pPr>
        <w:pStyle w:val="Normal"/>
        <w:keepNext/>
        <w:widowControl/>
        <w:keepLines/>
      </w:pPr>
      <w:r>
        <w:rPr>
          <w:b/>
        </w:rPr>
        <w:t xml:space="preserve">Problem: </w:t>
      </w:r>
      <w:r>
        <w:t xml:space="preserve">BRAF and CEA boundaries were inconsistent; radiographic disappearance implied too much. </w:t>
      </w:r>
      <w:r>
        <w:rPr>
          <w:b/>
        </w:rPr>
        <w:t xml:space="preserve">Correction and reason: </w:t>
      </w:r>
      <w:r>
        <w:t xml:space="preserve">Used BRAF-wild-type guidance, separated initial/extension CEA wording and distinguished occult viability from persistent unresectability and LT benefit.</w:t>
      </w:r>
    </w:p>
    <w:p>
      <w:pPr>
        <w:pStyle w:val="Normal"/>
        <w:keepNext/>
        <w:widowControl/>
        <w:keepLines/>
      </w:pPr>
      <w:r>
        <w:rPr>
          <w:b/>
        </w:rPr>
        <w:t xml:space="preserve">Problem: </w:t>
      </w:r>
      <w:r>
        <w:t xml:space="preserve">Trial drug doses and mTOR cancer benefit were presented as routine orders. </w:t>
      </w:r>
      <w:r>
        <w:rPr>
          <w:b/>
        </w:rPr>
        <w:t xml:space="preserve">Correction and reason: </w:t>
      </w:r>
      <w:r>
        <w:t xml:space="preserve">Required the current signed transplant-pharmacy regimen, corrected the MMF attribution, and made CRLM recurrence benefit unproven.</w:t>
      </w:r>
    </w:p>
    <w:p>
      <w:pPr>
        <w:pStyle w:val="Normal"/>
        <w:keepNext/>
        <w:widowControl/>
        <w:keepLines/>
      </w:pPr>
      <w:r>
        <w:rPr>
          <w:b/>
        </w:rPr>
        <w:t xml:space="preserve">Problem: </w:t>
      </w:r>
      <w:r>
        <w:t xml:space="preserve">The new full texts were not linked to an updated evidence appraisal. </w:t>
      </w:r>
      <w:r>
        <w:rPr>
          <w:b/>
        </w:rPr>
        <w:t xml:space="preserve">Correction and reason: </w:t>
      </w:r>
      <w:r>
        <w:t xml:space="preserve">Added study-level outcomes, harms, denominators, source-specific limitations and depot links; the detailed paragraph reconciliation is retained in source/standard_body_reconciliation.json.</w:t>
      </w:r>
    </w:p>
    <w:p>
      <w:pPr>
        <w:pStyle w:val="Normal"/>
        <w:keepNext/>
        <w:widowControl/>
        <w:keepLines/>
      </w:pPr>
      <w:r>
        <w:rPr>
          <w:b/>
        </w:rPr>
        <w:t xml:space="preserve">Problem: </w:t>
      </w:r>
      <w:r>
        <w:t xml:space="preserve">Citation fields and source versions needed a consistent rebuild. </w:t>
      </w:r>
      <w:r>
        <w:rPr>
          <w:b/>
        </w:rPr>
        <w:t xml:space="preserve">Correction and reason: </w:t>
      </w:r>
      <w:r>
        <w:t xml:space="preserve">Populated structured EndNote citations and references, individual XML/RIS libraries and actual DOCX/PDF copies. Native Word/EndNote updating remains untested.</w:t>
      </w:r>
    </w:p>
    <w:p>
      <w:pPr>
        <w:pStyle w:val="Normal"/>
        <w:widowControl/>
        <w:keepLines/>
      </w:pPr>
      <w:r>
        <w:t xml:space="preserve">Approval record  Clinical lead __________  Allocation review __________  Research authorization if required __________  Donor review if applicable __________  Date __________</w:t>
      </w:r>
    </w:p>
    <w:p>
      <w:pPr>
        <w:pStyle w:val="Heading1"/>
        <w:widowControl/>
        <w:keepNext/>
      </w:pPr>
      <w:r>
        <w:t xml:space="preserve">V12 evidence-integrated treatment and reassessment</w:t>
      </w:r>
    </w:p>
    <w:p>
      <w:pPr>
        <w:pStyle w:val="Normal"/>
        <w:widowControl/>
        <w:spacing w:after="120"/>
      </w:pPr>
      <w:r>
        <w:t xml:space="preserve">Later-line efficacy does not define persistent unresectability. HPB MDT must document why complete clearance of every original disease site cannot be achieved with a credible resection/ablation strategy, liver reserve and staged options. Treated/nonviable lesions alone are not proof of active unresectable disease. Preserve all biology, extrahepatic and allocation gates.</w:t>
      </w:r>
    </w:p>
    <w:p>
      <w:pPr>
        <w:pStyle w:val="Heading2"/>
        <w:widowControl/>
        <w:keepNext/>
      </w:pPr>
      <w:r>
        <w:t xml:space="preserve">MOUNTAINEER final: HER2-positive CRC</w:t>
      </w:r>
    </w:p>
    <w:p>
      <w:pPr>
        <w:pStyle w:val="Normal"/>
        <w:widowControl/>
        <w:spacing w:after="120"/>
      </w:pPr>
      <w:r>
        <w:t xml:space="preserve">Use local validated HER2 IHC3+, IHC2+/ISH+, or qualifying tissue amplification with RAS wild type and prior-treatment review. A negative plasma result may require tissue testing. Response can prompt HPB reassessment but does not establish persistent unresectability or transplant benefit.</w:t>
      </w:r>
      <w:r>
        <w:t xml:space="preserve"> </w:t>
      </w:r>
      <w:r>
        <w:fldChar w:fldCharType="begin"/>
      </w:r>
      <w:r>
        <w:instrText xml:space="preserve"> ADDIN EN.CITE </w:instrText>
      </w:r>
      <w:r>
        <w:fldChar w:fldCharType="begin">
          <w:fldData>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</w:fldData>
        </w:fldChar>
      </w:r>
      <w:r>
        <w:instrText xml:space="preserve"> ADDIN EN.CITE.DATA </w:instrText>
      </w:r>
      <w:r>
        <w:fldChar w:fldCharType="end"/>
      </w:r>
      <w:r>
        <w:fldChar w:fldCharType="separate"/>
      </w:r>
      <w:r>
        <w:t xml:space="preserve">[V12-23]</w:t>
      </w:r>
      <w:r>
        <w:fldChar w:fldCharType="end"/>
      </w:r>
      <w:r>
        <w:br/>
      </w:r>
      <w:hyperlink r:id="rId88">
        <w:r>
          <w:rPr>
            <w:color w:val="0563C1"/>
            <w:u w:val="single"/>
          </w:rPr>
          <w:t>Source</w:t>
        </w:r>
      </w:hyperlink>
      <w:r>
        <w:t xml:space="preserve"> · </w:t>
      </w:r>
      <w:hyperlink r:id="rId89">
        <w:r>
          <w:rPr>
            <w:color w:val="0563C1"/>
            <w:u w:val="single"/>
          </w:rPr>
          <w:t>PDF</w:t>
        </w:r>
      </w:hyperlink>
    </w:p>
    <w:p>
      <w:pPr>
        <w:pStyle w:val="Heading2"/>
        <w:widowControl/>
        <w:keepNext/>
      </w:pPr>
      <w:r>
        <w:t xml:space="preserve">SUNLIGHT: FTD/TPI plus bevacizumab</w:t>
      </w:r>
    </w:p>
    <w:p>
      <w:pPr>
        <w:pStyle w:val="Normal"/>
        <w:widowControl/>
        <w:spacing w:after="120"/>
      </w:pPr>
      <w:r>
        <w:t xml:space="preserve">Offer a later-line disease-control option when marrow reserve and anti-VEGF safety permit. Record bleeding, wound-healing and operative timing; do not translate disease control automatically into LT eligibility.</w:t>
      </w:r>
      <w:r>
        <w:t xml:space="preserve"> </w:t>
      </w:r>
      <w:r>
        <w:fldChar w:fldCharType="begin"/>
      </w:r>
      <w:r>
        <w:instrText xml:space="preserve"> ADDIN EN.CITE </w:instrText>
      </w:r>
      <w:r>
        <w:fldChar w:fldCharType="begin">
          <w:fldData>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</w:fldData>
        </w:fldChar>
      </w:r>
      <w:r>
        <w:instrText xml:space="preserve"> ADDIN EN.CITE.DATA </w:instrText>
      </w:r>
      <w:r>
        <w:fldChar w:fldCharType="end"/>
      </w:r>
      <w:r>
        <w:fldChar w:fldCharType="separate"/>
      </w:r>
      <w:r>
        <w:t xml:space="preserve">[V12-24]</w:t>
      </w:r>
      <w:r>
        <w:fldChar w:fldCharType="end"/>
      </w:r>
      <w:r>
        <w:br/>
      </w:r>
      <w:hyperlink r:id="rId90">
        <w:r>
          <w:rPr>
            <w:color w:val="0563C1"/>
            <w:u w:val="single"/>
          </w:rPr>
          <w:t>Source</w:t>
        </w:r>
      </w:hyperlink>
      <w:r>
        <w:t xml:space="preserve"> · </w:t>
      </w:r>
      <w:hyperlink r:id="rId91">
        <w:r>
          <w:rPr>
            <w:color w:val="0563C1"/>
            <w:u w:val="single"/>
          </w:rPr>
          <w:t>PDF</w:t>
        </w:r>
      </w:hyperlink>
    </w:p>
    <w:p>
      <w:pPr>
        <w:pStyle w:val="Heading2"/>
        <w:widowControl/>
        <w:keepNext/>
      </w:pPr>
      <w:r>
        <w:t xml:space="preserve">FRESCO-2: fruquintinib</w:t>
      </w:r>
    </w:p>
    <w:p>
      <w:pPr>
        <w:pStyle w:val="Normal"/>
        <w:widowControl/>
        <w:spacing w:after="120"/>
      </w:pPr>
      <w:r>
        <w:t xml:space="preserve">Retain a later-line option with BP, proteinuria, hand–foot, bleeding/perforation and operative safety assessment. Not an evidence-based curative conversion strategy or new transplant-selection route.</w:t>
      </w:r>
      <w:r>
        <w:t xml:space="preserve"> </w:t>
      </w:r>
      <w:r>
        <w:fldChar w:fldCharType="begin"/>
      </w:r>
      <w:r>
        <w:instrText xml:space="preserve"> ADDIN EN.CITE </w:instrText>
      </w:r>
      <w:r>
        <w:fldChar w:fldCharType="begin">
          <w:fldData>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</w:fldData>
        </w:fldChar>
      </w:r>
      <w:r>
        <w:instrText xml:space="preserve"> ADDIN EN.CITE.DATA </w:instrText>
      </w:r>
      <w:r>
        <w:fldChar w:fldCharType="end"/>
      </w:r>
      <w:r>
        <w:fldChar w:fldCharType="separate"/>
      </w:r>
      <w:r>
        <w:t xml:space="preserve">[V12-25]</w:t>
      </w:r>
      <w:r>
        <w:fldChar w:fldCharType="end"/>
      </w:r>
      <w:r>
        <w:br/>
      </w:r>
      <w:hyperlink r:id="rId92">
        <w:r>
          <w:rPr>
            <w:color w:val="0563C1"/>
            <w:u w:val="single"/>
          </w:rPr>
          <w:t>Source</w:t>
        </w:r>
      </w:hyperlink>
      <w:r>
        <w:t xml:space="preserve"> · </w:t>
      </w:r>
      <w:hyperlink r:id="rId93">
        <w:r>
          <w:rPr>
            <w:color w:val="0563C1"/>
            <w:u w:val="single"/>
          </w:rPr>
          <w:t>PDF</w:t>
        </w:r>
      </w:hyperlink>
    </w:p>
    <w:p>
      <w:pPr>
        <w:pStyle w:val="Normal"/>
        <w:widowControl/>
        <w:spacing w:after="120"/>
      </w:pPr>
      <w:r>
        <w:t xml:space="preserve">Treatment comparisons and detailed regimen evidence: </w:t>
      </w:r>
      <w:hyperlink r:id="rId87">
        <w:r>
          <w:rPr>
            <w:color w:val="0563C1"/>
            <w:u w:val="single"/>
          </w:rPr>
          <w:t>Cross-tumor systemic matrix</w:t>
        </w:r>
      </w:hyperlink>
    </w:p>
    <w:p>
      <w:pPr>
        <w:pStyle w:val="Heading1"/>
        <w:widowControl/>
        <w:keepNext/>
      </w:pPr>
      <w:r>
        <w:t xml:space="preserve">References</w:t>
      </w:r>
    </w:p>
    <w:p>
      <w:pPr>
        <w:pStyle w:val="Normal"/>
        <w:widowControl/>
        <w:spacing w:after="120"/>
      </w:pPr>
      <w:r>
        <w:t xml:space="preserve"/>
      </w:r>
      <w:r>
        <w:fldChar w:fldCharType="begin"/>
      </w:r>
      <w:r>
        <w:instrText xml:space="preserve"> ADDIN EN.REFLIST </w:instrText>
      </w:r>
      <w:r>
        <w:fldChar w:fldCharType="separate"/>
      </w:r>
      <w:r>
        <w:t xml:space="preserve">[V12-1] Organ Procurement and Transplantation Network. OPTN Policies: liver allocation and living donation. HRSA/OPTN. 2026. </w:t>
      </w:r>
      <w:hyperlink r:id="rId94">
        <w:r>
          <w:rPr>
            <w:color w:val="0563C1"/>
            <w:u w:val="single"/>
          </w:rPr>
          <w:t>Source</w:t>
        </w:r>
      </w:hyperlink>
      <w:r>
        <w:t xml:space="preserve"> | </w:t>
      </w:r>
      <w:hyperlink r:id="rId95">
        <w:r>
          <w:rPr>
            <w:color w:val="0563C1"/>
            <w:u w:val="single"/>
          </w:rPr>
          <w:t>Full-text access</w:t>
        </w:r>
      </w:hyperlink>
    </w:p>
    <w:p>
      <w:pPr>
        <w:pStyle w:val="Normal"/>
        <w:widowControl/>
        <w:spacing w:after="120"/>
      </w:pPr>
      <w:r>
        <w:t xml:space="preserve"/>
      </w:r>
      <w:r>
        <w:t xml:space="preserve">[V12-2] Organ Procurement and Transplantation Network. Adult MELD Exceptions for Transplant Oncology. HRSA/OPTN. 2025. </w:t>
      </w:r>
      <w:hyperlink r:id="rId96">
        <w:r>
          <w:rPr>
            <w:color w:val="0563C1"/>
            <w:u w:val="single"/>
          </w:rPr>
          <w:t>Source</w:t>
        </w:r>
      </w:hyperlink>
      <w:r>
        <w:t xml:space="preserve"> | </w:t>
      </w:r>
      <w:hyperlink r:id="rId97">
        <w:r>
          <w:rPr>
            <w:color w:val="0563C1"/>
            <w:u w:val="single"/>
          </w:rPr>
          <w:t>Full-text access</w:t>
        </w:r>
      </w:hyperlink>
    </w:p>
    <w:p>
      <w:pPr>
        <w:pStyle w:val="Normal"/>
        <w:widowControl/>
        <w:spacing w:after="120"/>
      </w:pPr>
      <w:r>
        <w:t xml:space="preserve"/>
      </w:r>
      <w:r>
        <w:t xml:space="preserve">[V12-3] Adam, René; Piedvache, Céline; Chiche, Laurence; et al. Liver transplantation plus chemotherapy versus chemotherapy alone in patients with permanently unresectable colorectal liver metastases (TransMet): results from a multicentre, open-label, prospective, randomised controlled trial. Lancet (London, England). 2024; 404(10458):1107-1118. </w:t>
      </w:r>
      <w:hyperlink r:id="rId98">
        <w:r>
          <w:rPr>
            <w:color w:val="0563C1"/>
            <w:u w:val="single"/>
          </w:rPr>
          <w:t>Source</w:t>
        </w:r>
      </w:hyperlink>
      <w:r>
        <w:t xml:space="preserve"> | </w:t>
      </w:r>
      <w:hyperlink r:id="rId99">
        <w:r>
          <w:rPr>
            <w:color w:val="0563C1"/>
            <w:u w:val="single"/>
          </w:rPr>
          <w:t>Full-text access</w:t>
        </w:r>
      </w:hyperlink>
    </w:p>
    <w:p>
      <w:pPr>
        <w:pStyle w:val="Normal"/>
        <w:widowControl/>
        <w:spacing w:after="120"/>
      </w:pPr>
      <w:r>
        <w:t xml:space="preserve"/>
      </w:r>
      <w:r>
        <w:t xml:space="preserve">[V12-4] Dueland, Svein. Survival Following Liver Transplantation for Patients With Nonresectable Liver-only Colorectal Metastases. Annals of Surgery. 2020; 271(2):212–218. </w:t>
      </w:r>
      <w:hyperlink r:id="rId100">
        <w:r>
          <w:rPr>
            <w:color w:val="0563C1"/>
            <w:u w:val="single"/>
          </w:rPr>
          <w:t>Source</w:t>
        </w:r>
      </w:hyperlink>
      <w:r>
        <w:t xml:space="preserve"> | </w:t>
      </w:r>
      <w:hyperlink r:id="rId101">
        <w:r>
          <w:rPr>
            <w:color w:val="0563C1"/>
            <w:u w:val="single"/>
          </w:rPr>
          <w:t>Full-text access</w:t>
        </w:r>
      </w:hyperlink>
    </w:p>
    <w:p>
      <w:pPr>
        <w:pStyle w:val="Normal"/>
        <w:widowControl/>
        <w:spacing w:after="120"/>
      </w:pPr>
      <w:r>
        <w:t xml:space="preserve"/>
      </w:r>
      <w:r>
        <w:t xml:space="preserve">[V12-5] Gorji, Leva; Brown, Zachary J.; Limkemann, Ashley; et al. Liver Transplant as a Treatment of Primary and Secondary Liver Neoplasms. JAMA Surgery. 2024; 159(2):211. </w:t>
      </w:r>
      <w:hyperlink r:id="rId102">
        <w:r>
          <w:rPr>
            <w:color w:val="0563C1"/>
            <w:u w:val="single"/>
          </w:rPr>
          <w:t>Source</w:t>
        </w:r>
      </w:hyperlink>
      <w:r>
        <w:t xml:space="preserve"> | </w:t>
      </w:r>
      <w:hyperlink r:id="rId103">
        <w:r>
          <w:rPr>
            <w:color w:val="0563C1"/>
            <w:u w:val="single"/>
          </w:rPr>
          <w:t>Full-text access</w:t>
        </w:r>
      </w:hyperlink>
    </w:p>
    <w:p>
      <w:pPr>
        <w:pStyle w:val="Normal"/>
        <w:widowControl/>
        <w:spacing w:after="120"/>
      </w:pPr>
      <w:r>
        <w:t xml:space="preserve"/>
      </w:r>
      <w:r>
        <w:t xml:space="preserve">[V12-6] Dove, Lorna; Chadha, Ryan M.; Lai, Jennifer C.; et al. AASLD AST Practice Guideline on adult liver transplantation: Candidate evaluation. Hepatology. 2026; 83(6):1609-1645. </w:t>
      </w:r>
      <w:hyperlink r:id="rId104">
        <w:r>
          <w:rPr>
            <w:color w:val="0563C1"/>
            <w:u w:val="single"/>
          </w:rPr>
          <w:t>Source</w:t>
        </w:r>
      </w:hyperlink>
      <w:r>
        <w:t xml:space="preserve"> | </w:t>
      </w:r>
      <w:hyperlink r:id="rId105">
        <w:r>
          <w:rPr>
            <w:color w:val="0563C1"/>
            <w:u w:val="single"/>
          </w:rPr>
          <w:t>Full-text access</w:t>
        </w:r>
      </w:hyperlink>
    </w:p>
    <w:p>
      <w:pPr>
        <w:pStyle w:val="Normal"/>
        <w:widowControl/>
        <w:spacing w:after="120"/>
      </w:pPr>
      <w:r>
        <w:t xml:space="preserve"/>
      </w:r>
      <w:r>
        <w:t xml:space="preserve">[V12-7] Ueberroth, Benjamin E; Kriss, Michael; Burton, James R; et al. Liver transplantation for colorectal cancer with liver metastases. The Oncologist. 2025; 30(1). </w:t>
      </w:r>
      <w:hyperlink r:id="rId106">
        <w:r>
          <w:rPr>
            <w:color w:val="0563C1"/>
            <w:u w:val="single"/>
          </w:rPr>
          <w:t>Source</w:t>
        </w:r>
      </w:hyperlink>
      <w:r>
        <w:t xml:space="preserve"> | </w:t>
      </w:r>
      <w:hyperlink r:id="rId107">
        <w:r>
          <w:rPr>
            <w:color w:val="0563C1"/>
            <w:u w:val="single"/>
          </w:rPr>
          <w:t>Full-text access</w:t>
        </w:r>
      </w:hyperlink>
    </w:p>
    <w:p>
      <w:pPr>
        <w:pStyle w:val="Normal"/>
        <w:widowControl/>
        <w:spacing w:after="120"/>
      </w:pPr>
      <w:r>
        <w:t xml:space="preserve"/>
      </w:r>
      <w:r>
        <w:t xml:space="preserve">[V12-8] Kataoka, Kozo; Mauer, Murielle; Shiozawa, Manabu; et al. Diagnostic Accuracy of Imaging in Assessing Nonviability of Disappearing Colorectal Liver Metastasis. JAMA Surgery. 2025. </w:t>
      </w:r>
      <w:hyperlink r:id="rId108">
        <w:r>
          <w:rPr>
            <w:color w:val="0563C1"/>
            <w:u w:val="single"/>
          </w:rPr>
          <w:t>Source</w:t>
        </w:r>
      </w:hyperlink>
      <w:r>
        <w:t xml:space="preserve"> | </w:t>
      </w:r>
      <w:hyperlink r:id="rId109">
        <w:r>
          <w:rPr>
            <w:color w:val="0563C1"/>
            <w:u w:val="single"/>
          </w:rPr>
          <w:t>Full-text access</w:t>
        </w:r>
      </w:hyperlink>
    </w:p>
    <w:p>
      <w:pPr>
        <w:pStyle w:val="Normal"/>
        <w:widowControl/>
        <w:spacing w:after="120"/>
      </w:pPr>
      <w:r>
        <w:t xml:space="preserve"/>
      </w:r>
      <w:r>
        <w:t xml:space="preserve">[V12-9] Oba, Atsushi; Mise, Yoshihiro; Ito, Hiromichi; et al. Clinical implications of disappearing colorectal liver metastases have changed in the era of hepatocyte-specific MRI and contrast-enhanced intraoperative ultrasonography. HPB. 2018; 20(8):708-714. </w:t>
      </w:r>
      <w:hyperlink r:id="rId110">
        <w:r>
          <w:rPr>
            <w:color w:val="0563C1"/>
            <w:u w:val="single"/>
          </w:rPr>
          <w:t>Source</w:t>
        </w:r>
      </w:hyperlink>
      <w:r>
        <w:t xml:space="preserve"> | </w:t>
      </w:r>
      <w:hyperlink r:id="rId111">
        <w:r>
          <w:rPr>
            <w:color w:val="0563C1"/>
            <w:u w:val="single"/>
          </w:rPr>
          <w:t>Full-text access</w:t>
        </w:r>
      </w:hyperlink>
    </w:p>
    <w:p>
      <w:pPr>
        <w:pStyle w:val="Normal"/>
        <w:widowControl/>
        <w:spacing w:after="120"/>
      </w:pPr>
      <w:r>
        <w:t xml:space="preserve"/>
      </w:r>
      <w:r>
        <w:t xml:space="preserve">[V12-10] Wehrle, Chase J; Fujiki, Masato; Schlegel, Andrea; et al. Intensive locoregional therapy before liver transplantation for colorectal cancer liver metastasis: A novel pretransplant protocol. Liver transplantation : official publication of the American Association for the Study of Liver Diseases and the International Liver Transplantation Society. 2024; 30(12):1238-1249. </w:t>
      </w:r>
      <w:hyperlink r:id="rId112">
        <w:r>
          <w:rPr>
            <w:color w:val="0563C1"/>
            <w:u w:val="single"/>
          </w:rPr>
          <w:t>Source</w:t>
        </w:r>
      </w:hyperlink>
      <w:r>
        <w:t xml:space="preserve"> | </w:t>
      </w:r>
      <w:hyperlink r:id="rId113">
        <w:r>
          <w:rPr>
            <w:color w:val="0563C1"/>
            <w:u w:val="single"/>
          </w:rPr>
          <w:t>Full-text access</w:t>
        </w:r>
      </w:hyperlink>
    </w:p>
    <w:p>
      <w:pPr>
        <w:pStyle w:val="Normal"/>
        <w:widowControl/>
        <w:spacing w:after="120"/>
      </w:pPr>
      <w:r>
        <w:t xml:space="preserve"/>
      </w:r>
      <w:r>
        <w:t xml:space="preserve">[V12-11] Wehrle, Chase J; Chávez-Villa, Mariana; Byrne, Matthew; et al. Pretransplant metabolic tumor volume predicts recurrence following liver transplantation for colorectal metastasis: A multicenter study. Liver transplantation : official publication of the American Association for the Study of Liver Diseases and the International Liver Transplantation Society. 2025; 31(3):298-310. </w:t>
      </w:r>
      <w:hyperlink r:id="rId114">
        <w:r>
          <w:rPr>
            <w:color w:val="0563C1"/>
            <w:u w:val="single"/>
          </w:rPr>
          <w:t>Source</w:t>
        </w:r>
      </w:hyperlink>
      <w:r>
        <w:t xml:space="preserve"> | </w:t>
      </w:r>
      <w:hyperlink r:id="rId115">
        <w:r>
          <w:rPr>
            <w:color w:val="0563C1"/>
            <w:u w:val="single"/>
          </w:rPr>
          <w:t>Full-text access</w:t>
        </w:r>
      </w:hyperlink>
    </w:p>
    <w:p>
      <w:pPr>
        <w:pStyle w:val="Normal"/>
        <w:widowControl/>
        <w:spacing w:after="120"/>
      </w:pPr>
      <w:r>
        <w:t xml:space="preserve"/>
      </w:r>
      <w:r>
        <w:t xml:space="preserve">[V12-12] Grut, Harald; Line, Pål-Dag; Syversveen, Trygve; et al. Metabolic tumor volume predicts long-term survival after transplantation for unresectable colorectal liver metastases: 15 years of experience from the SECA study. Annals of nuclear medicine. 2022; 36(12):1073-1081. </w:t>
      </w:r>
      <w:hyperlink r:id="rId116">
        <w:r>
          <w:rPr>
            <w:color w:val="0563C1"/>
            <w:u w:val="single"/>
          </w:rPr>
          <w:t>Source</w:t>
        </w:r>
      </w:hyperlink>
      <w:r>
        <w:t xml:space="preserve"> | </w:t>
      </w:r>
      <w:hyperlink r:id="rId117">
        <w:r>
          <w:rPr>
            <w:color w:val="0563C1"/>
            <w:u w:val="single"/>
          </w:rPr>
          <w:t>Full-text access</w:t>
        </w:r>
      </w:hyperlink>
    </w:p>
    <w:p>
      <w:pPr>
        <w:pStyle w:val="Normal"/>
        <w:widowControl/>
        <w:spacing w:after="120"/>
      </w:pPr>
      <w:r>
        <w:t xml:space="preserve"/>
      </w:r>
      <w:r>
        <w:t xml:space="preserve">[V12-13] Bonney, Glenn K; Chew, Claire Alexandra; Lodge, Peter; et al. Liver transplantation for non-resectable colorectal liver metastases: the International Hepato-Pancreato-Biliary Association consensus guidelines. The lancet. Gastroenterology &amp; hepatology. 2021; 6(11):933-946. </w:t>
      </w:r>
      <w:hyperlink r:id="rId118">
        <w:r>
          <w:rPr>
            <w:color w:val="0563C1"/>
            <w:u w:val="single"/>
          </w:rPr>
          <w:t>Source</w:t>
        </w:r>
      </w:hyperlink>
      <w:r>
        <w:t xml:space="preserve"> | </w:t>
      </w:r>
      <w:hyperlink r:id="rId119">
        <w:r>
          <w:rPr>
            <w:color w:val="0563C1"/>
            <w:u w:val="single"/>
          </w:rPr>
          <w:t>Full-text access</w:t>
        </w:r>
      </w:hyperlink>
    </w:p>
    <w:p>
      <w:pPr>
        <w:pStyle w:val="Normal"/>
        <w:widowControl/>
        <w:spacing w:after="120"/>
      </w:pPr>
      <w:r>
        <w:t xml:space="preserve"/>
      </w:r>
      <w:r>
        <w:t xml:space="preserve">[V12-14] Adam, René; Badrudin, David; Chiche, Laurence; et al. Safety and feasibility of chemotherapy followed by liver transplantation for patients with definitely unresectable colorectal liver metastases: insights from the TransMet randomised clinical trial. eClinicalMedicine. 2024; 72:102608. </w:t>
      </w:r>
      <w:hyperlink r:id="rId120">
        <w:r>
          <w:rPr>
            <w:color w:val="0563C1"/>
            <w:u w:val="single"/>
          </w:rPr>
          <w:t>Source</w:t>
        </w:r>
      </w:hyperlink>
      <w:r>
        <w:t xml:space="preserve"> | </w:t>
      </w:r>
      <w:hyperlink r:id="rId121">
        <w:r>
          <w:rPr>
            <w:color w:val="0563C1"/>
            <w:u w:val="single"/>
          </w:rPr>
          <w:t>Full-text access</w:t>
        </w:r>
      </w:hyperlink>
    </w:p>
    <w:p>
      <w:pPr>
        <w:pStyle w:val="Normal"/>
        <w:widowControl/>
        <w:spacing w:after="120"/>
      </w:pPr>
      <w:r>
        <w:t xml:space="preserve"/>
      </w:r>
      <w:r>
        <w:t xml:space="preserve">[V12-15] Dueland, Svein; Smedman, Tor M.; Syversveen, Trygve; et al. Liver Transplantation for Nonresectable Colorectal Liver Metastases: Ten-year Follow-up and Assessment of Curative Rate in the SECA-II Study. Annals of Surgery. 2026. </w:t>
      </w:r>
      <w:hyperlink r:id="rId122">
        <w:r>
          <w:rPr>
            <w:color w:val="0563C1"/>
            <w:u w:val="single"/>
          </w:rPr>
          <w:t>Source</w:t>
        </w:r>
      </w:hyperlink>
      <w:r>
        <w:t xml:space="preserve"> | </w:t>
      </w:r>
      <w:hyperlink r:id="rId123">
        <w:r>
          <w:rPr>
            <w:color w:val="0563C1"/>
            <w:u w:val="single"/>
          </w:rPr>
          <w:t>Full-text access</w:t>
        </w:r>
      </w:hyperlink>
    </w:p>
    <w:p>
      <w:pPr>
        <w:pStyle w:val="Normal"/>
        <w:widowControl/>
        <w:spacing w:after="120"/>
      </w:pPr>
      <w:r>
        <w:t xml:space="preserve"/>
      </w:r>
      <w:r>
        <w:t xml:space="preserve">[V12-16] Te, Helen S.; Agopian, Vatche G.; Demetris, Anthony J.; et al. AASLD AST Practice Guideline on adult liver transplantation: Diagnosis and management of graft-related complications. Liver Transplantation. 2025; 32(3):444-490. </w:t>
      </w:r>
      <w:hyperlink r:id="rId124">
        <w:r>
          <w:rPr>
            <w:color w:val="0563C1"/>
            <w:u w:val="single"/>
          </w:rPr>
          <w:t>Source</w:t>
        </w:r>
      </w:hyperlink>
      <w:r>
        <w:t xml:space="preserve"> | </w:t>
      </w:r>
      <w:hyperlink r:id="rId125">
        <w:r>
          <w:rPr>
            <w:color w:val="0563C1"/>
            <w:u w:val="single"/>
          </w:rPr>
          <w:t>Full-text access</w:t>
        </w:r>
      </w:hyperlink>
    </w:p>
    <w:p>
      <w:pPr>
        <w:pStyle w:val="Normal"/>
        <w:widowControl/>
        <w:spacing w:after="120"/>
      </w:pPr>
      <w:r>
        <w:t xml:space="preserve"/>
      </w:r>
      <w:r>
        <w:t xml:space="preserve">[V12-17] Novartis Pharmaceuticals Corporation. Zortress (everolimus) US prescribing information, updated 16 September 2026. DailyMed. 2026. </w:t>
      </w:r>
      <w:hyperlink r:id="rId126">
        <w:r>
          <w:rPr>
            <w:color w:val="0563C1"/>
            <w:u w:val="single"/>
          </w:rPr>
          <w:t>Source</w:t>
        </w:r>
      </w:hyperlink>
      <w:r>
        <w:t xml:space="preserve"> | </w:t>
      </w:r>
      <w:hyperlink r:id="rId127">
        <w:r>
          <w:rPr>
            <w:color w:val="0563C1"/>
            <w:u w:val="single"/>
          </w:rPr>
          <w:t>Full-text access</w:t>
        </w:r>
      </w:hyperlink>
    </w:p>
    <w:p>
      <w:pPr>
        <w:pStyle w:val="Normal"/>
        <w:widowControl/>
        <w:spacing w:after="120"/>
      </w:pPr>
      <w:r>
        <w:t xml:space="preserve"/>
      </w:r>
      <w:r>
        <w:t xml:space="preserve">[V12-18] Nashan, Björn. mTOR Inhibition and Clinical Transplantation. Transplantation. 2018; 102(2S):S19-S26. </w:t>
      </w:r>
      <w:hyperlink r:id="rId128">
        <w:r>
          <w:rPr>
            <w:color w:val="0563C1"/>
            <w:u w:val="single"/>
          </w:rPr>
          <w:t>Source</w:t>
        </w:r>
      </w:hyperlink>
      <w:r>
        <w:t xml:space="preserve"> | </w:t>
      </w:r>
      <w:hyperlink r:id="rId129">
        <w:r>
          <w:rPr>
            <w:color w:val="0563C1"/>
            <w:u w:val="single"/>
          </w:rPr>
          <w:t>Full-text access</w:t>
        </w:r>
      </w:hyperlink>
    </w:p>
    <w:p>
      <w:pPr>
        <w:pStyle w:val="Normal"/>
        <w:widowControl/>
        <w:spacing w:after="120"/>
      </w:pPr>
      <w:r>
        <w:t xml:space="preserve"/>
      </w:r>
      <w:r>
        <w:t xml:space="preserve">[V12-19] Wehrle, Chase J; Raj, Roma; Aykun, Nihal; et al. Circulating Tumor DNA in Colorectal Cancer Liver Metastasis: Analysis of Patients Receiving Liver Resection and Transplant. JCO clinical cancer informatics. 2023; 7:e2300111. </w:t>
      </w:r>
      <w:hyperlink r:id="rId130">
        <w:r>
          <w:rPr>
            <w:color w:val="0563C1"/>
            <w:u w:val="single"/>
          </w:rPr>
          <w:t>Source</w:t>
        </w:r>
      </w:hyperlink>
      <w:r>
        <w:t xml:space="preserve"> | </w:t>
      </w:r>
      <w:hyperlink r:id="rId131">
        <w:r>
          <w:rPr>
            <w:color w:val="0563C1"/>
            <w:u w:val="single"/>
          </w:rPr>
          <w:t>Full-text access</w:t>
        </w:r>
      </w:hyperlink>
    </w:p>
    <w:p>
      <w:pPr>
        <w:pStyle w:val="Normal"/>
        <w:widowControl/>
        <w:spacing w:after="120"/>
      </w:pPr>
      <w:r>
        <w:t xml:space="preserve"/>
      </w:r>
      <w:r>
        <w:t xml:space="preserve">[V12-20] Abecassis, M.M.; Fisher, R.A.; Olthoff, K.M.; et al. Complications of Living Donor Hepatic Lobectomy—A Comprehensive Report. American Journal of Transplantation. 2012; 12(5):1208-1217. </w:t>
      </w:r>
      <w:hyperlink r:id="rId132">
        <w:r>
          <w:rPr>
            <w:color w:val="0563C1"/>
            <w:u w:val="single"/>
          </w:rPr>
          <w:t>Source</w:t>
        </w:r>
      </w:hyperlink>
      <w:r>
        <w:t xml:space="preserve"> | </w:t>
      </w:r>
      <w:hyperlink r:id="rId133">
        <w:r>
          <w:rPr>
            <w:color w:val="0563C1"/>
            <w:u w:val="single"/>
          </w:rPr>
          <w:t>Full-text access</w:t>
        </w:r>
      </w:hyperlink>
    </w:p>
    <w:p>
      <w:pPr>
        <w:pStyle w:val="Normal"/>
        <w:widowControl/>
        <w:spacing w:after="120"/>
      </w:pPr>
      <w:r>
        <w:t xml:space="preserve"/>
      </w:r>
      <w:r>
        <w:t xml:space="preserve">[V12-21] DiMartini, A.; Dew, M.A.; Liu, Q.; et al. Social and Financial Outcomes of Living Liver Donation: A Prospective Investigation Within the Adult-to-Adult Living Donor Liver Transplantation Cohort Study 2 (A2ALL-2). American Journal of Transplantation. 2017; 17(4):1081-1096. </w:t>
      </w:r>
      <w:hyperlink r:id="rId134">
        <w:r>
          <w:rPr>
            <w:color w:val="0563C1"/>
            <w:u w:val="single"/>
          </w:rPr>
          <w:t>Source</w:t>
        </w:r>
      </w:hyperlink>
      <w:r>
        <w:t xml:space="preserve"> | </w:t>
      </w:r>
      <w:hyperlink r:id="rId135">
        <w:r>
          <w:rPr>
            <w:color w:val="0563C1"/>
            <w:u w:val="single"/>
          </w:rPr>
          <w:t>Full-text access</w:t>
        </w:r>
      </w:hyperlink>
    </w:p>
    <w:p>
      <w:pPr>
        <w:pStyle w:val="Normal"/>
        <w:widowControl/>
        <w:spacing w:after="120"/>
      </w:pPr>
      <w:r>
        <w:t xml:space="preserve"/>
      </w:r>
      <w:r>
        <w:t xml:space="preserve">[V12-22] Xiao, Jieling; Zeng, Rebecca Wenling; Lim, Wen Hui; et al. The incidence of adverse outcome in donors after living donor liver transplantation: A meta-analysis of 60,829 donors. Liver Transplantation. 2024; 30(5):493-504. </w:t>
      </w:r>
      <w:hyperlink r:id="rId136">
        <w:r>
          <w:rPr>
            <w:color w:val="0563C1"/>
            <w:u w:val="single"/>
          </w:rPr>
          <w:t>Source</w:t>
        </w:r>
      </w:hyperlink>
      <w:r>
        <w:t xml:space="preserve"> | </w:t>
      </w:r>
      <w:hyperlink r:id="rId137">
        <w:r>
          <w:rPr>
            <w:color w:val="0563C1"/>
            <w:u w:val="single"/>
          </w:rPr>
          <w:t>Full-text access</w:t>
        </w:r>
      </w:hyperlink>
    </w:p>
    <w:p>
      <w:pPr>
        <w:pStyle w:val="Normal"/>
        <w:widowControl/>
        <w:spacing w:after="120"/>
      </w:pPr>
      <w:r>
        <w:t xml:space="preserve"/>
      </w:r>
      <w:r>
        <w:t xml:space="preserve">[V12-23] Strickler JH; Cercek A; Siena S; et al. Tucatinib plus trastuzumab for chemotherapy-refractory, HER2 + , RAS wild-type metastatic colorectal cancer (MOUNTAINEER): final analysis.. Nature communications. 2026; 17(1):1068. </w:t>
      </w:r>
      <w:hyperlink r:id="rId138">
        <w:r>
          <w:rPr>
            <w:color w:val="0563C1"/>
            <w:u w:val="single"/>
          </w:rPr>
          <w:t>Source</w:t>
        </w:r>
      </w:hyperlink>
      <w:r>
        <w:t xml:space="preserve"> | </w:t>
      </w:r>
      <w:hyperlink r:id="rId139">
        <w:r>
          <w:rPr>
            <w:color w:val="0563C1"/>
            <w:u w:val="single"/>
          </w:rPr>
          <w:t>Full-text access</w:t>
        </w:r>
      </w:hyperlink>
    </w:p>
    <w:p>
      <w:pPr>
        <w:pStyle w:val="Normal"/>
        <w:widowControl/>
        <w:spacing w:after="120"/>
      </w:pPr>
      <w:r>
        <w:t xml:space="preserve"/>
      </w:r>
      <w:r>
        <w:t xml:space="preserve">[V12-24] Prager GW; Taieb J; Fakih M; et al. Trifluridine-Tipiracil and Bevacizumab in Refractory Metastatic Colorectal Cancer.. The New England journal of medicine. 2023; 388(18):1657-1667. </w:t>
      </w:r>
      <w:hyperlink r:id="rId140">
        <w:r>
          <w:rPr>
            <w:color w:val="0563C1"/>
            <w:u w:val="single"/>
          </w:rPr>
          <w:t>Source</w:t>
        </w:r>
      </w:hyperlink>
      <w:r>
        <w:t xml:space="preserve"> | </w:t>
      </w:r>
      <w:hyperlink r:id="rId141">
        <w:r>
          <w:rPr>
            <w:color w:val="0563C1"/>
            <w:u w:val="single"/>
          </w:rPr>
          <w:t>Full-text access</w:t>
        </w:r>
      </w:hyperlink>
    </w:p>
    <w:p>
      <w:pPr>
        <w:pStyle w:val="Normal"/>
        <w:widowControl/>
        <w:spacing w:after="120"/>
      </w:pPr>
      <w:r>
        <w:t xml:space="preserve"/>
      </w:r>
      <w:r>
        <w:t xml:space="preserve">[V12-25] Dasari A; Lonardi S; Garcia-Carbonero R; et al. Fruquintinib versus placebo in patients with refractory metastatic colorectal cancer (FRESCO-2): an international, multicentre, randomised, double-blind, phase 3 study.. Lancet (London, England). 2023; 402(10395):41-53. </w:t>
      </w:r>
      <w:hyperlink r:id="rId142">
        <w:r>
          <w:rPr>
            <w:color w:val="0563C1"/>
            <w:u w:val="single"/>
          </w:rPr>
          <w:t>Source</w:t>
        </w:r>
      </w:hyperlink>
      <w:r>
        <w:t xml:space="preserve"> | </w:t>
      </w:r>
      <w:hyperlink r:id="rId143">
        <w:r>
          <w:rPr>
            <w:color w:val="0563C1"/>
            <w:u w:val="single"/>
          </w:rPr>
          <w:t>Full-text access</w:t>
        </w:r>
      </w:hyperlink>
      <w:r>
        <w:fldChar w:fldCharType="end"/>
      </w:r>
    </w:p>
    <w:p>
      <w:pPr>
        <w:pStyle w:val="Heading1"/>
        <w:widowControl/>
        <w:keepNext/>
      </w:pPr>
      <w:r>
        <w:t xml:space="preserve">V12 revision note</w:t>
      </w:r>
    </w:p>
    <w:p>
      <w:pPr>
        <w:pStyle w:val="Normal"/>
        <w:widowControl/>
        <w:spacing w:after="120"/>
      </w:pPr>
      <w:r>
        <w:t xml:space="preserve">2026-10-25 04:38 CDT. Problem and correction: Integrate CRLM full-text findings at the treatment/selection interface. Separate systemic cancer control from transplant eligibility and allocation. Do not infer new transplant eligibility from these regimen studies.</w:t>
      </w:r>
    </w:p>
    <w:p>
      <w:pPr>
        <w:pStyle w:val="Normal"/>
        <w:widowControl/>
        <w:spacing w:after="120"/>
      </w:pPr>
      <w:r>
        <w:t xml:space="preserve">Review scope: all pages of the 14 newly supplied main PDFs were read; separately linked supplements and every older retained reference were not reread. Existing formatting and prior material are retained. New clinical proposals remain OPEN. Live EndNote field structures and document-specific XML/RIS exports are included; native Word/EndNote CWYW execution has not been verified.</w:t>
      </w:r>
    </w:p>
    <w:sectPr w:rsidR="00584615">
      <w:type w:val="continuous"/>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roman"/>
    <w:notTrueType/>
    <w:pitch w:val="default"/>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8731EE2"/>
    <w:multiLevelType w:val="hybridMultilevel"/>
    <w:tmpl w:val="F5404430"/>
    <w:lvl w:ilvl="0" w:tplc="4E52252A">
      <w:start w:val="1"/>
      <w:numFmt w:val="decimal"/>
      <w:lvlText w:val="%1."/>
      <w:lvlJc w:val="left"/>
      <w:pPr>
        <w:spacing w:before="0" w:after="0"/>
        <w:ind w:left="720" w:hanging="360"/>
      </w:pPr>
    </w:lvl>
    <w:lvl w:ilvl="1" w:tplc="4782C134">
      <w:numFmt w:val="decimal"/>
      <w:lvlText w:val=""/>
      <w:lvlJc w:val="left"/>
    </w:lvl>
    <w:lvl w:ilvl="2" w:tplc="8C7E5D8A">
      <w:numFmt w:val="decimal"/>
      <w:lvlText w:val=""/>
      <w:lvlJc w:val="left"/>
    </w:lvl>
    <w:lvl w:ilvl="3" w:tplc="D436A04C">
      <w:numFmt w:val="decimal"/>
      <w:lvlText w:val=""/>
      <w:lvlJc w:val="left"/>
    </w:lvl>
    <w:lvl w:ilvl="4" w:tplc="21A04742">
      <w:numFmt w:val="decimal"/>
      <w:lvlText w:val=""/>
      <w:lvlJc w:val="left"/>
    </w:lvl>
    <w:lvl w:ilvl="5" w:tplc="237CD40A">
      <w:numFmt w:val="decimal"/>
      <w:lvlText w:val=""/>
      <w:lvlJc w:val="left"/>
    </w:lvl>
    <w:lvl w:ilvl="6" w:tplc="2E585434">
      <w:numFmt w:val="decimal"/>
      <w:lvlText w:val=""/>
      <w:lvlJc w:val="left"/>
    </w:lvl>
    <w:lvl w:ilvl="7" w:tplc="C99275CC">
      <w:numFmt w:val="decimal"/>
      <w:lvlText w:val=""/>
      <w:lvlJc w:val="left"/>
    </w:lvl>
    <w:lvl w:ilvl="8" w:tplc="ADA29F54">
      <w:numFmt w:val="decimal"/>
      <w:lvlText w:val=""/>
      <w:lvlJc w:val="left"/>
    </w:lvl>
  </w:abstractNum>
  <w:abstractNum w:abstractNumId="1" w15:restartNumberingAfterBreak="0">
    <w:nsid w:val="2F825611"/>
    <w:multiLevelType w:val="hybridMultilevel"/>
    <w:tmpl w:val="2CD08502"/>
    <w:lvl w:ilvl="0" w:tplc="1C741052">
      <w:start w:val="1"/>
      <w:numFmt w:val="bullet"/>
      <w:lvlText w:val="●"/>
      <w:lvlJc w:val="left"/>
      <w:pPr>
        <w:ind w:left="720" w:hanging="360"/>
      </w:pPr>
    </w:lvl>
    <w:lvl w:ilvl="1" w:tplc="66D21AB8">
      <w:start w:val="1"/>
      <w:numFmt w:val="bullet"/>
      <w:lvlText w:val="○"/>
      <w:lvlJc w:val="left"/>
      <w:pPr>
        <w:ind w:left="1440" w:hanging="360"/>
      </w:pPr>
    </w:lvl>
    <w:lvl w:ilvl="2" w:tplc="703A0068">
      <w:start w:val="1"/>
      <w:numFmt w:val="bullet"/>
      <w:lvlText w:val="■"/>
      <w:lvlJc w:val="left"/>
      <w:pPr>
        <w:ind w:left="2160" w:hanging="360"/>
      </w:pPr>
    </w:lvl>
    <w:lvl w:ilvl="3" w:tplc="02281D6E">
      <w:start w:val="1"/>
      <w:numFmt w:val="bullet"/>
      <w:lvlText w:val="●"/>
      <w:lvlJc w:val="left"/>
      <w:pPr>
        <w:ind w:left="2880" w:hanging="360"/>
      </w:pPr>
    </w:lvl>
    <w:lvl w:ilvl="4" w:tplc="66D6AA06">
      <w:start w:val="1"/>
      <w:numFmt w:val="bullet"/>
      <w:lvlText w:val="○"/>
      <w:lvlJc w:val="left"/>
      <w:pPr>
        <w:ind w:left="3600" w:hanging="360"/>
      </w:pPr>
    </w:lvl>
    <w:lvl w:ilvl="5" w:tplc="15C4676A">
      <w:start w:val="1"/>
      <w:numFmt w:val="bullet"/>
      <w:lvlText w:val="■"/>
      <w:lvlJc w:val="left"/>
      <w:pPr>
        <w:ind w:left="4320" w:hanging="360"/>
      </w:pPr>
    </w:lvl>
    <w:lvl w:ilvl="6" w:tplc="A9268944">
      <w:start w:val="1"/>
      <w:numFmt w:val="bullet"/>
      <w:lvlText w:val="●"/>
      <w:lvlJc w:val="left"/>
      <w:pPr>
        <w:ind w:left="5040" w:hanging="360"/>
      </w:pPr>
    </w:lvl>
    <w:lvl w:ilvl="7" w:tplc="59A46504">
      <w:start w:val="1"/>
      <w:numFmt w:val="bullet"/>
      <w:lvlText w:val="●"/>
      <w:lvlJc w:val="left"/>
      <w:pPr>
        <w:ind w:left="5760" w:hanging="360"/>
      </w:pPr>
    </w:lvl>
    <w:lvl w:ilvl="8" w:tplc="D62ABFF0">
      <w:start w:val="1"/>
      <w:numFmt w:val="bullet"/>
      <w:lvlText w:val="●"/>
      <w:lvlJc w:val="left"/>
      <w:pPr>
        <w:ind w:left="6480" w:hanging="360"/>
      </w:pPr>
    </w:lvl>
  </w:abstractNum>
  <w:num w:numId="1" w16cid:durableId="469636105">
    <w:abstractNumId w:val="1"/>
    <w:lvlOverride w:ilvl="0">
      <w:startOverride w:val="1"/>
    </w:lvlOverride>
  </w:num>
  <w:num w:numId="2" w16cid:durableId="1594389239">
    <w:abstractNumId w:val="0"/>
    <w:lvlOverride w:ilvl="0">
      <w:startOverride w:val="1"/>
    </w:lvlOverride>
  </w:num>
  <w:abstractNum w:abstractNumId="2">
    <w:multiLevelType w:val="multilevel"/>
    <w:lvl w:ilvl="0">
      <w:start w:val="1"/>
      <w:numFmt w:val="bullet"/>
      <w:lvlText w:val="•"/>
      <w:lvlJc w:val="left"/>
      <w:pPr>
        <w:ind w:left="360" w:hanging="220"/>
      </w:pPr>
    </w:lvl>
    <w:lvl w:ilvl="1">
      <w:start w:val="1"/>
      <w:numFmt w:val="bullet"/>
      <w:lvlText w:val="–"/>
      <w:lvlJc w:val="left"/>
      <w:pPr>
        <w:ind w:left="720" w:hanging="220"/>
      </w:pPr>
    </w:lvl>
    <w:lvl w:ilvl="2">
      <w:start w:val="1"/>
      <w:numFmt w:val="bullet"/>
      <w:lvlText w:val="–"/>
      <w:lvlJc w:val="left"/>
      <w:pPr>
        <w:ind w:left="1080" w:hanging="220"/>
      </w:pPr>
    </w:lvl>
  </w:abstractNum>
  <w:num w:numId="3">
    <w:abstractNumId w:val="2"/>
  </w:num>
  <w:abstractNum w:abstractNumId="3">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Author-Dat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s>
  <w:rsids>
    <w:rsidRoot w:val="00584615"/>
    <w:rsid w:val="00584615"/>
    <w:rsid w:val="007357E4"/>
    <w:rsid w:val="00F2649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FD8F3A3"/>
  <w15:docId w15:val="{161943B8-DA62-2840-B9E3-92DB815AC9E2}"/>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3D09"/>
    <w:rPr>
      <w:sz w:val="20"/>
      <w:szCs w:val="20"/>
    </w:rPr>
  </w:style>
  <w:style w:type="paragraph" w:styleId="Heading1">
    <w:name w:val="heading 1"/>
    <w:basedOn w:val="Normal"/>
    <w:next w:val="Normal"/>
    <w:link w:val="Heading1Char"/>
    <w:uiPriority w:val="9"/>
    <w:qFormat/>
    <w:rsid w:val="00073D09"/>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073D09"/>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sz w:val="22"/>
      <w:szCs w:val="22"/>
    </w:rPr>
  </w:style>
  <w:style w:type="paragraph" w:styleId="Heading3">
    <w:name w:val="heading 3"/>
    <w:basedOn w:val="Normal"/>
    <w:next w:val="Normal"/>
    <w:link w:val="Heading3Char"/>
    <w:uiPriority w:val="9"/>
    <w:unhideWhenUsed/>
    <w:qFormat/>
    <w:rsid w:val="00073D09"/>
    <w:pPr>
      <w:pBdr>
        <w:top w:val="single" w:sz="6" w:space="2" w:color="156082" w:themeColor="accent1"/>
        <w:left w:val="single" w:sz="6" w:space="2" w:color="156082" w:themeColor="accent1"/>
      </w:pBdr>
      <w:spacing w:before="300" w:after="0"/>
      <w:outlineLvl w:val="2"/>
    </w:pPr>
    <w:rPr>
      <w:caps/>
      <w:color w:val="0A2F40" w:themeColor="accent1" w:themeShade="7F"/>
      <w:spacing w:val="15"/>
      <w:sz w:val="22"/>
      <w:szCs w:val="22"/>
    </w:rPr>
  </w:style>
  <w:style w:type="paragraph" w:styleId="Heading4">
    <w:name w:val="heading 4"/>
    <w:basedOn w:val="Normal"/>
    <w:next w:val="Normal"/>
    <w:link w:val="Heading4Char"/>
    <w:uiPriority w:val="9"/>
    <w:semiHidden/>
    <w:unhideWhenUsed/>
    <w:qFormat/>
    <w:rsid w:val="00073D09"/>
    <w:pPr>
      <w:pBdr>
        <w:top w:val="dotted" w:sz="6" w:space="2" w:color="156082" w:themeColor="accent1"/>
        <w:left w:val="dotted" w:sz="6" w:space="2" w:color="156082" w:themeColor="accent1"/>
      </w:pBdr>
      <w:spacing w:before="300" w:after="0"/>
      <w:outlineLvl w:val="3"/>
    </w:pPr>
    <w:rPr>
      <w:caps/>
      <w:color w:val="0F4761" w:themeColor="accent1" w:themeShade="BF"/>
      <w:spacing w:val="10"/>
      <w:sz w:val="22"/>
      <w:szCs w:val="22"/>
    </w:rPr>
  </w:style>
  <w:style w:type="paragraph" w:styleId="Heading5">
    <w:name w:val="heading 5"/>
    <w:basedOn w:val="Normal"/>
    <w:next w:val="Normal"/>
    <w:link w:val="Heading5Char"/>
    <w:uiPriority w:val="9"/>
    <w:semiHidden/>
    <w:unhideWhenUsed/>
    <w:qFormat/>
    <w:rsid w:val="00073D09"/>
    <w:pPr>
      <w:pBdr>
        <w:bottom w:val="single" w:sz="6" w:space="1" w:color="156082" w:themeColor="accent1"/>
      </w:pBdr>
      <w:spacing w:before="300" w:after="0"/>
      <w:outlineLvl w:val="4"/>
    </w:pPr>
    <w:rPr>
      <w:caps/>
      <w:color w:val="0F4761" w:themeColor="accent1" w:themeShade="BF"/>
      <w:spacing w:val="10"/>
      <w:sz w:val="22"/>
      <w:szCs w:val="22"/>
    </w:rPr>
  </w:style>
  <w:style w:type="paragraph" w:styleId="Heading6">
    <w:name w:val="heading 6"/>
    <w:basedOn w:val="Normal"/>
    <w:next w:val="Normal"/>
    <w:link w:val="Heading6Char"/>
    <w:uiPriority w:val="9"/>
    <w:semiHidden/>
    <w:unhideWhenUsed/>
    <w:qFormat/>
    <w:rsid w:val="00073D09"/>
    <w:pPr>
      <w:pBdr>
        <w:bottom w:val="dotted" w:sz="6" w:space="1" w:color="156082" w:themeColor="accent1"/>
      </w:pBdr>
      <w:spacing w:before="300" w:after="0"/>
      <w:outlineLvl w:val="5"/>
    </w:pPr>
    <w:rPr>
      <w:caps/>
      <w:color w:val="0F4761" w:themeColor="accent1" w:themeShade="BF"/>
      <w:spacing w:val="10"/>
      <w:sz w:val="22"/>
      <w:szCs w:val="22"/>
    </w:rPr>
  </w:style>
  <w:style w:type="paragraph" w:styleId="Heading7">
    <w:name w:val="heading 7"/>
    <w:basedOn w:val="Normal"/>
    <w:next w:val="Normal"/>
    <w:link w:val="Heading7Char"/>
    <w:uiPriority w:val="9"/>
    <w:semiHidden/>
    <w:unhideWhenUsed/>
    <w:qFormat/>
    <w:rsid w:val="00073D09"/>
    <w:pPr>
      <w:spacing w:before="300" w:after="0"/>
      <w:outlineLvl w:val="6"/>
    </w:pPr>
    <w:rPr>
      <w:caps/>
      <w:color w:val="0F4761" w:themeColor="accent1" w:themeShade="BF"/>
      <w:spacing w:val="10"/>
      <w:sz w:val="22"/>
      <w:szCs w:val="22"/>
    </w:rPr>
  </w:style>
  <w:style w:type="paragraph" w:styleId="Heading8">
    <w:name w:val="heading 8"/>
    <w:basedOn w:val="Normal"/>
    <w:next w:val="Normal"/>
    <w:link w:val="Heading8Char"/>
    <w:uiPriority w:val="9"/>
    <w:semiHidden/>
    <w:unhideWhenUsed/>
    <w:qFormat/>
    <w:rsid w:val="00073D09"/>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073D09"/>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73D09"/>
    <w:pPr>
      <w:spacing w:before="720"/>
    </w:pPr>
    <w:rPr>
      <w:caps/>
      <w:color w:val="156082" w:themeColor="accent1"/>
      <w:spacing w:val="10"/>
      <w:kern w:val="28"/>
      <w:sz w:val="52"/>
      <w:szCs w:val="52"/>
    </w:rPr>
  </w:style>
  <w:style w:type="paragraph" w:customStyle="1" w:styleId="Strong1">
    <w:name w:val="Strong1"/>
    <w:basedOn w:val="Normal"/>
    <w:next w:val="Normal"/>
    <w:rPr>
      <w:b/>
      <w:bCs/>
    </w:rPr>
  </w:style>
  <w:style w:type="paragraph" w:styleId="ListParagraph">
    <w:name w:val="List Paragraph"/>
    <w:basedOn w:val="Normal"/>
    <w:uiPriority w:val="34"/>
    <w:qFormat/>
    <w:rsid w:val="00073D09"/>
    <w:pPr>
      <w:ind w:left="720"/>
      <w:contextualSpacing/>
    </w:pPr>
  </w:style>
  <w:style w:type="character" w:styleId="Hyperlink">
    <w:name w:val="Hyperlink"/>
    <w:uiPriority w:val="99"/>
    <w:unhideWhenUsed/>
    <w:qFormat/>
    <w:rPr>
      <w:b w:val="0"/>
      <w:bCs w:val="0"/>
      <w:color w:val="0000FF"/>
      <w:sz w:val="24"/>
      <w:szCs w:val="24"/>
      <w:u w:val="single" w:color="0000FF"/>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style>
  <w:style w:type="character" w:customStyle="1" w:styleId="FootnoteTextChar">
    <w:name w:val="Footnote Text Char"/>
    <w:link w:val="FootnoteText"/>
    <w:uiPriority w:val="99"/>
    <w:semiHidden/>
    <w:unhideWhenUsed/>
    <w:rPr>
      <w:sz w:val="20"/>
      <w:szCs w:val="20"/>
    </w:rPr>
  </w:style>
  <w:style w:type="character" w:customStyle="1" w:styleId="Heading1Char">
    <w:name w:val="Heading 1 Char"/>
    <w:basedOn w:val="DefaultParagraphFont"/>
    <w:link w:val="Heading1"/>
    <w:uiPriority w:val="9"/>
    <w:rsid w:val="00073D09"/>
    <w:rPr>
      <w:b/>
      <w:bCs/>
      <w:caps/>
      <w:color w:val="FFFFFF" w:themeColor="background1"/>
      <w:spacing w:val="15"/>
      <w:shd w:val="clear" w:color="auto" w:fill="156082" w:themeFill="accent1"/>
    </w:rPr>
  </w:style>
  <w:style w:type="character" w:customStyle="1" w:styleId="Heading2Char">
    <w:name w:val="Heading 2 Char"/>
    <w:basedOn w:val="DefaultParagraphFont"/>
    <w:link w:val="Heading2"/>
    <w:uiPriority w:val="9"/>
    <w:rsid w:val="00073D09"/>
    <w:rPr>
      <w:caps/>
      <w:spacing w:val="15"/>
      <w:shd w:val="clear" w:color="auto" w:fill="C1E4F5" w:themeFill="accent1" w:themeFillTint="33"/>
    </w:rPr>
  </w:style>
  <w:style w:type="character" w:customStyle="1" w:styleId="Heading3Char">
    <w:name w:val="Heading 3 Char"/>
    <w:basedOn w:val="DefaultParagraphFont"/>
    <w:link w:val="Heading3"/>
    <w:uiPriority w:val="9"/>
    <w:rsid w:val="00073D09"/>
    <w:rPr>
      <w:caps/>
      <w:color w:val="0A2F40" w:themeColor="accent1" w:themeShade="7F"/>
      <w:spacing w:val="15"/>
    </w:rPr>
  </w:style>
  <w:style w:type="character" w:customStyle="1" w:styleId="Heading4Char">
    <w:name w:val="Heading 4 Char"/>
    <w:basedOn w:val="DefaultParagraphFont"/>
    <w:link w:val="Heading4"/>
    <w:uiPriority w:val="9"/>
    <w:semiHidden/>
    <w:rsid w:val="00073D09"/>
    <w:rPr>
      <w:caps/>
      <w:color w:val="0F4761" w:themeColor="accent1" w:themeShade="BF"/>
      <w:spacing w:val="10"/>
    </w:rPr>
  </w:style>
  <w:style w:type="character" w:customStyle="1" w:styleId="Heading5Char">
    <w:name w:val="Heading 5 Char"/>
    <w:basedOn w:val="DefaultParagraphFont"/>
    <w:link w:val="Heading5"/>
    <w:uiPriority w:val="9"/>
    <w:semiHidden/>
    <w:rsid w:val="00073D09"/>
    <w:rPr>
      <w:caps/>
      <w:color w:val="0F4761" w:themeColor="accent1" w:themeShade="BF"/>
      <w:spacing w:val="10"/>
    </w:rPr>
  </w:style>
  <w:style w:type="character" w:customStyle="1" w:styleId="Heading6Char">
    <w:name w:val="Heading 6 Char"/>
    <w:basedOn w:val="DefaultParagraphFont"/>
    <w:link w:val="Heading6"/>
    <w:uiPriority w:val="9"/>
    <w:semiHidden/>
    <w:rsid w:val="00073D09"/>
    <w:rPr>
      <w:caps/>
      <w:color w:val="0F4761" w:themeColor="accent1" w:themeShade="BF"/>
      <w:spacing w:val="10"/>
    </w:rPr>
  </w:style>
  <w:style w:type="character" w:customStyle="1" w:styleId="Heading7Char">
    <w:name w:val="Heading 7 Char"/>
    <w:basedOn w:val="DefaultParagraphFont"/>
    <w:link w:val="Heading7"/>
    <w:uiPriority w:val="9"/>
    <w:semiHidden/>
    <w:rsid w:val="00073D09"/>
    <w:rPr>
      <w:caps/>
      <w:color w:val="0F4761" w:themeColor="accent1" w:themeShade="BF"/>
      <w:spacing w:val="10"/>
    </w:rPr>
  </w:style>
  <w:style w:type="character" w:customStyle="1" w:styleId="Heading8Char">
    <w:name w:val="Heading 8 Char"/>
    <w:basedOn w:val="DefaultParagraphFont"/>
    <w:link w:val="Heading8"/>
    <w:uiPriority w:val="9"/>
    <w:semiHidden/>
    <w:rsid w:val="00073D09"/>
    <w:rPr>
      <w:caps/>
      <w:spacing w:val="10"/>
      <w:sz w:val="18"/>
      <w:szCs w:val="18"/>
    </w:rPr>
  </w:style>
  <w:style w:type="character" w:customStyle="1" w:styleId="Heading9Char">
    <w:name w:val="Heading 9 Char"/>
    <w:basedOn w:val="DefaultParagraphFont"/>
    <w:link w:val="Heading9"/>
    <w:uiPriority w:val="9"/>
    <w:semiHidden/>
    <w:rsid w:val="00073D09"/>
    <w:rPr>
      <w:i/>
      <w:caps/>
      <w:spacing w:val="10"/>
      <w:sz w:val="18"/>
      <w:szCs w:val="18"/>
    </w:rPr>
  </w:style>
  <w:style w:type="paragraph" w:styleId="Caption">
    <w:name w:val="caption"/>
    <w:basedOn w:val="Normal"/>
    <w:next w:val="Normal"/>
    <w:uiPriority w:val="35"/>
    <w:semiHidden/>
    <w:unhideWhenUsed/>
    <w:qFormat/>
    <w:rsid w:val="00073D09"/>
    <w:rPr>
      <w:b/>
      <w:bCs/>
      <w:color w:val="0F4761" w:themeColor="accent1" w:themeShade="BF"/>
      <w:sz w:val="16"/>
      <w:szCs w:val="16"/>
    </w:rPr>
  </w:style>
  <w:style w:type="character" w:customStyle="1" w:styleId="TitleChar">
    <w:name w:val="Title Char"/>
    <w:basedOn w:val="DefaultParagraphFont"/>
    <w:link w:val="Title"/>
    <w:uiPriority w:val="10"/>
    <w:rsid w:val="00073D09"/>
    <w:rPr>
      <w:caps/>
      <w:color w:val="156082" w:themeColor="accent1"/>
      <w:spacing w:val="10"/>
      <w:kern w:val="28"/>
      <w:sz w:val="52"/>
      <w:szCs w:val="52"/>
    </w:rPr>
  </w:style>
  <w:style w:type="paragraph" w:styleId="Subtitle">
    <w:name w:val="Subtitle"/>
    <w:basedOn w:val="Normal"/>
    <w:next w:val="Normal"/>
    <w:link w:val="SubtitleChar"/>
    <w:uiPriority w:val="11"/>
    <w:qFormat/>
    <w:rsid w:val="00073D09"/>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073D09"/>
    <w:rPr>
      <w:caps/>
      <w:color w:val="595959" w:themeColor="text1" w:themeTint="A6"/>
      <w:spacing w:val="10"/>
      <w:sz w:val="24"/>
      <w:szCs w:val="24"/>
    </w:rPr>
  </w:style>
  <w:style w:type="character" w:styleId="Strong">
    <w:name w:val="Strong"/>
    <w:uiPriority w:val="22"/>
    <w:qFormat/>
    <w:rsid w:val="00073D09"/>
    <w:rPr>
      <w:b/>
      <w:bCs/>
    </w:rPr>
  </w:style>
  <w:style w:type="character" w:styleId="Emphasis">
    <w:name w:val="Emphasis"/>
    <w:uiPriority w:val="20"/>
    <w:qFormat/>
    <w:rsid w:val="00073D09"/>
    <w:rPr>
      <w:caps/>
      <w:color w:val="0A2F40" w:themeColor="accent1" w:themeShade="7F"/>
      <w:spacing w:val="5"/>
    </w:rPr>
  </w:style>
  <w:style w:type="paragraph" w:styleId="NoSpacing">
    <w:name w:val="No Spacing"/>
    <w:basedOn w:val="Normal"/>
    <w:link w:val="NoSpacingChar"/>
    <w:uiPriority w:val="1"/>
    <w:qFormat/>
    <w:rsid w:val="00073D09"/>
    <w:pPr>
      <w:spacing w:before="0" w:after="0" w:line="240" w:lineRule="auto"/>
    </w:pPr>
  </w:style>
  <w:style w:type="character" w:customStyle="1" w:styleId="NoSpacingChar">
    <w:name w:val="No Spacing Char"/>
    <w:basedOn w:val="DefaultParagraphFont"/>
    <w:link w:val="NoSpacing"/>
    <w:uiPriority w:val="1"/>
    <w:rsid w:val="00073D09"/>
    <w:rPr>
      <w:sz w:val="20"/>
      <w:szCs w:val="20"/>
    </w:rPr>
  </w:style>
  <w:style w:type="paragraph" w:styleId="Quote">
    <w:name w:val="Quote"/>
    <w:basedOn w:val="Normal"/>
    <w:next w:val="Normal"/>
    <w:link w:val="QuoteChar"/>
    <w:uiPriority w:val="29"/>
    <w:qFormat/>
    <w:rsid w:val="00073D09"/>
    <w:rPr>
      <w:i/>
      <w:iCs/>
    </w:rPr>
  </w:style>
  <w:style w:type="character" w:customStyle="1" w:styleId="QuoteChar">
    <w:name w:val="Quote Char"/>
    <w:basedOn w:val="DefaultParagraphFont"/>
    <w:link w:val="Quote"/>
    <w:uiPriority w:val="29"/>
    <w:rsid w:val="00073D09"/>
    <w:rPr>
      <w:i/>
      <w:iCs/>
      <w:sz w:val="20"/>
      <w:szCs w:val="20"/>
    </w:rPr>
  </w:style>
  <w:style w:type="paragraph" w:styleId="IntenseQuote">
    <w:name w:val="Intense Quote"/>
    <w:basedOn w:val="Normal"/>
    <w:next w:val="Normal"/>
    <w:link w:val="IntenseQuoteChar"/>
    <w:uiPriority w:val="30"/>
    <w:qFormat/>
    <w:rsid w:val="00073D09"/>
    <w:pPr>
      <w:pBdr>
        <w:top w:val="single" w:sz="4" w:space="10" w:color="156082" w:themeColor="accent1"/>
        <w:left w:val="single" w:sz="4" w:space="10" w:color="156082" w:themeColor="accent1"/>
      </w:pBdr>
      <w:spacing w:after="0"/>
      <w:ind w:left="1296" w:right="1152"/>
      <w:jc w:val="both"/>
    </w:pPr>
    <w:rPr>
      <w:i/>
      <w:iCs/>
      <w:color w:val="156082" w:themeColor="accent1"/>
    </w:rPr>
  </w:style>
  <w:style w:type="character" w:customStyle="1" w:styleId="IntenseQuoteChar">
    <w:name w:val="Intense Quote Char"/>
    <w:basedOn w:val="DefaultParagraphFont"/>
    <w:link w:val="IntenseQuote"/>
    <w:uiPriority w:val="30"/>
    <w:rsid w:val="00073D09"/>
    <w:rPr>
      <w:i/>
      <w:iCs/>
      <w:color w:val="156082" w:themeColor="accent1"/>
      <w:sz w:val="20"/>
      <w:szCs w:val="20"/>
    </w:rPr>
  </w:style>
  <w:style w:type="character" w:styleId="SubtleEmphasis">
    <w:name w:val="Subtle Emphasis"/>
    <w:uiPriority w:val="19"/>
    <w:qFormat/>
    <w:rsid w:val="00073D09"/>
    <w:rPr>
      <w:i/>
      <w:iCs/>
      <w:color w:val="0A2F40" w:themeColor="accent1" w:themeShade="7F"/>
    </w:rPr>
  </w:style>
  <w:style w:type="character" w:styleId="IntenseEmphasis">
    <w:name w:val="Intense Emphasis"/>
    <w:uiPriority w:val="21"/>
    <w:qFormat/>
    <w:rsid w:val="00073D09"/>
    <w:rPr>
      <w:b/>
      <w:bCs/>
      <w:caps/>
      <w:color w:val="0A2F40" w:themeColor="accent1" w:themeShade="7F"/>
      <w:spacing w:val="10"/>
    </w:rPr>
  </w:style>
  <w:style w:type="character" w:styleId="SubtleReference">
    <w:name w:val="Subtle Reference"/>
    <w:uiPriority w:val="31"/>
    <w:qFormat/>
    <w:rsid w:val="00073D09"/>
    <w:rPr>
      <w:b/>
      <w:bCs/>
      <w:color w:val="156082" w:themeColor="accent1"/>
    </w:rPr>
  </w:style>
  <w:style w:type="character" w:styleId="IntenseReference">
    <w:name w:val="Intense Reference"/>
    <w:uiPriority w:val="32"/>
    <w:qFormat/>
    <w:rsid w:val="00073D09"/>
    <w:rPr>
      <w:b/>
      <w:bCs/>
      <w:i/>
      <w:iCs/>
      <w:caps/>
      <w:color w:val="156082" w:themeColor="accent1"/>
    </w:rPr>
  </w:style>
  <w:style w:type="character" w:styleId="BookTitle">
    <w:name w:val="Book Title"/>
    <w:uiPriority w:val="33"/>
    <w:qFormat/>
    <w:rsid w:val="00073D09"/>
    <w:rPr>
      <w:b/>
      <w:bCs/>
      <w:i/>
      <w:iCs/>
      <w:spacing w:val="9"/>
    </w:rPr>
  </w:style>
  <w:style w:type="paragraph" w:styleId="TOCHeading">
    <w:name w:val="TOC Heading"/>
    <w:basedOn w:val="Heading1"/>
    <w:next w:val="Normal"/>
    <w:uiPriority w:val="39"/>
    <w:semiHidden/>
    <w:unhideWhenUsed/>
    <w:qFormat/>
    <w:rsid w:val="00073D09"/>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meetings.asco.org/abstracts-presentations/262594" TargetMode="External"/><Relationship Id="rId4" Type="http://schemas.openxmlformats.org/officeDocument/2006/relationships/webSettings" Target="webSettings.xml"/><Relationship Id="rId8" Type="http://schemas.openxmlformats.org/officeDocument/2006/relationships/hyperlink" Target="https://doi.org/10.1097/HEP.0000000000001644" TargetMode="External"/><Relationship Id="rId9" Type="http://schemas.openxmlformats.org/officeDocument/2006/relationships/hyperlink" Target="https://libkey.io/libraries/480/10.1097/HEP.0000000000001644" TargetMode="External"/><Relationship Id="rId10" Type="http://schemas.openxmlformats.org/officeDocument/2006/relationships/hyperlink" Target="https://doi.org/10.1200/CCI.23.00111" TargetMode="External"/><Relationship Id="rId11" Type="http://schemas.openxmlformats.org/officeDocument/2006/relationships/hyperlink" Target="https://libkey.io/libraries/480/10.1200/CCI.23.00111" TargetMode="External"/><Relationship Id="rId12" Type="http://schemas.openxmlformats.org/officeDocument/2006/relationships/hyperlink" Target="https://doi.org/10.1111/j.1600-6143.2011.03972.x" TargetMode="External"/><Relationship Id="rId13" Type="http://schemas.openxmlformats.org/officeDocument/2006/relationships/hyperlink" Target="https://libkey.io/libraries/480/10.1111/j.1600-6143.2011.03972.x" TargetMode="External"/><Relationship Id="rId14" Type="http://schemas.openxmlformats.org/officeDocument/2006/relationships/hyperlink" Target="https://doi.org/10.1111/ajt.14055" TargetMode="External"/><Relationship Id="rId15" Type="http://schemas.openxmlformats.org/officeDocument/2006/relationships/hyperlink" Target="https://libkey.io/libraries/480/10.1111/ajt.14055" TargetMode="External"/><Relationship Id="rId16" Type="http://schemas.openxmlformats.org/officeDocument/2006/relationships/hyperlink" Target="https://doi.org/10.1097/LVT.0000000000000303" TargetMode="External"/><Relationship Id="rId17" Type="http://schemas.openxmlformats.org/officeDocument/2006/relationships/hyperlink" Target="https://libkey.io/libraries/480/10.1097/LVT.0000000000000303" TargetMode="External"/><Relationship Id="rId18" Type="http://schemas.openxmlformats.org/officeDocument/2006/relationships/hyperlink" Target="https://doi.org/10.1001/jamasurg.2025.3600" TargetMode="External"/><Relationship Id="rId19" Type="http://schemas.openxmlformats.org/officeDocument/2006/relationships/hyperlink" Target="https://libkey.io/libraries/480/10.1001/jamasurg.2025.3600" TargetMode="External"/><Relationship Id="rId20" Type="http://schemas.openxmlformats.org/officeDocument/2006/relationships/hyperlink" Target="https://doi.org/10.1007/s12149-022-01796-8" TargetMode="External"/><Relationship Id="rId21" Type="http://schemas.openxmlformats.org/officeDocument/2006/relationships/hyperlink" Target="https://libkey.io/libraries/480/10.1007/s12149-022-01796-8" TargetMode="External"/><Relationship Id="rId22" Type="http://schemas.openxmlformats.org/officeDocument/2006/relationships/hyperlink" Target="https://doi.org/10.1016/j.hpb.2018.02.377" TargetMode="External"/><Relationship Id="rId23" Type="http://schemas.openxmlformats.org/officeDocument/2006/relationships/hyperlink" Target="https://libkey.io/libraries/480/10.1016/j.hpb.2018.02.377" TargetMode="External"/><Relationship Id="rId24" Type="http://schemas.openxmlformats.org/officeDocument/2006/relationships/hyperlink" Target="https://doi.org/10.1097/LVT.0000000000000535" TargetMode="External"/><Relationship Id="rId25" Type="http://schemas.openxmlformats.org/officeDocument/2006/relationships/hyperlink" Target="https://libkey.io/libraries/480/10.1097/LVT.0000000000000535" TargetMode="External"/><Relationship Id="rId26" Type="http://schemas.openxmlformats.org/officeDocument/2006/relationships/hyperlink" Target="https://doi.org/10.1097/SLA.0000000000003404" TargetMode="External"/><Relationship Id="rId27" Type="http://schemas.openxmlformats.org/officeDocument/2006/relationships/hyperlink" Target="https://libkey.io/libraries/480/10.1097/SLA.0000000000003404" TargetMode="External"/><Relationship Id="rId28" Type="http://schemas.openxmlformats.org/officeDocument/2006/relationships/hyperlink" Target="https://doi.org/10.1097/SLA.0000000000007200" TargetMode="External"/><Relationship Id="rId29" Type="http://schemas.openxmlformats.org/officeDocument/2006/relationships/hyperlink" Target="https://libkey.io/libraries/480/10.1097/sla.0000000000007200" TargetMode="External"/><Relationship Id="rId30" Type="http://schemas.openxmlformats.org/officeDocument/2006/relationships/hyperlink" Target="https://jamanetwork.com/journals/jamasurgery/fullarticle/10.1001/jamasurg.2023.6083?utm_source=openevidence&amp;utm_medium=referral" TargetMode="External"/><Relationship Id="rId31" Type="http://schemas.openxmlformats.org/officeDocument/2006/relationships/hyperlink" Target="https://libkey.io/libraries/480/10.1001/jamasurg.2023.6083" TargetMode="External"/><Relationship Id="rId32" Type="http://schemas.openxmlformats.org/officeDocument/2006/relationships/hyperlink" Target="https://pubmed.ncbi.nlm.nih.gov/39834127" TargetMode="External"/><Relationship Id="rId33" Type="http://schemas.openxmlformats.org/officeDocument/2006/relationships/hyperlink" Target="https://libkey.io/libraries/480/10.1093/oncolo/oyae367" TargetMode="External"/><Relationship Id="rId34" Type="http://schemas.openxmlformats.org/officeDocument/2006/relationships/hyperlink" Target="https://pubmed.ncbi.nlm.nih.gov/38721015" TargetMode="External"/><Relationship Id="rId35" Type="http://schemas.openxmlformats.org/officeDocument/2006/relationships/hyperlink" Target="https://libkey.io/libraries/480/10.1016/j.eclinm.2024.102608" TargetMode="External"/><Relationship Id="rId36" Type="http://schemas.openxmlformats.org/officeDocument/2006/relationships/hyperlink" Target="https://doi.org/10.1097/lvt.0000000000000715" TargetMode="External"/><Relationship Id="rId37" Type="http://schemas.openxmlformats.org/officeDocument/2006/relationships/hyperlink" Target="https://libkey.io/libraries/480/10.1097/lvt.0000000000000715" TargetMode="External"/><Relationship Id="rId38" Type="http://schemas.openxmlformats.org/officeDocument/2006/relationships/hyperlink" Target="https://doi.org/10.1097/LVT.0000000000000417" TargetMode="External"/><Relationship Id="rId39" Type="http://schemas.openxmlformats.org/officeDocument/2006/relationships/hyperlink" Target="https://libkey.io/libraries/480/10.1097/LVT.0000000000000417" TargetMode="External"/><Relationship Id="rId40" Type="http://schemas.openxmlformats.org/officeDocument/2006/relationships/hyperlink" Target="https://drliuhao.github.io/mh-liver-pathways/evidence/2026-10-25/" TargetMode="External"/><Relationship Id="rId41" Type="http://schemas.openxmlformats.org/officeDocument/2006/relationships/hyperlink" Target="https://drliuhao.github.io/mh-liver-pathways/evidence/2026-10-25/" TargetMode="External"/><Relationship Id="rId42" Type="http://schemas.openxmlformats.org/officeDocument/2006/relationships/hyperlink" Target="https://drliuhao.github.io/mh-liver-pathways/evidence/2026-10-25/" TargetMode="External"/><Relationship Id="rId43" Type="http://schemas.openxmlformats.org/officeDocument/2006/relationships/hyperlink" Target="https://www.hrsa.gov/sites/default/files/hrsa/optn/optn_policies.pdf" TargetMode="External"/><Relationship Id="rId44" Type="http://schemas.openxmlformats.org/officeDocument/2006/relationships/hyperlink" Target="https://drliuhao.github.io/mh-liver-pathways/evidence/2026-10-25/" TargetMode="External"/><Relationship Id="rId45" Type="http://schemas.openxmlformats.org/officeDocument/2006/relationships/hyperlink" Target="https://www.hrsa.gov/sites/default/files/hrsa/optn/adult-meld-exception-transplant-oncology-review-guidance.pdf" TargetMode="External"/><Relationship Id="rId46" Type="http://schemas.openxmlformats.org/officeDocument/2006/relationships/hyperlink" Target="https://drliuhao.github.io/mh-liver-pathways/evidence/2026-10-25/" TargetMode="External"/><Relationship Id="rId47" Type="http://schemas.openxmlformats.org/officeDocument/2006/relationships/hyperlink" Target="https://doi.org/10.1016/S0140-6736(24)01595-2" TargetMode="External"/><Relationship Id="rId48" Type="http://schemas.openxmlformats.org/officeDocument/2006/relationships/hyperlink" Target="https://libkey.io/libraries/480/10.1016/S0140-6736(24)01595-2" TargetMode="External"/><Relationship Id="rId49" Type="http://schemas.openxmlformats.org/officeDocument/2006/relationships/hyperlink" Target="https://doi.org/10.1097/SLA.0000000000003404" TargetMode="External"/><Relationship Id="rId50" Type="http://schemas.openxmlformats.org/officeDocument/2006/relationships/hyperlink" Target="https://libkey.io/libraries/480/10.1097/SLA.0000000000003404" TargetMode="External"/><Relationship Id="rId51" Type="http://schemas.openxmlformats.org/officeDocument/2006/relationships/hyperlink" Target="https://jamanetwork.com/journals/jamasurgery/fullarticle/10.1001/jamasurg.2023.6083?utm_source=openevidence&amp;utm_medium=referral" TargetMode="External"/><Relationship Id="rId52" Type="http://schemas.openxmlformats.org/officeDocument/2006/relationships/hyperlink" Target="https://libkey.io/libraries/480/10.1001/jamasurg.2023.6083" TargetMode="External"/><Relationship Id="rId53" Type="http://schemas.openxmlformats.org/officeDocument/2006/relationships/hyperlink" Target="https://doi.org/10.1097/HEP.0000000000001644" TargetMode="External"/><Relationship Id="rId54" Type="http://schemas.openxmlformats.org/officeDocument/2006/relationships/hyperlink" Target="https://libkey.io/libraries/480/10.1097/HEP.0000000000001644" TargetMode="External"/><Relationship Id="rId55" Type="http://schemas.openxmlformats.org/officeDocument/2006/relationships/hyperlink" Target="https://pubmed.ncbi.nlm.nih.gov/39834127" TargetMode="External"/><Relationship Id="rId56" Type="http://schemas.openxmlformats.org/officeDocument/2006/relationships/hyperlink" Target="https://libkey.io/libraries/480/10.1093/oncolo/oyae367" TargetMode="External"/><Relationship Id="rId57" Type="http://schemas.openxmlformats.org/officeDocument/2006/relationships/hyperlink" Target="https://doi.org/10.1001/jamasurg.2025.3600" TargetMode="External"/><Relationship Id="rId58" Type="http://schemas.openxmlformats.org/officeDocument/2006/relationships/hyperlink" Target="https://libkey.io/libraries/480/10.1001/jamasurg.2025.3600" TargetMode="External"/><Relationship Id="rId59" Type="http://schemas.openxmlformats.org/officeDocument/2006/relationships/hyperlink" Target="https://doi.org/10.1016/j.hpb.2018.02.377" TargetMode="External"/><Relationship Id="rId60" Type="http://schemas.openxmlformats.org/officeDocument/2006/relationships/hyperlink" Target="https://libkey.io/libraries/480/10.1016/j.hpb.2018.02.377" TargetMode="External"/><Relationship Id="rId61" Type="http://schemas.openxmlformats.org/officeDocument/2006/relationships/hyperlink" Target="https://doi.org/10.1097/LVT.0000000000000417" TargetMode="External"/><Relationship Id="rId62" Type="http://schemas.openxmlformats.org/officeDocument/2006/relationships/hyperlink" Target="https://libkey.io/libraries/480/10.1097/LVT.0000000000000417" TargetMode="External"/><Relationship Id="rId63" Type="http://schemas.openxmlformats.org/officeDocument/2006/relationships/hyperlink" Target="https://doi.org/10.1097/LVT.0000000000000535" TargetMode="External"/><Relationship Id="rId64" Type="http://schemas.openxmlformats.org/officeDocument/2006/relationships/hyperlink" Target="https://libkey.io/libraries/480/10.1097/LVT.0000000000000535" TargetMode="External"/><Relationship Id="rId65" Type="http://schemas.openxmlformats.org/officeDocument/2006/relationships/hyperlink" Target="https://doi.org/10.1007/s12149-022-01796-8" TargetMode="External"/><Relationship Id="rId66" Type="http://schemas.openxmlformats.org/officeDocument/2006/relationships/hyperlink" Target="https://libkey.io/libraries/480/10.1007/s12149-022-01796-8" TargetMode="External"/><Relationship Id="rId67" Type="http://schemas.openxmlformats.org/officeDocument/2006/relationships/hyperlink" Target="https://doi.org/10.1016/S2468-1253(21)00219-3" TargetMode="External"/><Relationship Id="rId68" Type="http://schemas.openxmlformats.org/officeDocument/2006/relationships/hyperlink" Target="https://libkey.io/libraries/480/10.1016/S2468-1253(21)00219-3" TargetMode="External"/><Relationship Id="rId69" Type="http://schemas.openxmlformats.org/officeDocument/2006/relationships/hyperlink" Target="https://pubmed.ncbi.nlm.nih.gov/38721015" TargetMode="External"/><Relationship Id="rId70" Type="http://schemas.openxmlformats.org/officeDocument/2006/relationships/hyperlink" Target="https://libkey.io/libraries/480/10.1016/j.eclinm.2024.102608" TargetMode="External"/><Relationship Id="rId71" Type="http://schemas.openxmlformats.org/officeDocument/2006/relationships/hyperlink" Target="https://doi.org/10.1097/SLA.0000000000007200" TargetMode="External"/><Relationship Id="rId72" Type="http://schemas.openxmlformats.org/officeDocument/2006/relationships/hyperlink" Target="https://libkey.io/libraries/480/10.1097/sla.0000000000007200" TargetMode="External"/><Relationship Id="rId73" Type="http://schemas.openxmlformats.org/officeDocument/2006/relationships/hyperlink" Target="https://doi.org/10.1097/lvt.0000000000000715" TargetMode="External"/><Relationship Id="rId74" Type="http://schemas.openxmlformats.org/officeDocument/2006/relationships/hyperlink" Target="https://libkey.io/libraries/480/10.1097/lvt.0000000000000715" TargetMode="External"/><Relationship Id="rId75" Type="http://schemas.openxmlformats.org/officeDocument/2006/relationships/hyperlink" Target="https://dailymed.nlm.nih.gov/dailymed/drugInfo.cfm?setid=e082a024-7850-400b-a5c2-2a140612562a" TargetMode="External"/><Relationship Id="rId76" Type="http://schemas.openxmlformats.org/officeDocument/2006/relationships/hyperlink" Target="https://drliuhao.github.io/mh-liver-pathways/evidence/2026-10-25/" TargetMode="External"/><Relationship Id="rId77" Type="http://schemas.openxmlformats.org/officeDocument/2006/relationships/hyperlink" Target="https://pubmed.ncbi.nlm.nih.gov/28230639" TargetMode="External"/><Relationship Id="rId78" Type="http://schemas.openxmlformats.org/officeDocument/2006/relationships/hyperlink" Target="https://libkey.io/libraries/480/10.1097/tp.0000000000001690" TargetMode="External"/><Relationship Id="rId79" Type="http://schemas.openxmlformats.org/officeDocument/2006/relationships/hyperlink" Target="https://doi.org/10.1200/CCI.23.00111" TargetMode="External"/><Relationship Id="rId80" Type="http://schemas.openxmlformats.org/officeDocument/2006/relationships/hyperlink" Target="https://libkey.io/libraries/480/10.1200/CCI.23.00111" TargetMode="External"/><Relationship Id="rId81" Type="http://schemas.openxmlformats.org/officeDocument/2006/relationships/hyperlink" Target="https://doi.org/10.1111/j.1600-6143.2011.03972.x" TargetMode="External"/><Relationship Id="rId82" Type="http://schemas.openxmlformats.org/officeDocument/2006/relationships/hyperlink" Target="https://libkey.io/libraries/480/10.1111/j.1600-6143.2011.03972.x" TargetMode="External"/><Relationship Id="rId83" Type="http://schemas.openxmlformats.org/officeDocument/2006/relationships/hyperlink" Target="https://doi.org/10.1111/ajt.14055" TargetMode="External"/><Relationship Id="rId84" Type="http://schemas.openxmlformats.org/officeDocument/2006/relationships/hyperlink" Target="https://libkey.io/libraries/480/10.1111/ajt.14055" TargetMode="External"/><Relationship Id="rId85" Type="http://schemas.openxmlformats.org/officeDocument/2006/relationships/hyperlink" Target="https://doi.org/10.1097/LVT.0000000000000303" TargetMode="External"/><Relationship Id="rId86" Type="http://schemas.openxmlformats.org/officeDocument/2006/relationships/hyperlink" Target="https://libkey.io/libraries/480/10.1097/LVT.0000000000000303" TargetMode="External"/><Relationship Id="rId87" Type="http://schemas.openxmlformats.org/officeDocument/2006/relationships/hyperlink" Target="https://drliuhao.github.io/mh-liver-pathways/evidence/2026-10-25/docs/HPB_Cross_Tumor_Systemic_Treatment_Matrix_2026-10-25.docx" TargetMode="External"/><Relationship Id="rId88" Type="http://schemas.openxmlformats.org/officeDocument/2006/relationships/hyperlink" Target="https://doi.org/10.1038/s41467-025-67824-z" TargetMode="External"/><Relationship Id="rId89" Type="http://schemas.openxmlformats.org/officeDocument/2006/relationships/hyperlink" Target="https://libkey.io/libraries/480/10.1038/s41467-025-67824-z" TargetMode="External"/><Relationship Id="rId90" Type="http://schemas.openxmlformats.org/officeDocument/2006/relationships/hyperlink" Target="https://doi.org/10.1056/NEJMoa2214963" TargetMode="External"/><Relationship Id="rId91" Type="http://schemas.openxmlformats.org/officeDocument/2006/relationships/hyperlink" Target="https://libkey.io/libraries/480/10.1056/NEJMoa2214963" TargetMode="External"/><Relationship Id="rId92" Type="http://schemas.openxmlformats.org/officeDocument/2006/relationships/hyperlink" Target="https://doi.org/10.1016/S0140-6736(23)00772-9" TargetMode="External"/><Relationship Id="rId93" Type="http://schemas.openxmlformats.org/officeDocument/2006/relationships/hyperlink" Target="https://libkey.io/libraries/480/10.1016/S0140-6736(23)00772-9" TargetMode="External"/><Relationship Id="rId94" Type="http://schemas.openxmlformats.org/officeDocument/2006/relationships/hyperlink" Target="https://www.hrsa.gov/sites/default/files/hrsa/optn/optn_policies.pdf" TargetMode="External"/><Relationship Id="rId95" Type="http://schemas.openxmlformats.org/officeDocument/2006/relationships/hyperlink" Target="https://drliuhao.github.io/mh-liver-pathways/evidence/2026-10-25/" TargetMode="External"/><Relationship Id="rId96" Type="http://schemas.openxmlformats.org/officeDocument/2006/relationships/hyperlink" Target="https://www.hrsa.gov/sites/default/files/hrsa/optn/adult-meld-exception-transplant-oncology-review-guidance.pdf" TargetMode="External"/><Relationship Id="rId97" Type="http://schemas.openxmlformats.org/officeDocument/2006/relationships/hyperlink" Target="https://drliuhao.github.io/mh-liver-pathways/evidence/2026-10-25/" TargetMode="External"/><Relationship Id="rId98" Type="http://schemas.openxmlformats.org/officeDocument/2006/relationships/hyperlink" Target="https://doi.org/10.1016/S0140-6736(24)01595-2" TargetMode="External"/><Relationship Id="rId99" Type="http://schemas.openxmlformats.org/officeDocument/2006/relationships/hyperlink" Target="https://libkey.io/libraries/480/10.1016/S0140-6736(24)01595-2" TargetMode="External"/><Relationship Id="rId100" Type="http://schemas.openxmlformats.org/officeDocument/2006/relationships/hyperlink" Target="https://doi.org/10.1097/SLA.0000000000003404" TargetMode="External"/><Relationship Id="rId101" Type="http://schemas.openxmlformats.org/officeDocument/2006/relationships/hyperlink" Target="https://libkey.io/libraries/480/10.1097/SLA.0000000000003404" TargetMode="External"/><Relationship Id="rId102" Type="http://schemas.openxmlformats.org/officeDocument/2006/relationships/hyperlink" Target="https://jamanetwork.com/journals/jamasurgery/fullarticle/10.1001/jamasurg.2023.6083?utm_source=openevidence&amp;utm_medium=referral" TargetMode="External"/><Relationship Id="rId103" Type="http://schemas.openxmlformats.org/officeDocument/2006/relationships/hyperlink" Target="https://libkey.io/libraries/480/10.1001/jamasurg.2023.6083" TargetMode="External"/><Relationship Id="rId104" Type="http://schemas.openxmlformats.org/officeDocument/2006/relationships/hyperlink" Target="https://doi.org/10.1097/HEP.0000000000001644" TargetMode="External"/><Relationship Id="rId105" Type="http://schemas.openxmlformats.org/officeDocument/2006/relationships/hyperlink" Target="https://libkey.io/libraries/480/10.1097/HEP.0000000000001644" TargetMode="External"/><Relationship Id="rId106" Type="http://schemas.openxmlformats.org/officeDocument/2006/relationships/hyperlink" Target="https://pubmed.ncbi.nlm.nih.gov/39834127" TargetMode="External"/><Relationship Id="rId107" Type="http://schemas.openxmlformats.org/officeDocument/2006/relationships/hyperlink" Target="https://libkey.io/libraries/480/10.1093/oncolo/oyae367" TargetMode="External"/><Relationship Id="rId108" Type="http://schemas.openxmlformats.org/officeDocument/2006/relationships/hyperlink" Target="https://doi.org/10.1001/jamasurg.2025.3600" TargetMode="External"/><Relationship Id="rId109" Type="http://schemas.openxmlformats.org/officeDocument/2006/relationships/hyperlink" Target="https://libkey.io/libraries/480/10.1001/jamasurg.2025.3600" TargetMode="External"/><Relationship Id="rId110" Type="http://schemas.openxmlformats.org/officeDocument/2006/relationships/hyperlink" Target="https://doi.org/10.1016/j.hpb.2018.02.377" TargetMode="External"/><Relationship Id="rId111" Type="http://schemas.openxmlformats.org/officeDocument/2006/relationships/hyperlink" Target="https://libkey.io/libraries/480/10.1016/j.hpb.2018.02.377" TargetMode="External"/><Relationship Id="rId112" Type="http://schemas.openxmlformats.org/officeDocument/2006/relationships/hyperlink" Target="https://doi.org/10.1097/LVT.0000000000000417" TargetMode="External"/><Relationship Id="rId113" Type="http://schemas.openxmlformats.org/officeDocument/2006/relationships/hyperlink" Target="https://libkey.io/libraries/480/10.1097/LVT.0000000000000417" TargetMode="External"/><Relationship Id="rId114" Type="http://schemas.openxmlformats.org/officeDocument/2006/relationships/hyperlink" Target="https://doi.org/10.1097/LVT.0000000000000535" TargetMode="External"/><Relationship Id="rId115" Type="http://schemas.openxmlformats.org/officeDocument/2006/relationships/hyperlink" Target="https://libkey.io/libraries/480/10.1097/LVT.0000000000000535" TargetMode="External"/><Relationship Id="rId116" Type="http://schemas.openxmlformats.org/officeDocument/2006/relationships/hyperlink" Target="https://doi.org/10.1007/s12149-022-01796-8" TargetMode="External"/><Relationship Id="rId117" Type="http://schemas.openxmlformats.org/officeDocument/2006/relationships/hyperlink" Target="https://libkey.io/libraries/480/10.1007/s12149-022-01796-8" TargetMode="External"/><Relationship Id="rId118" Type="http://schemas.openxmlformats.org/officeDocument/2006/relationships/hyperlink" Target="https://doi.org/10.1016/S2468-1253(21)00219-3" TargetMode="External"/><Relationship Id="rId119" Type="http://schemas.openxmlformats.org/officeDocument/2006/relationships/hyperlink" Target="https://libkey.io/libraries/480/10.1016/S2468-1253(21)00219-3" TargetMode="External"/><Relationship Id="rId120" Type="http://schemas.openxmlformats.org/officeDocument/2006/relationships/hyperlink" Target="https://pubmed.ncbi.nlm.nih.gov/38721015" TargetMode="External"/><Relationship Id="rId121" Type="http://schemas.openxmlformats.org/officeDocument/2006/relationships/hyperlink" Target="https://libkey.io/libraries/480/10.1016/j.eclinm.2024.102608" TargetMode="External"/><Relationship Id="rId122" Type="http://schemas.openxmlformats.org/officeDocument/2006/relationships/hyperlink" Target="https://doi.org/10.1097/SLA.0000000000007200" TargetMode="External"/><Relationship Id="rId123" Type="http://schemas.openxmlformats.org/officeDocument/2006/relationships/hyperlink" Target="https://libkey.io/libraries/480/10.1097/sla.0000000000007200" TargetMode="External"/><Relationship Id="rId124" Type="http://schemas.openxmlformats.org/officeDocument/2006/relationships/hyperlink" Target="https://doi.org/10.1097/lvt.0000000000000715" TargetMode="External"/><Relationship Id="rId125" Type="http://schemas.openxmlformats.org/officeDocument/2006/relationships/hyperlink" Target="https://libkey.io/libraries/480/10.1097/lvt.0000000000000715" TargetMode="External"/><Relationship Id="rId126" Type="http://schemas.openxmlformats.org/officeDocument/2006/relationships/hyperlink" Target="https://dailymed.nlm.nih.gov/dailymed/drugInfo.cfm?setid=e082a024-7850-400b-a5c2-2a140612562a" TargetMode="External"/><Relationship Id="rId127" Type="http://schemas.openxmlformats.org/officeDocument/2006/relationships/hyperlink" Target="https://drliuhao.github.io/mh-liver-pathways/evidence/2026-10-25/" TargetMode="External"/><Relationship Id="rId128" Type="http://schemas.openxmlformats.org/officeDocument/2006/relationships/hyperlink" Target="https://pubmed.ncbi.nlm.nih.gov/28230639" TargetMode="External"/><Relationship Id="rId129" Type="http://schemas.openxmlformats.org/officeDocument/2006/relationships/hyperlink" Target="https://libkey.io/libraries/480/10.1097/tp.0000000000001690" TargetMode="External"/><Relationship Id="rId130" Type="http://schemas.openxmlformats.org/officeDocument/2006/relationships/hyperlink" Target="https://doi.org/10.1200/CCI.23.00111" TargetMode="External"/><Relationship Id="rId131" Type="http://schemas.openxmlformats.org/officeDocument/2006/relationships/hyperlink" Target="https://libkey.io/libraries/480/10.1200/CCI.23.00111" TargetMode="External"/><Relationship Id="rId132" Type="http://schemas.openxmlformats.org/officeDocument/2006/relationships/hyperlink" Target="https://doi.org/10.1111/j.1600-6143.2011.03972.x" TargetMode="External"/><Relationship Id="rId133" Type="http://schemas.openxmlformats.org/officeDocument/2006/relationships/hyperlink" Target="https://libkey.io/libraries/480/10.1111/j.1600-6143.2011.03972.x" TargetMode="External"/><Relationship Id="rId134" Type="http://schemas.openxmlformats.org/officeDocument/2006/relationships/hyperlink" Target="https://doi.org/10.1111/ajt.14055" TargetMode="External"/><Relationship Id="rId135" Type="http://schemas.openxmlformats.org/officeDocument/2006/relationships/hyperlink" Target="https://libkey.io/libraries/480/10.1111/ajt.14055" TargetMode="External"/><Relationship Id="rId136" Type="http://schemas.openxmlformats.org/officeDocument/2006/relationships/hyperlink" Target="https://doi.org/10.1097/LVT.0000000000000303" TargetMode="External"/><Relationship Id="rId137" Type="http://schemas.openxmlformats.org/officeDocument/2006/relationships/hyperlink" Target="https://libkey.io/libraries/480/10.1097/LVT.0000000000000303" TargetMode="External"/><Relationship Id="rId138" Type="http://schemas.openxmlformats.org/officeDocument/2006/relationships/hyperlink" Target="https://doi.org/10.1038/s41467-025-67824-z" TargetMode="External"/><Relationship Id="rId139" Type="http://schemas.openxmlformats.org/officeDocument/2006/relationships/hyperlink" Target="https://libkey.io/libraries/480/10.1038/s41467-025-67824-z" TargetMode="External"/><Relationship Id="rId140" Type="http://schemas.openxmlformats.org/officeDocument/2006/relationships/hyperlink" Target="https://doi.org/10.1056/NEJMoa2214963" TargetMode="External"/><Relationship Id="rId141" Type="http://schemas.openxmlformats.org/officeDocument/2006/relationships/hyperlink" Target="https://libkey.io/libraries/480/10.1056/NEJMoa2214963" TargetMode="External"/><Relationship Id="rId142" Type="http://schemas.openxmlformats.org/officeDocument/2006/relationships/hyperlink" Target="https://doi.org/10.1016/S0140-6736(23)00772-9" TargetMode="External"/><Relationship Id="rId143" Type="http://schemas.openxmlformats.org/officeDocument/2006/relationships/hyperlink" Target="https://libkey.io/libraries/480/10.1016/S0140-6736(23)00772-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6050</Words>
  <Characters>34487</Characters>
  <Application>Microsoft Office Word</Application>
  <DocSecurity>0</DocSecurity>
  <Lines>287</Lines>
  <Paragraphs>80</Paragraphs>
  <ScaleCrop>false</ScaleCrop>
  <Company/>
  <LinksUpToDate>false</LinksUpToDate>
  <CharactersWithSpaces>40457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Liu, Hao</cp:lastModifiedBy>
  <cp:revision>2</cp:revision>
  <dcterms:created xsi:type="dcterms:W3CDTF">2026-07-15T22:53:00Z</dcterms:created>
  <dcterms:modified xsi:type="dcterms:W3CDTF">2026-10-25T09:38:06Z</dcterms:modified>
  <dc:title>UTHealth Houston / Memorial Hermann — Colorectal liver metastases Standard / Guidance-Aligned Transplant Protocol V8</dc:title>
  <dc:subject>Non-standard NLRB pathway under December 2025 transplant-oncology guidance</dc:subject>
  <dc:description>V2 generated 2026-07-23 17:53:12 CDT; evidence corrections documented in 04_review_summary/OpenEvidence_Protocol_Audit_2026-07-23.md.</dc:description>
</cp:coreProperties>
</file>