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600"/>
      </w:pPr>
      <w:r>
        <w:rPr>
          <w:b/>
          <w:bCs/>
          <w:color w:val="176A87"/>
          <w:spacing w:val="36"/>
          <w:sz w:val="16"/>
          <w:szCs w:val="16"/>
        </w:rPr>
        <w:t xml:space="preserve">MEMORIAL HERMANN / UTHEALTH HOUSTON</w:t>
      </w:r>
    </w:p>
    <w:p>
      <w:pPr>
        <w:spacing w:after="100"/>
      </w:pPr>
      <w:r>
        <w:rPr>
          <w:rFonts w:ascii="Cambria" w:cs="Cambria" w:eastAsia="Cambria" w:hAnsi="Cambria"/>
          <w:b/>
          <w:bCs/>
          <w:color w:val="17365D"/>
          <w:sz w:val="48"/>
          <w:szCs w:val="48"/>
        </w:rPr>
        <w:t xml:space="preserve">Perihilar cholangiocarcinoma</w:t>
      </w:r>
    </w:p>
    <w:p>
      <w:pPr>
        <w:spacing w:after="320"/>
      </w:pPr>
      <w:r>
        <w:rPr>
          <w:rFonts w:ascii="Cambria" w:cs="Cambria" w:eastAsia="Cambria" w:hAnsi="Cambria"/>
          <w:i/>
          <w:iCs/>
          <w:color w:val="5A6069"/>
          <w:sz w:val="28"/>
          <w:szCs w:val="28"/>
        </w:rPr>
        <w:t xml:space="preserve">Memorial Hermann system roadmap</w:t>
      </w:r>
    </w:p>
    <w:p>
      <w:pPr>
        <w:pBdr>
          <w:bottom w:val="single" w:color="D3DCE4" w:sz="6" w:space="1"/>
        </w:pBdr>
        <w:spacing w:after="260"/>
      </w:pPr>
    </w:p>
    <w:p>
      <w:pPr>
        <w:spacing w:after="60" w:line="276"/>
      </w:pPr>
      <w:r>
        <w:rPr>
          <w:b/>
          <w:bCs/>
          <w:color w:val="15181F"/>
          <w:sz w:val="22"/>
          <w:szCs w:val="22"/>
        </w:rPr>
        <w:t xml:space="preserve">Perihilar cholangiocarcinoma · system roadmap V12 · Full-text integration, 25 October 2026</w:t>
      </w:r>
    </w:p>
    <w:p>
      <w:pPr>
        <w:spacing w:after="320" w:line="276"/>
      </w:pPr>
      <w:r>
        <w:rPr>
          <w:color w:val="5A6069"/>
          <w:sz w:val="20"/>
          <w:szCs w:val="20"/>
        </w:rPr>
        <w:t xml:space="preserve">Original pathway: 7 gates · 47 cited sources · 30 stated uncertainties · 16 open decisions; V12 evidence integration follows.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9360"/>
      </w:tblGrid>
      <w:tr>
        <w:tc>
          <w:tcPr>
            <w:tcW w:type="dxa" w:w="9360"/>
            <w:shd w:fill="FBF1E2" w:color="auto" w:val="clear"/>
            <w:tcMar>
              <w:top w:type="dxa" w:w="70"/>
              <w:left w:type="dxa" w:w="110"/>
              <w:bottom w:type="dxa" w:w="70"/>
              <w:right w:type="dxa" w:w="110"/>
            </w:tcMar>
            <w:vAlign w:val="top"/>
          </w:tcPr>
          <w:p>
            <w:pPr>
              <w:spacing w:after="120"/>
            </w:pPr>
            <w:r>
              <w:rPr>
                <w:b/>
                <w:bCs/>
                <w:color w:val="8E5008"/>
                <w:spacing w:val="20"/>
                <w:sz w:val="20"/>
                <w:szCs w:val="20"/>
              </w:rPr>
              <w:t xml:space="preserve">DRAFT — NOT RATIFIED CLINICAL POLICY</w:t>
            </w:r>
          </w:p>
          <w:p>
            <w:pPr>
              <w:spacing w:after="100" w:line="276"/>
            </w:pPr>
            <w:r>
              <w:rPr>
                <w:color w:val="15181F"/>
                <w:sz w:val="18"/>
                <w:szCs w:val="18"/>
              </w:rPr>
              <w:t xml:space="preserve">This document is a draft under active development, prepared for multidisciplinary and institutional governance review. It has not been approved by the specialties named in it, and it must not be used for patient care decisions.</w:t>
            </w:r>
          </w:p>
          <w:p>
            <w:pPr>
              <w:spacing w:after="0" w:line="276"/>
            </w:pPr>
            <w:r>
              <w:rPr>
                <w:color w:val="15181F"/>
                <w:sz w:val="18"/>
                <w:szCs w:val="18"/>
              </w:rPr>
              <w:t xml:space="preserve">The content is a decision-focused evidence synthesis, not a systematic review. Every criterion drawn from OPTN policy, drug labelling, NCCN or a device authorisation must be re-verified against the current source before any use. Clinical transplant candidacy and allocation eligibility are separate judgements.</w:t>
            </w:r>
          </w:p>
        </w:tc>
      </w:tr>
    </w:tbl>
    <w:p>
      <w:r>
        <w:br w:type="page"/>
      </w:r>
    </w:p>
    <w:p>
      <w:pPr>
        <w:pStyle w:val="Heading1"/>
        <w:keepNext/>
        <w:spacing w:after="110" w:before="320"/>
      </w:pPr>
      <w:r>
        <w:rPr>
          <w:rFonts w:ascii="Cambria" w:cs="Cambria" w:eastAsia="Cambria" w:hAnsi="Cambria"/>
          <w:b/>
          <w:bCs/>
          <w:color w:val="17365D"/>
          <w:sz w:val="32"/>
          <w:szCs w:val="32"/>
        </w:rPr>
        <w:t xml:space="preserve">What this roadmap answers</w:t>
      </w:r>
    </w:p>
    <w:p>
      <w:pPr>
        <w:spacing w:after="120" w:line="276"/>
      </w:pPr>
      <w:r>
        <w:rPr>
          <w:color w:val="15181F"/>
          <w:sz w:val="20"/>
          <w:szCs w:val="20"/>
        </w:rPr>
        <w:t xml:space="preserve">Which gate this patient is at, and what the next act must not foreclose — drainage before extent, extent before tissue, and the transplant question before palliative therapy.</w:t>
      </w:r>
    </w:p>
    <w:p>
      <w:pPr>
        <w:spacing w:after="120" w:line="276"/>
      </w:pPr>
      <w:r>
        <w:rPr>
          <w:color w:val="15181F"/>
          <w:sz w:val="20"/>
          <w:szCs w:val="20"/>
        </w:rPr>
        <w:t xml:space="preserve">The gates below run in the order the roadmap asks them, and the order is the point: each one can foreclose the next. Each gate states what has to be in hand before it can be answered, the question it actually settles, and then the standard, the reasonable alternative and what to avoid — each carrying a recommendation label, an evidence grade and the sources behind it.</w:t>
      </w:r>
    </w:p>
    <w:p>
      <w:pPr>
        <w:pStyle w:val="Heading2"/>
        <w:keepNext/>
        <w:spacing w:after="110" w:before="240"/>
      </w:pPr>
      <w:r>
        <w:rPr>
          <w:rFonts w:ascii="Cambria" w:cs="Cambria" w:eastAsia="Cambria" w:hAnsi="Cambria"/>
          <w:b/>
          <w:bCs/>
          <w:color w:val="17365D"/>
          <w:sz w:val="26"/>
          <w:szCs w:val="26"/>
        </w:rPr>
        <w:t xml:space="preserve">How to read a recommendation</w:t>
      </w:r>
    </w:p>
    <w:p>
      <w:pPr>
        <w:spacing w:after="60" w:before="160"/>
      </w:pPr>
      <w:r>
        <w:rPr>
          <w:b/>
          <w:bCs/>
          <w:color w:val="176A87"/>
          <w:spacing w:val="24"/>
          <w:sz w:val="15"/>
          <w:szCs w:val="15"/>
        </w:rPr>
        <w:t xml:space="preserve">RECOMMENDATION LABEL — WHAT WE ADVISE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1500"/>
        <w:gridCol w:w="7860"/>
      </w:tblGrid>
      <w:tr>
        <w:trPr>
          <w:cantSplit/>
        </w:trPr>
        <w:tc>
          <w:tcPr>
            <w:tcW w:type="dxa" w:w="1500"/>
            <w:tcMar>
              <w:top w:type="dxa" w:w="70"/>
              <w:left w:type="dxa" w:w="110"/>
              <w:bottom w:type="dxa" w:w="70"/>
              <w:right w:type="dxa" w:w="110"/>
            </w:tcMar>
            <w:vAlign w:val="top"/>
          </w:tcPr>
          <w:p>
            <w:r>
              <w:rPr>
                <w:b/>
                <w:bCs/>
                <w:color w:val="17365D"/>
                <w:spacing w:val="16"/>
                <w:sz w:val="17"/>
                <w:szCs w:val="17"/>
              </w:rPr>
              <w:t xml:space="preserve">STANDARD</w:t>
            </w:r>
          </w:p>
        </w:tc>
        <w:tc>
          <w:tcPr>
            <w:tcW w:type="dxa" w:w="7860"/>
            <w:tcMar>
              <w:top w:type="dxa" w:w="70"/>
              <w:left w:type="dxa" w:w="110"/>
              <w:bottom w:type="dxa" w:w="70"/>
              <w:right w:type="dxa" w:w="110"/>
            </w:tcMar>
            <w:vAlign w:val="top"/>
          </w:tcPr>
          <w:p>
            <w:pPr>
              <w:spacing w:after="0" w:line="276"/>
            </w:pPr>
            <w:r>
              <w:rPr>
                <w:color w:val="15181F"/>
                <w:sz w:val="18"/>
                <w:szCs w:val="18"/>
              </w:rPr>
              <w:t xml:space="preserve">Default when eligibility is met; a departure needs a recorded reason.</w:t>
            </w:r>
          </w:p>
        </w:tc>
      </w:tr>
      <w:tr>
        <w:trPr>
          <w:cantSplit/>
        </w:trPr>
        <w:tc>
          <w:tcPr>
            <w:tcW w:type="dxa" w:w="1500"/>
            <w:tcMar>
              <w:top w:type="dxa" w:w="70"/>
              <w:left w:type="dxa" w:w="110"/>
              <w:bottom w:type="dxa" w:w="70"/>
              <w:right w:type="dxa" w:w="110"/>
            </w:tcMar>
            <w:vAlign w:val="top"/>
          </w:tcPr>
          <w:p>
            <w:r>
              <w:rPr>
                <w:b/>
                <w:bCs/>
                <w:color w:val="176A87"/>
                <w:spacing w:val="16"/>
                <w:sz w:val="17"/>
                <w:szCs w:val="17"/>
              </w:rPr>
              <w:t xml:space="preserve">REASONABLE</w:t>
            </w:r>
          </w:p>
        </w:tc>
        <w:tc>
          <w:tcPr>
            <w:tcW w:type="dxa" w:w="7860"/>
            <w:tcMar>
              <w:top w:type="dxa" w:w="70"/>
              <w:left w:type="dxa" w:w="110"/>
              <w:bottom w:type="dxa" w:w="70"/>
              <w:right w:type="dxa" w:w="110"/>
            </w:tcMar>
            <w:vAlign w:val="top"/>
          </w:tcPr>
          <w:p>
            <w:pPr>
              <w:spacing w:after="0" w:line="276"/>
            </w:pPr>
            <w:r>
              <w:rPr>
                <w:color w:val="15181F"/>
                <w:sz w:val="18"/>
                <w:szCs w:val="18"/>
              </w:rPr>
              <w:t xml:space="preserve">Acceptable after documented multidisciplinary review; the benefit is context dependent.</w:t>
            </w:r>
          </w:p>
        </w:tc>
      </w:tr>
      <w:tr>
        <w:trPr>
          <w:cantSplit/>
        </w:trPr>
        <w:tc>
          <w:tcPr>
            <w:tcW w:type="dxa" w:w="1500"/>
            <w:tcMar>
              <w:top w:type="dxa" w:w="70"/>
              <w:left w:type="dxa" w:w="110"/>
              <w:bottom w:type="dxa" w:w="70"/>
              <w:right w:type="dxa" w:w="110"/>
            </w:tcMar>
            <w:vAlign w:val="top"/>
          </w:tcPr>
          <w:p>
            <w:r>
              <w:rPr>
                <w:b/>
                <w:bCs/>
                <w:color w:val="8C2F26"/>
                <w:spacing w:val="16"/>
                <w:sz w:val="17"/>
                <w:szCs w:val="17"/>
              </w:rPr>
              <w:t xml:space="preserve">AVOID</w:t>
            </w:r>
          </w:p>
        </w:tc>
        <w:tc>
          <w:tcPr>
            <w:tcW w:type="dxa" w:w="7860"/>
            <w:tcMar>
              <w:top w:type="dxa" w:w="70"/>
              <w:left w:type="dxa" w:w="110"/>
              <w:bottom w:type="dxa" w:w="70"/>
              <w:right w:type="dxa" w:w="110"/>
            </w:tcMar>
            <w:vAlign w:val="top"/>
          </w:tcPr>
          <w:p>
            <w:pPr>
              <w:spacing w:after="0" w:line="276"/>
            </w:pPr>
            <w:r>
              <w:rPr>
                <w:color w:val="15181F"/>
                <w:sz w:val="18"/>
                <w:szCs w:val="18"/>
              </w:rPr>
              <w:t xml:space="preserve">Expected harm, futility, or absent benefit generally outweighs the benefit.</w:t>
            </w:r>
          </w:p>
        </w:tc>
      </w:tr>
    </w:tbl>
    <w:p>
      <w:pPr>
        <w:spacing w:after="120" w:line="276"/>
      </w:pPr>
      <w:r>
        <w:rPr>
          <w:color w:val="15181F"/>
          <w:sz w:val="20"/>
          <w:szCs w:val="20"/>
        </w:rPr>
        <w:t xml:space="preserve"/>
      </w:r>
    </w:p>
    <w:p>
      <w:pPr>
        <w:spacing w:after="60" w:before="160"/>
      </w:pPr>
      <w:r>
        <w:rPr>
          <w:b/>
          <w:bCs/>
          <w:color w:val="176A87"/>
          <w:spacing w:val="24"/>
          <w:sz w:val="15"/>
          <w:szCs w:val="15"/>
        </w:rPr>
        <w:t xml:space="preserve">EVIDENCE GRADE — HOW STRONG THE BASIS IS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1500"/>
        <w:gridCol w:w="7860"/>
      </w:tblGrid>
      <w:tr>
        <w:trPr>
          <w:cantSplit/>
        </w:trPr>
        <w:tc>
          <w:tcPr>
            <w:tcW w:type="dxa" w:w="1500"/>
            <w:tcMar>
              <w:top w:type="dxa" w:w="70"/>
              <w:left w:type="dxa" w:w="110"/>
              <w:bottom w:type="dxa" w:w="70"/>
              <w:right w:type="dxa" w:w="110"/>
            </w:tcMar>
            <w:vAlign w:val="top"/>
          </w:tcPr>
          <w:p>
            <w:r>
              <w:rPr>
                <w:b/>
                <w:bCs/>
                <w:color w:val="17365D"/>
                <w:sz w:val="20"/>
                <w:szCs w:val="20"/>
              </w:rPr>
              <w:t xml:space="preserve">A</w:t>
            </w:r>
          </w:p>
        </w:tc>
        <w:tc>
          <w:tcPr>
            <w:tcW w:type="dxa" w:w="7860"/>
            <w:tcMar>
              <w:top w:type="dxa" w:w="70"/>
              <w:left w:type="dxa" w:w="110"/>
              <w:bottom w:type="dxa" w:w="70"/>
              <w:right w:type="dxa" w:w="110"/>
            </w:tcMar>
            <w:vAlign w:val="top"/>
          </w:tcPr>
          <w:p>
            <w:pPr>
              <w:spacing w:after="0" w:line="276"/>
            </w:pPr>
            <w:r>
              <w:rPr>
                <w:color w:val="15181F"/>
                <w:sz w:val="18"/>
                <w:szCs w:val="18"/>
              </w:rPr>
              <w:t xml:space="preserve">Guideline supported by randomised trials or strong consistent comparative evidence.</w:t>
            </w:r>
          </w:p>
        </w:tc>
      </w:tr>
      <w:tr>
        <w:trPr>
          <w:cantSplit/>
        </w:trPr>
        <w:tc>
          <w:tcPr>
            <w:tcW w:type="dxa" w:w="1500"/>
            <w:tcMar>
              <w:top w:type="dxa" w:w="70"/>
              <w:left w:type="dxa" w:w="110"/>
              <w:bottom w:type="dxa" w:w="70"/>
              <w:right w:type="dxa" w:w="110"/>
            </w:tcMar>
            <w:vAlign w:val="top"/>
          </w:tcPr>
          <w:p>
            <w:r>
              <w:rPr>
                <w:b/>
                <w:bCs/>
                <w:color w:val="17365D"/>
                <w:sz w:val="20"/>
                <w:szCs w:val="20"/>
              </w:rPr>
              <w:t xml:space="preserve">B</w:t>
            </w:r>
          </w:p>
        </w:tc>
        <w:tc>
          <w:tcPr>
            <w:tcW w:type="dxa" w:w="7860"/>
            <w:tcMar>
              <w:top w:type="dxa" w:w="70"/>
              <w:left w:type="dxa" w:w="110"/>
              <w:bottom w:type="dxa" w:w="70"/>
              <w:right w:type="dxa" w:w="110"/>
            </w:tcMar>
            <w:vAlign w:val="top"/>
          </w:tcPr>
          <w:p>
            <w:pPr>
              <w:spacing w:after="0" w:line="276"/>
            </w:pPr>
            <w:r>
              <w:rPr>
                <w:color w:val="15181F"/>
                <w:sz w:val="18"/>
                <w:szCs w:val="18"/>
              </w:rPr>
              <w:t xml:space="preserve">One randomised trial, prospective comparative evidence, or strong prospective cohorts.</w:t>
            </w:r>
          </w:p>
        </w:tc>
      </w:tr>
      <w:tr>
        <w:trPr>
          <w:cantSplit/>
        </w:trPr>
        <w:tc>
          <w:tcPr>
            <w:tcW w:type="dxa" w:w="1500"/>
            <w:tcMar>
              <w:top w:type="dxa" w:w="70"/>
              <w:left w:type="dxa" w:w="110"/>
              <w:bottom w:type="dxa" w:w="70"/>
              <w:right w:type="dxa" w:w="110"/>
            </w:tcMar>
            <w:vAlign w:val="top"/>
          </w:tcPr>
          <w:p>
            <w:r>
              <w:rPr>
                <w:b/>
                <w:bCs/>
                <w:color w:val="17365D"/>
                <w:sz w:val="20"/>
                <w:szCs w:val="20"/>
              </w:rPr>
              <w:t xml:space="preserve">C</w:t>
            </w:r>
          </w:p>
        </w:tc>
        <w:tc>
          <w:tcPr>
            <w:tcW w:type="dxa" w:w="7860"/>
            <w:tcMar>
              <w:top w:type="dxa" w:w="70"/>
              <w:left w:type="dxa" w:w="110"/>
              <w:bottom w:type="dxa" w:w="70"/>
              <w:right w:type="dxa" w:w="110"/>
            </w:tcMar>
            <w:vAlign w:val="top"/>
          </w:tcPr>
          <w:p>
            <w:pPr>
              <w:spacing w:after="0" w:line="276"/>
            </w:pPr>
            <w:r>
              <w:rPr>
                <w:color w:val="15181F"/>
                <w:sz w:val="18"/>
                <w:szCs w:val="18"/>
              </w:rPr>
              <w:t xml:space="preserve">Single-arm prospective, retrospective comparative, or inconsistent evidence.</w:t>
            </w:r>
          </w:p>
        </w:tc>
      </w:tr>
      <w:tr>
        <w:trPr>
          <w:cantSplit/>
        </w:trPr>
        <w:tc>
          <w:tcPr>
            <w:tcW w:type="dxa" w:w="1500"/>
            <w:tcMar>
              <w:top w:type="dxa" w:w="70"/>
              <w:left w:type="dxa" w:w="110"/>
              <w:bottom w:type="dxa" w:w="70"/>
              <w:right w:type="dxa" w:w="110"/>
            </w:tcMar>
            <w:vAlign w:val="top"/>
          </w:tcPr>
          <w:p>
            <w:r>
              <w:rPr>
                <w:b/>
                <w:bCs/>
                <w:color w:val="17365D"/>
                <w:sz w:val="20"/>
                <w:szCs w:val="20"/>
              </w:rPr>
              <w:t xml:space="preserve">D</w:t>
            </w:r>
          </w:p>
        </w:tc>
        <w:tc>
          <w:tcPr>
            <w:tcW w:type="dxa" w:w="7860"/>
            <w:tcMar>
              <w:top w:type="dxa" w:w="70"/>
              <w:left w:type="dxa" w:w="110"/>
              <w:bottom w:type="dxa" w:w="70"/>
              <w:right w:type="dxa" w:w="110"/>
            </w:tcMar>
            <w:vAlign w:val="top"/>
          </w:tcPr>
          <w:p>
            <w:pPr>
              <w:spacing w:after="0" w:line="276"/>
            </w:pPr>
            <w:r>
              <w:rPr>
                <w:color w:val="15181F"/>
                <w:sz w:val="18"/>
                <w:szCs w:val="18"/>
              </w:rPr>
              <w:t xml:space="preserve">Expert consensus or local operational requirement, no comparative outcome data.</w:t>
            </w:r>
          </w:p>
        </w:tc>
      </w:tr>
    </w:tbl>
    <w:p>
      <w:pPr>
        <w:spacing w:after="160" w:line="276"/>
      </w:pPr>
      <w:r>
        <w:rPr>
          <w:i/>
          <w:iCs/>
          <w:color w:val="5A6069"/>
          <w:sz w:val="18"/>
          <w:szCs w:val="18"/>
        </w:rPr>
        <w:t xml:space="preserve">A strong label does not imply a high grade. Several operating requirements are deliberately Standard at grade D because they are local policy choices rather than evidence claims.</w:t>
      </w:r>
    </w:p>
    <w:p>
      <w:pPr>
        <w:spacing w:after="60" w:before="160"/>
      </w:pPr>
      <w:r>
        <w:rPr>
          <w:b/>
          <w:bCs/>
          <w:color w:val="176A87"/>
          <w:spacing w:val="24"/>
          <w:sz w:val="15"/>
          <w:szCs w:val="15"/>
        </w:rPr>
        <w:t xml:space="preserve">DEPENDENCY FLAGS — WHAT IT RESTS ON LOCALLY</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1500"/>
        <w:gridCol w:w="7860"/>
      </w:tblGrid>
      <w:tr>
        <w:trPr>
          <w:cantSplit/>
        </w:trPr>
        <w:tc>
          <w:tcPr>
            <w:tcW w:type="dxa" w:w="1500"/>
            <w:tcMar>
              <w:top w:type="dxa" w:w="70"/>
              <w:left w:type="dxa" w:w="110"/>
              <w:bottom w:type="dxa" w:w="70"/>
              <w:right w:type="dxa" w:w="110"/>
            </w:tcMar>
            <w:vAlign w:val="top"/>
          </w:tcPr>
          <w:p>
            <w:r>
              <w:rPr>
                <w:b/>
                <w:bCs/>
                <w:color w:val="8E5008"/>
                <w:spacing w:val="14"/>
                <w:sz w:val="16"/>
                <w:szCs w:val="16"/>
              </w:rPr>
              <w:t xml:space="preserve">EXPERTISE</w:t>
            </w:r>
          </w:p>
        </w:tc>
        <w:tc>
          <w:tcPr>
            <w:tcW w:type="dxa" w:w="7860"/>
            <w:tcMar>
              <w:top w:type="dxa" w:w="70"/>
              <w:left w:type="dxa" w:w="110"/>
              <w:bottom w:type="dxa" w:w="70"/>
              <w:right w:type="dxa" w:w="110"/>
            </w:tcMar>
            <w:vAlign w:val="top"/>
          </w:tcPr>
          <w:p>
            <w:pPr>
              <w:spacing w:after="0" w:line="276"/>
            </w:pPr>
            <w:r>
              <w:rPr>
                <w:color w:val="15181F"/>
                <w:sz w:val="18"/>
                <w:szCs w:val="18"/>
              </w:rPr>
              <w:t xml:space="preserve">Demonstrated operator and team experience with this technique at this site.</w:t>
            </w:r>
          </w:p>
        </w:tc>
      </w:tr>
      <w:tr>
        <w:trPr>
          <w:cantSplit/>
        </w:trPr>
        <w:tc>
          <w:tcPr>
            <w:tcW w:type="dxa" w:w="1500"/>
            <w:tcMar>
              <w:top w:type="dxa" w:w="70"/>
              <w:left w:type="dxa" w:w="110"/>
              <w:bottom w:type="dxa" w:w="70"/>
              <w:right w:type="dxa" w:w="110"/>
            </w:tcMar>
            <w:vAlign w:val="top"/>
          </w:tcPr>
          <w:p>
            <w:r>
              <w:rPr>
                <w:b/>
                <w:bCs/>
                <w:color w:val="8E5008"/>
                <w:spacing w:val="14"/>
                <w:sz w:val="16"/>
                <w:szCs w:val="16"/>
              </w:rPr>
              <w:t xml:space="preserve">REGISTRY</w:t>
            </w:r>
          </w:p>
        </w:tc>
        <w:tc>
          <w:tcPr>
            <w:tcW w:type="dxa" w:w="7860"/>
            <w:tcMar>
              <w:top w:type="dxa" w:w="70"/>
              <w:left w:type="dxa" w:w="110"/>
              <w:bottom w:type="dxa" w:w="70"/>
              <w:right w:type="dxa" w:w="110"/>
            </w:tcMar>
            <w:vAlign w:val="top"/>
          </w:tcPr>
          <w:p>
            <w:pPr>
              <w:spacing w:after="0" w:line="276"/>
            </w:pPr>
            <w:r>
              <w:rPr>
                <w:color w:val="15181F"/>
                <w:sz w:val="18"/>
                <w:szCs w:val="18"/>
              </w:rPr>
              <w:t xml:space="preserve">Mandatory prospective outcomes registry; effectiveness evidence is immature.</w:t>
            </w:r>
          </w:p>
        </w:tc>
      </w:tr>
      <w:tr>
        <w:trPr>
          <w:cantSplit/>
        </w:trPr>
        <w:tc>
          <w:tcPr>
            <w:tcW w:type="dxa" w:w="1500"/>
            <w:tcMar>
              <w:top w:type="dxa" w:w="70"/>
              <w:left w:type="dxa" w:w="110"/>
              <w:bottom w:type="dxa" w:w="70"/>
              <w:right w:type="dxa" w:w="110"/>
            </w:tcMar>
            <w:vAlign w:val="top"/>
          </w:tcPr>
          <w:p>
            <w:r>
              <w:rPr>
                <w:b/>
                <w:bCs/>
                <w:color w:val="8E5008"/>
                <w:spacing w:val="14"/>
                <w:sz w:val="16"/>
                <w:szCs w:val="16"/>
              </w:rPr>
              <w:t xml:space="preserve">PROTOCOL</w:t>
            </w:r>
          </w:p>
        </w:tc>
        <w:tc>
          <w:tcPr>
            <w:tcW w:type="dxa" w:w="7860"/>
            <w:tcMar>
              <w:top w:type="dxa" w:w="70"/>
              <w:left w:type="dxa" w:w="110"/>
              <w:bottom w:type="dxa" w:w="70"/>
              <w:right w:type="dxa" w:w="110"/>
            </w:tcMar>
            <w:vAlign w:val="top"/>
          </w:tcPr>
          <w:p>
            <w:pPr>
              <w:spacing w:after="0" w:line="276"/>
            </w:pPr>
            <w:r>
              <w:rPr>
                <w:color w:val="15181F"/>
                <w:sz w:val="18"/>
                <w:szCs w:val="18"/>
              </w:rPr>
              <w:t xml:space="preserve">Only inside a clinical trial or an approved institutional protocol.</w:t>
            </w:r>
          </w:p>
        </w:tc>
      </w:tr>
    </w:tbl>
    <w:p>
      <w:pPr>
        <w:pStyle w:val="Heading1"/>
        <w:keepNext/>
        <w:pageBreakBefore/>
        <w:spacing w:after="110" w:before="320"/>
      </w:pPr>
      <w:r>
        <w:rPr>
          <w:rFonts w:ascii="Cambria" w:cs="Cambria" w:eastAsia="Cambria" w:hAnsi="Cambria"/>
          <w:b/>
          <w:bCs/>
          <w:color w:val="17365D"/>
          <w:sz w:val="32"/>
          <w:szCs w:val="32"/>
        </w:rPr>
        <w:t xml:space="preserve">The gates</w:t>
      </w:r>
    </w:p>
    <w:p>
      <w:pPr>
        <w:spacing w:after="200" w:line="276"/>
      </w:pPr>
      <w:r>
        <w:rPr>
          <w:i/>
          <w:iCs/>
          <w:color w:val="5A6069"/>
          <w:sz w:val="20"/>
          <w:szCs w:val="20"/>
        </w:rPr>
        <w:t xml:space="preserve">In the order the roadmap asks them.</w:t>
      </w:r>
    </w:p>
    <w:p>
      <w:pPr>
        <w:pStyle w:val="Heading2"/>
        <w:keepNext/>
        <w:pageBreakBefore/>
        <w:spacing w:after="110" w:before="240"/>
      </w:pPr>
      <w:r>
        <w:rPr>
          <w:rFonts w:ascii="Cambria" w:cs="Cambria" w:eastAsia="Cambria" w:hAnsi="Cambria"/>
          <w:b/>
          <w:bCs/>
          <w:color w:val="17365D"/>
          <w:sz w:val="26"/>
          <w:szCs w:val="26"/>
        </w:rPr>
        <w:t xml:space="preserve">0 · Biliary drainage comes first</w:t>
      </w:r>
    </w:p>
    <w:p>
      <w:pPr>
        <w:spacing w:after="140"/>
      </w:pPr>
      <w:r>
        <w:rPr>
          <w:b/>
          <w:bCs/>
          <w:color w:val="176A87"/>
          <w:sz w:val="19"/>
          <w:szCs w:val="19"/>
        </w:rPr>
        <w:t xml:space="preserve">The question. </w:t>
      </w:r>
      <w:r>
        <w:rPr>
          <w:sz w:val="19"/>
          <w:szCs w:val="19"/>
        </w:rPr>
        <w:t xml:space="preserve">Which sectors am I draining, and does an operative plan exist yet to tell me which ones they are?</w:t>
      </w:r>
    </w:p>
    <w:p>
      <w:pPr>
        <w:spacing w:after="60" w:before="160"/>
      </w:pPr>
      <w:r>
        <w:rPr>
          <w:b/>
          <w:bCs/>
          <w:color w:val="176A87"/>
          <w:spacing w:val="24"/>
          <w:sz w:val="15"/>
          <w:szCs w:val="15"/>
        </w:rPr>
        <w:t xml:space="preserve">ANY ONE OF THE FOLLOWING HAS TO BE IN HAND</w:t>
      </w:r>
    </w:p>
    <w:p>
      <w:pPr>
        <w:pStyle w:val="ListParagraph"/>
        <w:numPr>
          <w:ilvl w:val="0"/>
          <w:numId w:val="2"/>
        </w:numPr>
        <w:spacing w:after="60" w:line="268"/>
      </w:pPr>
      <w:r>
        <w:rPr>
          <w:color w:val="15181F"/>
          <w:sz w:val="18"/>
          <w:szCs w:val="18"/>
        </w:rPr>
        <w:t xml:space="preserve">Cholangitis, or a bilirubin that is rising</w:t>
      </w:r>
    </w:p>
    <w:p>
      <w:pPr>
        <w:pStyle w:val="ListParagraph"/>
        <w:numPr>
          <w:ilvl w:val="0"/>
          <w:numId w:val="2"/>
        </w:numPr>
        <w:spacing w:after="60" w:line="268"/>
      </w:pPr>
      <w:r>
        <w:rPr>
          <w:color w:val="15181F"/>
          <w:sz w:val="18"/>
          <w:szCs w:val="18"/>
        </w:rPr>
        <w:t xml:space="preserve">Jaundice in a patient whose planned operation is a major hepatectomy with a predicted future liver remnant of 30% or less</w:t>
      </w:r>
    </w:p>
    <w:p>
      <w:pPr>
        <w:pStyle w:val="ListParagraph"/>
        <w:numPr>
          <w:ilvl w:val="0"/>
          <w:numId w:val="2"/>
        </w:numPr>
        <w:spacing w:after="60" w:line="268"/>
      </w:pPr>
      <w:r>
        <w:rPr>
          <w:color w:val="15181F"/>
          <w:sz w:val="18"/>
          <w:szCs w:val="18"/>
        </w:rPr>
        <w:t xml:space="preserve">Portal vein embolisation planned — hypertrophy is poor while the remnant stays cholestatic</w:t>
      </w:r>
    </w:p>
    <w:p>
      <w:pPr>
        <w:pStyle w:val="ListParagraph"/>
        <w:numPr>
          <w:ilvl w:val="0"/>
          <w:numId w:val="2"/>
        </w:numPr>
        <w:spacing w:after="60" w:line="268"/>
      </w:pPr>
      <w:r>
        <w:rPr>
          <w:color w:val="15181F"/>
          <w:sz w:val="18"/>
          <w:szCs w:val="18"/>
        </w:rPr>
        <w:t xml:space="preserve">Neoadjuvant chemoradiation, radiotherapy or systemic therapy planned</w:t>
      </w:r>
    </w:p>
    <w:p>
      <w:pPr>
        <w:pStyle w:val="ListParagraph"/>
        <w:numPr>
          <w:ilvl w:val="0"/>
          <w:numId w:val="2"/>
        </w:numPr>
        <w:spacing w:after="60" w:line="268"/>
      </w:pPr>
      <w:r>
        <w:rPr>
          <w:color w:val="15181F"/>
          <w:sz w:val="18"/>
          <w:szCs w:val="18"/>
        </w:rPr>
        <w:t xml:space="preserve">Malnutrition, or hepatic or renal insufficiency from prolonged jaundice</w:t>
      </w:r>
    </w:p>
    <w:p>
      <w:pPr>
        <w:pStyle w:val="ListParagraph"/>
        <w:numPr>
          <w:ilvl w:val="0"/>
          <w:numId w:val="2"/>
        </w:numPr>
        <w:spacing w:after="60" w:line="268"/>
      </w:pPr>
      <w:r>
        <w:rPr>
          <w:color w:val="15181F"/>
          <w:sz w:val="18"/>
          <w:szCs w:val="18"/>
        </w:rPr>
        <w:t xml:space="preserve">Note that routine preoperative drainage of every jaundiced patient is not what the guidelines say: this is an indication list, not a default</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Drain the sectors that will form the future liver remnant, not the most accessible duct, and name one owner for the drainage strategy.</w:t>
      </w:r>
    </w:p>
    <w:p>
      <w:pPr>
        <w:spacing w:after="50" w:line="276"/>
        <w:ind w:left="240"/>
      </w:pPr>
      <w:r>
        <w:rPr>
          <w:color w:val="15181F"/>
          <w:sz w:val="18"/>
          <w:szCs w:val="18"/>
        </w:rPr>
        <w:t xml:space="preserve">Every patient drained with a resection or protocol destination in mind — the objective is decompression of the sectors you intend to keep, which is why Gate 0 and the resectability gate are discussed together at the first tumour board. ESGE 2026 suggests </w:t>
      </w:r>
      <w:r>
        <w:rPr>
          <w:i/>
          <w:iCs/>
          <w:color w:val="15181F"/>
          <w:sz w:val="18"/>
          <w:szCs w:val="18"/>
        </w:rPr>
        <w:t xml:space="preserve">against</w:t>
      </w:r>
      <w:r>
        <w:rPr>
          <w:color w:val="15181F"/>
          <w:sz w:val="18"/>
          <w:szCs w:val="18"/>
        </w:rPr>
        <w:t xml:space="preserve"> routine preoperative drainage and lists severe jaundice, cholangitis and a predicted remnant of 30% or less as the accepted indications (conditional, low quality); the Milan consensus restricts it to a small remnant needing hypertrophy, cholangitis, renal or hepatic failure, severe malnutrition or pruritus, and says to drain the future liver remnant exclusively.</w:t>
      </w:r>
    </w:p>
    <w:p>
      <w:pPr>
        <w:spacing w:after="50"/>
        <w:ind w:left="240"/>
      </w:pPr>
      <w:r>
        <w:rPr>
          <w:b/>
          <w:bCs/>
          <w:color w:val="8C2F26"/>
          <w:sz w:val="18"/>
          <w:szCs w:val="18"/>
        </w:rPr>
        <w:t xml:space="preserve">Caveat. </w:t>
      </w:r>
      <w:r>
        <w:rPr>
          <w:color w:val="15181F"/>
          <w:sz w:val="18"/>
          <w:szCs w:val="18"/>
        </w:rPr>
        <w:t xml:space="preserve">Do not drain an atrophic or to-be-resected lobe: it relieves jaundice without enabling the operation, and hypertrophy after portal vein embolisation is poor in a liver that remains cholestatic. Cholangitis after a poorly planned drain is the most common avoidable disaster in this disease. Equally, do not drain reflexively: the Coelen investigators' own conclusion from their trial was that drainage should follow resectability assessment at a specialist centre and may be unnecessary when the remnant exceeds 50% of liver volume.</w:t>
      </w:r>
    </w:p>
    <w:p>
      <w:pPr>
        <w:spacing w:after="50" w:line="276"/>
        <w:ind w:left="240"/>
      </w:pPr>
      <w:r>
        <w:rPr>
          <w:i/>
          <w:iCs/>
          <w:color w:val="5A6069"/>
          <w:sz w:val="17"/>
          <w:szCs w:val="17"/>
        </w:rPr>
        <w:t xml:space="preserve">Grade D. No trial compares remnant-focused drainage with draining the most accessible duct; the position follows from the physiology of hypertrophy in a cholestatic liver and from the guidelines' own wording, not from comparative outcome data. The Asia-Pacific panel reached only 56% full agreement on its preoperative-drainage statement. Antibiotics with the procedure, cultures sent, and a named owner for drain management. As few drains as achieve remnant decompression — multiple uncoordinated drains placed by different services is a recognised failure pattern. [EXPERTISE]</w:t>
      </w:r>
    </w:p>
    <w:p>
      <w:pPr>
        <w:spacing w:after="60" w:line="276"/>
        <w:ind w:left="240"/>
      </w:pPr>
      <w:r>
        <w:rPr>
          <w:color w:val="5A6069"/>
          <w:sz w:val="16"/>
          <w:szCs w:val="16"/>
        </w:rPr>
        <w:t xml:space="preserve">Sources: Milan consensus; ESGE 2026; AHPBA 2015</w:t>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In unresectable disease being drained for palliation, aim to drain more than 50% of viable liver volume including the future liver remnant, and drain every segment that has been opacified.</w:t>
      </w:r>
    </w:p>
    <w:p>
      <w:pPr>
        <w:spacing w:after="50" w:line="276"/>
        <w:ind w:left="240"/>
      </w:pPr>
      <w:r>
        <w:rPr>
          <w:color w:val="15181F"/>
          <w:sz w:val="18"/>
          <w:szCs w:val="18"/>
        </w:rPr>
        <w:t xml:space="preserve">Palliative drainage where the destination is systemic therapy or symptom control. ESGE 2026 raises the target to 70% or more where it can be achieved; above 50% drained gave better clinical success (OR 4.5) and longer survival (119 versus 59 days), and the Asia-Pacific statement reports longer survival above 80% drained (HR 2.46).</w:t>
      </w:r>
    </w:p>
    <w:p>
      <w:pPr>
        <w:spacing w:after="50"/>
        <w:ind w:left="240"/>
      </w:pPr>
      <w:r>
        <w:rPr>
          <w:b/>
          <w:bCs/>
          <w:color w:val="8C2F26"/>
          <w:sz w:val="18"/>
          <w:szCs w:val="18"/>
        </w:rPr>
        <w:t xml:space="preserve">Caveat. </w:t>
      </w:r>
      <w:r>
        <w:rPr>
          <w:color w:val="15181F"/>
          <w:sz w:val="18"/>
          <w:szCs w:val="18"/>
        </w:rPr>
        <w:t xml:space="preserve">Generally do not drain atrophic segments, and do not inject contrast into a duct you do not intend to drain — an opacified undrained sector is a cholangitis waiting to happen.</w:t>
      </w:r>
    </w:p>
    <w:p>
      <w:pPr>
        <w:spacing w:after="50" w:line="276"/>
        <w:ind w:left="240"/>
      </w:pPr>
      <w:r>
        <w:rPr>
          <w:i/>
          <w:iCs/>
          <w:color w:val="5A6069"/>
          <w:sz w:val="17"/>
          <w:szCs w:val="17"/>
        </w:rPr>
        <w:t xml:space="preserve">Downgraded to D: no threshold here was derived. ESGE lists prospective volumetry against survival and access to chemotherapy as an unmet need, and no meta-analysis or comparative trial has tested any percentage cut-off; the supporting cohorts disagree among themselves (50%, 71%, 80%) and the 50% and 80% figures come from single-centre retrospective series (Vienne 2010, Caillol 2019) with no prospective validation. Both the ESGE and Asia-Pacific statements on this are graded low or very low quality. Sector volumes for planning: right anterior, right posterior and left each about 30%, segments I and IV about 10%, atrophic segments counted as non-viable. Bismuth I, II and IIIb can often be served by one stent; IIIa and IV need two or more to reach 50%.</w:t>
      </w:r>
    </w:p>
    <w:p>
      <w:pPr>
        <w:spacing w:after="60" w:line="276"/>
        <w:ind w:left="240"/>
      </w:pPr>
      <w:r>
        <w:rPr>
          <w:color w:val="5A6069"/>
          <w:sz w:val="16"/>
          <w:szCs w:val="16"/>
        </w:rPr>
        <w:t xml:space="preserve">Sources: ESGE 2026; Asia-Pacific 2024; ASGE hilar</w:t>
      </w:r>
    </w:p>
    <w:p>
      <w:pPr>
        <w:spacing w:after="60" w:before="180"/>
      </w:pPr>
      <w:r>
        <w:rPr>
          <w:b/>
          <w:bCs/>
          <w:color w:val="17365D"/>
          <w:spacing w:val="16"/>
          <w:sz w:val="16"/>
          <w:szCs w:val="16"/>
        </w:rPr>
        <w:t xml:space="preserve">STANDARD</w:t>
      </w:r>
      <w:r>
        <w:rPr>
          <w:color w:val="5A6069"/>
          <w:sz w:val="16"/>
          <w:szCs w:val="16"/>
        </w:rPr>
        <w:t xml:space="preserve">   grade C</w:t>
      </w:r>
    </w:p>
    <w:p>
      <w:pPr>
        <w:spacing w:after="100" w:line="276"/>
      </w:pPr>
      <w:r>
        <w:rPr>
          <w:i/>
          <w:iCs/>
          <w:color w:val="5A6069"/>
          <w:sz w:val="17"/>
          <w:szCs w:val="17"/>
        </w:rPr>
        <w:t xml:space="preserve">Downgraded from B to C. The order reflects guideline wording and one prematurely stopped trial, not a demonstrated survival advantage. The roadmap's own position is that route is unsettled: DRAINAGE was negative on its primary endpoint — one or more severe drainage-related complications in 17 of 27 (63%) after percutaneous versus 18 of 27 (67%) after endoscopic drainage, relative risk 0.94 (95% CI 0.64–1.40) — and the mortality signal that stopped it came from 54 of a planned 106 patients, is acknowledged by the authors as prone to type I error, and had no mechanism identified by the safety board. Pooled across three randomised trials, ASGE found 30-day mortality only trending lower with endoscopic drainage (RR 0.53, 95% CI 0.28–1.01, p=0.05). What is not optional is draining the correct sectors.</w:t>
      </w:r>
    </w:p>
    <w:p>
      <w:pPr>
        <w:spacing w:after="50" w:before="120"/>
        <w:ind w:left="240"/>
      </w:pPr>
      <w:r>
        <w:rPr>
          <w:b/>
          <w:bCs/>
          <w:color w:val="15181F"/>
          <w:sz w:val="19"/>
          <w:szCs w:val="19"/>
        </w:rPr>
        <w:t xml:space="preserve">Endoscopic drainage (ERCP)</w:t>
      </w:r>
      <w:r>
        <w:rPr>
          <w:color w:val="5A6069"/>
          <w:sz w:val="15"/>
          <w:szCs w:val="15"/>
        </w:rPr>
        <w:t xml:space="preserve">   grade C</w:t>
      </w:r>
      <w:r>
        <w:rPr>
          <w:b/>
          <w:bCs/>
          <w:color w:val="8E5008"/>
          <w:spacing w:val="12"/>
          <w:sz w:val="14"/>
          <w:szCs w:val="14"/>
        </w:rPr>
        <w:t xml:space="preserve">   EXPERTISE</w:t>
      </w:r>
    </w:p>
    <w:p>
      <w:pPr>
        <w:spacing w:after="50" w:line="276"/>
        <w:ind w:left="240"/>
      </w:pPr>
      <w:r>
        <w:rPr>
          <w:color w:val="15181F"/>
          <w:sz w:val="18"/>
          <w:szCs w:val="18"/>
        </w:rPr>
        <w:t xml:space="preserve">ESGE 2026 recommends ERCP over percutaneous drainage for preoperative drainage in malignant hilar obstruction (strong recommendation, moderate quality), and ASGE suggests against routine percutaneous drainage as first-line therapy before possible resection or transplantation (conditional, low quality). NCCN leaves route to local expertise after multidisciplinary review.</w:t>
      </w:r>
    </w:p>
    <w:p>
      <w:pPr>
        <w:spacing w:after="50" w:line="276"/>
        <w:ind w:left="240"/>
      </w:pPr>
      <w:r>
        <w:rPr>
          <w:color w:val="15181F"/>
          <w:sz w:val="18"/>
          <w:szCs w:val="18"/>
        </w:rPr>
        <w:t xml:space="preserve">The first route in a patient who still has a curative option, where the anatomy is reachable and the endoscopic service is experienced. DRAINAGE was stopped early because mortality between randomisation and 90 days after surgery was higher after percutaneous drainage, 11 of 27 (41%) versus 3 of 27 (11%), relative risk 3.67 (95% CI 1.15–11.69), p=0.03; a 1,085-patient meta-analysis found more implantation metastases after the percutaneous route (OR 0.35, 0.23–0.53).</w:t>
      </w:r>
    </w:p>
    <w:p>
      <w:pPr>
        <w:spacing w:after="50"/>
        <w:ind w:left="240"/>
      </w:pPr>
      <w:r>
        <w:rPr>
          <w:b/>
          <w:bCs/>
          <w:color w:val="8C2F26"/>
          <w:sz w:val="18"/>
          <w:szCs w:val="18"/>
        </w:rPr>
        <w:t xml:space="preserve">Caveat. </w:t>
      </w:r>
      <w:r>
        <w:rPr>
          <w:color w:val="15181F"/>
          <w:sz w:val="18"/>
          <w:szCs w:val="18"/>
        </w:rPr>
        <w:t xml:space="preserve">Lower technical success (20 of 27, 74%, versus 25 of 27, 93%) and more pancreatitis (5, 19%, versus 1, 4%). In the trial 15 of 27 patients allocated to endoscopic drainage (56%) needed additional percutaneous drainage against 1 of 27 the other way, so this is a comparison of initial strategies, not of techniques. ESGE's own section cites a meta-analysis giving percutaneous drainage higher therapeutic success (OR 3.5, 95% CI 2.1–6.0) and 11.5-fold more reintervention after ERCP, with 10 of its 11 studies retrospective — the strong recommendation runs against the best comparative data printed beside it.</w:t>
      </w:r>
    </w:p>
    <w:p>
      <w:pPr>
        <w:spacing w:after="60" w:line="276"/>
        <w:ind w:left="240"/>
      </w:pPr>
      <w:r>
        <w:rPr>
          <w:color w:val="5A6069"/>
          <w:sz w:val="16"/>
          <w:szCs w:val="16"/>
        </w:rPr>
        <w:t xml:space="preserve">Sources: DRAINAGE; ESGE 2026; ASGE hilar</w:t>
      </w:r>
    </w:p>
    <w:p>
      <w:pPr>
        <w:spacing w:after="50" w:before="120"/>
        <w:ind w:left="240"/>
      </w:pPr>
      <w:r>
        <w:rPr>
          <w:b/>
          <w:bCs/>
          <w:color w:val="15181F"/>
          <w:sz w:val="19"/>
          <w:szCs w:val="19"/>
        </w:rPr>
        <w:t xml:space="preserve">Percutaneous transhepatic drainage</w:t>
      </w:r>
      <w:r>
        <w:rPr>
          <w:color w:val="5A6069"/>
          <w:sz w:val="15"/>
          <w:szCs w:val="15"/>
        </w:rPr>
        <w:t xml:space="preserve">   grade C</w:t>
      </w:r>
      <w:r>
        <w:rPr>
          <w:b/>
          <w:bCs/>
          <w:color w:val="8E5008"/>
          <w:spacing w:val="12"/>
          <w:sz w:val="14"/>
          <w:szCs w:val="14"/>
        </w:rPr>
        <w:t xml:space="preserve">   EXPERTISE</w:t>
      </w:r>
    </w:p>
    <w:p>
      <w:pPr>
        <w:spacing w:after="50" w:line="276"/>
        <w:ind w:left="240"/>
      </w:pPr>
      <w:r>
        <w:rPr>
          <w:color w:val="15181F"/>
          <w:sz w:val="18"/>
          <w:szCs w:val="18"/>
        </w:rPr>
        <w:t xml:space="preserve">Reserved for failed or anatomically unsuitable endoscopic access, and accepted either way for palliative drainage of unresectable disease, by patient preference, disease characteristics and local expertise.</w:t>
      </w:r>
    </w:p>
    <w:p>
      <w:pPr>
        <w:spacing w:after="50" w:line="276"/>
        <w:ind w:left="240"/>
      </w:pPr>
      <w:r>
        <w:rPr>
          <w:color w:val="15181F"/>
          <w:sz w:val="18"/>
          <w:szCs w:val="18"/>
        </w:rPr>
        <w:t xml:space="preserve">Sectors that endoscopic drainage cannot reach, particularly in Bismuth IIIa and IV disease, and where percutaneous delineation of intrahepatic tumour spread will change the operative plan. It is also the route with the higher technical success in the one randomised comparison and in ESGE's pooled data.</w:t>
      </w:r>
    </w:p>
    <w:p>
      <w:pPr>
        <w:spacing w:after="50"/>
        <w:ind w:left="240"/>
      </w:pPr>
      <w:r>
        <w:rPr>
          <w:b/>
          <w:bCs/>
          <w:color w:val="8C2F26"/>
          <w:sz w:val="18"/>
          <w:szCs w:val="18"/>
        </w:rPr>
        <w:t xml:space="preserve">Caveat. </w:t>
      </w:r>
      <w:r>
        <w:rPr>
          <w:color w:val="15181F"/>
          <w:sz w:val="18"/>
          <w:szCs w:val="18"/>
        </w:rPr>
        <w:t xml:space="preserve">Weigh the catheter-tract and peritoneal seeding concern heavily in anyone who may be a transplant protocol candidate: ASGE's recommendation rests on 7.8% seeding after endoscopic versus 17.1% after percutaneous drainage (OR 0.27, 0.13–0.56), with percutaneous drainage the only independent predictor of peritoneal recurrence in one adjusted cohort (OR 6.9, 1.9–25.7). Read that at its real strength — the ASGE panel itself calls this the weakest evidence in the document: a six-study meta-analysis with high heterogeneity (I² 66%) and very few events, plus one adjusted single-centre cohort, both graded very low quality.</w:t>
      </w:r>
    </w:p>
    <w:p>
      <w:pPr>
        <w:spacing w:after="60" w:line="276"/>
        <w:ind w:left="240"/>
      </w:pPr>
      <w:r>
        <w:rPr>
          <w:color w:val="5A6069"/>
          <w:sz w:val="16"/>
          <w:szCs w:val="16"/>
        </w:rPr>
        <w:t xml:space="preserve">Sources: DRAINAGE; ASGE hilar; AHPBA 2015</w:t>
      </w:r>
    </w:p>
    <w:p>
      <w:pPr>
        <w:spacing w:after="60" w:line="276"/>
        <w:ind w:left="240"/>
      </w:pPr>
      <w:r>
        <w:rPr>
          <w:i/>
          <w:iCs/>
          <w:color w:val="5A6069"/>
          <w:sz w:val="16"/>
          <w:szCs w:val="16"/>
        </w:rPr>
        <w:t xml:space="preserve">Ratification item (§11 item 2): should the roadmap name endoscopic drainage as the default first route for potential resection and protocol candidates, as AASLD and ESGE 2026 do, or keep route unsettled as written? The 2015 AHPBA consensus preferred the percutaneous route and that preference has not held up, but the 2026 reversal rests on a single stopped trial extrapolated from the preoperative to the palliative setting. Note before ratifying: five ESGE authors declare relationships with stent manufacturers, many ASGE panel members declare the same, and one ASGE panel member is at this institution. Registry: route, cholangitis, re-intervention.</w:t>
      </w:r>
    </w:p>
    <w:p>
      <w:pPr>
        <w:spacing w:after="60" w:before="180"/>
      </w:pPr>
      <w:r>
        <w:rPr>
          <w:b/>
          <w:bCs/>
          <w:color w:val="176A87"/>
          <w:spacing w:val="16"/>
          <w:sz w:val="16"/>
          <w:szCs w:val="16"/>
        </w:rPr>
        <w:t xml:space="preserve">REASONABLE</w:t>
      </w:r>
      <w:r>
        <w:rPr>
          <w:color w:val="5A6069"/>
          <w:sz w:val="16"/>
          <w:szCs w:val="16"/>
        </w:rPr>
        <w:t xml:space="preserve">   grade C</w:t>
      </w:r>
    </w:p>
    <w:p>
      <w:pPr>
        <w:spacing w:after="60" w:line="276"/>
      </w:pPr>
      <w:r>
        <w:rPr>
          <w:color w:val="15181F"/>
          <w:sz w:val="19"/>
          <w:szCs w:val="19"/>
        </w:rPr>
        <w:t xml:space="preserve">A removable plastic stent while resection, transplantation or a good systemic response remains possible; an uncovered metal stent once those options are closed.</w:t>
      </w:r>
    </w:p>
    <w:p>
      <w:pPr>
        <w:spacing w:after="50" w:line="276"/>
        <w:ind w:left="240"/>
      </w:pPr>
      <w:r>
        <w:rPr>
          <w:color w:val="15181F"/>
          <w:sz w:val="18"/>
          <w:szCs w:val="18"/>
        </w:rPr>
        <w:t xml:space="preserve">Patients whose drainage strategy is not yet defined, or who may respond well to systemic therapy and outlive uncovered-stent patency.</w:t>
      </w:r>
    </w:p>
    <w:p>
      <w:pPr>
        <w:spacing w:after="50"/>
        <w:ind w:left="240"/>
      </w:pPr>
      <w:r>
        <w:rPr>
          <w:b/>
          <w:bCs/>
          <w:color w:val="8C2F26"/>
          <w:sz w:val="18"/>
          <w:szCs w:val="18"/>
        </w:rPr>
        <w:t xml:space="preserve">Caveat. </w:t>
      </w:r>
      <w:r>
        <w:rPr>
          <w:color w:val="15181F"/>
          <w:sz w:val="18"/>
          <w:szCs w:val="18"/>
        </w:rPr>
        <w:t xml:space="preserve">Avoid uncovered metal stents in a potential transplant candidate — they cannot be removed and are difficult to deal with surgically. Metal stents give better patency and fewer reinterventions (OR 0.34) and 56 days more survival (95% CI 12–101) in the pooled ASGE analysis, but the comparator plastic arms were waited out to occlusion rather than exchanged on schedule, which is why the ASGE panel declined a strong recommendation.</w:t>
      </w:r>
    </w:p>
    <w:p>
      <w:pPr>
        <w:spacing w:after="50" w:line="276"/>
        <w:ind w:left="240"/>
      </w:pPr>
      <w:r>
        <w:rPr>
          <w:i/>
          <w:iCs/>
          <w:color w:val="5A6069"/>
          <w:sz w:val="17"/>
          <w:szCs w:val="17"/>
        </w:rPr>
        <w:t xml:space="preserve">The roadmap itself does not set a stent rule — it says to choose stent and access route through multidisciplinary review, and that the algorithm does not establish a universal stent material. The rule above is the alignment worksheet's proposal (area 3) and needs ratification. The page also takes no position on bilateral versus unilateral stenting, which is a live question: ASGE suggests bilateral absent lobar atrophy, but its pooled survival gain was 11 days (95% CI −12 to 35) and pooled patency showed no difference (SMD 0.38, −0.22 to 0.99, I² 78%), while one randomised trial reported in ESGE 2026 gave bilateral stenting clinical success 95.3% versus 84.9% and patency 252 versus 139 days.</w:t>
      </w:r>
    </w:p>
    <w:p>
      <w:pPr>
        <w:spacing w:after="60" w:line="276"/>
        <w:ind w:left="240"/>
      </w:pPr>
      <w:r>
        <w:rPr>
          <w:color w:val="5A6069"/>
          <w:sz w:val="16"/>
          <w:szCs w:val="16"/>
        </w:rPr>
        <w:t xml:space="preserve">Sources: ESGE 2026; Asia-Pacific 2024; ASGE hilar</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place the first stent before multiphase CT of the chest, abdomen and pelvis and MRI with MRCP, unless cholangitis or a rapidly rising bilirubin makes drainage urgent.</w:t>
      </w:r>
    </w:p>
    <w:p>
      <w:pPr>
        <w:spacing w:after="50" w:line="276"/>
        <w:ind w:left="240"/>
      </w:pPr>
      <w:r>
        <w:rPr>
          <w:color w:val="15181F"/>
          <w:sz w:val="18"/>
          <w:szCs w:val="18"/>
        </w:rPr>
        <w:t xml:space="preserve">Document the reason when emergency decompression comes first, and complete staging promptly.</w:t>
      </w:r>
    </w:p>
    <w:p>
      <w:pPr>
        <w:spacing w:after="50"/>
        <w:ind w:left="240"/>
      </w:pPr>
      <w:r>
        <w:rPr>
          <w:b/>
          <w:bCs/>
          <w:color w:val="8C2F26"/>
          <w:sz w:val="18"/>
          <w:szCs w:val="18"/>
        </w:rPr>
        <w:t xml:space="preserve">Caveat. </w:t>
      </w:r>
      <w:r>
        <w:rPr>
          <w:color w:val="15181F"/>
          <w:sz w:val="18"/>
          <w:szCs w:val="18"/>
        </w:rPr>
        <w:t xml:space="preserve">A stent's inflammatory change degrades assessment of ductal extent and cannot be undone. MRI/MRCP outperforms contrast-enhanced CT both for the nature of the stricture (pooled accuracy 96% versus 89%, OR 2.1, 1.2–3.6) and for identifying the level (OR 3.3, 1.2–9.1).</w:t>
      </w:r>
    </w:p>
    <w:p>
      <w:pPr>
        <w:spacing w:after="50" w:line="276"/>
        <w:ind w:left="240"/>
      </w:pPr>
      <w:r>
        <w:rPr>
          <w:i/>
          <w:iCs/>
          <w:color w:val="5A6069"/>
          <w:sz w:val="17"/>
          <w:szCs w:val="17"/>
        </w:rPr>
        <w:t xml:space="preserve">Downgraded from B to C: the ESGE recommendation behind these numbers is conditional on low-quality evidence, and the ESGE panel found no randomised trial for any of its perihilar questions.</w:t>
      </w:r>
    </w:p>
    <w:p>
      <w:pPr>
        <w:spacing w:after="60" w:line="276"/>
        <w:ind w:left="240"/>
      </w:pPr>
      <w:r>
        <w:rPr>
          <w:color w:val="5A6069"/>
          <w:sz w:val="16"/>
          <w:szCs w:val="16"/>
        </w:rPr>
        <w:t xml:space="preserve">Sources: ESGE 2025; Milan consensus</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accept a bilirubin threshold that has not been written down.</w:t>
      </w:r>
    </w:p>
    <w:p>
      <w:pPr>
        <w:spacing w:after="50" w:line="276"/>
        <w:ind w:left="240"/>
      </w:pPr>
      <w:r>
        <w:rPr>
          <w:color w:val="15181F"/>
          <w:sz w:val="18"/>
          <w:szCs w:val="18"/>
        </w:rPr>
        <w:t xml:space="preserve">Set the programme threshold locally, record it, and apply it consistently before major hepatectomy, embolic therapy, radiation and systemic therapy.</w:t>
      </w:r>
    </w:p>
    <w:p>
      <w:pPr>
        <w:spacing w:after="50"/>
        <w:ind w:left="240"/>
      </w:pPr>
      <w:r>
        <w:rPr>
          <w:b/>
          <w:bCs/>
          <w:color w:val="8C2F26"/>
          <w:sz w:val="18"/>
          <w:szCs w:val="18"/>
        </w:rPr>
        <w:t xml:space="preserve">Caveat. </w:t>
      </w:r>
      <w:r>
        <w:rPr>
          <w:color w:val="15181F"/>
          <w:sz w:val="18"/>
          <w:szCs w:val="18"/>
        </w:rPr>
        <w:t xml:space="preserve">There are no comparative data defining the cut-off; it is a safety convention, and an unwritten one is applied inconsistently. §11 item 3 audits post-hepatectomy liver failure by preoperative bilirubin.</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1 · Define the extent</w:t>
      </w:r>
    </w:p>
    <w:p>
      <w:pPr>
        <w:spacing w:after="140"/>
      </w:pPr>
      <w:r>
        <w:rPr>
          <w:b/>
          <w:bCs/>
          <w:color w:val="176A87"/>
          <w:sz w:val="19"/>
          <w:szCs w:val="19"/>
        </w:rPr>
        <w:t xml:space="preserve">The question. </w:t>
      </w:r>
      <w:r>
        <w:rPr>
          <w:sz w:val="19"/>
          <w:szCs w:val="19"/>
        </w:rPr>
        <w:t xml:space="preserve">Do I know the extent well enough to say whether this is resectable, and did I get the imaging before anyone stented?</w:t>
      </w:r>
    </w:p>
    <w:p>
      <w:pPr>
        <w:spacing w:after="60" w:before="160"/>
      </w:pPr>
      <w:r>
        <w:rPr>
          <w:b/>
          <w:bCs/>
          <w:color w:val="176A87"/>
          <w:spacing w:val="24"/>
          <w:sz w:val="15"/>
          <w:szCs w:val="15"/>
        </w:rPr>
        <w:t xml:space="preserve">ALL OF THE FOLLOWING HAVE TO BE IN HAND</w:t>
      </w:r>
    </w:p>
    <w:p>
      <w:pPr>
        <w:pStyle w:val="ListParagraph"/>
        <w:numPr>
          <w:ilvl w:val="0"/>
          <w:numId w:val="2"/>
        </w:numPr>
        <w:spacing w:after="60" w:line="268"/>
      </w:pPr>
      <w:r>
        <w:rPr>
          <w:color w:val="15181F"/>
          <w:sz w:val="18"/>
          <w:szCs w:val="18"/>
        </w:rPr>
        <w:t xml:space="preserve">Multiphase CT of chest, abdomen and pelvis plus MRI with MRCP, obtained before stenting where the clinical situation allows</w:t>
      </w:r>
    </w:p>
    <w:p>
      <w:pPr>
        <w:pStyle w:val="ListParagraph"/>
        <w:numPr>
          <w:ilvl w:val="0"/>
          <w:numId w:val="2"/>
        </w:numPr>
        <w:spacing w:after="60" w:line="268"/>
      </w:pPr>
      <w:r>
        <w:rPr>
          <w:color w:val="15181F"/>
          <w:sz w:val="18"/>
          <w:szCs w:val="18"/>
        </w:rPr>
        <w:t xml:space="preserve">Biliary extent recorded by sector, with portal venous and hepatic arterial involvement and lobar atrophy</w:t>
      </w:r>
    </w:p>
    <w:p>
      <w:pPr>
        <w:pStyle w:val="ListParagraph"/>
        <w:numPr>
          <w:ilvl w:val="0"/>
          <w:numId w:val="2"/>
        </w:numPr>
        <w:spacing w:after="60" w:line="268"/>
      </w:pPr>
      <w:r>
        <w:rPr>
          <w:color w:val="15181F"/>
          <w:sz w:val="18"/>
          <w:szCs w:val="18"/>
        </w:rPr>
        <w:t xml:space="preserve">Future liver remnant volume, regional and distant nodal status, peritoneal findings</w:t>
      </w:r>
    </w:p>
    <w:p>
      <w:pPr>
        <w:pStyle w:val="ListParagraph"/>
        <w:numPr>
          <w:ilvl w:val="0"/>
          <w:numId w:val="2"/>
        </w:numPr>
        <w:spacing w:after="60" w:line="268"/>
      </w:pPr>
      <w:r>
        <w:rPr>
          <w:color w:val="15181F"/>
          <w:sz w:val="18"/>
          <w:szCs w:val="18"/>
        </w:rPr>
        <w:t xml:space="preserve">Bilirubin trajectory and performance status</w:t>
      </w:r>
    </w:p>
    <w:p>
      <w:pPr>
        <w:pStyle w:val="ListParagraph"/>
        <w:numPr>
          <w:ilvl w:val="0"/>
          <w:numId w:val="2"/>
        </w:numPr>
        <w:spacing w:after="60" w:line="268"/>
      </w:pPr>
      <w:r>
        <w:rPr>
          <w:color w:val="15181F"/>
          <w:sz w:val="18"/>
          <w:szCs w:val="18"/>
        </w:rPr>
        <w:t xml:space="preserve">Whether the patient has primary sclerosing cholangitis — it changes both the differential and the transplant discussion</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Stage with multiphase CT of the chest, abdomen and pelvis plus MRI with MRCP; chest imaging is part of staging because distant spread changes every later gate.</w:t>
      </w:r>
    </w:p>
    <w:p>
      <w:pPr>
        <w:spacing w:after="50" w:line="276"/>
        <w:ind w:left="240"/>
      </w:pPr>
      <w:r>
        <w:rPr>
          <w:color w:val="15181F"/>
          <w:sz w:val="18"/>
          <w:szCs w:val="18"/>
        </w:rPr>
        <w:t xml:space="preserve">Every patient, before elective instrumentation. CT and MRI are complementary and both are required; MRCP comes before ERC to avoid artefact. The AHPBA panel states a well-performed CT or MRI should exceed 75% accuracy for resectability.</w:t>
      </w:r>
    </w:p>
    <w:p>
      <w:pPr>
        <w:spacing w:after="50"/>
        <w:ind w:left="240"/>
      </w:pPr>
      <w:r>
        <w:rPr>
          <w:b/>
          <w:bCs/>
          <w:color w:val="8C2F26"/>
          <w:sz w:val="18"/>
          <w:szCs w:val="18"/>
        </w:rPr>
        <w:t xml:space="preserve">Caveat. </w:t>
      </w:r>
      <w:r>
        <w:rPr>
          <w:color w:val="15181F"/>
          <w:sz w:val="18"/>
          <w:szCs w:val="18"/>
        </w:rPr>
        <w:t xml:space="preserve">FDG-PET lacks the sensitivity and specificity for routine staging in this disease and should not replace the cross-sectional package — though note BSG 2023 does recommend FDG-PET/CT for nodal and distant disease, so this is a point of guideline disagreement, not settled fact.</w:t>
      </w:r>
    </w:p>
    <w:p>
      <w:pPr>
        <w:spacing w:after="50" w:line="276"/>
        <w:ind w:left="240"/>
      </w:pPr>
      <w:r>
        <w:rPr>
          <w:i/>
          <w:iCs/>
          <w:color w:val="5A6069"/>
          <w:sz w:val="17"/>
          <w:szCs w:val="17"/>
        </w:rPr>
        <w:t xml:space="preserve">Downgraded from B to C. The 75% accuracy figure is an ungraded expert-consensus statement from a six-person panel across four institutions, and the ESGE imaging recommendation that supports MRI/MRCP over CT is conditional on low-quality evidence. Nothing here was derived prospectively in perihilar disease.</w:t>
      </w:r>
    </w:p>
    <w:p>
      <w:pPr>
        <w:spacing w:after="60" w:line="276"/>
        <w:ind w:left="240"/>
      </w:pPr>
      <w:r>
        <w:rPr>
          <w:color w:val="5A6069"/>
          <w:sz w:val="16"/>
          <w:szCs w:val="16"/>
        </w:rPr>
        <w:t xml:space="preserve">Sources: ESGE 2025; Milan consensus; AHPBA 2015</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Record the Bismuth-Corlette type as shorthand for the pattern of ductal involvement, but do not let it decide resectability — vascular involvement, lobar atrophy, nodal status and remnant volume do that.</w:t>
      </w:r>
    </w:p>
    <w:p>
      <w:pPr>
        <w:spacing w:after="50" w:line="276"/>
        <w:ind w:left="240"/>
      </w:pPr>
      <w:r>
        <w:rPr>
          <w:color w:val="15181F"/>
          <w:sz w:val="18"/>
          <w:szCs w:val="18"/>
        </w:rPr>
        <w:t xml:space="preserve">Communication at the board, and planning which sectors to drain and how many stents it will take.</w:t>
      </w:r>
    </w:p>
    <w:p>
      <w:pPr>
        <w:spacing w:after="50"/>
        <w:ind w:left="240"/>
      </w:pPr>
      <w:r>
        <w:rPr>
          <w:b/>
          <w:bCs/>
          <w:color w:val="8C2F26"/>
          <w:sz w:val="18"/>
          <w:szCs w:val="18"/>
        </w:rPr>
        <w:t xml:space="preserve">Caveat. </w:t>
      </w:r>
      <w:r>
        <w:rPr>
          <w:color w:val="15181F"/>
          <w:sz w:val="18"/>
          <w:szCs w:val="18"/>
        </w:rPr>
        <w:t xml:space="preserve">Do not treat the preoperative type as the final extent. In the original series postoperative histology upstaged tumours, 4 operative type IV lesions becoming 9, so the preoperative type systematically understates extent. The Milan jury declined to endorse Bismuth-Corlette, or any other staging system — MSKCC included — as a predictor of resectability, and its own resectability criteria are stated to be expert opinion requiring validation.</w:t>
      </w:r>
    </w:p>
    <w:p>
      <w:pPr>
        <w:spacing w:after="50" w:line="276"/>
        <w:ind w:left="240"/>
      </w:pPr>
      <w:r>
        <w:rPr>
          <w:i/>
          <w:iCs/>
          <w:color w:val="5A6069"/>
          <w:sz w:val="17"/>
          <w:szCs w:val="17"/>
        </w:rPr>
        <w:t xml:space="preserve">Grade C, and read the denominators: the classification and its type-specific operations rest on 23 resections accumulated over 30 years at one centre, one to four patients per type, in 122 patients taken to surgery. See the quick reference for the operation each type implies.</w:t>
      </w:r>
    </w:p>
    <w:p>
      <w:pPr>
        <w:spacing w:after="60" w:line="276"/>
        <w:ind w:left="240"/>
      </w:pPr>
      <w:r>
        <w:rPr>
          <w:color w:val="5A6069"/>
          <w:sz w:val="16"/>
          <w:szCs w:val="16"/>
        </w:rPr>
        <w:t xml:space="preserve">Sources: Bismuth-Corlette; Milan consensus</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Treat CA 19-9 and CEA as supporting measurements, not proof of malignancy, and record each value with the bilirubin and drainage status at the time it was drawn.</w:t>
      </w:r>
    </w:p>
    <w:p>
      <w:pPr>
        <w:spacing w:after="50" w:line="276"/>
        <w:ind w:left="240"/>
      </w:pPr>
      <w:r>
        <w:rPr>
          <w:color w:val="15181F"/>
          <w:sz w:val="18"/>
          <w:szCs w:val="18"/>
        </w:rPr>
        <w:t xml:space="preserve">Where a value is to count toward the transplant protocol's diagnostic criteria it is measured only after decompression and in the absence of cholangitis.</w:t>
      </w:r>
    </w:p>
    <w:p>
      <w:pPr>
        <w:spacing w:after="50"/>
        <w:ind w:left="240"/>
      </w:pPr>
      <w:r>
        <w:rPr>
          <w:b/>
          <w:bCs/>
          <w:color w:val="8C2F26"/>
          <w:sz w:val="18"/>
          <w:szCs w:val="18"/>
        </w:rPr>
        <w:t xml:space="preserve">Caveat. </w:t>
      </w:r>
      <w:r>
        <w:rPr>
          <w:color w:val="15181F"/>
          <w:sz w:val="18"/>
          <w:szCs w:val="18"/>
        </w:rPr>
        <w:t xml:space="preserve">Tumour markers must not be used alone to separate a benign from a malignant stricture: pooled accuracy is 81% (76–87) for CA 19-9 and 70% (62–78) for CEA, with false-positive rates of 15% and 18%, and CA 19-9 rises in primary sclerosing cholangitis, cirrhosis and obstructive jaundice. NCCN is explicit that CEA and CA 19-9 are baseline tests and should not be done to confirm the diagnosis.</w:t>
      </w:r>
    </w:p>
    <w:p>
      <w:pPr>
        <w:spacing w:after="50" w:line="276"/>
        <w:ind w:left="240"/>
      </w:pPr>
      <w:r>
        <w:rPr>
          <w:i/>
          <w:iCs/>
          <w:color w:val="5A6069"/>
          <w:sz w:val="17"/>
          <w:szCs w:val="17"/>
        </w:rPr>
        <w:t xml:space="preserve">Downgraded from B to C: the ESGE recommendation is conditional on very low quality evidence. This matters more here than elsewhere, because CA 19-9 above 100 U/mL is one of the alternative diagnostic criteria for the transplant protocol — a 15% false-positive rate sits underneath a listing decision.</w:t>
      </w:r>
    </w:p>
    <w:p>
      <w:pPr>
        <w:spacing w:after="60" w:line="276"/>
        <w:ind w:left="240"/>
      </w:pPr>
      <w:r>
        <w:rPr>
          <w:color w:val="5A6069"/>
          <w:sz w:val="16"/>
          <w:szCs w:val="16"/>
        </w:rPr>
        <w:t xml:space="preserve">Sources: ESGE 2025</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Measure the future liver remnant by CT volumetry and state the threshold the board is working to before committing to augmentation.</w:t>
      </w:r>
    </w:p>
    <w:p>
      <w:pPr>
        <w:spacing w:after="50" w:line="276"/>
        <w:ind w:left="240"/>
      </w:pPr>
      <w:r>
        <w:rPr>
          <w:color w:val="15181F"/>
          <w:sz w:val="18"/>
          <w:szCs w:val="18"/>
        </w:rPr>
        <w:t xml:space="preserve">Any patient in whom an extended hepatectomy is contemplated. AASLD recommends an adequate remnant of at least 30%; BSG uses 20% with normal parenchyma, 30% after chemotherapy and 40% with cirrhosis; the Milan consensus uses 30% if healthy and at least 40% if frail, cholangitic, cholestatic or malnourished, standardised by Vauthey's formula.</w:t>
      </w:r>
    </w:p>
    <w:p>
      <w:pPr>
        <w:spacing w:after="50"/>
        <w:ind w:left="240"/>
      </w:pPr>
      <w:r>
        <w:rPr>
          <w:b/>
          <w:bCs/>
          <w:color w:val="8C2F26"/>
          <w:sz w:val="18"/>
          <w:szCs w:val="18"/>
        </w:rPr>
        <w:t xml:space="preserve">Caveat. </w:t>
      </w:r>
      <w:r>
        <w:rPr>
          <w:color w:val="15181F"/>
          <w:sz w:val="18"/>
          <w:szCs w:val="18"/>
        </w:rPr>
        <w:t xml:space="preserve">A cholestatic liver fits none of those categories cleanly, which is the roadmap's reason for leaving the number to the board rather than copying one.</w:t>
      </w:r>
    </w:p>
    <w:p>
      <w:pPr>
        <w:spacing w:after="50" w:line="276"/>
        <w:ind w:left="240"/>
      </w:pPr>
      <w:r>
        <w:rPr>
          <w:i/>
          <w:iCs/>
          <w:color w:val="5A6069"/>
          <w:sz w:val="17"/>
          <w:szCs w:val="17"/>
        </w:rPr>
        <w:t xml:space="preserve">Downgraded from C to D. None of these thresholds was derived: three guidelines give three different numbers for the same decision, the Milan figure sits at level-4 expert opinion, and no comparative study tests one cut-off against another in perihilar disease. The roadmap states no numeric remnant threshold. Whether to adopt AASLD's single 30% or BSG's parenchyma-adjusted 20/30/40% is §11 item 4 territory and needs specialty approval.</w:t>
      </w:r>
    </w:p>
    <w:p>
      <w:pPr>
        <w:spacing w:after="60" w:line="276"/>
        <w:ind w:left="240"/>
      </w:pPr>
      <w:r>
        <w:rPr>
          <w:color w:val="5A6069"/>
          <w:sz w:val="16"/>
          <w:szCs w:val="16"/>
        </w:rPr>
        <w:t xml:space="preserve">Sources: Milan consensus; AASLD 2023; BSG 2023</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carry an iCCA or distal cholangiocarcinoma pathway into this disease.</w:t>
      </w:r>
    </w:p>
    <w:p>
      <w:pPr>
        <w:spacing w:after="50" w:line="276"/>
        <w:ind w:left="240"/>
      </w:pPr>
      <w:r>
        <w:rPr>
          <w:color w:val="15181F"/>
          <w:sz w:val="18"/>
          <w:szCs w:val="18"/>
        </w:rPr>
        <w:t xml:space="preserve">Perihilar disease has its own gates: central biliary and vascular anatomy and longitudinal tumour spread differ from a small peripheral liver mass, and the transplant route, the biopsy constraint and the drainage problem are all specific to it.</w:t>
      </w:r>
    </w:p>
    <w:p>
      <w:pPr>
        <w:spacing w:after="50"/>
        <w:ind w:left="240"/>
      </w:pPr>
      <w:r>
        <w:rPr>
          <w:b/>
          <w:bCs/>
          <w:color w:val="8C2F26"/>
          <w:sz w:val="18"/>
          <w:szCs w:val="18"/>
        </w:rPr>
        <w:t xml:space="preserve">Caveat. </w:t>
      </w:r>
      <w:r>
        <w:rPr>
          <w:color w:val="15181F"/>
          <w:sz w:val="18"/>
          <w:szCs w:val="18"/>
        </w:rPr>
        <w:t xml:space="preserve">Intrahepatic and distal cholangiocarcinoma are covered separately and are not interchangeable with this pathway. Gallbladder cancer is out of scope.</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2 · Tissue — what the destination needs, and what the route costs</w:t>
      </w:r>
    </w:p>
    <w:p>
      <w:pPr>
        <w:spacing w:after="140"/>
      </w:pPr>
      <w:r>
        <w:rPr>
          <w:b/>
          <w:bCs/>
          <w:color w:val="176A87"/>
          <w:sz w:val="19"/>
          <w:szCs w:val="19"/>
        </w:rPr>
        <w:t xml:space="preserve">The question. </w:t>
      </w:r>
      <w:r>
        <w:rPr>
          <w:sz w:val="19"/>
          <w:szCs w:val="19"/>
        </w:rPr>
        <w:t xml:space="preserve">Do I actually need tissue for where this patient is going, and will the route I am about to use cost them an option?</w:t>
      </w:r>
    </w:p>
    <w:p>
      <w:pPr>
        <w:spacing w:after="60" w:before="160"/>
      </w:pPr>
      <w:r>
        <w:rPr>
          <w:b/>
          <w:bCs/>
          <w:color w:val="176A87"/>
          <w:spacing w:val="24"/>
          <w:sz w:val="15"/>
          <w:szCs w:val="15"/>
        </w:rPr>
        <w:t xml:space="preserve">ALL OF THE FOLLOWING HAVE TO BE IN HAND</w:t>
      </w:r>
    </w:p>
    <w:p>
      <w:pPr>
        <w:pStyle w:val="ListParagraph"/>
        <w:numPr>
          <w:ilvl w:val="0"/>
          <w:numId w:val="2"/>
        </w:numPr>
        <w:spacing w:after="60" w:line="268"/>
      </w:pPr>
      <w:r>
        <w:rPr>
          <w:color w:val="15181F"/>
          <w:sz w:val="18"/>
          <w:szCs w:val="18"/>
        </w:rPr>
        <w:t xml:space="preserve">The destination is named before any needle is passed: resection, transplant protocol, or systemic therapy</w:t>
      </w:r>
    </w:p>
    <w:p>
      <w:pPr>
        <w:pStyle w:val="ListParagraph"/>
        <w:numPr>
          <w:ilvl w:val="0"/>
          <w:numId w:val="2"/>
        </w:numPr>
        <w:spacing w:after="60" w:line="268"/>
      </w:pPr>
      <w:r>
        <w:rPr>
          <w:color w:val="15181F"/>
          <w:sz w:val="18"/>
          <w:szCs w:val="18"/>
        </w:rPr>
        <w:t xml:space="preserve">Transperitoneal routes — percutaneous, operative and endoscopic ultrasound — are off the table in anyone who may be protocol-eligible</w:t>
      </w:r>
    </w:p>
    <w:p>
      <w:pPr>
        <w:pStyle w:val="ListParagraph"/>
        <w:numPr>
          <w:ilvl w:val="0"/>
          <w:numId w:val="2"/>
        </w:numPr>
        <w:spacing w:after="60" w:line="268"/>
      </w:pPr>
      <w:r>
        <w:rPr>
          <w:color w:val="15181F"/>
          <w:sz w:val="18"/>
          <w:szCs w:val="18"/>
        </w:rPr>
        <w:t xml:space="preserve">Tissue is taken at the index ERCP, before or at the time the first stent is placed</w:t>
      </w:r>
    </w:p>
    <w:p>
      <w:pPr>
        <w:pStyle w:val="ListParagraph"/>
        <w:numPr>
          <w:ilvl w:val="0"/>
          <w:numId w:val="2"/>
        </w:numPr>
        <w:spacing w:after="60" w:line="268"/>
      </w:pPr>
      <w:r>
        <w:rPr>
          <w:color w:val="15181F"/>
          <w:sz w:val="18"/>
          <w:szCs w:val="18"/>
        </w:rPr>
        <w:t xml:space="preserve">A separate specimen from the same ERCP goes for molecular testing where it is available</w:t>
      </w:r>
    </w:p>
    <w:p>
      <w:pPr>
        <w:pStyle w:val="ListParagraph"/>
        <w:numPr>
          <w:ilvl w:val="0"/>
          <w:numId w:val="2"/>
        </w:numPr>
        <w:spacing w:after="60" w:line="268"/>
      </w:pPr>
      <w:r>
        <w:rPr>
          <w:color w:val="15181F"/>
          <w:sz w:val="18"/>
          <w:szCs w:val="18"/>
        </w:rPr>
        <w:t xml:space="preserve">Nodal sampling and sampling of the primary are treated as different decisions</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A</w:t>
      </w:r>
    </w:p>
    <w:p>
      <w:pPr>
        <w:spacing w:after="60" w:line="276"/>
      </w:pPr>
      <w:r>
        <w:rPr>
          <w:color w:val="15181F"/>
          <w:sz w:val="19"/>
          <w:szCs w:val="19"/>
        </w:rPr>
        <w:t xml:space="preserve">A transperitoneal biopsy of the primary tumour must be avoided in any patient who may be protocol-eligible — and that includes the endoscopic ultrasound route.</w:t>
      </w:r>
    </w:p>
    <w:p>
      <w:pPr>
        <w:spacing w:after="50" w:line="276"/>
        <w:ind w:left="240"/>
      </w:pPr>
      <w:r>
        <w:rPr>
          <w:color w:val="15181F"/>
          <w:sz w:val="18"/>
          <w:szCs w:val="18"/>
        </w:rPr>
        <w:t xml:space="preserve">Discuss the route with the transplant team before obtaining tissue. OPTN Policy 9.5.A, requirement 6 names percutaneous, operative and endoscopic ultrasound routes: an EUS needle reaching a perihilar tumour crosses the peritoneal cavity, so it counts. Avoidance is a condition of the standardized exception, not a weighing of evidence — taking the route removes the patient from the standardized route entirely.</w:t>
      </w:r>
    </w:p>
    <w:p>
      <w:pPr>
        <w:spacing w:after="50"/>
        <w:ind w:left="240"/>
      </w:pPr>
      <w:r>
        <w:rPr>
          <w:b/>
          <w:bCs/>
          <w:color w:val="8C2F26"/>
          <w:sz w:val="18"/>
          <w:szCs w:val="18"/>
        </w:rPr>
        <w:t xml:space="preserve">Caveat. </w:t>
      </w:r>
      <w:r>
        <w:rPr>
          <w:color w:val="15181F"/>
          <w:sz w:val="18"/>
          <w:szCs w:val="18"/>
        </w:rPr>
        <w:t xml:space="preserve">In the Mayo protocol cohort of 191 patients, 16 had a transperitoneal fine-needle aspiration of the primary elsewhere; of the 6 whose aspirate was positive for adenocarcinoma, 5 of 6 (83%) had peritoneal metastases at operative staging, against 8% (14 of 175) in those not biopsied (P=0.0097). The 9 patients with non-diagnostic aspirates had no metastases at all. The two groups did not differ in age, sex, PSC, presence or size of a mass, presenting CA 19-9 or interval to staging.</w:t>
      </w:r>
    </w:p>
    <w:p>
      <w:pPr>
        <w:spacing w:after="50" w:line="276"/>
        <w:ind w:left="240"/>
      </w:pPr>
      <w:r>
        <w:rPr>
          <w:i/>
          <w:iCs/>
          <w:color w:val="5A6069"/>
          <w:sz w:val="17"/>
          <w:szCs w:val="17"/>
        </w:rPr>
        <w:t xml:space="preserve">The grade records an absolute policy condition, not the strength of the evidence underneath it, and the two must not be confused. The evidence is six exposed patients and five events: that cannot support a risk estimate, it is not a measured seeding rate, and the roadmap does not present it as one. Because only diagnostic aspirates carried the excess, a positive aspirate may partly be marking a tumour bulky and cell-rich enough to hit with a needle rather than causing dissemination; reverse causation is not excluded by this retrospective single-programme design, and no histological features were available to match the groups on. Only patients already accepted onto the protocol were counted, so anyone whose outside aspirate took them out of consideration is invisible. The 12-centre series is often quoted here too, but its hazard ratio of 2.98 (95% CI 1.79–4.95) is for a composite off-criteria group — 21 patients with a mass over 3 cm, 16 with a direct tumour biopsy, 4 with metastases and 7 with a prior malignancy — and is not attributable to biopsy alone.</w:t>
      </w:r>
    </w:p>
    <w:p>
      <w:pPr>
        <w:spacing w:after="60" w:line="276"/>
        <w:ind w:left="240"/>
      </w:pPr>
      <w:r>
        <w:rPr>
          <w:color w:val="5A6069"/>
          <w:sz w:val="16"/>
          <w:szCs w:val="16"/>
        </w:rPr>
        <w:t xml:space="preserve">Sources: Heimbach 2011; 12-centre protocol series; ASGE 2023; AASLD 2023</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Take tissue at the index ERCP, with brush cytology completed by fluoroscopy-guided intraductal biopsies wherever that is technically feasible.</w:t>
      </w:r>
    </w:p>
    <w:p>
      <w:pPr>
        <w:spacing w:after="50" w:line="276"/>
        <w:ind w:left="240"/>
      </w:pPr>
      <w:r>
        <w:rPr>
          <w:color w:val="15181F"/>
          <w:sz w:val="18"/>
          <w:szCs w:val="18"/>
        </w:rPr>
        <w:t xml:space="preserve">Every patient having a first ERCP for a malignant-appearing hilar stricture. ASGE pools 21 studies and 2,726 patients: incremental yield of adding biopsy to brushing 20% (95% CI 9–31), sensitivity 0.66 combined against 0.52 for biopsy and 0.40 for brushing alone (P&lt;.001). ESGE's figure is higher but rests on far less — a pooled incremental yield of 25% (11–38, OR 2.7, 1.5–4.9) from two retrospective cohorts totalling 101 patients. The Asia-Pacific statement quotes combined sensitivity about 70% against 21–56% for brushing alone and 43–67% for intraductal biopsy.</w:t>
      </w:r>
    </w:p>
    <w:p>
      <w:pPr>
        <w:spacing w:after="50"/>
        <w:ind w:left="240"/>
      </w:pPr>
      <w:r>
        <w:rPr>
          <w:b/>
          <w:bCs/>
          <w:color w:val="8C2F26"/>
          <w:sz w:val="18"/>
          <w:szCs w:val="18"/>
        </w:rPr>
        <w:t xml:space="preserve">Caveat. </w:t>
      </w:r>
      <w:r>
        <w:rPr>
          <w:color w:val="15181F"/>
          <w:sz w:val="18"/>
          <w:szCs w:val="18"/>
        </w:rPr>
        <w:t xml:space="preserve">Deferring tissue to a later stent exchange is treated as costless in practice and probably is not. Note also that adding biopsy is not free: in the ASGE analysis there was no overall difference in adverse events (OR 0.53, 0.14–2.05) but the biopsy arm carried two severe events, prolonged bleeding and a perforation needing surgical choledochotomy.</w:t>
      </w:r>
    </w:p>
    <w:p>
      <w:pPr>
        <w:spacing w:after="50" w:line="276"/>
        <w:ind w:left="240"/>
      </w:pPr>
      <w:r>
        <w:rPr>
          <w:i/>
          <w:iCs/>
          <w:color w:val="5A6069"/>
          <w:sz w:val="17"/>
          <w:szCs w:val="17"/>
        </w:rPr>
        <w:t xml:space="preserve">Downgraded from B to C: every recommendation in both guidelines on this question is conditional on low or very low quality evidence, and neither panel found a randomised trial for any perihilar question. How much tissue is itself unsettled — ESGE says three to four intraductal biopsies appear sufficient, while the real-world cholangioscopy cohort below took a median of 3 and had 33% inconclusive specimens, and its authors recommend a minimum of four. Cytology sensitivity rises with brush passes: 38% at 10, 47% at 20 and 57% at 30 in a multicentre randomised trial of more than 400 patients. For an indeterminate stricture, add cholangioscopy-guided biopsies — pooled incremental yield 27% (10–45) from 13 studies and 1,529 patients, sensitivity 0.72 against 0.61 — but do not repeat the guidelines' claim that this costs nothing: the PSC meta-analysis records post-procedure cholangitis in 11% and procedural failure in 15% of PSC ducts against 2% of controls, and the Groningen cohort had adverse events in 10 of 80 (13%), including two episodes of cholangitis and one cardiac arrest with subsequent stroke.</w:t>
      </w:r>
    </w:p>
    <w:p>
      <w:pPr>
        <w:spacing w:after="60" w:line="276"/>
        <w:ind w:left="240"/>
      </w:pPr>
      <w:r>
        <w:rPr>
          <w:color w:val="5A6069"/>
          <w:sz w:val="16"/>
          <w:szCs w:val="16"/>
        </w:rPr>
        <w:t xml:space="preserve">Sources: ESGE 2025; ASGE 2023; Asia-Pacific 2024</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Send a separate specimen from the same ERCP for next-generation sequencing: it raises yield on the one route that does not jeopardise protocol candidacy.</w:t>
      </w:r>
    </w:p>
    <w:p>
      <w:pPr>
        <w:spacing w:after="50" w:line="276"/>
        <w:ind w:left="240"/>
      </w:pPr>
      <w:r>
        <w:rPr>
          <w:color w:val="15181F"/>
          <w:sz w:val="18"/>
          <w:szCs w:val="18"/>
        </w:rPr>
        <w:t xml:space="preserve">Potential protocol candidates above all, where confirmed malignancy is a protocol condition and the route that would most readily provide it is the one route excluded. In a 6-year prospective study of 2,908 ERCP-obtained specimens from 2,116 patients at 28 US institutions, with accuracy computed on the 1,979 patients who had follow-up (1,108 neoplastic, 871 benign), a DNA/RNA panel gave 82% sensitivity and 98% specificity for a neoplastic stricture, against 44% and 99% for pathological assessment of separate specimens; combining the two gave 88% at 97%. In intrahepatic or hilar strictures specifically it was 80% versus 36%, and 86% combined. Actionable alterations were found in 23% of positive malignancies and in 137 of 458 cholangiocarcinomas (30%), so the same specimen can serve diagnosis and target identification. Assay failure was about 1%. [PAYER] [DEVICE]</w:t>
      </w:r>
    </w:p>
    <w:p>
      <w:pPr>
        <w:spacing w:after="50"/>
        <w:ind w:left="240"/>
      </w:pPr>
      <w:r>
        <w:rPr>
          <w:b/>
          <w:bCs/>
          <w:color w:val="8C2F26"/>
          <w:sz w:val="18"/>
          <w:szCs w:val="18"/>
        </w:rPr>
        <w:t xml:space="preserve">Caveat. </w:t>
      </w:r>
      <w:r>
        <w:rPr>
          <w:color w:val="15181F"/>
          <w:sz w:val="18"/>
          <w:szCs w:val="18"/>
        </w:rPr>
        <w:t xml:space="preserve">Four cautions. Specificity is high but not perfect, and a false positive commits a patient to neoadjuvant chemoradiation and transplantation — the consequence of error is not symmetrical with the consequence in an ordinary diagnostic setting; sixteen false positives occurred, at variant allele frequencies of 1.5–30%. The endpoint was a neoplastic stricture, which is broader than malignancy, and a stricture could be called neoplastic on imaging plus clinical or radiographic progression over 12 months rather than on tissue, which tends to flatter the test that often prompted that work-up. Only 2% of neoplastic strictures were purely dysplastic, so outside PSC this is earlier diagnosis of established cancer, not early detection, and no survival or resectability benefit has been shown. And a negative result still does not exclude malignancy.</w:t>
      </w:r>
    </w:p>
    <w:p>
      <w:pPr>
        <w:spacing w:after="50" w:line="276"/>
        <w:ind w:left="240"/>
      </w:pPr>
      <w:r>
        <w:rPr>
          <w:i/>
          <w:iCs/>
          <w:color w:val="5A6069"/>
          <w:sz w:val="17"/>
          <w:szCs w:val="17"/>
        </w:rPr>
        <w:t xml:space="preserve">Downgraded from B to C. Identical specimens were never compared — sequencing and pathology were run on different specimens — specimens were submitted at the endoscopist's discretion rather than consecutively, FISH was never compared head to head, and all testing was done in the laboratory that developed the assay. The earlier single-centre prospective study (252 patients, 346 specimens) raised pathology sensitivity from 35% to 71% on 132 paired brushings and from 52% to 75% on 114 paired biopsies, and reported 83% versus 8% in primary sclerosing cholangitis on 12 malignant cases (95% CI 0.51–0.98). Two real-world cohorts reproduce the overall direction (65% versus 52% alone and 78% combined on 47 biopsies in one; 75% versus 42.9% in 77 patients in the other) but neither supports the PSC result — one found 20% sensitivity in PSC against 40% for brush cytology — and in the one cohort that reported it separately, the gain in cholangiocarcinoma itself was not significant (70% versus 60%, P=.72). The test is a laboratory-developed test from a single CLIA-certified laboratory, not FDA cleared, and coverage must be verified in writing before it is written into routine practice.</w:t>
      </w:r>
    </w:p>
    <w:p>
      <w:pPr>
        <w:spacing w:after="60" w:line="276"/>
        <w:ind w:left="240"/>
      </w:pPr>
      <w:r>
        <w:rPr>
          <w:color w:val="5A6069"/>
          <w:sz w:val="16"/>
          <w:szCs w:val="16"/>
        </w:rPr>
        <w:t xml:space="preserve">Sources: BiliSeq multi-institutional; BiliSeq validation; Bardhi 2025; Gillmeister 2026</w:t>
      </w:r>
    </w:p>
    <w:p>
      <w:pPr>
        <w:spacing w:after="60" w:before="180"/>
      </w:pPr>
      <w:r>
        <w:rPr>
          <w:b/>
          <w:bCs/>
          <w:color w:val="176A87"/>
          <w:spacing w:val="16"/>
          <w:sz w:val="16"/>
          <w:szCs w:val="16"/>
        </w:rPr>
        <w:t xml:space="preserve">REASONABLE</w:t>
      </w:r>
      <w:r>
        <w:rPr>
          <w:color w:val="5A6069"/>
          <w:sz w:val="16"/>
          <w:szCs w:val="16"/>
        </w:rPr>
        <w:t xml:space="preserve">   grade C</w:t>
      </w:r>
    </w:p>
    <w:p>
      <w:pPr>
        <w:spacing w:after="100" w:line="276"/>
      </w:pPr>
      <w:r>
        <w:rPr>
          <w:i/>
          <w:iCs/>
          <w:color w:val="5A6069"/>
          <w:sz w:val="17"/>
          <w:szCs w:val="17"/>
        </w:rPr>
        <w:t xml:space="preserve">Ordered by what the destination requires, not by diagnostic yield. The pooled comparison that favours EUS over ERCP — mean sensitivity 75% versus 49%, specificity 100% versus 96% — comes from 294 patients at a pretest probability of 77%, is not specific to perihilar disease, and only 3 of its 8 studies applied both tests to the same patients; three of its proximal-stricture studies enrolled patients only after ERCP sampling had already failed, which guarantees a low ERCP figure by design. QUADAS-2 scored all eight studies at high risk of selection bias, the results are simple means rather than a pooled bivariate model, and the review never mentions that transperitoneal aspiration disqualifies a transplant candidate. Negative predictive values were 47% (SD 14.73) and 34% (SD 24.63), so on either modality a negative result excludes nothing — and those standard deviations are as large as the estimates.</w:t>
      </w:r>
    </w:p>
    <w:p>
      <w:pPr>
        <w:spacing w:after="50" w:before="120"/>
        <w:ind w:left="240"/>
      </w:pPr>
      <w:r>
        <w:rPr>
          <w:b/>
          <w:bCs/>
          <w:color w:val="15181F"/>
          <w:sz w:val="19"/>
          <w:szCs w:val="19"/>
        </w:rPr>
        <w:t xml:space="preserve">Proceed to resection without tissue</w:t>
      </w:r>
      <w:r>
        <w:rPr>
          <w:color w:val="5A6069"/>
          <w:sz w:val="15"/>
          <w:szCs w:val="15"/>
        </w:rPr>
        <w:t xml:space="preserve">   grade C</w:t>
      </w:r>
    </w:p>
    <w:p>
      <w:pPr>
        <w:spacing w:after="50" w:line="276"/>
        <w:ind w:left="240"/>
      </w:pPr>
      <w:r>
        <w:rPr>
          <w:color w:val="15181F"/>
          <w:sz w:val="18"/>
          <w:szCs w:val="18"/>
        </w:rPr>
        <w:t xml:space="preserve">NCCN: surgery may be performed when the index of suspicion is high, and biopsy is not required. BSG accepts surgery without histological certainty. The AHPBA consensus states pathologic confirmation is not required before resection or before starting the transplant protocol.</w:t>
      </w:r>
    </w:p>
    <w:p>
      <w:pPr>
        <w:spacing w:after="50" w:line="276"/>
        <w:ind w:left="240"/>
      </w:pPr>
      <w:r>
        <w:rPr>
          <w:color w:val="15181F"/>
          <w:sz w:val="18"/>
          <w:szCs w:val="18"/>
        </w:rPr>
        <w:t xml:space="preserve">A malignant-appearing stricture with no alternative explanation, where the operative plan would not change whatever the result. The biopsy route is unconstrained in a resection-only candidate — biopsy does not foreclose resection.</w:t>
      </w:r>
    </w:p>
    <w:p>
      <w:pPr>
        <w:spacing w:after="50"/>
        <w:ind w:left="240"/>
      </w:pPr>
      <w:r>
        <w:rPr>
          <w:b/>
          <w:bCs/>
          <w:color w:val="8C2F26"/>
          <w:sz w:val="18"/>
          <w:szCs w:val="18"/>
        </w:rPr>
        <w:t xml:space="preserve">Caveat. </w:t>
      </w:r>
      <w:r>
        <w:rPr>
          <w:color w:val="15181F"/>
          <w:sz w:val="18"/>
          <w:szCs w:val="18"/>
        </w:rPr>
        <w:t xml:space="preserve">A benign aetiology is found in about 10% of resections done on a presumptive diagnosis by the AHPBA panel's figure, and about 15% in a 30-year tertiary series, in an operation whose 90-day mortality reaches 13% even in benchmark patients at expert centres. Do not use it to skip the transplant question in a patient who might be a protocol candidate.</w:t>
      </w:r>
    </w:p>
    <w:p>
      <w:pPr>
        <w:spacing w:after="60" w:line="276"/>
        <w:ind w:left="240"/>
      </w:pPr>
      <w:r>
        <w:rPr>
          <w:color w:val="5A6069"/>
          <w:sz w:val="16"/>
          <w:szCs w:val="16"/>
        </w:rPr>
        <w:t xml:space="preserve">Sources: AHPBA 2015</w:t>
      </w:r>
    </w:p>
    <w:p>
      <w:pPr>
        <w:spacing w:after="50" w:before="120"/>
        <w:ind w:left="240"/>
      </w:pPr>
      <w:r>
        <w:rPr>
          <w:b/>
          <w:bCs/>
          <w:color w:val="15181F"/>
          <w:sz w:val="19"/>
          <w:szCs w:val="19"/>
        </w:rPr>
        <w:t xml:space="preserve">EUS-guided aspiration of the primary</w:t>
      </w:r>
      <w:r>
        <w:rPr>
          <w:color w:val="5A6069"/>
          <w:sz w:val="15"/>
          <w:szCs w:val="15"/>
        </w:rPr>
        <w:t xml:space="preserve">   grade C</w:t>
      </w:r>
    </w:p>
    <w:p>
      <w:pPr>
        <w:spacing w:after="50" w:line="276"/>
        <w:ind w:left="240"/>
      </w:pPr>
      <w:r>
        <w:rPr>
          <w:color w:val="15181F"/>
          <w:sz w:val="18"/>
          <w:szCs w:val="18"/>
        </w:rPr>
        <w:t xml:space="preserve">ESGE suggests EUS-guided tissue acquisition for perihilar strictures only when ERCP-based modalities are insufficient and 'provided that curative resection is not feasible and/or when cross-sectional imaging has shown accessible extraluminal disease' (conditional, low quality). Pooled EUS sensitivity 78% (70–86), accuracy 84% (78–91), incremental yield over ERCP 33%.</w:t>
      </w:r>
    </w:p>
    <w:p>
      <w:pPr>
        <w:spacing w:after="50" w:line="276"/>
        <w:ind w:left="240"/>
      </w:pPr>
      <w:r>
        <w:rPr>
          <w:color w:val="15181F"/>
          <w:sz w:val="18"/>
          <w:szCs w:val="18"/>
        </w:rPr>
        <w:t xml:space="preserve">Established unresectable disease with no transplant option, where a tissue diagnosis is needed to start systemic therapy and ERCP sampling has failed. Where the stricture proves distal rather than perihilar, EUS-guided acquisition becomes the higher-yield route and carries no protocol penalty.</w:t>
      </w:r>
    </w:p>
    <w:p>
      <w:pPr>
        <w:spacing w:after="50"/>
        <w:ind w:left="240"/>
      </w:pPr>
      <w:r>
        <w:rPr>
          <w:b/>
          <w:bCs/>
          <w:color w:val="8C2F26"/>
          <w:sz w:val="18"/>
          <w:szCs w:val="18"/>
        </w:rPr>
        <w:t xml:space="preserve">Caveat. </w:t>
      </w:r>
      <w:r>
        <w:rPr>
          <w:color w:val="15181F"/>
          <w:sz w:val="18"/>
          <w:szCs w:val="18"/>
        </w:rPr>
        <w:t xml:space="preserve">Never in a potential protocol candidate. ESGE itself notes that the hilar seeding risk is supported in this disease by one retrospective series of 150 patients, with the rest extrapolated from pancreatic adenocarcinoma and percutaneous aspiration, and makes no recommendation for transplant candidates — so for protocol candidates the constraint rests on OPTN Policy 9.5.A and the Mayo data, not on ESGE. ASGE is explicit that if EUS is performed for a proximal or hilar stricture the endosonographer should not sample the biliary mass itself.</w:t>
      </w:r>
    </w:p>
    <w:p>
      <w:pPr>
        <w:spacing w:after="60" w:line="276"/>
        <w:ind w:left="240"/>
      </w:pPr>
      <w:r>
        <w:rPr>
          <w:color w:val="5A6069"/>
          <w:sz w:val="16"/>
          <w:szCs w:val="16"/>
        </w:rPr>
        <w:t xml:space="preserve">Sources: ESGE 2025; ASGE 2023; ERCP vs EUS</w:t>
      </w:r>
    </w:p>
    <w:p>
      <w:pPr>
        <w:spacing w:after="50" w:before="120"/>
        <w:ind w:left="240"/>
      </w:pPr>
      <w:r>
        <w:rPr>
          <w:b/>
          <w:bCs/>
          <w:color w:val="15181F"/>
          <w:sz w:val="19"/>
          <w:szCs w:val="19"/>
        </w:rPr>
        <w:t xml:space="preserve">EUS evaluation and aspiration of regional nodes</w:t>
      </w:r>
      <w:r>
        <w:rPr>
          <w:color w:val="5A6069"/>
          <w:sz w:val="15"/>
          <w:szCs w:val="15"/>
        </w:rPr>
        <w:t xml:space="preserve">   grade D</w:t>
      </w:r>
    </w:p>
    <w:p>
      <w:pPr>
        <w:spacing w:after="50" w:line="276"/>
        <w:ind w:left="240"/>
      </w:pPr>
      <w:r>
        <w:rPr>
          <w:color w:val="15181F"/>
          <w:sz w:val="18"/>
          <w:szCs w:val="18"/>
        </w:rPr>
        <w:t xml:space="preserve">AASLD requires EUS-FNA of regional nodes before neoadjuvant therapy in patients being evaluated for transplantation; BSG samples an involved locoregional node for staging while leaving the mass alone.</w:t>
      </w:r>
    </w:p>
    <w:p>
      <w:pPr>
        <w:spacing w:after="50" w:line="276"/>
        <w:ind w:left="240"/>
      </w:pPr>
      <w:r>
        <w:rPr>
          <w:color w:val="15181F"/>
          <w:sz w:val="18"/>
          <w:szCs w:val="18"/>
        </w:rPr>
        <w:t xml:space="preserve">Before a transplant workup is spent. Node-positive disease is itself a protocol exclusion, so a positive nodal result does not cost candidacy that existed — it identifies a patient who was never a candidate.</w:t>
      </w:r>
    </w:p>
    <w:p>
      <w:pPr>
        <w:spacing w:after="50"/>
        <w:ind w:left="240"/>
      </w:pPr>
      <w:r>
        <w:rPr>
          <w:b/>
          <w:bCs/>
          <w:color w:val="8C2F26"/>
          <w:sz w:val="18"/>
          <w:szCs w:val="18"/>
        </w:rPr>
        <w:t xml:space="preserve">Caveat. </w:t>
      </w:r>
      <w:r>
        <w:rPr>
          <w:color w:val="15181F"/>
          <w:sz w:val="18"/>
          <w:szCs w:val="18"/>
        </w:rPr>
        <w:t xml:space="preserve">Do not let a nodal pass become a pass at the primary; they are different sampling targets. AASLD also notes that no morphological criteria reliably identify malignant nodes, which weakens a 'suspicious node' trigger, and the AASLD document is explicitly expert consensus rather than a GRADE-rated guideline.</w:t>
      </w:r>
    </w:p>
    <w:p>
      <w:pPr>
        <w:spacing w:after="60" w:line="276"/>
        <w:ind w:left="240"/>
      </w:pPr>
      <w:r>
        <w:rPr>
          <w:color w:val="5A6069"/>
          <w:sz w:val="16"/>
          <w:szCs w:val="16"/>
        </w:rPr>
        <w:t xml:space="preserve">Sources: AASLD 2023; BSG 2023</w:t>
      </w:r>
    </w:p>
    <w:p>
      <w:pPr>
        <w:spacing w:after="60" w:line="276"/>
        <w:ind w:left="240"/>
      </w:pPr>
      <w:r>
        <w:rPr>
          <w:i/>
          <w:iCs/>
          <w:color w:val="5A6069"/>
          <w:sz w:val="16"/>
          <w:szCs w:val="16"/>
        </w:rPr>
        <w:t xml:space="preserve">Ratification item (§11 item 6): how tissue is obtained in a potentially protocol-eligible patient needs a standing agreement, so that no one disqualifies a candidate inadvertently. §11 item 8: whether a molecular result satisfies the protocol's confirmed-malignancy condition is a governance decision the published criteria do not address — agree it with the transplant team in advance, not case by case. Audit: biopsy route in protocol candidates; NGS result, protocol decision, explant finding.</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Where a stent is already in place, take tissue after removing it and send material for molecular testing — and do not assume cholangioscopic biopsy will outperform the brush.</w:t>
      </w:r>
    </w:p>
    <w:p>
      <w:pPr>
        <w:spacing w:after="50" w:line="276"/>
        <w:ind w:left="240"/>
      </w:pPr>
      <w:r>
        <w:rPr>
          <w:color w:val="15181F"/>
          <w:sz w:val="18"/>
          <w:szCs w:val="18"/>
        </w:rPr>
        <w:t xml:space="preserve">The referred patient who arrives already stented — a common presentation, and the one where the published yields cannot be assumed to apply.</w:t>
      </w:r>
    </w:p>
    <w:p>
      <w:pPr>
        <w:spacing w:after="50"/>
        <w:ind w:left="240"/>
      </w:pPr>
      <w:r>
        <w:rPr>
          <w:b/>
          <w:bCs/>
          <w:color w:val="8C2F26"/>
          <w:sz w:val="18"/>
          <w:szCs w:val="18"/>
        </w:rPr>
        <w:t xml:space="preserve">Caveat. </w:t>
      </w:r>
      <w:r>
        <w:rPr>
          <w:color w:val="15181F"/>
          <w:sz w:val="18"/>
          <w:szCs w:val="18"/>
        </w:rPr>
        <w:t xml:space="preserve">Do not treat a negative result as reassuring, and do not treat cholangioscopy as the answer here. In the real-world Groningen cohort of 80 patients, 70 (88%) had had a previous ERCP, 44 (55%) had a plastic stent removed at the start of the procedure and 32 (40%) had primary sclerosing cholangitis: cholangioscopy-guided biopsy sensitivity was 15% (95% CI 0–31), far below the 65% (35–87) pooled from 4 studies and 128 PSC patients that did not report stent status, and visual assessment was 64% sensitive with 62% specificity. Brush cytology taken at the same procedure beat both — sensitivity 47%, specificity 95%, accuracy 81%, diagnostic odds ratio 19.6 against 6.6 for the targeted biopsy. Management changed in only 13 of 77 (17%).</w:t>
      </w:r>
    </w:p>
    <w:p>
      <w:pPr>
        <w:spacing w:after="50" w:line="276"/>
        <w:ind w:left="240"/>
      </w:pPr>
      <w:r>
        <w:rPr>
          <w:i/>
          <w:iCs/>
          <w:color w:val="5A6069"/>
          <w:sz w:val="17"/>
          <w:szCs w:val="17"/>
        </w:rPr>
        <w:t xml:space="preserve">Downgraded to D, and the roadmap's earlier wording is withdrawn: the one cohort that tested a blind brush against cholangioscopy after stent removal found the brush better, so recommending cholangioscopic sampling </w:t>
      </w:r>
      <w:r>
        <w:rPr>
          <w:i/>
          <w:iCs/>
          <w:color w:val="5A6069"/>
          <w:sz w:val="17"/>
          <w:szCs w:val="17"/>
        </w:rPr>
        <w:t xml:space="preserve">instead of</w:t>
      </w:r>
      <w:r>
        <w:rPr>
          <w:i/>
          <w:iCs/>
          <w:color w:val="5A6069"/>
          <w:sz w:val="17"/>
          <w:szCs w:val="17"/>
        </w:rPr>
        <w:t xml:space="preserve"> a brush is not supported. The low biopsy figure is also as much about technique as about the stent — a median of 3 biopsies with 33% of specimens inconclusive, 66 of 80 procedures on a first-generation device, and authors who recommend a minimum of four biopsies. No study quantifies sampling yield stratified by prior stent placement; targeted searches for it return nothing, and this pathway should not imply otherwise. Mechanistically stents do produce reactive change: in a blinded multi-reviewer study of 60 brushings — 30 malignant and 30 benign, half the benign cases previously stented — necrosis (17% versus 13%) and infiltrating inflammation (43% versus 33%) did not distinguish malignancy, 3 or more of 11 cytological characteristics gave sensitivity 70% at specificity 97%, and 7 of 30 malignant brushings showed none of them. That study was enriched 50:50 by design, so its predictive values do not transfer to clinic.</w:t>
      </w:r>
    </w:p>
    <w:p>
      <w:pPr>
        <w:spacing w:after="60" w:line="276"/>
        <w:ind w:left="240"/>
      </w:pPr>
      <w:r>
        <w:rPr>
          <w:color w:val="5A6069"/>
          <w:sz w:val="16"/>
          <w:szCs w:val="16"/>
        </w:rPr>
        <w:t xml:space="preserve">Sources: de Vries 2020; Njei 2016; Avadhani 2017</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pass a needle across the peritoneum toward a perihilar tumour in a patient who still has a curative option.</w:t>
      </w:r>
    </w:p>
    <w:p>
      <w:pPr>
        <w:spacing w:after="50" w:line="276"/>
        <w:ind w:left="240"/>
      </w:pPr>
      <w:r>
        <w:rPr>
          <w:color w:val="15181F"/>
          <w:sz w:val="18"/>
          <w:szCs w:val="18"/>
        </w:rPr>
        <w:t xml:space="preserve">Keep a mandatory local pre-biopsy transplant gate: before biopsy, evaluate whether the patient is a resection or transplant candidate.</w:t>
      </w:r>
    </w:p>
    <w:p>
      <w:pPr>
        <w:spacing w:after="50"/>
        <w:ind w:left="240"/>
      </w:pPr>
      <w:r>
        <w:rPr>
          <w:b/>
          <w:bCs/>
          <w:color w:val="8C2F26"/>
          <w:sz w:val="18"/>
          <w:szCs w:val="18"/>
        </w:rPr>
        <w:t xml:space="preserve">Caveat. </w:t>
      </w:r>
      <w:r>
        <w:rPr>
          <w:color w:val="15181F"/>
          <w:sz w:val="18"/>
          <w:szCs w:val="18"/>
        </w:rPr>
        <w:t xml:space="preserve">Also avoid an exploratory resection attempt that violates the tumour plane in a borderline candidate — AASLD and the programme's own protocol list surgical violation of the tumour plane as a transplant exclusion, and the roadmap's route logic covers needles only.</w:t>
      </w:r>
    </w:p>
    <w:p>
      <w:pPr>
        <w:spacing w:after="50" w:line="276"/>
        <w:ind w:left="240"/>
      </w:pPr>
      <w:r>
        <w:rPr>
          <w:i/>
          <w:iCs/>
          <w:color w:val="5A6069"/>
          <w:sz w:val="17"/>
          <w:szCs w:val="17"/>
        </w:rPr>
        <w:t xml:space="preserve">The roadmap is internally inconsistent here and says so: its §4 Resection row calls the biopsy route unconstrained, while this callout extends the rule to anyone with a curative option, which includes resection. BSG states the stricter rule, and a resection candidate judged unresectable before any operative violation of the tumour plane may become a protocol candidate. Unresolved — see the honest section.</w:t>
      </w:r>
    </w:p>
    <w:p>
      <w:pPr>
        <w:spacing w:after="60" w:line="276"/>
        <w:ind w:left="240"/>
      </w:pPr>
      <w:r>
        <w:rPr>
          <w:color w:val="5A6069"/>
          <w:sz w:val="16"/>
          <w:szCs w:val="16"/>
        </w:rPr>
        <w:t xml:space="preserve">Sources: Heimbach 2011; ESGE 2025</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keep resampling in pursuit of a negative result that will not be believed.</w:t>
      </w:r>
    </w:p>
    <w:p>
      <w:pPr>
        <w:spacing w:after="50" w:line="276"/>
        <w:ind w:left="240"/>
      </w:pPr>
      <w:r>
        <w:rPr>
          <w:color w:val="15181F"/>
          <w:sz w:val="18"/>
          <w:szCs w:val="18"/>
        </w:rPr>
        <w:t xml:space="preserve">Decide in advance what a negative result will change. If the answer is nothing, the patient needs a destination decision, not another ERCP.</w:t>
      </w:r>
    </w:p>
    <w:p>
      <w:pPr>
        <w:spacing w:after="50"/>
        <w:ind w:left="240"/>
      </w:pPr>
      <w:r>
        <w:rPr>
          <w:b/>
          <w:bCs/>
          <w:color w:val="8C2F26"/>
          <w:sz w:val="18"/>
          <w:szCs w:val="18"/>
        </w:rPr>
        <w:t xml:space="preserve">Caveat. </w:t>
      </w:r>
      <w:r>
        <w:rPr>
          <w:color w:val="15181F"/>
          <w:sz w:val="18"/>
          <w:szCs w:val="18"/>
        </w:rPr>
        <w:t xml:space="preserve">Negative predictive values are 34% for ERCP-based sampling and 47% for EUS aspiration in a 294-patient meta-analysis at 77% pretest probability, so with either modality a negative result does not exclude malignancy; repeated sampling is a common way to lose time. FISH trisomy or tetrasomy alone is uninformative (sensitivity 31%, 22–40; specificity 71%, 67–75; positive likelihood ratio 1.19, 0.65–2.21). Only polysomy carries information (51%, 43–59, and 93%, 91–95), and it is a named protocol criterion — but its positive predictive value in PSC was only 0.68 (0.58–0.76), and all eight studies in that meta-analysis came from a single centre with overlapping recruitment windows.</w:t>
      </w:r>
    </w:p>
    <w:p>
      <w:pPr>
        <w:spacing w:after="50" w:line="276"/>
        <w:ind w:left="240"/>
      </w:pPr>
      <w:r>
        <w:rPr>
          <w:i/>
          <w:iCs/>
          <w:color w:val="5A6069"/>
          <w:sz w:val="17"/>
          <w:szCs w:val="17"/>
        </w:rPr>
        <w:t xml:space="preserve">Downgraded from B to C. Both pooled estimates rest on analyses the spec's own standard would not call B: the ERCP-versus-EUS review scored high risk of selection bias in every included study and reported simple means, and the FISH meta-analysis is effectively one institution's experience with likely verification bias, since a FISH-positive patient is more likely to reach the surgery that classifies them.</w:t>
      </w:r>
    </w:p>
    <w:p>
      <w:pPr>
        <w:spacing w:after="60" w:line="276"/>
        <w:ind w:left="240"/>
      </w:pPr>
      <w:r>
        <w:rPr>
          <w:color w:val="5A6069"/>
          <w:sz w:val="16"/>
          <w:szCs w:val="16"/>
        </w:rPr>
        <w:t xml:space="preserve">Sources: ERCP vs EUS; FISH meta-analysis</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3 · Resectable disease</w:t>
      </w:r>
    </w:p>
    <w:p>
      <w:pPr>
        <w:spacing w:after="140"/>
      </w:pPr>
      <w:r>
        <w:rPr>
          <w:b/>
          <w:bCs/>
          <w:color w:val="176A87"/>
          <w:sz w:val="19"/>
          <w:szCs w:val="19"/>
        </w:rPr>
        <w:t xml:space="preserve">The question. </w:t>
      </w:r>
      <w:r>
        <w:rPr>
          <w:sz w:val="19"/>
          <w:szCs w:val="19"/>
        </w:rPr>
        <w:t xml:space="preserve">Can I take this out with a negative margin and leave behind a liver that works?</w:t>
      </w:r>
    </w:p>
    <w:p>
      <w:pPr>
        <w:spacing w:after="60" w:before="160"/>
      </w:pPr>
      <w:r>
        <w:rPr>
          <w:b/>
          <w:bCs/>
          <w:color w:val="176A87"/>
          <w:spacing w:val="24"/>
          <w:sz w:val="15"/>
          <w:szCs w:val="15"/>
        </w:rPr>
        <w:t xml:space="preserve">ALL OF THE FOLLOWING HAVE TO BE IN HAND</w:t>
      </w:r>
    </w:p>
    <w:p>
      <w:pPr>
        <w:pStyle w:val="ListParagraph"/>
        <w:numPr>
          <w:ilvl w:val="0"/>
          <w:numId w:val="2"/>
        </w:numPr>
        <w:spacing w:after="60" w:line="268"/>
      </w:pPr>
      <w:r>
        <w:rPr>
          <w:color w:val="15181F"/>
          <w:sz w:val="18"/>
          <w:szCs w:val="18"/>
        </w:rPr>
        <w:t xml:space="preserve">Biliary and vascular extent that permits a technically achievable R0 resection</w:t>
      </w:r>
    </w:p>
    <w:p>
      <w:pPr>
        <w:pStyle w:val="ListParagraph"/>
        <w:numPr>
          <w:ilvl w:val="0"/>
          <w:numId w:val="2"/>
        </w:numPr>
        <w:spacing w:after="60" w:line="268"/>
      </w:pPr>
      <w:r>
        <w:rPr>
          <w:color w:val="15181F"/>
          <w:sz w:val="18"/>
          <w:szCs w:val="18"/>
        </w:rPr>
        <w:t xml:space="preserve">Contralateral liver with intact arterial and portal inflow as well as biliary drainage</w:t>
      </w:r>
    </w:p>
    <w:p>
      <w:pPr>
        <w:pStyle w:val="ListParagraph"/>
        <w:numPr>
          <w:ilvl w:val="0"/>
          <w:numId w:val="2"/>
        </w:numPr>
        <w:spacing w:after="60" w:line="268"/>
      </w:pPr>
      <w:r>
        <w:rPr>
          <w:color w:val="15181F"/>
          <w:sz w:val="18"/>
          <w:szCs w:val="18"/>
        </w:rPr>
        <w:t xml:space="preserve">Future liver remnant adequate, or made adequate by embolisation after the remnant has been drained</w:t>
      </w:r>
    </w:p>
    <w:p>
      <w:pPr>
        <w:pStyle w:val="ListParagraph"/>
        <w:numPr>
          <w:ilvl w:val="0"/>
          <w:numId w:val="2"/>
        </w:numPr>
        <w:spacing w:after="60" w:line="268"/>
      </w:pPr>
      <w:r>
        <w:rPr>
          <w:color w:val="15181F"/>
          <w:sz w:val="18"/>
          <w:szCs w:val="18"/>
        </w:rPr>
        <w:t xml:space="preserve">No intrahepatic, extrahepatic, nodal or peritoneal metastases on the staging package</w:t>
      </w:r>
    </w:p>
    <w:p>
      <w:pPr>
        <w:pStyle w:val="ListParagraph"/>
        <w:numPr>
          <w:ilvl w:val="0"/>
          <w:numId w:val="2"/>
        </w:numPr>
        <w:spacing w:after="60" w:line="268"/>
      </w:pPr>
      <w:r>
        <w:rPr>
          <w:color w:val="15181F"/>
          <w:sz w:val="18"/>
          <w:szCs w:val="18"/>
        </w:rPr>
        <w:t xml:space="preserve">Patient fit for extended hepatectomy with biliary reconstruction, at a centre that does them</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Extended hepatectomy with en bloc extrahepatic bile duct resection, regional lymphadenectomy and biliary reconstruction, with portal vein resection and reconstruction where it is required to achieve R0.</w:t>
      </w:r>
    </w:p>
    <w:p>
      <w:pPr>
        <w:spacing w:after="50" w:line="276"/>
        <w:ind w:left="240"/>
      </w:pPr>
      <w:r>
        <w:rPr>
          <w:color w:val="15181F"/>
          <w:sz w:val="18"/>
          <w:szCs w:val="18"/>
        </w:rPr>
        <w:t xml:space="preserve">Technically resectable disease in a fit patient. Margin status drives everything: in the original series survival with clear margins (n=9) was 100%, 71% and 50% at 1, 2 and 3 years, against 82%, 43% and 12% with microscopic residual disease (n=10) and death within 32 months in all four patients with gross residual disease. Local recurrence followed a positive microscopic margin in every case but one, and occurred in no patient whose margin was histologically free. Across series, R0 gives median survival 27–58 months and 5-year survival 27–45%, against 12–21 months and 0–23% with a positive margin.</w:t>
      </w:r>
    </w:p>
    <w:p>
      <w:pPr>
        <w:spacing w:after="50"/>
        <w:ind w:left="240"/>
      </w:pPr>
      <w:r>
        <w:rPr>
          <w:b/>
          <w:bCs/>
          <w:color w:val="8C2F26"/>
          <w:sz w:val="18"/>
          <w:szCs w:val="18"/>
        </w:rPr>
        <w:t xml:space="preserve">Caveat. </w:t>
      </w:r>
      <w:r>
        <w:rPr>
          <w:color w:val="15181F"/>
          <w:sz w:val="18"/>
          <w:szCs w:val="18"/>
        </w:rPr>
        <w:t xml:space="preserve">Do not attempt local excision alone above Bismuth type I: all five type II and IIIa patients treated that way had involved margins and recurred locally. Caudate resection is obligatory from type II upward because the segment 1 ducts are almost always involved. The Milan consensus prefers left-sided hemihepatectomy where it will achieve the same clearance, because right-sided resection carries more morbidity, liver failure and mortality at equal oncological outcome, and does not recommend routine vascular resection, no-touch technique included; arterial resection belongs in expert centres only.</w:t>
      </w:r>
    </w:p>
    <w:p>
      <w:pPr>
        <w:spacing w:after="50" w:line="276"/>
        <w:ind w:left="240"/>
      </w:pPr>
      <w:r>
        <w:rPr>
          <w:i/>
          <w:iCs/>
          <w:color w:val="5A6069"/>
          <w:sz w:val="17"/>
          <w:szCs w:val="17"/>
        </w:rPr>
        <w:t xml:space="preserve">Downgraded from B to C. The margin data come from 23 resections accumulated over 30 years at one centre — 19 of 122 operated patients (15.6%) had a macroscopically curative resection and only 9 of 122 (7.4%) a histologically negative margin — with no comparison group, mean follow-up 26 months, and the survival credited to R0 therefore uncontrolled and heavily selected. The 27–58 month R0 figure is ungraded expert consensus. Outcomes are volume-dependent: even in benchmark patients at expert centres 5-year overall survival does not exceed 40%, severe complications reach 70%, 90-day mortality reaches 13%, one in five needs re-laparotomy and only two-thirds achieve a negative margin. Lymphadenectomy of stations 12 (positive in 25%), 8 (14%) and 13a (11%) with 5–7 nodes harvested; nodal positivity runs 16–60% overall; no benefit from extended dissection to the celiac axis, superior mesenteric artery or periaortic nodes. [EXPERTISE]</w:t>
      </w:r>
    </w:p>
    <w:p>
      <w:pPr>
        <w:spacing w:after="60" w:line="276"/>
        <w:ind w:left="240"/>
      </w:pPr>
      <w:r>
        <w:rPr>
          <w:color w:val="5A6069"/>
          <w:sz w:val="16"/>
          <w:szCs w:val="16"/>
        </w:rPr>
        <w:t xml:space="preserve">Sources: Bismuth-Corlette; AHPBA 2015; Milan consensus</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Prepare in a sequence with dates rather than improvising: drain the remnant, embolise the portal vein when the remnant is inadequate, correct nutrition.</w:t>
      </w:r>
    </w:p>
    <w:p>
      <w:pPr>
        <w:spacing w:after="50" w:line="276"/>
        <w:ind w:left="240"/>
      </w:pPr>
      <w:r>
        <w:rPr>
          <w:color w:val="15181F"/>
          <w:sz w:val="18"/>
          <w:szCs w:val="18"/>
        </w:rPr>
        <w:t xml:space="preserve">Every patient needing an extended hepatectomy. These steps take weeks, and the order is not interchangeable — hypertrophy is poor while the remnant remains obstructed, so drainage comes first.</w:t>
      </w:r>
    </w:p>
    <w:p>
      <w:pPr>
        <w:spacing w:after="50"/>
        <w:ind w:left="240"/>
      </w:pPr>
      <w:r>
        <w:rPr>
          <w:b/>
          <w:bCs/>
          <w:color w:val="8C2F26"/>
          <w:sz w:val="18"/>
          <w:szCs w:val="18"/>
        </w:rPr>
        <w:t xml:space="preserve">Caveat. </w:t>
      </w:r>
      <w:r>
        <w:rPr>
          <w:color w:val="15181F"/>
          <w:sz w:val="18"/>
          <w:szCs w:val="18"/>
        </w:rPr>
        <w:t xml:space="preserve">Resection attempted without remnant drainage.</w:t>
      </w:r>
    </w:p>
    <w:p>
      <w:pPr>
        <w:spacing w:after="60" w:line="276"/>
        <w:ind w:left="240"/>
      </w:pPr>
      <w:r>
        <w:rPr>
          <w:color w:val="5A6069"/>
          <w:sz w:val="16"/>
          <w:szCs w:val="16"/>
        </w:rPr>
        <w:t xml:space="preserve">Sources: AHPBA 2015; Milan consensus</w:t>
      </w:r>
    </w:p>
    <w:p>
      <w:pPr>
        <w:spacing w:after="60" w:before="180"/>
      </w:pPr>
      <w:r>
        <w:rPr>
          <w:b/>
          <w:bCs/>
          <w:color w:val="176A87"/>
          <w:spacing w:val="16"/>
          <w:sz w:val="16"/>
          <w:szCs w:val="16"/>
        </w:rPr>
        <w:t xml:space="preserve">REASONABLE</w:t>
      </w:r>
      <w:r>
        <w:rPr>
          <w:color w:val="5A6069"/>
          <w:sz w:val="16"/>
          <w:szCs w:val="16"/>
        </w:rPr>
        <w:t xml:space="preserve">   grade C</w:t>
      </w:r>
    </w:p>
    <w:p>
      <w:pPr>
        <w:spacing w:after="100" w:line="276"/>
      </w:pPr>
      <w:r>
        <w:rPr>
          <w:i/>
          <w:iCs/>
          <w:color w:val="5A6069"/>
          <w:sz w:val="17"/>
          <w:szCs w:val="17"/>
        </w:rPr>
        <w:t xml:space="preserve">Ordered as the guidelines order augmentation, not by comparative survival data — no trial compares these in perihilar disease, and the Milan recommendations on augmentation sit at level 4. The registry mortality figure for ALPPS is the one hard number in the group and it argues against it.</w:t>
      </w:r>
    </w:p>
    <w:p>
      <w:pPr>
        <w:spacing w:after="50" w:before="120"/>
        <w:ind w:left="240"/>
      </w:pPr>
      <w:r>
        <w:rPr>
          <w:b/>
          <w:bCs/>
          <w:color w:val="15181F"/>
          <w:sz w:val="19"/>
          <w:szCs w:val="19"/>
        </w:rPr>
        <w:t xml:space="preserve">Portal vein embolisation</w:t>
      </w:r>
      <w:r>
        <w:rPr>
          <w:color w:val="5A6069"/>
          <w:sz w:val="15"/>
          <w:szCs w:val="15"/>
        </w:rPr>
        <w:t xml:space="preserve">   grade C</w:t>
      </w:r>
    </w:p>
    <w:p>
      <w:pPr>
        <w:spacing w:after="50" w:line="276"/>
        <w:ind w:left="240"/>
      </w:pPr>
      <w:r>
        <w:rPr>
          <w:color w:val="15181F"/>
          <w:sz w:val="18"/>
          <w:szCs w:val="18"/>
        </w:rPr>
        <w:t xml:space="preserve">Recommended where the anticipated remnant is inadequate and the disease is otherwise resectable. NCCN requires the contralateral liver to have intact arterial and portal inflow as well as biliary drainage.</w:t>
      </w:r>
    </w:p>
    <w:p>
      <w:pPr>
        <w:spacing w:after="50" w:line="276"/>
        <w:ind w:left="240"/>
      </w:pPr>
      <w:r>
        <w:rPr>
          <w:color w:val="15181F"/>
          <w:sz w:val="18"/>
          <w:szCs w:val="18"/>
        </w:rPr>
        <w:t xml:space="preserve">Most useful when the future liver remnant is below 30–40%. A meta-analysis of 1,140 patients found remnant gains of 8–27% with no mortality and under 3% morbidity.</w:t>
      </w:r>
    </w:p>
    <w:p>
      <w:pPr>
        <w:spacing w:after="50"/>
        <w:ind w:left="240"/>
      </w:pPr>
      <w:r>
        <w:rPr>
          <w:b/>
          <w:bCs/>
          <w:color w:val="8C2F26"/>
          <w:sz w:val="18"/>
          <w:szCs w:val="18"/>
        </w:rPr>
        <w:t xml:space="preserve">Caveat. </w:t>
      </w:r>
      <w:r>
        <w:rPr>
          <w:color w:val="15181F"/>
          <w:sz w:val="18"/>
          <w:szCs w:val="18"/>
        </w:rPr>
        <w:t xml:space="preserve">Do not embolise a remnant that is still obstructed. If the post-embolisation remnant is 20% or less, or hypertrophy is 5% or less, resection may be contraindicated — reassess at 3–6 weeks and check remnant drainage and nutrition before abandoning the operation.</w:t>
      </w:r>
    </w:p>
    <w:p>
      <w:pPr>
        <w:spacing w:after="60" w:line="276"/>
        <w:ind w:left="240"/>
      </w:pPr>
      <w:r>
        <w:rPr>
          <w:color w:val="5A6069"/>
          <w:sz w:val="16"/>
          <w:szCs w:val="16"/>
        </w:rPr>
        <w:t xml:space="preserve">Sources: AHPBA 2015; Milan consensus</w:t>
      </w:r>
    </w:p>
    <w:p>
      <w:pPr>
        <w:spacing w:after="50" w:before="120"/>
        <w:ind w:left="240"/>
      </w:pPr>
      <w:r>
        <w:rPr>
          <w:b/>
          <w:bCs/>
          <w:color w:val="15181F"/>
          <w:sz w:val="19"/>
          <w:szCs w:val="19"/>
        </w:rPr>
        <w:t xml:space="preserve">Liver venous deprivation</w:t>
      </w:r>
      <w:r>
        <w:rPr>
          <w:color w:val="5A6069"/>
          <w:sz w:val="15"/>
          <w:szCs w:val="15"/>
        </w:rPr>
        <w:t xml:space="preserve">   grade D</w:t>
      </w:r>
      <w:r>
        <w:rPr>
          <w:b/>
          <w:bCs/>
          <w:color w:val="8E5008"/>
          <w:spacing w:val="12"/>
          <w:sz w:val="14"/>
          <w:szCs w:val="14"/>
        </w:rPr>
        <w:t xml:space="preserve">   EXPERTISE</w:t>
      </w:r>
    </w:p>
    <w:p>
      <w:pPr>
        <w:spacing w:after="50" w:line="276"/>
        <w:ind w:left="240"/>
      </w:pPr>
      <w:r>
        <w:rPr>
          <w:color w:val="15181F"/>
          <w:sz w:val="18"/>
          <w:szCs w:val="18"/>
        </w:rPr>
        <w:t xml:space="preserve">The Milan consensus places it after portal vein embolisation, for a remnant under 20–25% — a level-4 expert-opinion statement with no comparative data in this disease.</w:t>
      </w:r>
    </w:p>
    <w:p>
      <w:pPr>
        <w:spacing w:after="50" w:line="276"/>
        <w:ind w:left="240"/>
      </w:pPr>
      <w:r>
        <w:rPr>
          <w:color w:val="15181F"/>
          <w:sz w:val="18"/>
          <w:szCs w:val="18"/>
        </w:rPr>
        <w:t xml:space="preserve">Expert centres where portal vein embolisation alone will not deliver the volume needed.</w:t>
      </w:r>
    </w:p>
    <w:p>
      <w:pPr>
        <w:spacing w:after="50"/>
        <w:ind w:left="240"/>
      </w:pPr>
      <w:r>
        <w:rPr>
          <w:b/>
          <w:bCs/>
          <w:color w:val="8C2F26"/>
          <w:sz w:val="18"/>
          <w:szCs w:val="18"/>
        </w:rPr>
        <w:t xml:space="preserve">Caveat. </w:t>
      </w:r>
      <w:r>
        <w:rPr>
          <w:color w:val="15181F"/>
          <w:sz w:val="18"/>
          <w:szCs w:val="18"/>
        </w:rPr>
        <w:t xml:space="preserve">Not a first manoeuvre, and not a substitute for drainage of the remnant.</w:t>
      </w:r>
    </w:p>
    <w:p>
      <w:pPr>
        <w:spacing w:after="60" w:line="276"/>
        <w:ind w:left="240"/>
      </w:pPr>
      <w:r>
        <w:rPr>
          <w:color w:val="5A6069"/>
          <w:sz w:val="16"/>
          <w:szCs w:val="16"/>
        </w:rPr>
        <w:t xml:space="preserve">Sources: Milan consensus</w:t>
      </w:r>
    </w:p>
    <w:p>
      <w:pPr>
        <w:spacing w:after="50" w:before="120"/>
        <w:ind w:left="240"/>
      </w:pPr>
      <w:r>
        <w:rPr>
          <w:b/>
          <w:bCs/>
          <w:color w:val="15181F"/>
          <w:sz w:val="19"/>
          <w:szCs w:val="19"/>
        </w:rPr>
        <w:t xml:space="preserve">ALPPS</w:t>
      </w:r>
      <w:r>
        <w:rPr>
          <w:color w:val="5A6069"/>
          <w:sz w:val="15"/>
          <w:szCs w:val="15"/>
        </w:rPr>
        <w:t xml:space="preserve">   grade C</w:t>
      </w:r>
      <w:r>
        <w:rPr>
          <w:b/>
          <w:bCs/>
          <w:color w:val="8E5008"/>
          <w:spacing w:val="12"/>
          <w:sz w:val="14"/>
          <w:szCs w:val="14"/>
        </w:rPr>
        <w:t xml:space="preserve">   EXPERTISE</w:t>
      </w:r>
      <w:r>
        <w:rPr>
          <w:b/>
          <w:bCs/>
          <w:color w:val="8E5008"/>
          <w:spacing w:val="12"/>
          <w:sz w:val="14"/>
          <w:szCs w:val="14"/>
        </w:rPr>
        <w:t xml:space="preserve">   REGISTRY</w:t>
      </w:r>
    </w:p>
    <w:p>
      <w:pPr>
        <w:spacing w:after="50" w:line="276"/>
        <w:ind w:left="240"/>
      </w:pPr>
      <w:r>
        <w:rPr>
          <w:color w:val="15181F"/>
          <w:sz w:val="18"/>
          <w:szCs w:val="18"/>
        </w:rPr>
        <w:t xml:space="preserve">Salvage only in the Milan consensus; BSG does not recommend it for perihilar cholangiocarcinoma at all.</w:t>
      </w:r>
    </w:p>
    <w:p>
      <w:pPr>
        <w:spacing w:after="50" w:line="276"/>
        <w:ind w:left="240"/>
      </w:pPr>
      <w:r>
        <w:rPr>
          <w:color w:val="15181F"/>
          <w:sz w:val="18"/>
          <w:szCs w:val="18"/>
        </w:rPr>
        <w:t xml:space="preserve">No routine place in this disease.</w:t>
      </w:r>
    </w:p>
    <w:p>
      <w:pPr>
        <w:spacing w:after="50"/>
        <w:ind w:left="240"/>
      </w:pPr>
      <w:r>
        <w:rPr>
          <w:b/>
          <w:bCs/>
          <w:color w:val="8C2F26"/>
          <w:sz w:val="18"/>
          <w:szCs w:val="18"/>
        </w:rPr>
        <w:t xml:space="preserve">Caveat. </w:t>
      </w:r>
      <w:r>
        <w:rPr>
          <w:color w:val="15181F"/>
          <w:sz w:val="18"/>
          <w:szCs w:val="18"/>
        </w:rPr>
        <w:t xml:space="preserve">Mortality was 48% in the international registry for perihilar cholangiocarcinoma.</w:t>
      </w:r>
    </w:p>
    <w:p>
      <w:pPr>
        <w:spacing w:after="60" w:line="276"/>
        <w:ind w:left="240"/>
      </w:pPr>
      <w:r>
        <w:rPr>
          <w:color w:val="5A6069"/>
          <w:sz w:val="16"/>
          <w:szCs w:val="16"/>
        </w:rPr>
        <w:t xml:space="preserve">Sources: Milan consensus; BSG 2023</w:t>
      </w:r>
    </w:p>
    <w:p>
      <w:pPr>
        <w:spacing w:after="60" w:line="276"/>
        <w:ind w:left="240"/>
      </w:pPr>
      <w:r>
        <w:rPr>
          <w:i/>
          <w:iCs/>
          <w:color w:val="5A6069"/>
          <w:sz w:val="16"/>
          <w:szCs w:val="16"/>
        </w:rPr>
        <w:t xml:space="preserve">Ratification item (§11 item 4, and alignment area 11): the roadmap states no numeric remnant threshold and does not list ALPPS in its Avoid row. The alignment worksheet recommends adding both — a written threshold makes the embolisation decision auditable, and BSG's 48% registry mortality is strong enough to justify an explicit Avoid line. Audit: volume, 90-day mortality, R0 rate.</w:t>
      </w:r>
    </w:p>
    <w:p>
      <w:pPr>
        <w:spacing w:after="60" w:before="180"/>
      </w:pPr>
      <w:r>
        <w:rPr>
          <w:b/>
          <w:bCs/>
          <w:color w:val="176A87"/>
          <w:spacing w:val="16"/>
          <w:sz w:val="16"/>
          <w:szCs w:val="16"/>
        </w:rPr>
        <w:t xml:space="preserve">REASONABLE</w:t>
      </w:r>
      <w:r>
        <w:rPr>
          <w:color w:val="5A6069"/>
          <w:sz w:val="16"/>
          <w:szCs w:val="16"/>
        </w:rPr>
        <w:t xml:space="preserve">   grade C</w:t>
      </w:r>
    </w:p>
    <w:p>
      <w:pPr>
        <w:spacing w:after="60" w:line="276"/>
      </w:pPr>
      <w:r>
        <w:rPr>
          <w:color w:val="15181F"/>
          <w:sz w:val="19"/>
          <w:szCs w:val="19"/>
        </w:rPr>
        <w:t xml:space="preserve">Capecitabine for 6 months is a reasonable option after resection, not an obligation — offer it with the actual numbers.</w:t>
      </w:r>
    </w:p>
    <w:p>
      <w:pPr>
        <w:spacing w:after="50" w:line="276"/>
        <w:ind w:left="240"/>
      </w:pPr>
      <w:r>
        <w:rPr>
          <w:color w:val="15181F"/>
          <w:sz w:val="18"/>
          <w:szCs w:val="18"/>
        </w:rPr>
        <w:t xml:space="preserve">A resected patient fit for 8 cycles who wants adjuvant treatment, particularly with adverse features. BILCAP (n=447) gave median overall survival 51.1 versus 36.4 months with an adjusted hazard ratio of 0.81 (95% CI 0.63–1.04), p=0.097 — the intention-to-treat primary analysis did not meet significance. Significance appeared per protocol (210 versus 220 patients, HR 0.75, 0.58–0.97) and in the protocol-specified intention-to-treat sensitivity analysis adjusted for nodal status, grade and sex (HR 0.71, 0.55–0.92), and the trial was unmasked.</w:t>
      </w:r>
    </w:p>
    <w:p>
      <w:pPr>
        <w:spacing w:after="50"/>
        <w:ind w:left="240"/>
      </w:pPr>
      <w:r>
        <w:rPr>
          <w:b/>
          <w:bCs/>
          <w:color w:val="8C2F26"/>
          <w:sz w:val="18"/>
          <w:szCs w:val="18"/>
        </w:rPr>
        <w:t xml:space="preserve">Caveat. </w:t>
      </w:r>
      <w:r>
        <w:rPr>
          <w:color w:val="15181F"/>
          <w:sz w:val="18"/>
          <w:szCs w:val="18"/>
        </w:rPr>
        <w:t xml:space="preserve">Do not present it as established benefit in this tumour. 128 of 447 patients (29%) had hilar tumours, the trial was not powered for site-specific effects, and the Milan consensus records that these trials showed no benefit in the perihilar subgroup. The recurrence-free survival advantage was confined to the first 24 months (HR 0.75, 0.58–0.98) with none from 24 to 60 months (HR 1.48, 0.80–2.77), which the authors read as recurrence deferred rather than prevented. Grade 3 events occurred in 44% of treated patients, 55% completed all eight cycles, 46% needed a dose reduction and 32% stopped for toxicity.</w:t>
      </w:r>
    </w:p>
    <w:p>
      <w:pPr>
        <w:spacing w:after="50" w:line="276"/>
        <w:ind w:left="240"/>
      </w:pPr>
      <w:r>
        <w:rPr>
          <w:i/>
          <w:iCs/>
          <w:color w:val="5A6069"/>
          <w:sz w:val="17"/>
          <w:szCs w:val="17"/>
        </w:rPr>
        <w:t xml:space="preserve">Downgraded from B to C, because the trial is negative on its prespecified primary endpoint and the positive signal rests on a per-protocol analysis and an adjusted model; the linked commentary asks whether that is enough to define a standard of care. NCCN designates capecitabine preferred, category 1, while also acknowledging BILCAP's nonsignificant intention-to-treat analysis; the local label and grade remain more cautious and require explicit multidisciplinary ratification. ASCOT (n=440) was positive for S-1 — 3-year survival 77.1% versus 67.6%, HR 0.69 (0.51–0.94) — but relapse-free survival did not reach significance (HR 0.80, 0.61–1.04, p=0.088), the analysis was taken at 179 deaths against 285 planned events, the R1 subgroup showed nothing (HR 1.04, 0.57–1.92), the trial was conducted only in Japan and S-1 is unavailable in the United States.</w:t>
      </w:r>
    </w:p>
    <w:p>
      <w:pPr>
        <w:spacing w:after="60" w:line="276"/>
        <w:ind w:left="240"/>
      </w:pPr>
      <w:r>
        <w:rPr>
          <w:color w:val="5A6069"/>
          <w:sz w:val="16"/>
          <w:szCs w:val="16"/>
        </w:rPr>
        <w:t xml:space="preserve">Sources: BILCAP; ASCOT</w:t>
      </w:r>
    </w:p>
    <w:p>
      <w:pPr>
        <w:spacing w:after="60" w:before="180"/>
      </w:pPr>
      <w:r>
        <w:rPr>
          <w:b/>
          <w:bCs/>
          <w:color w:val="176A87"/>
          <w:spacing w:val="16"/>
          <w:sz w:val="16"/>
          <w:szCs w:val="16"/>
        </w:rPr>
        <w:t xml:space="preserve">REASONABLE</w:t>
      </w:r>
      <w:r>
        <w:rPr>
          <w:color w:val="5A6069"/>
          <w:sz w:val="16"/>
          <w:szCs w:val="16"/>
        </w:rPr>
        <w:t xml:space="preserve">   grade C</w:t>
      </w:r>
    </w:p>
    <w:p>
      <w:pPr>
        <w:spacing w:after="60" w:line="276"/>
      </w:pPr>
      <w:r>
        <w:rPr>
          <w:color w:val="15181F"/>
          <w:sz w:val="19"/>
          <w:szCs w:val="19"/>
        </w:rPr>
        <w:t xml:space="preserve">After an R1 resection, discuss adjuvant chemoradiation in addition to systemic therapy as a shared decision, weighing toxicity against local-recurrence benefit.</w:t>
      </w:r>
    </w:p>
    <w:p>
      <w:pPr>
        <w:spacing w:after="50" w:line="276"/>
        <w:ind w:left="240"/>
      </w:pPr>
      <w:r>
        <w:rPr>
          <w:color w:val="15181F"/>
          <w:sz w:val="18"/>
          <w:szCs w:val="18"/>
        </w:rPr>
        <w:t xml:space="preserve">A microscopically positive margin, with radiation oncology review of margins, nodal burden and toxicity. Local recurrence is the failure pattern radiation can address, and R1 resection is common in this disease — AASLD reports up to 50% of cases.</w:t>
      </w:r>
    </w:p>
    <w:p>
      <w:pPr>
        <w:spacing w:after="50"/>
        <w:ind w:left="240"/>
      </w:pPr>
      <w:r>
        <w:rPr>
          <w:b/>
          <w:bCs/>
          <w:color w:val="8C2F26"/>
          <w:sz w:val="18"/>
          <w:szCs w:val="18"/>
        </w:rPr>
        <w:t xml:space="preserve">Caveat. </w:t>
      </w:r>
      <w:r>
        <w:rPr>
          <w:color w:val="15181F"/>
          <w:sz w:val="18"/>
          <w:szCs w:val="18"/>
        </w:rPr>
        <w:t xml:space="preserve">NCCN lists an option; it does not make this mandatory for every R1 case. The supporting data are retrospective meta-analyses — BSG cites 21 retrospective studies and more than 1,400 patients — plus the single-arm SWOG S0809 phase II trial (2-year survival 67% after R0 and 60% after R1), which this depot carries only as quoted by BSG and not as a primary paper. The Milan consensus states flatly that adjuvant radiotherapy remains unproven, with benefit suggested mainly in R1 and N1 disease.</w:t>
      </w:r>
    </w:p>
    <w:p>
      <w:pPr>
        <w:spacing w:after="50" w:line="276"/>
        <w:ind w:left="240"/>
      </w:pPr>
      <w:r>
        <w:rPr>
          <w:i/>
          <w:iCs/>
          <w:color w:val="5A6069"/>
          <w:sz w:val="17"/>
          <w:szCs w:val="17"/>
        </w:rPr>
        <w:t xml:space="preserve">Whether node-positive R0 disease should prompt the same discussion is open (§11 item 10): NCCN places nodal involvement alongside margin status as a trigger, BSG limits its recommendation to R1 resection, and the node-positive benefit rests on retrospective meta-analysis.</w:t>
      </w:r>
    </w:p>
    <w:p>
      <w:pPr>
        <w:spacing w:after="60" w:line="276"/>
        <w:ind w:left="240"/>
      </w:pPr>
      <w:r>
        <w:rPr>
          <w:color w:val="5A6069"/>
          <w:sz w:val="16"/>
          <w:szCs w:val="16"/>
        </w:rPr>
        <w:t xml:space="preserve">Sources: BSG 2023</w:t>
      </w:r>
    </w:p>
    <w:p>
      <w:pPr>
        <w:spacing w:after="60" w:before="180"/>
      </w:pPr>
      <w:r>
        <w:rPr>
          <w:b/>
          <w:bCs/>
          <w:color w:val="8C2F26"/>
          <w:spacing w:val="16"/>
          <w:sz w:val="16"/>
          <w:szCs w:val="16"/>
        </w:rPr>
        <w:t xml:space="preserve">AVOID</w:t>
      </w:r>
      <w:r>
        <w:rPr>
          <w:color w:val="5A6069"/>
          <w:sz w:val="16"/>
          <w:szCs w:val="16"/>
        </w:rPr>
        <w:t xml:space="preserve">   grade B</w:t>
      </w:r>
    </w:p>
    <w:p>
      <w:pPr>
        <w:spacing w:after="60" w:line="276"/>
      </w:pPr>
      <w:r>
        <w:rPr>
          <w:color w:val="15181F"/>
          <w:sz w:val="19"/>
          <w:szCs w:val="19"/>
        </w:rPr>
        <w:t xml:space="preserve">Adjuvant gemcitabine after resection of bile duct cancer.</w:t>
      </w:r>
    </w:p>
    <w:p>
      <w:pPr>
        <w:spacing w:after="50" w:line="276"/>
        <w:ind w:left="240"/>
      </w:pPr>
      <w:r>
        <w:rPr>
          <w:color w:val="15181F"/>
          <w:sz w:val="18"/>
          <w:szCs w:val="18"/>
        </w:rPr>
        <w:t xml:space="preserve">Nothing in this disease — use capecitabine if adjuvant treatment is given. This is the one adjuvant randomised trial confined to the population this page covers, which is why it carries weight here despite its size.</w:t>
      </w:r>
    </w:p>
    <w:p>
      <w:pPr>
        <w:spacing w:after="50"/>
        <w:ind w:left="240"/>
      </w:pPr>
      <w:r>
        <w:rPr>
          <w:b/>
          <w:bCs/>
          <w:color w:val="8C2F26"/>
          <w:sz w:val="18"/>
          <w:szCs w:val="18"/>
        </w:rPr>
        <w:t xml:space="preserve">Caveat. </w:t>
      </w:r>
      <w:r>
        <w:rPr>
          <w:color w:val="15181F"/>
          <w:sz w:val="18"/>
          <w:szCs w:val="18"/>
        </w:rPr>
        <w:t xml:space="preserve">BCAT (n=225, perihilar and distal bile duct cancer only, no intrahepatic and no gallbladder disease) was null: median overall survival 62.3 versus 63.8 months, hazard ratio 1.01 (95% CI 0.70–1.45), p=0.964, with no subgroup benefiting, including node-positive and R1 patients, and grade 3–4 neutropenia in 58.4% versus 3.8%.</w:t>
      </w:r>
    </w:p>
    <w:p>
      <w:pPr>
        <w:spacing w:after="50" w:line="276"/>
        <w:ind w:left="240"/>
      </w:pPr>
      <w:r>
        <w:rPr>
          <w:i/>
          <w:iCs/>
          <w:color w:val="5A6069"/>
          <w:sz w:val="17"/>
          <w:szCs w:val="17"/>
        </w:rPr>
        <w:t xml:space="preserve">Read the null honestly in both directions. Recruitment stopped at 226 of a planned 300 because most patients wanted adjuvant chemotherapy, and the authors calculate only a 2.8% probability the result would have reached significance even with the planned 189 deaths. Observed 5-year survival was about 50% against an assumed 30%, because R2 resections, distant metastases, severe surgical complications and in-hospital deaths were all excluded — a favourable cohort with too few events. This rules out gemcitabine, not adjuvant therapy.</w:t>
      </w:r>
    </w:p>
    <w:p>
      <w:pPr>
        <w:spacing w:after="60" w:line="276"/>
        <w:ind w:left="240"/>
      </w:pPr>
      <w:r>
        <w:rPr>
          <w:color w:val="5A6069"/>
          <w:sz w:val="16"/>
          <w:szCs w:val="16"/>
        </w:rPr>
        <w:t xml:space="preserve">Sources: BCAT</w:t>
      </w:r>
    </w:p>
    <w:p>
      <w:pPr>
        <w:spacing w:after="60" w:before="180"/>
      </w:pPr>
      <w:r>
        <w:rPr>
          <w:b/>
          <w:bCs/>
          <w:color w:val="8C2F26"/>
          <w:spacing w:val="16"/>
          <w:sz w:val="16"/>
          <w:szCs w:val="16"/>
        </w:rPr>
        <w:t xml:space="preserve">AVOID</w:t>
      </w:r>
      <w:r>
        <w:rPr>
          <w:color w:val="5A6069"/>
          <w:sz w:val="16"/>
          <w:szCs w:val="16"/>
        </w:rPr>
        <w:t xml:space="preserve">   grade B</w:t>
      </w:r>
    </w:p>
    <w:p>
      <w:pPr>
        <w:spacing w:after="60" w:line="276"/>
      </w:pPr>
      <w:r>
        <w:rPr>
          <w:color w:val="15181F"/>
          <w:sz w:val="19"/>
          <w:szCs w:val="19"/>
        </w:rPr>
        <w:t xml:space="preserve">Adjuvant gemcitabine–oxaliplatin after resection.</w:t>
      </w:r>
    </w:p>
    <w:p>
      <w:pPr>
        <w:spacing w:after="50" w:line="276"/>
        <w:ind w:left="240"/>
      </w:pPr>
      <w:r>
        <w:rPr>
          <w:color w:val="15181F"/>
          <w:sz w:val="18"/>
          <w:szCs w:val="18"/>
        </w:rPr>
        <w:t xml:space="preserve">Nothing in this disease.</w:t>
      </w:r>
    </w:p>
    <w:p>
      <w:pPr>
        <w:spacing w:after="50"/>
        <w:ind w:left="240"/>
      </w:pPr>
      <w:r>
        <w:rPr>
          <w:b/>
          <w:bCs/>
          <w:color w:val="8C2F26"/>
          <w:sz w:val="18"/>
          <w:szCs w:val="18"/>
        </w:rPr>
        <w:t xml:space="preserve">Caveat. </w:t>
      </w:r>
      <w:r>
        <w:rPr>
          <w:color w:val="15181F"/>
          <w:sz w:val="18"/>
          <w:szCs w:val="18"/>
        </w:rPr>
        <w:t xml:space="preserve">PRODIGE-12 was negative on both co-primary endpoints — relapse-free survival 30.4 versus 18.5 months, HR 0.88 (95% CI 0.62–1.25), p=0.48, and time to definitive deterioration of global quality of life 31.8 versus 32.1 months, HR 1.28 (0.73–2.26) — and overall survival numerically favoured surveillance (HR 1.08, 0.70–1.66). Worst adverse event was grade 3 in 62% and grade 4 in 11%, the 73% figure the roadmap quotes.</w:t>
      </w:r>
    </w:p>
    <w:p>
      <w:pPr>
        <w:spacing w:after="50" w:line="276"/>
        <w:ind w:left="240"/>
      </w:pPr>
      <w:r>
        <w:rPr>
          <w:i/>
          <w:iCs/>
          <w:color w:val="5A6069"/>
          <w:sz w:val="17"/>
          <w:szCs w:val="17"/>
        </w:rPr>
        <w:t xml:space="preserve">Both medians fell on a plateau of the survival curves, so the 30.4 versus 18.5 month gap overstates the separation; the authors say the hazard ratio is the honest summary. The population was lower risk than BILCAP (13% R1, 38% node-positive) and only 28% had extrahepatic disease.</w:t>
      </w:r>
    </w:p>
    <w:p>
      <w:pPr>
        <w:spacing w:after="60" w:line="276"/>
        <w:ind w:left="240"/>
      </w:pPr>
      <w:r>
        <w:rPr>
          <w:color w:val="5A6069"/>
          <w:sz w:val="16"/>
          <w:szCs w:val="16"/>
        </w:rPr>
        <w:t xml:space="preserve">Sources: PRODIGE-12</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Resection attempted without drainage of the future liver remnant.</w:t>
      </w:r>
    </w:p>
    <w:p>
      <w:pPr>
        <w:spacing w:after="50" w:line="276"/>
        <w:ind w:left="240"/>
      </w:pPr>
      <w:r>
        <w:rPr>
          <w:color w:val="15181F"/>
          <w:sz w:val="18"/>
          <w:szCs w:val="18"/>
        </w:rPr>
        <w:t xml:space="preserve">Drain the remnant, confirm the bilirubin is falling within 1–2 weeks, and only then proceed.</w:t>
      </w:r>
    </w:p>
    <w:p>
      <w:pPr>
        <w:spacing w:after="50"/>
        <w:ind w:left="240"/>
      </w:pPr>
      <w:r>
        <w:rPr>
          <w:b/>
          <w:bCs/>
          <w:color w:val="8C2F26"/>
          <w:sz w:val="18"/>
          <w:szCs w:val="18"/>
        </w:rPr>
        <w:t xml:space="preserve">Caveat. </w:t>
      </w:r>
      <w:r>
        <w:rPr>
          <w:color w:val="15181F"/>
          <w:sz w:val="18"/>
          <w:szCs w:val="18"/>
        </w:rPr>
        <w:t xml:space="preserve">This is the roadmap's named Avoid for Gate 1 and it is a sequence error, not a judgement call.</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4 · Transplant protocol candidate</w:t>
      </w:r>
    </w:p>
    <w:p>
      <w:pPr>
        <w:spacing w:after="140"/>
      </w:pPr>
      <w:r>
        <w:rPr>
          <w:b/>
          <w:bCs/>
          <w:color w:val="176A87"/>
          <w:sz w:val="19"/>
          <w:szCs w:val="19"/>
        </w:rPr>
        <w:t xml:space="preserve">The question. </w:t>
      </w:r>
      <w:r>
        <w:rPr>
          <w:sz w:val="19"/>
          <w:szCs w:val="19"/>
        </w:rPr>
        <w:t xml:space="preserve">Has the transplant question been asked and answered before anything forecloses it?</w:t>
      </w:r>
    </w:p>
    <w:p>
      <w:pPr>
        <w:spacing w:after="60" w:before="160"/>
      </w:pPr>
      <w:r>
        <w:rPr>
          <w:b/>
          <w:bCs/>
          <w:color w:val="176A87"/>
          <w:spacing w:val="24"/>
          <w:sz w:val="15"/>
          <w:szCs w:val="15"/>
        </w:rPr>
        <w:t xml:space="preserve">ALL OF THE FOLLOWING HAVE TO BE IN HAND</w:t>
      </w:r>
    </w:p>
    <w:p>
      <w:pPr>
        <w:pStyle w:val="ListParagraph"/>
        <w:numPr>
          <w:ilvl w:val="0"/>
          <w:numId w:val="2"/>
        </w:numPr>
        <w:spacing w:after="60" w:line="268"/>
      </w:pPr>
      <w:r>
        <w:rPr>
          <w:color w:val="15181F"/>
          <w:sz w:val="18"/>
          <w:szCs w:val="18"/>
        </w:rPr>
        <w:t xml:space="preserve">Unresectable for technical reasons or because of underlying liver disease, or arising in primary sclerosing cholangitis</w:t>
      </w:r>
    </w:p>
    <w:p>
      <w:pPr>
        <w:pStyle w:val="ListParagraph"/>
        <w:numPr>
          <w:ilvl w:val="0"/>
          <w:numId w:val="2"/>
        </w:numPr>
        <w:spacing w:after="60" w:line="268"/>
      </w:pPr>
      <w:r>
        <w:rPr>
          <w:color w:val="15181F"/>
          <w:sz w:val="18"/>
          <w:szCs w:val="18"/>
        </w:rPr>
        <w:t xml:space="preserve">If a mass is present, a single mass under 3 cm in radial diameter — longitudinal duct extension is not the measured criterion</w:t>
      </w:r>
    </w:p>
    <w:p>
      <w:pPr>
        <w:pStyle w:val="ListParagraph"/>
        <w:numPr>
          <w:ilvl w:val="0"/>
          <w:numId w:val="2"/>
        </w:numPr>
        <w:spacing w:after="60" w:line="268"/>
      </w:pPr>
      <w:r>
        <w:rPr>
          <w:color w:val="15181F"/>
          <w:sz w:val="18"/>
          <w:szCs w:val="18"/>
        </w:rPr>
        <w:t xml:space="preserve">No intrahepatic or extrahepatic metastases on chest and abdominal imaging within 90 days of the initial request, and no regional nodal disease</w:t>
      </w:r>
    </w:p>
    <w:p>
      <w:pPr>
        <w:pStyle w:val="ListParagraph"/>
        <w:numPr>
          <w:ilvl w:val="0"/>
          <w:numId w:val="2"/>
        </w:numPr>
        <w:spacing w:after="60" w:line="268"/>
      </w:pPr>
      <w:r>
        <w:rPr>
          <w:color w:val="15181F"/>
          <w:sz w:val="18"/>
          <w:szCs w:val="18"/>
        </w:rPr>
        <w:t xml:space="preserve">Confirmed malignancy, and no transperitoneal biopsy of the primary tumour</w:t>
      </w:r>
    </w:p>
    <w:p>
      <w:pPr>
        <w:pStyle w:val="ListParagraph"/>
        <w:numPr>
          <w:ilvl w:val="0"/>
          <w:numId w:val="2"/>
        </w:numPr>
        <w:spacing w:after="60" w:line="268"/>
      </w:pPr>
      <w:r>
        <w:rPr>
          <w:color w:val="15181F"/>
          <w:sz w:val="18"/>
          <w:szCs w:val="18"/>
        </w:rPr>
        <w:t xml:space="preserve">A centre holding an OPTN-committee-approved written patient-care protocol, with operative staging before transplantation</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Ask this gate before starting palliative systemic therapy — months of chemotherapy, or a transperitoneal biopsy obtained for convenience, commonly forecloses it.</w:t>
      </w:r>
    </w:p>
    <w:p>
      <w:pPr>
        <w:spacing w:after="50" w:line="276"/>
        <w:ind w:left="240"/>
      </w:pPr>
      <w:r>
        <w:rPr>
          <w:color w:val="15181F"/>
          <w:sz w:val="18"/>
          <w:szCs w:val="18"/>
        </w:rPr>
        <w:t xml:space="preserve">Every unresectable perihilar patient who is small-volume, node-negative and medically transplantable, and every patient with primary sclerosing cholangitis. The protocol population is defined by being unresectable and small.</w:t>
      </w:r>
    </w:p>
    <w:p>
      <w:pPr>
        <w:spacing w:after="50"/>
        <w:ind w:left="240"/>
      </w:pPr>
      <w:r>
        <w:rPr>
          <w:b/>
          <w:bCs/>
          <w:color w:val="8C2F26"/>
          <w:sz w:val="18"/>
          <w:szCs w:val="18"/>
        </w:rPr>
        <w:t xml:space="preserve">Caveat. </w:t>
      </w:r>
      <w:r>
        <w:rPr>
          <w:color w:val="15181F"/>
          <w:sz w:val="18"/>
          <w:szCs w:val="18"/>
        </w:rPr>
        <w:t xml:space="preserve">The sequencing recommendation rests on protocol eligibility criteria, not on a randomised comparison of referral timing — that trial does not exist.</w:t>
      </w:r>
    </w:p>
    <w:p>
      <w:pPr>
        <w:spacing w:after="50" w:line="276"/>
        <w:ind w:left="240"/>
      </w:pPr>
      <w:r>
        <w:rPr>
          <w:i/>
          <w:iCs/>
          <w:color w:val="5A6069"/>
          <w:sz w:val="17"/>
          <w:szCs w:val="17"/>
        </w:rPr>
        <w:t xml:space="preserve">AASLD goes further than the roadmap and states that transplantation is preferred over resection in all cases of primary sclerosing cholangitis, but that document is expert consensus rather than a GRADE-rated guideline. The 12-centre series found no difference in outcome by PSC status, so the PSC preference is not a finding of the primary data. Whether PSC-associated tumours should be routed here even when technically resectable is an open local decision (alignment area 9).</w:t>
      </w:r>
    </w:p>
    <w:p>
      <w:pPr>
        <w:spacing w:after="60" w:line="276"/>
        <w:ind w:left="240"/>
      </w:pPr>
      <w:r>
        <w:rPr>
          <w:color w:val="5A6069"/>
          <w:sz w:val="16"/>
          <w:szCs w:val="16"/>
        </w:rPr>
        <w:t xml:space="preserve">Sources: Heimbach 2011; 12-centre protocol series</w:t>
      </w:r>
    </w:p>
    <w:p>
      <w:pPr>
        <w:spacing w:after="60" w:before="180"/>
      </w:pPr>
      <w:r>
        <w:rPr>
          <w:b/>
          <w:bCs/>
          <w:color w:val="176A87"/>
          <w:spacing w:val="16"/>
          <w:sz w:val="16"/>
          <w:szCs w:val="16"/>
        </w:rPr>
        <w:t xml:space="preserve">REASONABLE</w:t>
      </w:r>
      <w:r>
        <w:rPr>
          <w:color w:val="5A6069"/>
          <w:sz w:val="16"/>
          <w:szCs w:val="16"/>
        </w:rPr>
        <w:t xml:space="preserve">   grade C</w:t>
      </w:r>
      <w:r>
        <w:rPr>
          <w:b/>
          <w:bCs/>
          <w:color w:val="8E5008"/>
          <w:spacing w:val="12"/>
          <w:sz w:val="14"/>
          <w:szCs w:val="14"/>
        </w:rPr>
        <w:t xml:space="preserve">   PROTOCOL</w:t>
      </w:r>
      <w:r>
        <w:rPr>
          <w:b/>
          <w:bCs/>
          <w:color w:val="8E5008"/>
          <w:spacing w:val="12"/>
          <w:sz w:val="14"/>
          <w:szCs w:val="14"/>
        </w:rPr>
        <w:t xml:space="preserve">   REGISTRY</w:t>
      </w:r>
    </w:p>
    <w:p>
      <w:pPr>
        <w:spacing w:after="60" w:line="276"/>
      </w:pPr>
      <w:r>
        <w:rPr>
          <w:color w:val="15181F"/>
          <w:sz w:val="19"/>
          <w:szCs w:val="19"/>
        </w:rPr>
        <w:t>Protocol-directed neoadjuvant therapy followed by operative staging and liver transplantation, under an approved written protocol with registry entry. Radiation-containing regimens have the largest evidence base; RT specifically is not mandated by OPTN 9.5.A.</w:t>
      </w:r>
    </w:p>
    <w:p>
      <w:pPr>
        <w:spacing w:after="50" w:line="276"/>
        <w:ind w:left="240"/>
      </w:pPr>
      <w:r>
        <w:rPr>
          <w:color w:val="15181F"/>
          <w:sz w:val="18"/>
          <w:szCs w:val="18"/>
        </w:rPr>
        <w:t xml:space="preserve">A protocol candidate meeting every policy condition at a programme that holds the approval. In 287 patients across 12 US centres, intention-to-treat survival from the start of therapy was 68% at 2 years and 53% at 5 years. The recurrence-free survival figures quoted elsewhere are on a different and smaller denominator: 78% at 2 years (95% CI 72–84), 65% at 5 years (57–73) and 59% at 10 years among the 214 who reached transplantation, with graft survival 77%, 60% and 51%. Keep the two apart — 53% at 5 years is what the pathway delivers to a patient who enters it, 65% is what it delivers to a patient who gets through it.</w:t>
      </w:r>
    </w:p>
    <w:p>
      <w:pPr>
        <w:spacing w:after="50"/>
        <w:ind w:left="240"/>
      </w:pPr>
      <w:r>
        <w:rPr>
          <w:b/>
          <w:bCs/>
          <w:color w:val="8C2F26"/>
          <w:sz w:val="18"/>
          <w:szCs w:val="18"/>
        </w:rPr>
        <w:t xml:space="preserve">Caveat. </w:t>
      </w:r>
      <w:r>
        <w:rPr>
          <w:color w:val="15181F"/>
          <w:sz w:val="18"/>
          <w:szCs w:val="18"/>
        </w:rPr>
        <w:t xml:space="preserve">Do not read these as a treatment effect. The experience is retrospective and multicentre with no arm of transplantation without neoadjuvant therapy and none of resection, so the benefit credited to chemoradiation is inferred from historical recurrence rates; 193 of 287 patients (67%) came from one centre; neoadjuvant protocols differed widely between centres (brachytherapy in 75%, maintenance chemotherapy in 65%, external beam dose 2,100–6,000 cGy), and that heterogeneity meant the independent effect of maintenance chemotherapy could not be determined. Selection is doing substantial work: patients transplanted outside criteria did significantly worse (HR 2.98, 95% CI 1.79–4.95, P&lt;.001) and selection was the only independent predictor of recurrence-free survival. 71 of 287 (25%) dropped out at a median of 4.6 months, a rate averaging 11.5% per 3-month interval from the end of chemoradiation (range 7–17%). Staging surgery still found metastases in 17% (40 of 229), though with only 30 transplanted patients unstaged that comparison was underpowered (HR 0.73, 0.37–1.43).</w:t>
      </w:r>
    </w:p>
    <w:p>
      <w:pPr>
        <w:spacing w:after="50" w:line="276"/>
        <w:ind w:left="240"/>
      </w:pPr>
      <w:r>
        <w:rPr>
          <w:i/>
          <w:iCs/>
          <w:color w:val="5A6069"/>
          <w:sz w:val="17"/>
          <w:szCs w:val="17"/>
        </w:rPr>
        <w:t xml:space="preserve">Two further honesty points about the denominator. 15 patients (5%) were transplanted on clinical suspicion alone with no histologic proof of malignancy; excluding them, 5-year intention-to-treat survival was 50% and recurrence-free survival 62% — little changed, but it means the cohort includes patients who may not have had cancer. And the widely quoted 5-year figures of 55–65% in primary sclerosing cholangitis and 35–55% in de novo disease are an ungraded 2015 consensus statement, not a result of this series, which found no difference by PSC status; do not quote them as outcomes of the protocol. Toxicity is real: radiation caused portal vein friability in 23% and hepatic artery friability in 12%, gastroduodenal ulcers in 34%, biliary anastomotic strictures in 17%, ischaemic cholangiopathy in 7%, postsurgical bile leak in 11%, and 22 of 214 (10%) needed re-transplantation, 11 of them for arterial compromise. The regimen is typically 4500 cGy external beam in 30 fractions with 5-FU, a 1500–3000 cGy brachytherapy boost, then capecitabine until transplant. [TX-TIMING] [PAYER]</w:t>
      </w:r>
    </w:p>
    <w:p>
      <w:pPr>
        <w:spacing w:after="60" w:line="276"/>
        <w:ind w:left="240"/>
      </w:pPr>
      <w:r>
        <w:rPr>
          <w:color w:val="5A6069"/>
          <w:sz w:val="16"/>
          <w:szCs w:val="16"/>
        </w:rPr>
        <w:t xml:space="preserve">Sources: 12-centre protocol series; Rea 2005; Milan consensus; AHPBA 2015</w:t>
      </w:r>
    </w:p>
    <w:p>
      <w:pPr>
        <w:spacing w:after="60" w:before="180"/>
      </w:pPr>
      <w:r>
        <w:rPr>
          <w:b/>
          <w:bCs/>
          <w:color w:val="176A87"/>
          <w:spacing w:val="16"/>
          <w:sz w:val="16"/>
          <w:szCs w:val="16"/>
        </w:rPr>
        <w:t xml:space="preserve">REASONABLE</w:t>
      </w:r>
      <w:r>
        <w:rPr>
          <w:color w:val="5A6069"/>
          <w:sz w:val="16"/>
          <w:szCs w:val="16"/>
        </w:rPr>
        <w:t xml:space="preserve">   grade D</w:t>
      </w:r>
      <w:r>
        <w:rPr>
          <w:b/>
          <w:bCs/>
          <w:color w:val="8E5008"/>
          <w:spacing w:val="12"/>
          <w:sz w:val="14"/>
          <w:szCs w:val="14"/>
        </w:rPr>
        <w:t xml:space="preserve">   PROTOCOL</w:t>
      </w:r>
    </w:p>
    <w:p>
      <w:pPr>
        <w:spacing w:after="60" w:line="276"/>
      </w:pPr>
      <w:r>
        <w:rPr>
          <w:color w:val="15181F"/>
          <w:sz w:val="19"/>
          <w:szCs w:val="19"/>
        </w:rPr>
        <w:t>Radiotherapy, including SBRT under a centre-specific protocol, may contribute to a curative-intent transplant strategy. Regimen choice requires program approval; small SBRT and systemic-only cohorts do not establish equivalence.</w:t>
      </w:r>
    </w:p>
    <w:p>
      <w:pPr>
        <w:spacing w:after="50" w:line="276"/>
        <w:ind w:left="240"/>
      </w:pPr>
      <w:r>
        <w:rPr>
          <w:color w:val="15181F"/>
          <w:sz w:val="18"/>
          <w:szCs w:val="18"/>
        </w:rPr>
        <w:t xml:space="preserve">Discuss the transplant protocol before any radiation is planned. The evidence supports the whole neoadjuvant-plus-transplant pathway, not radiation alone.</w:t>
      </w:r>
    </w:p>
    <w:p>
      <w:pPr>
        <w:spacing w:after="50"/>
        <w:ind w:left="240"/>
      </w:pPr>
      <w:r>
        <w:rPr>
          <w:b/>
          <w:bCs/>
          <w:color w:val="8C2F26"/>
          <w:sz w:val="18"/>
          <w:szCs w:val="18"/>
        </w:rPr>
        <w:t xml:space="preserve">Caveat. </w:t>
      </w:r>
      <w:r>
        <w:rPr>
          <w:color w:val="15181F"/>
          <w:sz w:val="18"/>
          <w:szCs w:val="18"/>
        </w:rPr>
        <w:t xml:space="preserve">Do not substitute an arbitrary SBRT schedule for approved neoadjuvant treatment, and do not assume it confers allocation eligibility. Isolated SBRT cure evidence is limited, and central bile duct, duodenal and infection risks can require a different fractionation.</w:t>
      </w:r>
    </w:p>
    <w:p>
      <w:pPr>
        <w:spacing w:after="50" w:line="276"/>
        <w:ind w:left="240"/>
      </w:pPr>
      <w:r>
        <w:rPr>
          <w:i/>
          <w:iCs/>
          <w:color w:val="5A6069"/>
          <w:sz w:val="17"/>
          <w:szCs w:val="17"/>
        </w:rPr>
        <w:t>A local complete response does not confer a transplant exception. Record bridge, downstaging and definitive local treatment separately. Welling (PMID 24115315) supplies direct SBRT-containing protocol experience. No study isolates the causal contribution of RT before LT; Soliman (PMID 39936132) does not prove RT omission equivalent. See updated evidence and allocation section.</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Starting palliative systemic therapy in a potentially protocol-eligible patient before the transplant question has been asked and answered.</w:t>
      </w:r>
    </w:p>
    <w:p>
      <w:pPr>
        <w:spacing w:after="50" w:line="276"/>
        <w:ind w:left="240"/>
      </w:pPr>
      <w:r>
        <w:rPr>
          <w:color w:val="15181F"/>
          <w:sz w:val="18"/>
          <w:szCs w:val="18"/>
        </w:rPr>
        <w:t xml:space="preserve">Route the case through the transplant surgeon at the first board, together with the drainage plan.</w:t>
      </w:r>
    </w:p>
    <w:p>
      <w:pPr>
        <w:spacing w:after="50"/>
        <w:ind w:left="240"/>
      </w:pPr>
      <w:r>
        <w:rPr>
          <w:b/>
          <w:bCs/>
          <w:color w:val="8C2F26"/>
          <w:sz w:val="18"/>
          <w:szCs w:val="18"/>
        </w:rPr>
        <w:t xml:space="preserve">Caveat. </w:t>
      </w:r>
      <w:r>
        <w:rPr>
          <w:color w:val="15181F"/>
          <w:sz w:val="18"/>
          <w:szCs w:val="18"/>
        </w:rPr>
        <w:t xml:space="preserve">This is the roadmap's named Avoid for Gate 2, and the commonest way the option is lost.</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use Rea 2005 to tell a resectable patient that transplantation is the better operation.</w:t>
      </w:r>
    </w:p>
    <w:p>
      <w:pPr>
        <w:spacing w:after="50" w:line="276"/>
        <w:ind w:left="240"/>
      </w:pPr>
      <w:r>
        <w:rPr>
          <w:color w:val="15181F"/>
          <w:sz w:val="18"/>
          <w:szCs w:val="18"/>
        </w:rPr>
        <w:t xml:space="preserve">The defensible claim from that paper is what the Mayo protocol achieves in a selected, node-negative, mostly PSC population — not that transplantation beats resection in a patient who is resectable.</w:t>
      </w:r>
    </w:p>
    <w:p>
      <w:pPr>
        <w:spacing w:after="50"/>
        <w:ind w:left="240"/>
      </w:pPr>
      <w:r>
        <w:rPr>
          <w:b/>
          <w:bCs/>
          <w:color w:val="8C2F26"/>
          <w:sz w:val="18"/>
          <w:szCs w:val="18"/>
        </w:rPr>
        <w:t xml:space="preserve">Caveat. </w:t>
      </w:r>
      <w:r>
        <w:rPr>
          <w:color w:val="15181F"/>
          <w:sz w:val="18"/>
          <w:szCs w:val="18"/>
        </w:rPr>
        <w:t xml:space="preserve">The selection asymmetry is complete and the authors say so. By protocol no transplant patient was resectable, and every recipient was proved node-negative at staging laparotomy, while 8 of 26 resected patients (31%) were node-positive and 3 of 26 (12%) R1. The curves also start at different points: 82% 5-year survival is measured from transplantation among the 38 of 71 enrolled who got there, against 21% from resection among the 26 of 54 explored; from the start of treatment the comparison is 58% versus about 21%. Recipients were 15 years younger (48 versus 63, P&lt;0.001) and 58% had PSC against 8%. 16 of 38 explants showed no residual tumour and 8 of those patients had no tissue proof of cancer before neoadjuvant therapy.</w:t>
      </w:r>
    </w:p>
    <w:p>
      <w:pPr>
        <w:spacing w:after="50" w:line="276"/>
        <w:ind w:left="240"/>
      </w:pPr>
      <w:r>
        <w:rPr>
          <w:i/>
          <w:iCs/>
          <w:color w:val="5A6069"/>
          <w:sz w:val="17"/>
          <w:szCs w:val="17"/>
        </w:rPr>
        <w:t xml:space="preserve">The node-negative R0 resection subgroup fared no better (87%, 53% and 18% at 1, 3 and 5 years), and the 20–21% 5-year survival after resection matches other specialist centres, so the comparator is not substandard. Three of 26 resections (12%) died within 30 days, and the discussants' point was that non-cancer deaths, not recurrence, drive much of the gap — recurrence after resection was 35% while 5-year survival was 20%. There is no intention-to-treat analysis and no accounting of organ cost: 38 grafts, 7 of them living donor, for 71 patients enrolled. The Milan jury acknowledged benefit in node-negative patients independent of resectability; that is a consensus position resting on one benchmark study and mixed retrospective comparisons, and TRANSPHIL, the randomised trial meant to settle it, failed to recruit.</w:t>
      </w:r>
    </w:p>
    <w:p>
      <w:pPr>
        <w:spacing w:after="60" w:line="276"/>
        <w:ind w:left="240"/>
      </w:pPr>
      <w:r>
        <w:rPr>
          <w:color w:val="5A6069"/>
          <w:sz w:val="16"/>
          <w:szCs w:val="16"/>
        </w:rPr>
        <w:t xml:space="preserve">Sources: Rea 2005</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treat the transplant eligibility criteria as clinical thresholds that can be stretched for a good candidate.</w:t>
      </w:r>
    </w:p>
    <w:p>
      <w:pPr>
        <w:spacing w:after="50" w:line="276"/>
        <w:ind w:left="240"/>
      </w:pPr>
      <w:r>
        <w:rPr>
          <w:color w:val="15181F"/>
          <w:sz w:val="18"/>
          <w:szCs w:val="18"/>
        </w:rPr>
        <w:t xml:space="preserve">They are conditions of OPTN Policy 9.5.A, not entry criteria of the 12-centre series, which transplanted 48 patients outside them. Exactly 3 cm does not meet the policy mass-size gate; referral and allocation are distinct, and NCCN's ≤3 cm referral wording is looser than the policy.</w:t>
      </w:r>
    </w:p>
    <w:p>
      <w:pPr>
        <w:spacing w:after="50"/>
        <w:ind w:left="240"/>
      </w:pPr>
      <w:r>
        <w:rPr>
          <w:b/>
          <w:bCs/>
          <w:color w:val="8C2F26"/>
          <w:sz w:val="18"/>
          <w:szCs w:val="18"/>
        </w:rPr>
        <w:t xml:space="preserve">Caveat. </w:t>
      </w:r>
      <w:r>
        <w:rPr>
          <w:color w:val="15181F"/>
          <w:sz w:val="18"/>
          <w:szCs w:val="18"/>
        </w:rPr>
        <w:t xml:space="preserve">Mass size caused the greatest disparity in the multicentre series: 5-year recurrence-free survival was 32% for a mass over 3 cm against 69% for 3 cm or smaller (P&lt;.001).</w:t>
      </w:r>
    </w:p>
    <w:p>
      <w:pPr>
        <w:spacing w:after="50" w:line="276"/>
        <w:ind w:left="240"/>
      </w:pPr>
      <w:r>
        <w:rPr>
          <w:i/>
          <w:iCs/>
          <w:color w:val="5A6069"/>
          <w:sz w:val="17"/>
          <w:szCs w:val="17"/>
        </w:rPr>
        <w:t xml:space="preserve">Confirm the current OPTN policy text before any listing decision. The transplant coordinator records source version, eligibility dates, request and extension dates, imaging, laboratory values and a named renewal owner; transplant leadership signs the allocation assessment.</w:t>
      </w:r>
    </w:p>
    <w:p>
      <w:pPr>
        <w:spacing w:after="60" w:line="276"/>
        <w:ind w:left="240"/>
      </w:pPr>
      <w:r>
        <w:rPr>
          <w:color w:val="5A6069"/>
          <w:sz w:val="16"/>
          <w:szCs w:val="16"/>
        </w:rPr>
        <w:t xml:space="preserve">Sources: 12-centre protocol series</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5 · Unresectable outside the protocol</w:t>
      </w:r>
    </w:p>
    <w:p>
      <w:pPr>
        <w:spacing w:after="140"/>
      </w:pPr>
      <w:r>
        <w:rPr>
          <w:b/>
          <w:bCs/>
          <w:color w:val="176A87"/>
          <w:sz w:val="19"/>
          <w:szCs w:val="19"/>
        </w:rPr>
        <w:t xml:space="preserve">The question. </w:t>
      </w:r>
      <w:r>
        <w:rPr>
          <w:sz w:val="19"/>
          <w:szCs w:val="19"/>
        </w:rPr>
        <w:t xml:space="preserve">What is the best systemic plan, and is the biliary tree drained well enough to deliver it?</w:t>
      </w:r>
    </w:p>
    <w:p>
      <w:pPr>
        <w:spacing w:after="60" w:before="160"/>
      </w:pPr>
      <w:r>
        <w:rPr>
          <w:b/>
          <w:bCs/>
          <w:color w:val="176A87"/>
          <w:spacing w:val="24"/>
          <w:sz w:val="15"/>
          <w:szCs w:val="15"/>
        </w:rPr>
        <w:t xml:space="preserve">ANY ONE OF THE FOLLOWING HAS TO BE IN HAND</w:t>
      </w:r>
    </w:p>
    <w:p>
      <w:pPr>
        <w:pStyle w:val="ListParagraph"/>
        <w:numPr>
          <w:ilvl w:val="0"/>
          <w:numId w:val="2"/>
        </w:numPr>
        <w:spacing w:after="60" w:line="268"/>
      </w:pPr>
      <w:r>
        <w:rPr>
          <w:color w:val="15181F"/>
          <w:sz w:val="18"/>
          <w:szCs w:val="18"/>
        </w:rPr>
        <w:t xml:space="preserve">Regional nodal disease, or a mass of 3 cm or more in radial diameter</w:t>
      </w:r>
    </w:p>
    <w:p>
      <w:pPr>
        <w:pStyle w:val="ListParagraph"/>
        <w:numPr>
          <w:ilvl w:val="0"/>
          <w:numId w:val="2"/>
        </w:numPr>
        <w:spacing w:after="60" w:line="268"/>
      </w:pPr>
      <w:r>
        <w:rPr>
          <w:color w:val="15181F"/>
          <w:sz w:val="18"/>
          <w:szCs w:val="18"/>
        </w:rPr>
        <w:t xml:space="preserve">Intrahepatic or extrahepatic metastases</w:t>
      </w:r>
    </w:p>
    <w:p>
      <w:pPr>
        <w:pStyle w:val="ListParagraph"/>
        <w:numPr>
          <w:ilvl w:val="0"/>
          <w:numId w:val="2"/>
        </w:numPr>
        <w:spacing w:after="60" w:line="268"/>
      </w:pPr>
      <w:r>
        <w:rPr>
          <w:color w:val="15181F"/>
          <w:sz w:val="18"/>
          <w:szCs w:val="18"/>
        </w:rPr>
        <w:t xml:space="preserve">Comorbidity or performance status that rules out transplantation</w:t>
      </w:r>
    </w:p>
    <w:p>
      <w:pPr>
        <w:pStyle w:val="ListParagraph"/>
        <w:numPr>
          <w:ilvl w:val="0"/>
          <w:numId w:val="2"/>
        </w:numPr>
        <w:spacing w:after="60" w:line="268"/>
      </w:pPr>
      <w:r>
        <w:rPr>
          <w:color w:val="15181F"/>
          <w:sz w:val="18"/>
          <w:szCs w:val="18"/>
        </w:rPr>
        <w:t xml:space="preserve">No OPTN-approved protocol available, or the patient declines that route</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B</w:t>
      </w:r>
    </w:p>
    <w:p>
      <w:pPr>
        <w:spacing w:after="100" w:line="276"/>
      </w:pPr>
      <w:r>
        <w:rPr>
          <w:i/>
          <w:iCs/>
          <w:color w:val="5A6069"/>
          <w:sz w:val="17"/>
          <w:szCs w:val="17"/>
        </w:rPr>
        <w:t xml:space="preserve">Downgraded from A to B for this page, and the reason is subgroup, not design: both trials are properly conducted positive phase 3 trials in biliary tract cancer as a whole, but neither was powered for perihilar disease, and in the one that reported it the extrahepatic subgroup hazard ratio was 0.99 (0.73–1.35). The order carries no meaning: NCCN lists both, ESMO grades both [I, A], and no trial compares them. The backbone is cisplatin–gemcitabine, which established the standard in ABC-02 (n=410: median overall survival 11.7 versus 8.1 months, hazard ratio 0.64, 95% CI 0.52–0.80); 57 of those 410 patients had hilar tumours and no differential effect by site was seen, but the trial was not powered to find one.</w:t>
      </w:r>
    </w:p>
    <w:p>
      <w:pPr>
        <w:spacing w:after="50" w:before="120"/>
        <w:ind w:left="240"/>
      </w:pPr>
      <w:r>
        <w:rPr>
          <w:b/>
          <w:bCs/>
          <w:color w:val="15181F"/>
          <w:sz w:val="19"/>
          <w:szCs w:val="19"/>
        </w:rPr>
        <w:t xml:space="preserve">Cisplatin–gemcitabine plus durvalumab</w:t>
      </w:r>
      <w:r>
        <w:rPr>
          <w:color w:val="5A6069"/>
          <w:sz w:val="15"/>
          <w:szCs w:val="15"/>
        </w:rPr>
        <w:t xml:space="preserve">   grade B</w:t>
      </w:r>
    </w:p>
    <w:p>
      <w:pPr>
        <w:spacing w:after="50" w:line="276"/>
        <w:ind w:left="240"/>
      </w:pPr>
      <w:r>
        <w:rPr>
          <w:color w:val="15181F"/>
          <w:sz w:val="18"/>
          <w:szCs w:val="18"/>
        </w:rPr>
        <w:t xml:space="preserve">NCCN and ESMO both recommend it first line; ESMO's interim update grades the two checkpoint combinations [I, A] together.</w:t>
      </w:r>
    </w:p>
    <w:p>
      <w:pPr>
        <w:spacing w:after="50" w:line="276"/>
        <w:ind w:left="240"/>
      </w:pPr>
      <w:r>
        <w:rPr>
          <w:color w:val="15181F"/>
          <w:sz w:val="18"/>
          <w:szCs w:val="18"/>
        </w:rPr>
        <w:t xml:space="preserve">A fit patient with adequate drainage and an acceptable bilirubin. TOPAZ-1 (n=685) gave overall survival hazard ratio 0.80 (95% CI 0.66–0.97), P=0.021, median 12.8 versus 11.5 months, with the separation in the tail — 24-month survival 24.9% versus 10.4%, and a hazard ratio of 0.91 (0.66–1.26) in the first 6 months against 0.74 (0.58–0.94) thereafter.</w:t>
      </w:r>
    </w:p>
    <w:p>
      <w:pPr>
        <w:spacing w:after="50"/>
        <w:ind w:left="240"/>
      </w:pPr>
      <w:r>
        <w:rPr>
          <w:b/>
          <w:bCs/>
          <w:color w:val="8C2F26"/>
          <w:sz w:val="18"/>
          <w:szCs w:val="18"/>
        </w:rPr>
        <w:t xml:space="preserve">Caveat. </w:t>
      </w:r>
      <w:r>
        <w:rPr>
          <w:color w:val="15181F"/>
          <w:sz w:val="18"/>
          <w:szCs w:val="18"/>
        </w:rPr>
        <w:t xml:space="preserve">Address biliary infection and organ reserve before starting; prior immune exposure changes later choices. No trial compares durvalumab with pembrolizumab, and no clinical, biochemical or molecular biomarker favours one over the other — ESMO's statement that they are interchangeable is an indirect comparison across two trials that differ in chemotherapy duration and population. This was a prespecified interim analysis at 424 of 496 planned deaths powered to about 75%, the median gain is 1.3 months, and the proportional hazards assumption was formally violated, so a single hazard ratio misrepresents a time-varying effect.</w:t>
      </w:r>
    </w:p>
    <w:p>
      <w:pPr>
        <w:spacing w:after="60" w:line="276"/>
        <w:ind w:left="240"/>
      </w:pPr>
      <w:r>
        <w:rPr>
          <w:color w:val="5A6069"/>
          <w:sz w:val="16"/>
          <w:szCs w:val="16"/>
        </w:rPr>
        <w:t xml:space="preserve">Sources: TOPAZ-1; ESMO 2024 interim; ABC-02</w:t>
      </w:r>
    </w:p>
    <w:p>
      <w:pPr>
        <w:spacing w:after="50" w:before="120"/>
        <w:ind w:left="240"/>
      </w:pPr>
      <w:r>
        <w:rPr>
          <w:b/>
          <w:bCs/>
          <w:color w:val="15181F"/>
          <w:sz w:val="19"/>
          <w:szCs w:val="19"/>
        </w:rPr>
        <w:t xml:space="preserve">Cisplatin–gemcitabine plus pembrolizumab</w:t>
      </w:r>
      <w:r>
        <w:rPr>
          <w:color w:val="5A6069"/>
          <w:sz w:val="15"/>
          <w:szCs w:val="15"/>
        </w:rPr>
        <w:t xml:space="preserve">   grade B</w:t>
      </w:r>
    </w:p>
    <w:p>
      <w:pPr>
        <w:spacing w:after="50" w:line="276"/>
        <w:ind w:left="240"/>
      </w:pPr>
      <w:r>
        <w:rPr>
          <w:color w:val="15181F"/>
          <w:sz w:val="18"/>
          <w:szCs w:val="18"/>
        </w:rPr>
        <w:t xml:space="preserve">Recommended first line alongside the durvalumab combination, unranked.</w:t>
      </w:r>
    </w:p>
    <w:p>
      <w:pPr>
        <w:spacing w:after="50" w:line="276"/>
        <w:ind w:left="240"/>
      </w:pPr>
      <w:r>
        <w:rPr>
          <w:color w:val="15181F"/>
          <w:sz w:val="18"/>
          <w:szCs w:val="18"/>
        </w:rPr>
        <w:t xml:space="preserve">The same population. KEYNOTE-966 (n=1,069) gave median overall survival 12.7 versus 10.9 months, hazard ratio 0.83 (95% CI 0.72–0.95); 24-month survival 25% versus 18%.</w:t>
      </w:r>
    </w:p>
    <w:p>
      <w:pPr>
        <w:spacing w:after="50"/>
        <w:ind w:left="240"/>
      </w:pPr>
      <w:r>
        <w:rPr>
          <w:b/>
          <w:bCs/>
          <w:color w:val="8C2F26"/>
          <w:sz w:val="18"/>
          <w:szCs w:val="18"/>
        </w:rPr>
        <w:t xml:space="preserve">Caveat. </w:t>
      </w:r>
      <w:r>
        <w:rPr>
          <w:color w:val="15181F"/>
          <w:sz w:val="18"/>
          <w:szCs w:val="18"/>
        </w:rPr>
        <w:t xml:space="preserve">Both supporting endpoints failed their prespecified boundaries — progression-free survival HR 0.86 (0.75–1.00), p=0.023 against 0.0125, and objective response identical at 29% versus 29%, p=0.47 — so the benefit rests on one endpoint with no response signal behind it. More importantly for this page: the trial was enriched for intrahepatic disease (59%) because tumour tissue was mandatory, and the extrahepatic subgroup, which is where perihilar tumours sit, gave an overall survival hazard ratio of 0.99 (95% CI 0.73–1.35). Immune-mediated events occurred in 22% versus 13% and treatment-related deaths in 8 (2%) versus 3 (1%), with no improvement in quality of life.</w:t>
      </w:r>
    </w:p>
    <w:p>
      <w:pPr>
        <w:spacing w:after="60" w:line="276"/>
        <w:ind w:left="240"/>
      </w:pPr>
      <w:r>
        <w:rPr>
          <w:color w:val="5A6069"/>
          <w:sz w:val="16"/>
          <w:szCs w:val="16"/>
        </w:rPr>
        <w:t xml:space="preserve">Sources: KEYNOTE-966; ESMO 2024 interim; ABC-02</w:t>
      </w:r>
    </w:p>
    <w:p>
      <w:pPr>
        <w:spacing w:after="60" w:line="276"/>
        <w:ind w:left="240"/>
      </w:pPr>
      <w:r>
        <w:rPr>
          <w:i/>
          <w:iCs/>
          <w:color w:val="5A6069"/>
          <w:sz w:val="16"/>
          <w:szCs w:val="16"/>
        </w:rPr>
        <w:t xml:space="preserve">The roadmap retains an unranked choice between the two combinations; that is the institutional position and it matches NCCN and ESMO. New ratification question (§11 item 12): is first-line chemo-immunotherapy offered here on the biliary-tract-wide result, given the null extrahepatic subgroup in KEYNOTE-966 and the absence of a perihilar-specific estimate in either trial?</w:t>
      </w:r>
    </w:p>
    <w:p>
      <w:pPr>
        <w:spacing w:after="60" w:before="180"/>
      </w:pPr>
      <w:r>
        <w:rPr>
          <w:b/>
          <w:bCs/>
          <w:color w:val="17365D"/>
          <w:spacing w:val="16"/>
          <w:sz w:val="16"/>
          <w:szCs w:val="16"/>
        </w:rPr>
        <w:t xml:space="preserve">STANDARD</w:t>
      </w:r>
      <w:r>
        <w:rPr>
          <w:color w:val="5A6069"/>
          <w:sz w:val="16"/>
          <w:szCs w:val="16"/>
        </w:rPr>
        <w:t xml:space="preserve">   grade B</w:t>
      </w:r>
    </w:p>
    <w:p>
      <w:pPr>
        <w:spacing w:after="60" w:line="276"/>
      </w:pPr>
      <w:r>
        <w:rPr>
          <w:color w:val="15181F"/>
          <w:sz w:val="19"/>
          <w:szCs w:val="19"/>
        </w:rPr>
        <w:t xml:space="preserve">Order molecular profiling at diagnosis and screen for clinical-trial eligibility at the same visit.</w:t>
      </w:r>
    </w:p>
    <w:p>
      <w:pPr>
        <w:spacing w:after="50" w:line="276"/>
        <w:ind w:left="240"/>
      </w:pPr>
      <w:r>
        <w:rPr>
          <w:color w:val="15181F"/>
          <w:sz w:val="18"/>
          <w:szCs w:val="18"/>
        </w:rPr>
        <w:t xml:space="preserve">Every patient entering systemic therapy. Actionable alterations do occur in perihilar disease, but not in the same pattern as intrahepatic disease. FGFR2 fusions and IDH1 mutations concentrate in intrahepatic tumours — ClarIDHy enrolled 187 patients of whom only 6 had extrahepatic or perihilar disease, and FIGHT-202 cohort A was 107 of 108 intrahepatic — while HER2 alterations occur in about 5–10% of biliary tract cancer and are commoner in extrahepatic cholangiocarcinoma and gallbladder carcinoma, which makes HER2 the one target enriched in this disease rather than depleted.</w:t>
      </w:r>
    </w:p>
    <w:p>
      <w:pPr>
        <w:spacing w:after="50"/>
        <w:ind w:left="240"/>
      </w:pPr>
      <w:r>
        <w:rPr>
          <w:b/>
          <w:bCs/>
          <w:color w:val="8C2F26"/>
          <w:sz w:val="18"/>
          <w:szCs w:val="18"/>
        </w:rPr>
        <w:t xml:space="preserve">Caveat. </w:t>
      </w:r>
      <w:r>
        <w:rPr>
          <w:color w:val="15181F"/>
          <w:sz w:val="18"/>
          <w:szCs w:val="18"/>
        </w:rPr>
        <w:t xml:space="preserve">Do not assume hilar disease shares the iCCA target distribution, and do not treat the gene as the target — different alterations in the same gene do not predict the same response, as ESMO notes for HER2 amplification versus mutation. ESMO also concedes there are no standardised criteria for assessing HER2 status in biliary tract cancer and that no specific test can be recommended, with gastric cancer immunohistochemistry criteria offered as the best available; two HER2-directed recommendations then rest on that undefined assay.</w:t>
      </w:r>
    </w:p>
    <w:p>
      <w:pPr>
        <w:spacing w:after="50" w:line="276"/>
        <w:ind w:left="240"/>
      </w:pPr>
      <w:r>
        <w:rPr>
          <w:i/>
          <w:iCs/>
          <w:color w:val="5A6069"/>
          <w:sz w:val="17"/>
          <w:szCs w:val="17"/>
        </w:rPr>
        <w:t xml:space="preserve">Downgraded from A to B. Profiling itself is graded [I, A] by ESMO, but almost every therapeutic recommendation that follows from it is level III, grade A — single-arm phase II or basket-trial evidence with no randomised comparator — and several named agents are FDA- but not EMA-approved. Use the source edition's full actionable panel, including NRG1 where appropriate. Preserve tissue for it; next-generation sequencing of the ERCP specimen can serve both diagnosis and target identification, and in the 6-year multi-institutional series it found actionable alterations in 30% of cholangiocarcinomas.</w:t>
      </w:r>
    </w:p>
    <w:p>
      <w:pPr>
        <w:spacing w:after="60" w:line="276"/>
        <w:ind w:left="240"/>
      </w:pPr>
      <w:r>
        <w:rPr>
          <w:color w:val="5A6069"/>
          <w:sz w:val="16"/>
          <w:szCs w:val="16"/>
        </w:rPr>
        <w:t xml:space="preserve">Sources: ClarIDHy; ESMO 2023; ESMO 2024 interim</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Durable biliary drainage is a co-primary goal of treatment, not supportive care around it.</w:t>
      </w:r>
    </w:p>
    <w:p>
      <w:pPr>
        <w:spacing w:after="50" w:line="276"/>
        <w:ind w:left="240"/>
      </w:pPr>
      <w:r>
        <w:rPr>
          <w:color w:val="15181F"/>
          <w:sz w:val="18"/>
          <w:szCs w:val="18"/>
        </w:rPr>
        <w:t xml:space="preserve">Recurrent cholangitis, not tumour progression, is often what ends treatment. Adequate drainage and an acceptable bilirubin come before the first cycle, and new jaundice or fever goes down the urgent lane rather than waiting for the next scan.</w:t>
      </w:r>
    </w:p>
    <w:p>
      <w:pPr>
        <w:spacing w:after="50"/>
        <w:ind w:left="240"/>
      </w:pPr>
      <w:r>
        <w:rPr>
          <w:b/>
          <w:bCs/>
          <w:color w:val="8C2F26"/>
          <w:sz w:val="18"/>
          <w:szCs w:val="18"/>
        </w:rPr>
        <w:t xml:space="preserve">Caveat. </w:t>
      </w:r>
      <w:r>
        <w:rPr>
          <w:color w:val="15181F"/>
          <w:sz w:val="18"/>
          <w:szCs w:val="18"/>
        </w:rPr>
        <w:t xml:space="preserve">Do not deliver liver-directed therapy without relieving obstruction first.</w:t>
      </w:r>
    </w:p>
    <w:p>
      <w:pPr>
        <w:spacing w:after="60" w:line="276"/>
        <w:ind w:left="240"/>
      </w:pPr>
      <w:r>
        <w:rPr>
          <w:color w:val="5A6069"/>
          <w:sz w:val="16"/>
          <w:szCs w:val="16"/>
        </w:rPr>
        <w:t xml:space="preserve">Sources: ESGE 2026; ASGE hilar</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Selected multidisciplinary radiotherapy or chemoradiation for local control or symptoms in unresectable disease; trial preferred. No established routine survival advantage or curative equivalence to surgery.</w:t>
      </w:r>
    </w:p>
    <w:p>
      <w:pPr>
        <w:spacing w:after="50" w:line="276"/>
        <w:ind w:left="240"/>
      </w:pPr>
      <w:r>
        <w:rPr>
          <w:color w:val="15181F"/>
          <w:sz w:val="18"/>
          <w:szCs w:val="18"/>
        </w:rPr>
        <w:t xml:space="preserve">Local symptoms, or localised unresectable disease where the goal is control rather than cure.</w:t>
      </w:r>
    </w:p>
    <w:p>
      <w:pPr>
        <w:spacing w:after="50"/>
        <w:ind w:left="240"/>
      </w:pPr>
      <w:r>
        <w:rPr>
          <w:b/>
          <w:bCs/>
          <w:color w:val="8C2F26"/>
          <w:sz w:val="18"/>
          <w:szCs w:val="18"/>
        </w:rPr>
        <w:t xml:space="preserve">Caveat. </w:t>
      </w:r>
      <w:r>
        <w:rPr>
          <w:color w:val="15181F"/>
          <w:sz w:val="18"/>
          <w:szCs w:val="18"/>
        </w:rPr>
        <w:t xml:space="preserve">Avoid radiotherapy that would compromise later protocol eligibility in a patient still under transplant consideration. Isolated SBRT cure evidence is limited, and central bile duct, duodenal and infection risks can require a different fractionation.</w:t>
      </w:r>
    </w:p>
    <w:p>
      <w:pPr>
        <w:spacing w:after="50" w:line="276"/>
        <w:ind w:left="240"/>
      </w:pPr>
      <w:r>
        <w:rPr>
          <w:i/>
          <w:iCs/>
          <w:color w:val="5A6069"/>
          <w:sz w:val="17"/>
          <w:szCs w:val="17"/>
        </w:rPr>
        <w:t>Evidence update 23 October 2026: BSG recommendation 43 supports selected SBRT/PBT after systemic therapy. STRONG is a small prospective feasibility study; ABC-07 did not improve PFS. Retain low-certainty, individualized local-control use with trial preference. See the updated evidence section.</w:t>
      </w:r>
    </w:p>
    <w:p>
      <w:pPr>
        <w:spacing w:after="60" w:before="180"/>
      </w:pPr>
      <w:r>
        <w:rPr>
          <w:b/>
          <w:bCs/>
          <w:color w:val="176A87"/>
          <w:spacing w:val="16"/>
          <w:sz w:val="16"/>
          <w:szCs w:val="16"/>
        </w:rPr>
        <w:t xml:space="preserve">REASONABLE</w:t>
      </w:r>
      <w:r>
        <w:rPr>
          <w:color w:val="5A6069"/>
          <w:sz w:val="16"/>
          <w:szCs w:val="16"/>
        </w:rPr>
        <w:t xml:space="preserve">   grade B</w:t>
      </w:r>
    </w:p>
    <w:p>
      <w:pPr>
        <w:spacing w:after="60" w:line="276"/>
      </w:pPr>
      <w:r>
        <w:rPr>
          <w:color w:val="15181F"/>
          <w:sz w:val="19"/>
          <w:szCs w:val="19"/>
        </w:rPr>
        <w:t xml:space="preserve">Second line, FOLFOX after progression on a platinum doublet.</w:t>
      </w:r>
    </w:p>
    <w:p>
      <w:pPr>
        <w:spacing w:after="50" w:line="276"/>
        <w:ind w:left="240"/>
      </w:pPr>
      <w:r>
        <w:rPr>
          <w:color w:val="15181F"/>
          <w:sz w:val="18"/>
          <w:szCs w:val="18"/>
        </w:rPr>
        <w:t xml:space="preserve">A patient who has kept performance status and wants further treatment. ABC-06 (n=162) gave median overall survival 6.2 versus 5.3 months against active symptom control, adjusted hazard ratio 0.69 (95% CI 0.50–0.97), p=0.031; 6-month survival 50.6% versus 35.5% and 12-month survival 25.9% versus 11.4%.</w:t>
      </w:r>
    </w:p>
    <w:p>
      <w:pPr>
        <w:spacing w:after="50"/>
        <w:ind w:left="240"/>
      </w:pPr>
      <w:r>
        <w:rPr>
          <w:b/>
          <w:bCs/>
          <w:color w:val="8C2F26"/>
          <w:sz w:val="18"/>
          <w:szCs w:val="18"/>
        </w:rPr>
        <w:t xml:space="preserve">Caveat. </w:t>
      </w:r>
      <w:r>
        <w:rPr>
          <w:color w:val="15181F"/>
          <w:sz w:val="18"/>
          <w:szCs w:val="18"/>
        </w:rPr>
        <w:t xml:space="preserve">The absolute gain is 0.9 months of median survival, with grade 3–5 events in 69% versus 52% and three chemotherapy-related deaths. Objective response was seen in only 4 of 81 patients (5%), so the benefit is disease stabilisation, not shrinkage. More patients in the FOLFOX arm were platinum resistant or refractory (67% versus 58%), an imbalance in a factor that was itself independently prognostic, and stratification errors found during data cleaning required a post-hoc sensitivity analysis (adjusted HR 0.68, 0.49–0.95). Say both halves out loud.</w:t>
      </w:r>
    </w:p>
    <w:p>
      <w:pPr>
        <w:spacing w:after="60" w:line="276"/>
        <w:ind w:left="240"/>
      </w:pPr>
      <w:r>
        <w:rPr>
          <w:color w:val="5A6069"/>
          <w:sz w:val="16"/>
          <w:szCs w:val="16"/>
        </w:rPr>
        <w:t xml:space="preserve">Sources: ABC-06</w:t>
      </w:r>
    </w:p>
    <w:p>
      <w:pPr>
        <w:spacing w:after="60" w:before="180"/>
      </w:pPr>
      <w:r>
        <w:rPr>
          <w:b/>
          <w:bCs/>
          <w:color w:val="176A87"/>
          <w:spacing w:val="16"/>
          <w:sz w:val="16"/>
          <w:szCs w:val="16"/>
        </w:rPr>
        <w:t xml:space="preserve">REASONABLE</w:t>
      </w:r>
      <w:r>
        <w:rPr>
          <w:color w:val="5A6069"/>
          <w:sz w:val="16"/>
          <w:szCs w:val="16"/>
        </w:rPr>
        <w:t xml:space="preserve">   grade C</w:t>
      </w:r>
    </w:p>
    <w:p>
      <w:pPr>
        <w:spacing w:after="60" w:line="276"/>
      </w:pPr>
      <w:r>
        <w:rPr>
          <w:color w:val="15181F"/>
          <w:sz w:val="19"/>
          <w:szCs w:val="19"/>
        </w:rPr>
        <w:t xml:space="preserve">Where a driver is present, use the agent matched to that specific alteration.</w:t>
      </w:r>
    </w:p>
    <w:p>
      <w:pPr>
        <w:spacing w:after="50" w:line="276"/>
        <w:ind w:left="240"/>
      </w:pPr>
      <w:r>
        <w:rPr>
          <w:color w:val="15181F"/>
          <w:sz w:val="18"/>
          <w:szCs w:val="18"/>
        </w:rPr>
        <w:t xml:space="preserve">FGFR2 fusions or rearrangements, IDH1 mutation, BRAF V600E, HER2 overexpression (IHC 3+), MSI-high or mismatch-repair deficiency, and rare targetable fusions can all occur in this disease.</w:t>
      </w:r>
    </w:p>
    <w:p>
      <w:pPr>
        <w:spacing w:after="50"/>
        <w:ind w:left="240"/>
      </w:pPr>
      <w:r>
        <w:rPr>
          <w:b/>
          <w:bCs/>
          <w:color w:val="8C2F26"/>
          <w:sz w:val="18"/>
          <w:szCs w:val="18"/>
        </w:rPr>
        <w:t xml:space="preserve">Caveat. </w:t>
      </w:r>
      <w:r>
        <w:rPr>
          <w:color w:val="15181F"/>
          <w:sz w:val="18"/>
          <w:szCs w:val="18"/>
        </w:rPr>
        <w:t xml:space="preserve">Except for IDH1, these are single-arm response data rather than comparative survival data, and the matched-therapy trials enrolled almost only intrahepatic tumours — FIGHT-202 cohort A 107 of 108 intrahepatic, FOENIX-CCA2 intrahepatic only, ROAR 39 of 43 (91%) intrahepatic, ClarIDHy 6 of 187 extrahepatic or perihilar — so their effect in perihilar disease is an extrapolation. Every one of these trials was industry sponsored with company employees among the authors, and all of them are second-line or later, so none says anything about conversion to resection. HER2 is the exception worth pursuing here, because it is enriched in extrahepatic disease: in HERIZON-BTC-01 zanidatamab gave a confirmed response rate of 41% overall but 52% (39–65) in immunohistochemistry 3+ tumours against 6% (1 of 18) in 2+, with median overall survival 18.1 versus 5.2 months — so the 3+ restriction is doing the work, and the trial reports no breakdown by anatomical subsite.</w:t>
      </w:r>
    </w:p>
    <w:p>
      <w:pPr>
        <w:spacing w:after="50" w:line="276"/>
        <w:ind w:left="240"/>
      </w:pPr>
      <w:r>
        <w:rPr>
          <w:i/>
          <w:iCs/>
          <w:color w:val="5A6069"/>
          <w:sz w:val="17"/>
          <w:szCs w:val="17"/>
        </w:rPr>
        <w:t xml:space="preserve">Even the randomised case is partial: in ClarIDHy ivosidenib improved progression-free survival (HR 0.37, 95% CI 0.25–0.54) but the intention-to-treat overall-survival difference was not significant (median 10.3 versus 7.5 months, HR 0.79, 0.56–1.12, one-sided P=.09), significance appearing only after a rank-preserving structural failure time adjustment for the 70% of placebo patients who crossed over; objective response was 2%, the comparator was placebo rather than second-line FOLFOX, and the agent will not convert unresectable disease to resectable. No randomised evidence sequences the targeted options.</w:t>
      </w:r>
    </w:p>
    <w:p>
      <w:pPr>
        <w:spacing w:after="60" w:line="276"/>
        <w:ind w:left="240"/>
      </w:pPr>
      <w:r>
        <w:rPr>
          <w:color w:val="5A6069"/>
          <w:sz w:val="16"/>
          <w:szCs w:val="16"/>
        </w:rPr>
        <w:t xml:space="preserve">Sources: ClarIDHy; FIGHT-202; FOENIX-CCA2; ROAR; HERIZON-BTC-01</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Thermal ablation of the perihilar primary.</w:t>
      </w:r>
    </w:p>
    <w:p>
      <w:pPr>
        <w:spacing w:after="50" w:line="276"/>
        <w:ind w:left="240"/>
      </w:pPr>
      <w:r>
        <w:rPr>
          <w:color w:val="15181F"/>
          <w:sz w:val="18"/>
          <w:szCs w:val="18"/>
        </w:rPr>
        <w:t xml:space="preserve">Resection, or protocol neoadjuvant therapy followed by transplantation, should be considered first where the patient is eligible. Graded D: this is a position taken on the absence of evidence in central biliary tumours, not on a comparative study.</w:t>
      </w:r>
    </w:p>
    <w:p>
      <w:pPr>
        <w:spacing w:after="50"/>
        <w:ind w:left="240"/>
      </w:pPr>
      <w:r>
        <w:rPr>
          <w:b/>
          <w:bCs/>
          <w:color w:val="8C2F26"/>
          <w:sz w:val="18"/>
          <w:szCs w:val="18"/>
        </w:rPr>
        <w:t xml:space="preserve">Caveat. </w:t>
      </w:r>
      <w:r>
        <w:rPr>
          <w:color w:val="15181F"/>
          <w:sz w:val="18"/>
          <w:szCs w:val="18"/>
        </w:rPr>
        <w:t xml:space="preserve">Not an established curative option. Central biliary and vascular anatomy and longitudinal tumour spread differ from a small peripheral liver mass, so iCCA ablation selection rules do not transfer. Endobiliary ablation to improve drainage is a different procedure and does not establish cure.</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Y90 radioembolisation or TACE for the hilar primary.</w:t>
      </w:r>
    </w:p>
    <w:p>
      <w:pPr>
        <w:spacing w:after="50" w:line="276"/>
        <w:ind w:left="240"/>
      </w:pPr>
      <w:r>
        <w:rPr>
          <w:color w:val="15181F"/>
          <w:sz w:val="18"/>
          <w:szCs w:val="18"/>
        </w:rPr>
        <w:t xml:space="preserve">No standard first- or second-line role for the primary, and graded D because no study in this depot addresses a central perihilar primary. A peripheral intrahepatic recurrence or metastatic target may occasionally be discussed for hepatic control, but that is a different indication and is not the iCCA pathway; in exceptional liver-dominant recurrent disease, use only a specific multidisciplinary rationale or a trial.</w:t>
      </w:r>
    </w:p>
    <w:p>
      <w:pPr>
        <w:spacing w:after="50"/>
        <w:ind w:left="240"/>
      </w:pPr>
      <w:r>
        <w:rPr>
          <w:b/>
          <w:bCs/>
          <w:color w:val="8C2F26"/>
          <w:sz w:val="18"/>
          <w:szCs w:val="18"/>
        </w:rPr>
        <w:t xml:space="preserve">Caveat. </w:t>
      </w:r>
      <w:r>
        <w:rPr>
          <w:color w:val="15181F"/>
          <w:sz w:val="18"/>
          <w:szCs w:val="18"/>
        </w:rPr>
        <w:t xml:space="preserve">Neither is established for curative treatment of a central perihilar primary. Drainage, infection risk and arterial coverage require expert assessment, and prior drainage or instrumentation increases infectious risk.</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Hepatic arterial infusion for the hilar primary, outside a disease-specific trial.</w:t>
      </w:r>
    </w:p>
    <w:p>
      <w:pPr>
        <w:spacing w:after="50" w:line="276"/>
        <w:ind w:left="240"/>
      </w:pPr>
      <w:r>
        <w:rPr>
          <w:color w:val="15181F"/>
          <w:sz w:val="18"/>
          <w:szCs w:val="18"/>
        </w:rPr>
        <w:t xml:space="preserve">Research or exceptional use with an explicit control goal; standard systemic therapy remains the backbone outside curative pathways.</w:t>
      </w:r>
    </w:p>
    <w:p>
      <w:pPr>
        <w:spacing w:after="50"/>
        <w:ind w:left="240"/>
      </w:pPr>
      <w:r>
        <w:rPr>
          <w:b/>
          <w:bCs/>
          <w:color w:val="8C2F26"/>
          <w:sz w:val="18"/>
          <w:szCs w:val="18"/>
        </w:rPr>
        <w:t xml:space="preserve">Caveat. </w:t>
      </w:r>
      <w:r>
        <w:rPr>
          <w:color w:val="15181F"/>
          <w:sz w:val="18"/>
          <w:szCs w:val="18"/>
        </w:rPr>
        <w:t xml:space="preserve">The principal HAI studies are in unresectable intrahepatic cholangiocarcinoma — the phase II trial of HAI floxuridine with systemic gemcitabine–oxaliplatin treated 38 of 84 screened patients with liver-confined iCCA and met its 6-month progression-free survival endpoint at 84.1%, with median overall survival 25.0 months against a historical comparator — and they cannot justify a routine hilar-primary pathway. That trial was single-arm and single-institution, 11% of patients had grade 4 pump or arterial complications and 30% did so in the 10-patient confirmatory cohort, and 11% needed biliary stents, two of them for chemotherapy-induced biliary sclerosis. In a tumour whose problem is central biliary obstruction, that last figure is the relevant one.</w:t>
      </w:r>
    </w:p>
    <w:p>
      <w:pPr>
        <w:spacing w:after="50" w:line="276"/>
        <w:ind w:left="240"/>
      </w:pPr>
      <w:r>
        <w:rPr>
          <w:i/>
          <w:iCs/>
          <w:color w:val="5A6069"/>
          <w:sz w:val="17"/>
          <w:szCs w:val="17"/>
        </w:rPr>
        <w:t xml:space="preserve">Graded D for this page: the evidence is in a different anatomical disease, and the toxicity that matters most here — biliary sclerosis — is the one the iCCA trial reports.</w:t>
      </w:r>
    </w:p>
    <w:p>
      <w:pPr>
        <w:spacing w:after="60" w:line="276"/>
        <w:ind w:left="240"/>
      </w:pPr>
      <w:r>
        <w:rPr>
          <w:color w:val="5A6069"/>
          <w:sz w:val="16"/>
          <w:szCs w:val="16"/>
        </w:rPr>
        <w:t xml:space="preserve">Sources: HAI floxuridine phase II</w:t>
      </w:r>
    </w:p>
    <w:p>
      <w:pPr>
        <w:spacing w:after="60" w:before="180"/>
      </w:pPr>
      <w:r>
        <w:rPr>
          <w:b/>
          <w:bCs/>
          <w:color w:val="8C2F26"/>
          <w:spacing w:val="16"/>
          <w:sz w:val="16"/>
          <w:szCs w:val="16"/>
        </w:rPr>
        <w:t xml:space="preserve">AVOID</w:t>
      </w:r>
      <w:r>
        <w:rPr>
          <w:color w:val="5A6069"/>
          <w:sz w:val="16"/>
          <w:szCs w:val="16"/>
        </w:rPr>
        <w:t xml:space="preserve">   grade D</w:t>
      </w:r>
      <w:r>
        <w:rPr>
          <w:b/>
          <w:bCs/>
          <w:color w:val="8E5008"/>
          <w:spacing w:val="12"/>
          <w:sz w:val="14"/>
          <w:szCs w:val="14"/>
        </w:rPr>
        <w:t xml:space="preserve">   REGISTRY</w:t>
      </w:r>
    </w:p>
    <w:p>
      <w:pPr>
        <w:spacing w:after="60" w:line="276"/>
      </w:pPr>
      <w:r>
        <w:rPr>
          <w:color w:val="15181F"/>
          <w:sz w:val="19"/>
          <w:szCs w:val="19"/>
        </w:rPr>
        <w:t xml:space="preserve">Histotripsy, outside a prospective trial or institutional registry.</w:t>
      </w:r>
    </w:p>
    <w:p>
      <w:pPr>
        <w:spacing w:after="50" w:line="276"/>
        <w:ind w:left="240"/>
      </w:pPr>
      <w:r>
        <w:rPr>
          <w:color w:val="15181F"/>
          <w:sz w:val="18"/>
          <w:szCs w:val="18"/>
        </w:rPr>
        <w:t xml:space="preserve">The roadmap's label here is trial or prospective registry only, with explicit consent about oncologic uncertainty, suitable ultrasound visibility and acoustic access, device-compliant target size and depth, and an independent standard-treatment review. Graded D: there is no perihilar evidence at all.</w:t>
      </w:r>
    </w:p>
    <w:p>
      <w:pPr>
        <w:spacing w:after="50"/>
        <w:ind w:left="240"/>
      </w:pPr>
      <w:r>
        <w:rPr>
          <w:b/>
          <w:bCs/>
          <w:color w:val="8C2F26"/>
          <w:sz w:val="18"/>
          <w:szCs w:val="18"/>
        </w:rPr>
        <w:t xml:space="preserve">Caveat. </w:t>
      </w:r>
      <w:r>
        <w:rPr>
          <w:color w:val="15181F"/>
          <w:sz w:val="18"/>
          <w:szCs w:val="18"/>
        </w:rPr>
        <w:t xml:space="preserve">No tumour-specific curative evidence. FDA device clearance for tumour destruction does not establish survival benefit or equivalence to established ablation; in the one-year HOPE4LIVER update of 47 patients and 52 tumours, local control was 63.4% on the primary assessment against 90% post hoc. A bridge-to-transplant use remains protocol-based, and a technical response does not establish transplant eligibility. Studies must address hilar anatomy, drainage and transplant consequences explicitly.</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6 · Best supportive care</w:t>
      </w:r>
    </w:p>
    <w:p>
      <w:pPr>
        <w:spacing w:after="140"/>
      </w:pPr>
      <w:r>
        <w:rPr>
          <w:b/>
          <w:bCs/>
          <w:color w:val="176A87"/>
          <w:sz w:val="19"/>
          <w:szCs w:val="19"/>
        </w:rPr>
        <w:t xml:space="preserve">The question. </w:t>
      </w:r>
      <w:r>
        <w:rPr>
          <w:sz w:val="19"/>
          <w:szCs w:val="19"/>
        </w:rPr>
        <w:t xml:space="preserve">Is anything I can offer going to help this patient, and has drainage been given its chance first?</w:t>
      </w:r>
    </w:p>
    <w:p>
      <w:pPr>
        <w:spacing w:after="60" w:before="160"/>
      </w:pPr>
      <w:r>
        <w:rPr>
          <w:b/>
          <w:bCs/>
          <w:color w:val="176A87"/>
          <w:spacing w:val="24"/>
          <w:sz w:val="15"/>
          <w:szCs w:val="15"/>
        </w:rPr>
        <w:t xml:space="preserve">ANY ONE OF THE FOLLOWING HAS TO BE IN HAND</w:t>
      </w:r>
    </w:p>
    <w:p>
      <w:pPr>
        <w:pStyle w:val="ListParagraph"/>
        <w:numPr>
          <w:ilvl w:val="0"/>
          <w:numId w:val="2"/>
        </w:numPr>
        <w:spacing w:after="60" w:line="268"/>
      </w:pPr>
      <w:r>
        <w:rPr>
          <w:color w:val="15181F"/>
          <w:sz w:val="18"/>
          <w:szCs w:val="18"/>
        </w:rPr>
        <w:t xml:space="preserve">Poor performance status that is not explained by jaundice or sepsis</w:t>
      </w:r>
    </w:p>
    <w:p>
      <w:pPr>
        <w:pStyle w:val="ListParagraph"/>
        <w:numPr>
          <w:ilvl w:val="0"/>
          <w:numId w:val="2"/>
        </w:numPr>
        <w:spacing w:after="60" w:line="268"/>
      </w:pPr>
      <w:r>
        <w:rPr>
          <w:color w:val="15181F"/>
          <w:sz w:val="18"/>
          <w:szCs w:val="18"/>
        </w:rPr>
        <w:t xml:space="preserve">Uncontrolled sepsis</w:t>
      </w:r>
    </w:p>
    <w:p>
      <w:pPr>
        <w:pStyle w:val="ListParagraph"/>
        <w:numPr>
          <w:ilvl w:val="0"/>
          <w:numId w:val="2"/>
        </w:numPr>
        <w:spacing w:after="60" w:line="268"/>
      </w:pPr>
      <w:r>
        <w:rPr>
          <w:color w:val="15181F"/>
          <w:sz w:val="18"/>
          <w:szCs w:val="18"/>
        </w:rPr>
        <w:t xml:space="preserve">Patient choice</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Effective drainage, pruritus and pain control, nutritional support, and early specialist palliative involvement.</w:t>
      </w:r>
    </w:p>
    <w:p>
      <w:pPr>
        <w:spacing w:after="50" w:line="276"/>
        <w:ind w:left="240"/>
      </w:pPr>
      <w:r>
        <w:rPr>
          <w:color w:val="15181F"/>
          <w:sz w:val="18"/>
          <w:szCs w:val="18"/>
        </w:rPr>
        <w:t xml:space="preserve">Every patient at this gate, and alongside antitumour treatment at the earlier ones. Effective drainage is part of supportive care, not an alternative to it.</w:t>
      </w:r>
    </w:p>
    <w:p>
      <w:pPr>
        <w:spacing w:after="50"/>
        <w:ind w:left="240"/>
      </w:pPr>
      <w:r>
        <w:rPr>
          <w:b/>
          <w:bCs/>
          <w:color w:val="8C2F26"/>
          <w:sz w:val="18"/>
          <w:szCs w:val="18"/>
        </w:rPr>
        <w:t xml:space="preserve">Caveat. </w:t>
      </w:r>
      <w:r>
        <w:rPr>
          <w:color w:val="15181F"/>
          <w:sz w:val="18"/>
          <w:szCs w:val="18"/>
        </w:rPr>
        <w:t xml:space="preserve">Do not let a decision for supportive care become a decision against drainage — a blocked, infected biliary tree is the commonest reversible cause of the state that put the patient here.</w:t>
      </w:r>
    </w:p>
    <w:p>
      <w:pPr>
        <w:spacing w:after="50" w:line="276"/>
        <w:ind w:left="240"/>
      </w:pPr>
      <w:r>
        <w:rPr>
          <w:i/>
          <w:iCs/>
          <w:color w:val="5A6069"/>
          <w:sz w:val="17"/>
          <w:szCs w:val="17"/>
        </w:rPr>
        <w:t xml:space="preserve">Downgraded from A to C, because the package is not one intervention and only part of it has evidence in this depot. Drainage rests on guideline recommendations graded low to very low quality; early specialist palliative involvement rests on trial evidence in other cancers that this reference depot does not contain; pruritus control, pain control and nutritional support are uncontroversial but untested here. The grade should not be read as though a trial had tested the bundle.</w:t>
      </w:r>
    </w:p>
    <w:p>
      <w:pPr>
        <w:spacing w:after="60" w:line="276"/>
        <w:ind w:left="240"/>
      </w:pPr>
      <w:r>
        <w:rPr>
          <w:color w:val="5A6069"/>
          <w:sz w:val="16"/>
          <w:szCs w:val="16"/>
        </w:rPr>
        <w:t xml:space="preserve">Sources: ESGE 2026</w:t>
      </w:r>
    </w:p>
    <w:p>
      <w:pPr>
        <w:spacing w:after="60" w:before="180"/>
      </w:pPr>
      <w:r>
        <w:rPr>
          <w:b/>
          <w:bCs/>
          <w:color w:val="176A87"/>
          <w:spacing w:val="16"/>
          <w:sz w:val="16"/>
          <w:szCs w:val="16"/>
        </w:rPr>
        <w:t xml:space="preserve">REASONABLE</w:t>
      </w:r>
      <w:r>
        <w:rPr>
          <w:color w:val="5A6069"/>
          <w:sz w:val="16"/>
          <w:szCs w:val="16"/>
        </w:rPr>
        <w:t xml:space="preserve">   grade C</w:t>
      </w:r>
    </w:p>
    <w:p>
      <w:pPr>
        <w:spacing w:after="60" w:line="276"/>
      </w:pPr>
      <w:r>
        <w:rPr>
          <w:color w:val="15181F"/>
          <w:sz w:val="19"/>
          <w:szCs w:val="19"/>
        </w:rPr>
        <w:t xml:space="preserve">If jaundice and sepsis are driving performance status, re-evaluate after drainage before assigning this gate.</w:t>
      </w:r>
    </w:p>
    <w:p>
      <w:pPr>
        <w:spacing w:after="50" w:line="276"/>
        <w:ind w:left="240"/>
      </w:pPr>
      <w:r>
        <w:rPr>
          <w:color w:val="15181F"/>
          <w:sz w:val="18"/>
          <w:szCs w:val="18"/>
        </w:rPr>
        <w:t xml:space="preserve">The acutely unwell, newly presenting patient. This reverses more often than expected.</w:t>
      </w:r>
    </w:p>
    <w:p>
      <w:pPr>
        <w:spacing w:after="50"/>
        <w:ind w:left="240"/>
      </w:pPr>
      <w:r>
        <w:rPr>
          <w:b/>
          <w:bCs/>
          <w:color w:val="8C2F26"/>
          <w:sz w:val="18"/>
          <w:szCs w:val="18"/>
        </w:rPr>
        <w:t xml:space="preserve">Caveat. </w:t>
      </w:r>
      <w:r>
        <w:rPr>
          <w:color w:val="15181F"/>
          <w:sz w:val="18"/>
          <w:szCs w:val="18"/>
        </w:rPr>
        <w:t xml:space="preserve">Do not assign the gate on a performance status measured during cholangitis.</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Antitumour therapy without realistic benefit, and repeat interventions that cannot change the plan.</w:t>
      </w:r>
    </w:p>
    <w:p>
      <w:pPr>
        <w:spacing w:after="50" w:line="276"/>
        <w:ind w:left="240"/>
      </w:pPr>
      <w:r>
        <w:rPr>
          <w:color w:val="15181F"/>
          <w:sz w:val="18"/>
          <w:szCs w:val="18"/>
        </w:rPr>
        <w:t xml:space="preserve">One recommendation, one owner, one reassessment date — and a documented alternative considered.</w:t>
      </w:r>
    </w:p>
    <w:p>
      <w:pPr>
        <w:spacing w:after="50"/>
        <w:ind w:left="240"/>
      </w:pPr>
      <w:r>
        <w:rPr>
          <w:b/>
          <w:bCs/>
          <w:color w:val="8C2F26"/>
          <w:sz w:val="18"/>
          <w:szCs w:val="18"/>
        </w:rPr>
        <w:t xml:space="preserve">Caveat. </w:t>
      </w:r>
      <w:r>
        <w:rPr>
          <w:color w:val="15181F"/>
          <w:sz w:val="18"/>
          <w:szCs w:val="18"/>
        </w:rPr>
        <w:t xml:space="preserve">Repeating a procedure because it is the procedure that was done last time. After progression or toxicity, restage and reconsider the whole treatment rather than automatically repeating the same intervention.</w:t>
      </w:r>
    </w:p>
    <w:p>
      <w:pPr>
        <w:spacing w:after="50" w:line="276"/>
        <w:ind w:left="240"/>
      </w:pPr>
      <w:r>
        <w:rPr>
          <w:i/>
          <w:iCs/>
          <w:color w:val="5A6069"/>
          <w:sz w:val="17"/>
          <w:szCs w:val="17"/>
        </w:rPr>
        <w:t xml:space="preserve">Graded D: an operating rule the programme has chosen, not a comparative result. Audit it for adherence, not for effectiveness.</w:t>
      </w:r>
    </w:p>
    <w:p>
      <w:pPr>
        <w:pBdr>
          <w:bottom w:val="single" w:color="D3DCE4" w:sz="6" w:space="1"/>
        </w:pBdr>
        <w:spacing w:after="80"/>
      </w:pPr>
    </w:p>
    <w:p>
      <w:pPr>
        <w:pStyle w:val="Heading1"/>
        <w:keepNext/>
        <w:pageBreakBefore/>
        <w:spacing w:after="110" w:before="320"/>
      </w:pPr>
      <w:r>
        <w:rPr>
          <w:rFonts w:ascii="Cambria" w:cs="Cambria" w:eastAsia="Cambria" w:hAnsi="Cambria"/>
          <w:b/>
          <w:bCs/>
          <w:color w:val="17365D"/>
          <w:sz w:val="32"/>
          <w:szCs w:val="32"/>
        </w:rPr>
        <w:t xml:space="preserve">Quick reference</w:t>
      </w:r>
    </w:p>
    <w:p>
      <w:pPr>
        <w:pStyle w:val="Heading3"/>
        <w:keepNext/>
        <w:spacing w:after="110" w:before="240"/>
      </w:pPr>
      <w:r>
        <w:rPr>
          <w:rFonts w:ascii="Cambria" w:cs="Cambria" w:eastAsia="Cambria" w:hAnsi="Cambria"/>
          <w:b/>
          <w:bCs/>
          <w:color w:val="17365D"/>
          <w:sz w:val="22"/>
          <w:szCs w:val="22"/>
        </w:rPr>
        <w:t xml:space="preserve">Bismuth-Corlette type and the operation it implies</w:t>
      </w:r>
    </w:p>
    <w:p>
      <w:pPr>
        <w:spacing w:after="120" w:line="276"/>
      </w:pPr>
      <w:r>
        <w:rPr>
          <w:i/>
          <w:iCs/>
          <w:color w:val="5A6069"/>
          <w:sz w:val="18"/>
          <w:szCs w:val="18"/>
        </w:rPr>
        <w:t xml:space="preserve">Where the tumour sits in the duct, and what that commits you to operatively.</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100"/>
        <w:gridCol w:w="5260"/>
      </w:tblGrid>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Type I — below the confluence</w:t>
            </w:r>
          </w:p>
        </w:tc>
        <w:tc>
          <w:tcPr>
            <w:tcW w:type="dxa" w:w="5260"/>
            <w:tcMar>
              <w:top w:type="dxa" w:w="70"/>
              <w:left w:type="dxa" w:w="110"/>
              <w:bottom w:type="dxa" w:w="70"/>
              <w:right w:type="dxa" w:w="110"/>
            </w:tcMar>
            <w:vAlign w:val="top"/>
          </w:tcPr>
          <w:p>
            <w:pPr>
              <w:spacing w:after="0" w:line="276"/>
            </w:pPr>
            <w:r>
              <w:rPr>
                <w:color w:val="15181F"/>
                <w:sz w:val="17"/>
                <w:szCs w:val="17"/>
              </w:rPr>
              <w:t xml:space="preserve">Local bile duct excision alone (3 patients in the original series)</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Type II — reaching the confluence</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Local excision plus resection of segment 1 (caudate) (3 patients)</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Type IIIa — extending into the right hepatic duct</w:t>
            </w:r>
          </w:p>
        </w:tc>
        <w:tc>
          <w:tcPr>
            <w:tcW w:type="dxa" w:w="5260"/>
            <w:tcMar>
              <w:top w:type="dxa" w:w="70"/>
              <w:left w:type="dxa" w:w="110"/>
              <w:bottom w:type="dxa" w:w="70"/>
              <w:right w:type="dxa" w:w="110"/>
            </w:tcMar>
            <w:vAlign w:val="top"/>
          </w:tcPr>
          <w:p>
            <w:pPr>
              <w:spacing w:after="0" w:line="276"/>
            </w:pPr>
            <w:r>
              <w:rPr>
                <w:color w:val="15181F"/>
                <w:sz w:val="17"/>
                <w:szCs w:val="17"/>
              </w:rPr>
              <w:t xml:space="preserve">Local excision, segment 1 resection and right hepatectomy (9 patients)</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Type IIIb — extending into the left hepatic duct</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Local excision, segment 1 resection and left hepatectomy (7 patients)</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Type IV — secondary ducts involved bilaterally</w:t>
            </w:r>
          </w:p>
        </w:tc>
        <w:tc>
          <w:tcPr>
            <w:tcW w:type="dxa" w:w="5260"/>
            <w:tcMar>
              <w:top w:type="dxa" w:w="70"/>
              <w:left w:type="dxa" w:w="110"/>
              <w:bottom w:type="dxa" w:w="70"/>
              <w:right w:type="dxa" w:w="110"/>
            </w:tcMar>
            <w:vAlign w:val="top"/>
          </w:tcPr>
          <w:p>
            <w:pPr>
              <w:spacing w:after="0" w:line="276"/>
            </w:pPr>
            <w:r>
              <w:rPr>
                <w:color w:val="15181F"/>
                <w:sz w:val="17"/>
                <w:szCs w:val="17"/>
              </w:rPr>
              <w:t xml:space="preserve">Hepatectomy with transplantation in the original series, on 3 patients, one of whom recurred in the hepatic pedicle at 8 months; the Milan consensus favours left trisectionectomy</w:t>
            </w:r>
          </w:p>
        </w:tc>
      </w:tr>
    </w:tbl>
    <w:p>
      <w:pPr>
        <w:spacing w:after="200" w:line="276"/>
      </w:pPr>
      <w:r>
        <w:rPr>
          <w:i/>
          <w:iCs/>
          <w:color w:val="5A6069"/>
          <w:sz w:val="16"/>
          <w:szCs w:val="16"/>
        </w:rPr>
        <w:t xml:space="preserve">Caudate resection is obligatory from type II upward because the ducts draining segment 1 are almost always involved; large type II or IIIa tumours may also need resection of segment 4. All five type II and IIIa patients treated by local excision alone had involved margins and recurred locally. Read the classification with its limits: the type-specific plan rests on 23 resections accumulated over 30 years at one centre, one to four patients per type, with imaging, staging and technique changing throughout and no comparison group. Only 19 of 122 operated patients (15.6%) had a macroscopically curative resection and only 9 of 122 (7.4%) a histologically negative margin. The series shows its own classification understates extent — 4 operative type IV tumours became 9 on histology. The type-IV transplantation recommendation predates portal vein embolisation, remnant volumetry and the Mayo neoadjuvant protocol. The Milan jury declined to endorse Bismuth-Corlette, or any staging system including MSKCC, as a predictor of resectability, and its own resectability criteria are stated to be expert opinion requiring validation; the roadmap says the type does not by itself determine resectability: vascular involvement, lobar atrophy, nodal status and remnant volume do.</w:t>
      </w:r>
    </w:p>
    <w:p>
      <w:pPr>
        <w:pStyle w:val="Heading3"/>
        <w:keepNext/>
        <w:spacing w:after="110" w:before="240"/>
      </w:pPr>
      <w:r>
        <w:rPr>
          <w:rFonts w:ascii="Cambria" w:cs="Cambria" w:eastAsia="Cambria" w:hAnsi="Cambria"/>
          <w:b/>
          <w:bCs/>
          <w:color w:val="17365D"/>
          <w:sz w:val="22"/>
          <w:szCs w:val="22"/>
        </w:rPr>
        <w:t xml:space="preserve">Transplant protocol — eligibility and exclusions</w:t>
      </w:r>
    </w:p>
    <w:p>
      <w:pPr>
        <w:spacing w:after="120" w:line="276"/>
      </w:pPr>
      <w:r>
        <w:rPr>
          <w:i/>
          <w:iCs/>
          <w:color w:val="5A6069"/>
          <w:sz w:val="18"/>
          <w:szCs w:val="18"/>
        </w:rPr>
        <w:t xml:space="preserve">What the standardized adult perihilar CCA MELD exception requires. These are protocol conditions, not evidence-based thresholds.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100"/>
        <w:gridCol w:w="5260"/>
      </w:tblGrid>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Unresectable for technical reasons or because of underlying liver disease</w:t>
            </w:r>
          </w:p>
        </w:tc>
        <w:tc>
          <w:tcPr>
            <w:tcW w:type="dxa" w:w="5260"/>
            <w:tcMar>
              <w:top w:type="dxa" w:w="70"/>
              <w:left w:type="dxa" w:w="110"/>
              <w:bottom w:type="dxa" w:w="70"/>
              <w:right w:type="dxa" w:w="110"/>
            </w:tcMar>
            <w:vAlign w:val="top"/>
          </w:tcPr>
          <w:p>
            <w:pPr>
              <w:spacing w:after="0" w:line="276"/>
            </w:pPr>
            <w:r>
              <w:rPr>
                <w:color w:val="15181F"/>
                <w:sz w:val="17"/>
                <w:szCs w:val="17"/>
              </w:rPr>
              <w:t xml:space="preserve">Required</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If a mass is present, a single mass under 3 cm in radial diameter</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Required — exactly 3 cm does not meet the gate; longitudinal duct extension is not measured</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No intrahepatic or extrahepatic metastases, on chest and abdominal cross-sectional imaging within 90 days before the initial request</w:t>
            </w:r>
          </w:p>
        </w:tc>
        <w:tc>
          <w:tcPr>
            <w:tcW w:type="dxa" w:w="5260"/>
            <w:tcMar>
              <w:top w:type="dxa" w:w="70"/>
              <w:left w:type="dxa" w:w="110"/>
              <w:bottom w:type="dxa" w:w="70"/>
              <w:right w:type="dxa" w:w="110"/>
            </w:tcMar>
            <w:vAlign w:val="top"/>
          </w:tcPr>
          <w:p>
            <w:pPr>
              <w:spacing w:after="0" w:line="276"/>
            </w:pPr>
            <w:r>
              <w:rPr>
                <w:color w:val="15181F"/>
                <w:sz w:val="17"/>
                <w:szCs w:val="17"/>
              </w:rPr>
              <w:t xml:space="preserve">Required</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No regional nodal disease</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Required</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Malignant-appearing hilar stricture plus at least one of: malignant biopsy or cytology; CA 19-9 over 100 U/mL without cholangitis; aneuploidy; a hilar mass under 3 cm</w:t>
            </w:r>
          </w:p>
        </w:tc>
        <w:tc>
          <w:tcPr>
            <w:tcW w:type="dxa" w:w="5260"/>
            <w:tcMar>
              <w:top w:type="dxa" w:w="70"/>
              <w:left w:type="dxa" w:w="110"/>
              <w:bottom w:type="dxa" w:w="70"/>
              <w:right w:type="dxa" w:w="110"/>
            </w:tcMar>
            <w:vAlign w:val="top"/>
          </w:tcPr>
          <w:p>
            <w:pPr>
              <w:spacing w:after="0" w:line="276"/>
            </w:pPr>
            <w:r>
              <w:rPr>
                <w:color w:val="15181F"/>
                <w:sz w:val="17"/>
                <w:szCs w:val="17"/>
              </w:rPr>
              <w:t xml:space="preserve">Required</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Transperitoneal biopsy of the primary tumour by percutaneous, operative or EUS route</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Exclusion</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Operative staging (laparoscopy or laparotomy) after neoadjuvant therapy and before transplantation</w:t>
            </w:r>
          </w:p>
        </w:tc>
        <w:tc>
          <w:tcPr>
            <w:tcW w:type="dxa" w:w="5260"/>
            <w:tcMar>
              <w:top w:type="dxa" w:w="70"/>
              <w:left w:type="dxa" w:w="110"/>
              <w:bottom w:type="dxa" w:w="70"/>
              <w:right w:type="dxa" w:w="110"/>
            </w:tcMar>
            <w:vAlign w:val="top"/>
          </w:tcPr>
          <w:p>
            <w:pPr>
              <w:spacing w:after="0" w:line="276"/>
            </w:pPr>
            <w:r>
              <w:rPr>
                <w:color w:val="15181F"/>
                <w:sz w:val="17"/>
                <w:szCs w:val="17"/>
              </w:rPr>
              <w:t xml:space="preserve">Required</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Centre holds a written patient-care protocol approved by the OPTN Liver and Intestinal Organ Transplantation Committee</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Required</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Score</w:t>
            </w:r>
          </w:p>
        </w:tc>
        <w:tc>
          <w:tcPr>
            <w:tcW w:type="dxa" w:w="5260"/>
            <w:tcMar>
              <w:top w:type="dxa" w:w="70"/>
              <w:left w:type="dxa" w:w="110"/>
              <w:bottom w:type="dxa" w:w="70"/>
              <w:right w:type="dxa" w:w="110"/>
            </w:tcMar>
            <w:vAlign w:val="top"/>
          </w:tcPr>
          <w:p>
            <w:pPr>
              <w:spacing w:after="0" w:line="276"/>
            </w:pPr>
            <w:r>
              <w:rPr>
                <w:color w:val="15181F"/>
                <w:sz w:val="17"/>
                <w:szCs w:val="17"/>
              </w:rPr>
              <w:t xml:space="preserve">MMaT-3 for candidates at least 18 at registration; no HCC six-month delay; extensions generally every 90 days with imaging within 30 days of each request</w:t>
            </w:r>
          </w:p>
        </w:tc>
      </w:tr>
    </w:tbl>
    <w:p>
      <w:pPr>
        <w:spacing w:after="200" w:line="276"/>
      </w:pPr>
      <w:r>
        <w:rPr>
          <w:i/>
          <w:iCs/>
          <w:color w:val="5A6069"/>
          <w:sz w:val="16"/>
          <w:szCs w:val="16"/>
        </w:rPr>
        <w:t xml:space="preserve">Primary sclerosing cholangitis is a recognised setting for this pathway. Prior abdominal radiation, a previous resection attempt violating the tumour plane and another malignancy within 5 years are exclusions in the published protocol and in AASLD. An MMaT-relative exception below 15 is assigned 15 under Policy 9.4.E; a candidate registered between 12 and 18 is assigned MMaT rather than MMaT-3, so confirm the route for anyone listed before adulthood. Outcome context, with the denominators kept apart: in 287 patients across 12 US centres intention-to-treat survival from the start of therapy was 68% at 2 years and 53% at 5 years, while recurrence-free survival of 78% at 2 years and 65% at 5 years is measured among the 214 who reached transplantation, and graft survival among those was 77% and 60%. Excluding the 15 patients (5%) transplanted on clinical suspicion with no histologic proof, 5-year intention-to-treat survival was 50% and recurrence-free survival 62%. Patients transplanted outside these criteria did significantly worse (hazard ratio 2.98, 95% CI 1.79–4.95), with mass size the largest single disparity (5-year recurrence-free survival 32% for a mass over 3 cm versus 69% for 3 cm or smaller); that hazard ratio is for the composite off-criteria group and is not attributable to any one violation. 71 of 287 (25%) dropped out at a median of 4.6 months, averaging 11.5% per 3-month interval (range 7–17%), and 67% of the cohort came from one centre. The frequently quoted 5-year figures of 55–65% in PSC and 35–55% de novo are a 2015 consensus statement, not a result of this series, which found no difference by PSC status. Verify the current OPTN policy text before any listing decision.</w:t>
      </w:r>
    </w:p>
    <w:p>
      <w:pPr>
        <w:pStyle w:val="Heading3"/>
        <w:keepNext/>
        <w:spacing w:after="110" w:before="240"/>
      </w:pPr>
      <w:r>
        <w:rPr>
          <w:rFonts w:ascii="Cambria" w:cs="Cambria" w:eastAsia="Cambria" w:hAnsi="Cambria"/>
          <w:b/>
          <w:bCs/>
          <w:color w:val="17365D"/>
          <w:sz w:val="22"/>
          <w:szCs w:val="22"/>
        </w:rPr>
        <w:t xml:space="preserve">Drainage targets, and the route question</w:t>
      </w:r>
    </w:p>
    <w:p>
      <w:pPr>
        <w:spacing w:after="120" w:line="276"/>
      </w:pPr>
      <w:r>
        <w:rPr>
          <w:i/>
          <w:iCs/>
          <w:color w:val="5A6069"/>
          <w:sz w:val="18"/>
          <w:szCs w:val="18"/>
        </w:rPr>
        <w:t xml:space="preserve">What to drain, how much of it, and what the randomised comparison of routes actually showed.</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100"/>
        <w:gridCol w:w="5260"/>
      </w:tblGrid>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Which sectors</w:t>
            </w:r>
          </w:p>
        </w:tc>
        <w:tc>
          <w:tcPr>
            <w:tcW w:type="dxa" w:w="5260"/>
            <w:tcMar>
              <w:top w:type="dxa" w:w="70"/>
              <w:left w:type="dxa" w:w="110"/>
              <w:bottom w:type="dxa" w:w="70"/>
              <w:right w:type="dxa" w:w="110"/>
            </w:tcMar>
            <w:vAlign w:val="top"/>
          </w:tcPr>
          <w:p>
            <w:pPr>
              <w:spacing w:after="0" w:line="276"/>
            </w:pPr>
            <w:r>
              <w:rPr>
                <w:color w:val="15181F"/>
                <w:sz w:val="17"/>
                <w:szCs w:val="17"/>
              </w:rPr>
              <w:t xml:space="preserve">Those forming the future liver remnant; generally not atrophic segments</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Is drainage routine?</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No. ESGE 2026 suggests against routine preoperative drainage and accepts severe jaundice, cholangitis or a predicted remnant of 30% or less; the Coelen investigators add that it may be unnecessary when the remnant exceeds 50%</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Volume target in palliative drainage</w:t>
            </w:r>
          </w:p>
        </w:tc>
        <w:tc>
          <w:tcPr>
            <w:tcW w:type="dxa" w:w="5260"/>
            <w:tcMar>
              <w:top w:type="dxa" w:w="70"/>
              <w:left w:type="dxa" w:w="110"/>
              <w:bottom w:type="dxa" w:w="70"/>
              <w:right w:type="dxa" w:w="110"/>
            </w:tcMar>
            <w:vAlign w:val="top"/>
          </w:tcPr>
          <w:p>
            <w:pPr>
              <w:spacing w:after="0" w:line="276"/>
            </w:pPr>
            <w:r>
              <w:rPr>
                <w:color w:val="15181F"/>
                <w:sz w:val="17"/>
                <w:szCs w:val="17"/>
              </w:rPr>
              <w:t xml:space="preserve">More than 50% of viable liver volume including the future liver remnant (NCCN); ESGE 2026 adds ideally 70% or more. No threshold has been derived — grade D</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Sector volumes for planning</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Right anterior, right posterior and left about 30% each; segments I and IV about 10%; atrophic segments count as non-viable</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Stents by Bismuth type</w:t>
            </w:r>
          </w:p>
        </w:tc>
        <w:tc>
          <w:tcPr>
            <w:tcW w:type="dxa" w:w="5260"/>
            <w:tcMar>
              <w:top w:type="dxa" w:w="70"/>
              <w:left w:type="dxa" w:w="110"/>
              <w:bottom w:type="dxa" w:w="70"/>
              <w:right w:type="dxa" w:w="110"/>
            </w:tcMar>
            <w:vAlign w:val="top"/>
          </w:tcPr>
          <w:p>
            <w:pPr>
              <w:spacing w:after="0" w:line="276"/>
            </w:pPr>
            <w:r>
              <w:rPr>
                <w:color w:val="15181F"/>
                <w:sz w:val="17"/>
                <w:szCs w:val="17"/>
              </w:rPr>
              <w:t xml:space="preserve">Types I, II and IIIb can often be served by one stent in the right main hepatic duct; IIIa and IV need two or more to reach 50%</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Bilateral or unilateral stent</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Unsettled, and the page takes no position: ASGE suggests bilateral absent atrophy on a pooled survival gain of 11 days (95% CI −12 to 35) and no pooled patency difference; one randomised trial favours bilateral on patency (252 versus 139 days)</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How many drains</w:t>
            </w:r>
          </w:p>
        </w:tc>
        <w:tc>
          <w:tcPr>
            <w:tcW w:type="dxa" w:w="5260"/>
            <w:tcMar>
              <w:top w:type="dxa" w:w="70"/>
              <w:left w:type="dxa" w:w="110"/>
              <w:bottom w:type="dxa" w:w="70"/>
              <w:right w:type="dxa" w:w="110"/>
            </w:tcMar>
            <w:vAlign w:val="top"/>
          </w:tcPr>
          <w:p>
            <w:pPr>
              <w:spacing w:after="0" w:line="276"/>
            </w:pPr>
            <w:r>
              <w:rPr>
                <w:color w:val="15181F"/>
                <w:sz w:val="17"/>
                <w:szCs w:val="17"/>
              </w:rPr>
              <w:t xml:space="preserve">As few as achieve remnant decompression, with one named owner for the strategy</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Bilirubin threshold before major hepatectomy, embolic therapy, radiation or systemic therapy</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A programme threshold, not an evidence threshold — set locally, recorded, applied consistently</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Route</w:t>
            </w:r>
          </w:p>
        </w:tc>
        <w:tc>
          <w:tcPr>
            <w:tcW w:type="dxa" w:w="5260"/>
            <w:tcMar>
              <w:top w:type="dxa" w:w="70"/>
              <w:left w:type="dxa" w:w="110"/>
              <w:bottom w:type="dxa" w:w="70"/>
              <w:right w:type="dxa" w:w="110"/>
            </w:tcMar>
            <w:vAlign w:val="top"/>
          </w:tcPr>
          <w:p>
            <w:pPr>
              <w:spacing w:after="0" w:line="276"/>
            </w:pPr>
            <w:r>
              <w:rPr>
                <w:color w:val="15181F"/>
                <w:sz w:val="17"/>
                <w:szCs w:val="17"/>
              </w:rPr>
              <w:t xml:space="preserve">Unsettled; an anatomy and expertise decision</w:t>
            </w:r>
          </w:p>
        </w:tc>
      </w:tr>
    </w:tbl>
    <w:p>
      <w:pPr>
        <w:spacing w:after="200" w:line="276"/>
      </w:pPr>
      <w:r>
        <w:rPr>
          <w:i/>
          <w:iCs/>
          <w:color w:val="5A6069"/>
          <w:sz w:val="16"/>
          <w:szCs w:val="16"/>
        </w:rPr>
        <w:t xml:space="preserve">The randomised comparison in resectable perihilar disease (DRAINAGE, 54 of a planned 106 patients, 70% Bismuth IIIa, IIIb or IV) was negative on its primary endpoint: one or more severe drainage-related complications in 17 of 27 (63%) after percutaneous drainage versus 18 of 27 (67%) after endoscopic drainage, relative risk 0.94 (95% CI 0.64–1.40), with no difference in the number per patient. It was stopped early because mortality between randomisation and 90 days after surgery was higher after percutaneous drainage: 11 of 27 (41%) versus 3 of 27 (11%), relative risk 3.67 (95% CI 1.15–11.69), p=0.03, cause never identified, the trial underpowered, and the authors themselves calling the signal prone to type I error. Read it against its own context: 90-day all-cause mortality in the trial was 26% overall against 10% among 100 contemporaneous patients with presumed resectable disease at the same four centres, so neither figure is the expected risk of either route; a third of patients entered after a failed stenting attempt elsewhere; and the 16 patients who received both routes had the best outcomes. Technical success favoured the percutaneous route (93% versus 74%) and 15 of 27 endoscopic patients (56%) crossed over to percutaneous against 1 of 27 the other way, so the trial compares initial strategies rather than techniques. Pooled across three randomised trials, ASGE found 30-day mortality only trending lower with endoscopic drainage (RR 0.53, 95% CI 0.28–1.01, p=0.05), with lower technical success (OR 0.21), far more crossover (OR 18.2) and more pancreatitis (OR 3.69) in the endoscopic arm. ESGE 2026 nonetheless recommends ERCP over percutaneous drainage preoperatively (strong, moderate quality), and a 1,085-patient meta-analysis found more implantation metastases after the percutaneous route (OR 0.35, 0.23–0.53) — while ESGE's own section cites a meta-analysis giving percutaneous drainage higher therapeutic success (OR 3.5, 2.1–6.0) and 11.5-fold more reintervention after ERCP, with 10 of 11 studies retrospective. What is not optional is draining the correct sectors.</w:t>
      </w:r>
    </w:p>
    <w:p>
      <w:pPr>
        <w:pStyle w:val="Heading3"/>
        <w:keepNext/>
        <w:spacing w:after="110" w:before="240"/>
      </w:pPr>
      <w:r>
        <w:rPr>
          <w:rFonts w:ascii="Cambria" w:cs="Cambria" w:eastAsia="Cambria" w:hAnsi="Cambria"/>
          <w:b/>
          <w:bCs/>
          <w:color w:val="17365D"/>
          <w:sz w:val="22"/>
          <w:szCs w:val="22"/>
        </w:rPr>
        <w:t xml:space="preserve">Diagnostic yield of the tissue options</w:t>
      </w:r>
    </w:p>
    <w:p>
      <w:pPr>
        <w:spacing w:after="120" w:line="276"/>
      </w:pPr>
      <w:r>
        <w:rPr>
          <w:i/>
          <w:iCs/>
          <w:color w:val="5A6069"/>
          <w:sz w:val="18"/>
          <w:szCs w:val="18"/>
        </w:rPr>
        <w:t xml:space="preserve">For the discussion about how hard to push for tissue, and which route can be used at all.</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100"/>
        <w:gridCol w:w="5260"/>
      </w:tblGrid>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ERCP brush cytology alone</w:t>
            </w:r>
          </w:p>
        </w:tc>
        <w:tc>
          <w:tcPr>
            <w:tcW w:type="dxa" w:w="5260"/>
            <w:tcMar>
              <w:top w:type="dxa" w:w="70"/>
              <w:left w:type="dxa" w:w="110"/>
              <w:bottom w:type="dxa" w:w="70"/>
              <w:right w:type="dxa" w:w="110"/>
            </w:tcMar>
            <w:vAlign w:val="top"/>
          </w:tcPr>
          <w:p>
            <w:pPr>
              <w:spacing w:after="0" w:line="276"/>
            </w:pPr>
            <w:r>
              <w:rPr>
                <w:color w:val="15181F"/>
                <w:sz w:val="17"/>
                <w:szCs w:val="17"/>
              </w:rPr>
              <w:t xml:space="preserve">Pooled sensitivity 0.40 (ASGE, 21 studies, 2,726 patients); 52% in PSC studies at 99% specificity; 21–56% across the Asia-Pacific range</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ERCP brush cytology plus forceps biopsy</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Pooled sensitivity 0.66 (ASGE), incremental yield over brushing 20% (9–31); separately, mean sensitivity 49%, specificity 96%, negative predictive value 34% (SD 24.63) in a 294-patient meta-analysis at 77% pretest probability</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EUS-guided aspiration of the primary</w:t>
            </w:r>
          </w:p>
        </w:tc>
        <w:tc>
          <w:tcPr>
            <w:tcW w:type="dxa" w:w="5260"/>
            <w:tcMar>
              <w:top w:type="dxa" w:w="70"/>
              <w:left w:type="dxa" w:w="110"/>
              <w:bottom w:type="dxa" w:w="70"/>
              <w:right w:type="dxa" w:w="110"/>
            </w:tcMar>
            <w:vAlign w:val="top"/>
          </w:tcPr>
          <w:p>
            <w:pPr>
              <w:spacing w:after="0" w:line="276"/>
            </w:pPr>
            <w:r>
              <w:rPr>
                <w:color w:val="15181F"/>
                <w:sz w:val="17"/>
                <w:szCs w:val="17"/>
              </w:rPr>
              <w:t xml:space="preserve">Mean sensitivity 75%, specificity 100%, negative predictive value 47% (SD 14.73) — from the same meta-analysis, only 3 of 8 studies paired, and excluded altogether in a protocol candidate</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Cholangioscopy-guided targeted biopsy</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Pooled 65% (95% CI 35–87) from 4 studies and 128 PSC patients; 15% (0–31) in a real-world cohort of 80 where 88% had had a prior ERCP, 55% had a stent removed at the procedure, 40% had PSC and a median of 3 biopsies were taken with 33% inconclusive — and where brush cytology at the same procedure did better (47%, specificity 95%)</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FISH polysomy, in PSC</w:t>
            </w:r>
          </w:p>
        </w:tc>
        <w:tc>
          <w:tcPr>
            <w:tcW w:type="dxa" w:w="5260"/>
            <w:tcMar>
              <w:top w:type="dxa" w:w="70"/>
              <w:left w:type="dxa" w:w="110"/>
              <w:bottom w:type="dxa" w:w="70"/>
              <w:right w:type="dxa" w:w="110"/>
            </w:tcMar>
            <w:vAlign w:val="top"/>
          </w:tcPr>
          <w:p>
            <w:pPr>
              <w:spacing w:after="0" w:line="276"/>
            </w:pPr>
            <w:r>
              <w:rPr>
                <w:color w:val="15181F"/>
                <w:sz w:val="17"/>
                <w:szCs w:val="17"/>
              </w:rPr>
              <w:t xml:space="preserve">Sensitivity 51% (43–59), specificity 93% (91–95), positive predictive value 0.68; trisomy or tetrasomy alone uninformative (31%, 71%, positive likelihood ratio 1.19). All 8 pooled studies came from one centre with overlapping cohorts</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Cytological criteria on a brushing</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3 or more of 11 malignant characteristics gives sensitivity 70%, specificity 97%; 7 of 30 malignant brushings showed none of them, and necrosis and infiltrating inflammation do not distinguish malignancy</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Next-generation sequencing of ERCP-obtained specimens</w:t>
            </w:r>
          </w:p>
        </w:tc>
        <w:tc>
          <w:tcPr>
            <w:tcW w:type="dxa" w:w="5260"/>
            <w:tcMar>
              <w:top w:type="dxa" w:w="70"/>
              <w:left w:type="dxa" w:w="110"/>
              <w:bottom w:type="dxa" w:w="70"/>
              <w:right w:type="dxa" w:w="110"/>
            </w:tcMar>
            <w:vAlign w:val="top"/>
          </w:tcPr>
          <w:p>
            <w:pPr>
              <w:spacing w:after="0" w:line="276"/>
            </w:pPr>
            <w:r>
              <w:rPr>
                <w:color w:val="15181F"/>
                <w:sz w:val="17"/>
                <w:szCs w:val="17"/>
              </w:rPr>
              <w:t xml:space="preserve">82% sensitivity, 98% specificity on 1,979 patients with follow-up, against 44% and 99% for pathology on separate specimens; 80% versus 36% in intrahepatic or hilar strictures</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Sequencing plus pathology</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88% sensitivity at 97% specificity; 86% in intrahepatic or hilar strictures. In the one real-world cohort reporting it, the gain in cholangiocarcinoma itself was not significant (70% versus 60%, P=.72)</w:t>
            </w:r>
          </w:p>
        </w:tc>
      </w:tr>
    </w:tbl>
    <w:p>
      <w:pPr>
        <w:spacing w:after="200" w:line="276"/>
      </w:pPr>
      <w:r>
        <w:rPr>
          <w:i/>
          <w:iCs/>
          <w:color w:val="5A6069"/>
          <w:sz w:val="16"/>
          <w:szCs w:val="16"/>
        </w:rPr>
        <w:t xml:space="preserve">With either conventional modality a negative result does not exclude malignancy: negative predictive values were 34% and 47% in a meta-analysis of 294 patients at a pretest probability of 77%, with standard deviations as large as the estimates, so repeated sampling in pursuit of a negative that will not be believed is a common way to lose time. That pooled ERCP-versus-EUS comparison is not specific to perihilar disease — where the primary may be small, periductal-infiltrating and a poor aspiration target — only 3 of its 8 studies applied both tests to the same patients, three of its proximal-stricture studies enrolled patients only after ERCP sampling had already failed, and QUADAS-2 scored every study at high risk of selection bias. The sequencing endpoint in the multi-institutional study was a neoplastic stricture, which is broader than malignancy, a stricture could be classified neoplastic on 12 months of imaging and clinical progression rather than on tissue, identical specimens were never compared, FISH was never compared head to head, and all testing was done in the laboratory that developed the assay. A negative sequencing result is not reassuring either: negative predictive value was 63% in the developer's prospective series (37 false negatives, 25%) and 74–82% in one real-world cohort. Real-world cohorts reproduce the direction of effect (65% versus 52% alone and 78% combined on 47 biopsies in one; 75% versus 42.9% in 77 patients in the other) but not the primary sclerosing cholangitis result: against 83% versus 8% on 12 malignant cases in the developer's series, and 85% versus 26% on 89 neoplastic strictures in the larger multi-institutional study, one real-world cohort found 20% sensitivity in PSC, worse than brush cytology at 40%. Cholangioscopy is not harm-free: 11% post-procedure cholangitis and 15% procedural failure in PSC ducts, and adverse events in 13% of the real-world cohort including one cardiac arrest. Whether a molecular result satisfies the transplant protocol's confirmed-malignancy condition is an undecided local question.</w:t>
      </w:r>
    </w:p>
    <w:p>
      <w:pPr>
        <w:pStyle w:val="Heading1"/>
        <w:keepNext/>
        <w:pageBreakBefore/>
        <w:spacing w:after="110" w:before="320"/>
      </w:pPr>
      <w:r>
        <w:rPr>
          <w:rFonts w:ascii="Cambria" w:cs="Cambria" w:eastAsia="Cambria" w:hAnsi="Cambria"/>
          <w:b/>
          <w:bCs/>
          <w:color w:val="17365D"/>
          <w:sz w:val="32"/>
          <w:szCs w:val="32"/>
        </w:rPr>
        <w:t xml:space="preserve">What we are not sure about</w:t>
      </w:r>
    </w:p>
    <w:p>
      <w:pPr>
        <w:spacing w:after="200" w:line="276"/>
      </w:pPr>
      <w:r>
        <w:rPr>
          <w:i/>
          <w:iCs/>
          <w:color w:val="5A6069"/>
          <w:sz w:val="20"/>
          <w:szCs w:val="20"/>
        </w:rPr>
        <w:t xml:space="preserve">Every statement below is a limit on what this page can claim. They come from reading each cited paper in full, including the limitations the authors state themselves and the objections the text supports but the authors do not raise.</w:t>
      </w:r>
    </w:p>
    <w:p>
      <w:pPr>
        <w:spacing w:after="60" w:before="160"/>
      </w:pPr>
      <w:r>
        <w:rPr>
          <w:b/>
          <w:bCs/>
          <w:color w:val="8E5008"/>
          <w:sz w:val="19"/>
          <w:szCs w:val="19"/>
        </w:rPr>
        <w:t xml:space="preserve">1. </w:t>
      </w:r>
      <w:r>
        <w:rPr>
          <w:b/>
          <w:bCs/>
          <w:sz w:val="19"/>
          <w:szCs w:val="19"/>
        </w:rPr>
        <w:t xml:space="preserve">Which sectors are drained? Those forming the future liver remnant. This requires the operative plan to exist before the drainage plan, which is why Gate 0 and Gate 1 are discussed together at the first tumour board.</w:t>
      </w:r>
    </w:p>
    <w:p>
      <w:pPr>
        <w:spacing w:after="40" w:line="276"/>
        <w:ind w:left="260"/>
      </w:pPr>
      <w:r>
        <w:rPr>
          <w:color w:val="15181F"/>
          <w:sz w:val="18"/>
          <w:szCs w:val="18"/>
        </w:rPr>
        <w:t xml:space="preserve">Grade D. No trial tests remnant-focused drainage against draining the most accessible duct. The position follows from the physiology of hypertrophy in a cholestatic liver and from a local failure pattern, not from comparative outcome data.</w:t>
      </w:r>
    </w:p>
    <w:p>
      <w:pPr>
        <w:spacing w:after="40" w:line="276"/>
        <w:ind w:left="260"/>
      </w:pPr>
      <w:r>
        <w:rPr>
          <w:color w:val="5A6069"/>
          <w:sz w:val="16"/>
          <w:szCs w:val="16"/>
        </w:rPr>
        <w:t xml:space="preserve">Sources: Milan consensus; ESGE 2026; DRAINAGE</w:t>
      </w:r>
    </w:p>
    <w:p>
      <w:pPr>
        <w:spacing w:after="60" w:before="160"/>
      </w:pPr>
      <w:r>
        <w:rPr>
          <w:b/>
          <w:bCs/>
          <w:color w:val="8E5008"/>
          <w:sz w:val="19"/>
          <w:szCs w:val="19"/>
        </w:rPr>
        <w:t xml:space="preserve">2. </w:t>
      </w:r>
      <w:r>
        <w:rPr>
          <w:b/>
          <w:bCs/>
          <w:sz w:val="19"/>
          <w:szCs w:val="19"/>
        </w:rPr>
        <w:t xml:space="preserve">How many drains? As few as achieve remnant decompression. Multiple uncoordinated drains placed by different services is a recognised failure pattern; one named owner manages the drainage strategy.</w:t>
      </w:r>
    </w:p>
    <w:p>
      <w:pPr>
        <w:spacing w:after="40" w:line="276"/>
        <w:ind w:left="260"/>
      </w:pPr>
      <w:r>
        <w:rPr>
          <w:color w:val="15181F"/>
          <w:sz w:val="18"/>
          <w:szCs w:val="18"/>
        </w:rPr>
        <w:t xml:space="preserve">Grade D. An operating rule, not a comparative result. Audited as drains per patient and cholangitis episodes (§11 item 7).</w:t>
      </w:r>
    </w:p>
    <w:p>
      <w:pPr>
        <w:spacing w:after="60" w:before="160"/>
      </w:pPr>
      <w:r>
        <w:rPr>
          <w:b/>
          <w:bCs/>
          <w:color w:val="8E5008"/>
          <w:sz w:val="19"/>
          <w:szCs w:val="19"/>
        </w:rPr>
        <w:t xml:space="preserve">3. </w:t>
      </w:r>
      <w:r>
        <w:rPr>
          <w:b/>
          <w:bCs/>
          <w:sz w:val="19"/>
          <w:szCs w:val="19"/>
        </w:rPr>
        <w:t xml:space="preserve">When is bilirubin low enough? A programme threshold, not an evidence threshold. Set it locally, record it, and apply it consistently before major hepatectomy, embolic therapy, radiation, and systemic therapy.</w:t>
      </w:r>
    </w:p>
    <w:p>
      <w:pPr>
        <w:spacing w:after="40" w:line="276"/>
        <w:ind w:left="260"/>
      </w:pPr>
      <w:r>
        <w:rPr>
          <w:color w:val="15181F"/>
          <w:sz w:val="18"/>
          <w:szCs w:val="18"/>
        </w:rPr>
        <w:t xml:space="preserve">Grade D. No comparative data define the cut-off; it is a safety convention. §11 item 3 audits post-hepatectomy liver failure by preoperative bilirubin so the local number can eventually be defended.</w:t>
      </w:r>
    </w:p>
    <w:p>
      <w:pPr>
        <w:spacing w:after="60" w:before="160"/>
      </w:pPr>
      <w:r>
        <w:rPr>
          <w:b/>
          <w:bCs/>
          <w:color w:val="8E5008"/>
          <w:sz w:val="19"/>
          <w:szCs w:val="19"/>
        </w:rPr>
        <w:t xml:space="preserve">4. </w:t>
      </w:r>
      <w:r>
        <w:rPr>
          <w:b/>
          <w:bCs/>
          <w:sz w:val="19"/>
          <w:szCs w:val="19"/>
        </w:rPr>
        <w:t xml:space="preserve">Nodal assessment is a different act. EUS evaluation of regional nodes, including aspiration of a suspicious node, addresses a different question from biopsying the primary. Node-positive disease is itself a protocol exclusion, so a positive nodal result does not cost candidacy that existed — it identifies a patient who was never a candidate, before a transplant workup is spent.</w:t>
      </w:r>
    </w:p>
    <w:p>
      <w:pPr>
        <w:spacing w:after="40" w:line="276"/>
        <w:ind w:left="260"/>
      </w:pPr>
      <w:r>
        <w:rPr>
          <w:color w:val="15181F"/>
          <w:sz w:val="18"/>
          <w:szCs w:val="18"/>
        </w:rPr>
        <w:t xml:space="preserve">Grade D. The logic is sound but untested, and AASLD notes there are no clearly identified morphological criteria for a malignant node, which weakens any 'suspicious node' trigger. AASLD requires EUS-FNA of regional nodes in every transplant candidate before neoadjuvant therapy; the roadmap is looser and limits it to suspicious nodes (§11, alignment area 8).</w:t>
      </w:r>
    </w:p>
    <w:p>
      <w:pPr>
        <w:spacing w:after="40" w:line="276"/>
        <w:ind w:left="260"/>
      </w:pPr>
      <w:r>
        <w:rPr>
          <w:color w:val="5A6069"/>
          <w:sz w:val="16"/>
          <w:szCs w:val="16"/>
        </w:rPr>
        <w:t xml:space="preserve">Sources: AASLD 2023; BSG 2023</w:t>
      </w:r>
    </w:p>
    <w:p>
      <w:pPr>
        <w:spacing w:after="60" w:before="160"/>
      </w:pPr>
      <w:r>
        <w:rPr>
          <w:b/>
          <w:bCs/>
          <w:color w:val="8E5008"/>
          <w:sz w:val="19"/>
          <w:szCs w:val="19"/>
        </w:rPr>
        <w:t xml:space="preserve">5. </w:t>
      </w:r>
      <w:r>
        <w:rPr>
          <w:b/>
          <w:bCs/>
          <w:sz w:val="19"/>
          <w:szCs w:val="19"/>
        </w:rPr>
        <w:t xml:space="preserve">If a stent is already in place, do not treat a negative result as reassuring — and do not assume cholangioscopic sampling beats a brush taken after the stent comes out.</w:t>
      </w:r>
    </w:p>
    <w:p>
      <w:pPr>
        <w:spacing w:after="40" w:line="276"/>
        <w:ind w:left="260"/>
      </w:pPr>
      <w:r>
        <w:rPr>
          <w:color w:val="15181F"/>
          <w:sz w:val="18"/>
          <w:szCs w:val="18"/>
        </w:rPr>
        <w:t xml:space="preserve">Local consensus, grade D, and the draft's earlier wording has been withdrawn. No study quantifies sampling yield stratified by prior stent placement in biliary strictures; targeted searches for it return nothing. The one real-world cohort that tested both found the opposite of the draft's assumption: cholangioscopy-guided biopsy was 15% sensitive while brush cytology at the same procedure was 47% sensitive with 95% specificity and a diagnostic odds ratio of 19.6 against 6.6. In that cohort 55% had a plastic stent removed at the start of the procedure, 40% had PSC, a median of 3 biopsies were taken with 33% inconclusive, and 66 of 80 procedures used a first-generation device — so the low figure is as much about sampling technique and population as about the stent, and the authors' own remedy is at least four biopsies, not a different instrument.</w:t>
      </w:r>
    </w:p>
    <w:p>
      <w:pPr>
        <w:spacing w:after="40" w:line="276"/>
        <w:ind w:left="260"/>
      </w:pPr>
      <w:r>
        <w:rPr>
          <w:color w:val="5A6069"/>
          <w:sz w:val="16"/>
          <w:szCs w:val="16"/>
        </w:rPr>
        <w:t xml:space="preserve">Sources: de Vries 2020; Njei 2016</w:t>
      </w:r>
    </w:p>
    <w:p>
      <w:pPr>
        <w:spacing w:after="60" w:before="160"/>
      </w:pPr>
      <w:r>
        <w:rPr>
          <w:b/>
          <w:bCs/>
          <w:color w:val="8E5008"/>
          <w:sz w:val="19"/>
          <w:szCs w:val="19"/>
        </w:rPr>
        <w:t xml:space="preserve">6. </w:t>
      </w:r>
      <w:r>
        <w:rPr>
          <w:b/>
          <w:bCs/>
          <w:sz w:val="19"/>
          <w:szCs w:val="19"/>
        </w:rPr>
        <w:t xml:space="preserve">Is molecular testing more robust after stenting? Mechanistically it should be, because sequencing detects tumour-specific alterations rather than interpreting morphology, so reactive atypia has no obvious route to a false positive.</w:t>
      </w:r>
    </w:p>
    <w:p>
      <w:pPr>
        <w:spacing w:after="40" w:line="276"/>
        <w:ind w:left="260"/>
      </w:pPr>
      <w:r>
        <w:rPr>
          <w:color w:val="15181F"/>
          <w:sz w:val="18"/>
          <w:szCs w:val="18"/>
        </w:rPr>
        <w:t xml:space="preserve">Mechanism only — not demonstrated. None of the sequencing studies report performance stratified by prior stenting, so this is reasoning, not data. A countervailing concern also has no data: an inflamed, stented duct may shed more non-neoplastic epithelium and dilute the tumour fraction.</w:t>
      </w:r>
    </w:p>
    <w:p>
      <w:pPr>
        <w:spacing w:after="40" w:line="276"/>
        <w:ind w:left="260"/>
      </w:pPr>
      <w:r>
        <w:rPr>
          <w:color w:val="5A6069"/>
          <w:sz w:val="16"/>
          <w:szCs w:val="16"/>
        </w:rPr>
        <w:t xml:space="preserve">Sources: BiliSeq multi-institutional; BiliSeq validation</w:t>
      </w:r>
    </w:p>
    <w:p>
      <w:pPr>
        <w:spacing w:after="60" w:before="160"/>
      </w:pPr>
      <w:r>
        <w:rPr>
          <w:b/>
          <w:bCs/>
          <w:color w:val="8E5008"/>
          <w:sz w:val="19"/>
          <w:szCs w:val="19"/>
        </w:rPr>
        <w:t xml:space="preserve">7. </w:t>
      </w:r>
      <w:r>
        <w:rPr>
          <w:b/>
          <w:bCs/>
          <w:sz w:val="19"/>
          <w:szCs w:val="19"/>
        </w:rPr>
        <w:t xml:space="preserve">Resection may proceed on imaging plus the clinical picture where the operative plan would not change. A malignant-appearing stricture with no alternative explanation is treated as cancer.</w:t>
      </w:r>
    </w:p>
    <w:p>
      <w:pPr>
        <w:spacing w:after="40" w:line="276"/>
        <w:ind w:left="260"/>
      </w:pPr>
      <w:r>
        <w:rPr>
          <w:color w:val="15181F"/>
          <w:sz w:val="18"/>
          <w:szCs w:val="18"/>
        </w:rPr>
        <w:t xml:space="preserve">Grade C, and concordant with NCCN and BSG — but it means a benign aetiology is found in about 10% of resections done on a presumptive diagnosis by the AHPBA panel's figure and about 15% in a 30-year tertiary series, in an operation whose 90-day mortality reaches 13% and whose severe-complication rate reaches 70% even in benchmark patients at expert centres. BSG also carries this as a STRONG recommendation resting on LOW-quality evidence.</w:t>
      </w:r>
    </w:p>
    <w:p>
      <w:pPr>
        <w:spacing w:after="40" w:line="276"/>
        <w:ind w:left="260"/>
      </w:pPr>
      <w:r>
        <w:rPr>
          <w:color w:val="5A6069"/>
          <w:sz w:val="16"/>
          <w:szCs w:val="16"/>
        </w:rPr>
        <w:t xml:space="preserve">Sources: AHPBA 2015; Milan consensus</w:t>
      </w:r>
    </w:p>
    <w:p>
      <w:pPr>
        <w:spacing w:after="60" w:before="160"/>
      </w:pPr>
      <w:r>
        <w:rPr>
          <w:b/>
          <w:bCs/>
          <w:color w:val="8E5008"/>
          <w:sz w:val="19"/>
          <w:szCs w:val="19"/>
        </w:rPr>
        <w:t xml:space="preserve">8. </w:t>
      </w:r>
      <w:r>
        <w:rPr>
          <w:b/>
          <w:bCs/>
          <w:sz w:val="19"/>
          <w:szCs w:val="19"/>
        </w:rPr>
        <w:t xml:space="preserve">Transperitoneal biopsy of the primary must be avoided in any patient who may be protocol-eligible. Whether the same constraint should extend to resection-only candidates is a genuine local decision and is unresolved.</w:t>
      </w:r>
    </w:p>
    <w:p>
      <w:pPr>
        <w:spacing w:after="40" w:line="276"/>
        <w:ind w:left="260"/>
      </w:pPr>
      <w:r>
        <w:rPr>
          <w:color w:val="15181F"/>
          <w:sz w:val="18"/>
          <w:szCs w:val="18"/>
        </w:rPr>
        <w:t xml:space="preserve">The avoidance rule for protocol candidates is a policy condition, not a weighing of evidence, and needs no vote. The scope question does: the roadmap's §4 Resection row says the route is unconstrained, while its own ESGE callout says not to pass a needle toward a perihilar tumour in any patient who still has a curative option, which includes resection. BSG states the stricter rule, and a resection candidate judged unresectable before any operative violation of the tumour plane may become a protocol candidate.</w:t>
      </w:r>
    </w:p>
    <w:p>
      <w:pPr>
        <w:spacing w:after="40" w:line="276"/>
        <w:ind w:left="260"/>
      </w:pPr>
      <w:r>
        <w:rPr>
          <w:color w:val="5A6069"/>
          <w:sz w:val="16"/>
          <w:szCs w:val="16"/>
        </w:rPr>
        <w:t xml:space="preserve">Sources: Heimbach 2011; BSG 2023</w:t>
      </w:r>
    </w:p>
    <w:p>
      <w:pPr>
        <w:spacing w:after="60" w:before="160"/>
      </w:pPr>
      <w:r>
        <w:rPr>
          <w:b/>
          <w:bCs/>
          <w:color w:val="8E5008"/>
          <w:sz w:val="19"/>
          <w:szCs w:val="19"/>
        </w:rPr>
        <w:t xml:space="preserve">9. </w:t>
      </w:r>
      <w:r>
        <w:rPr>
          <w:b/>
          <w:bCs/>
          <w:sz w:val="19"/>
          <w:szCs w:val="19"/>
        </w:rPr>
        <w:t xml:space="preserve">The transplant pathway rests on retrospective multicentre protocol experience, not randomised comparison; its eligibility criteria are protocol conditions, not evidence-based thresholds.</w:t>
      </w:r>
    </w:p>
    <w:p>
      <w:pPr>
        <w:spacing w:after="40" w:line="276"/>
        <w:ind w:left="260"/>
      </w:pPr>
      <w:r>
        <w:rPr>
          <w:color w:val="15181F"/>
          <w:sz w:val="18"/>
          <w:szCs w:val="18"/>
        </w:rPr>
        <w:t xml:space="preserve">The roadmap states this about its own §6. There is no arm of transplantation without neoadjuvant therapy and no randomised comparison with resection, the authors of the multicentre series argue such a trial is now unethical, and 67% of its patients came from one centre. Graft stewardship is an institutional judgement (§11 item 1).</w:t>
      </w:r>
    </w:p>
    <w:p>
      <w:pPr>
        <w:spacing w:after="40" w:line="276"/>
        <w:ind w:left="260"/>
      </w:pPr>
      <w:r>
        <w:rPr>
          <w:color w:val="5A6069"/>
          <w:sz w:val="16"/>
          <w:szCs w:val="16"/>
        </w:rPr>
        <w:t xml:space="preserve">Sources: 12-centre protocol series; Rea 2005</w:t>
      </w:r>
    </w:p>
    <w:p>
      <w:pPr>
        <w:spacing w:after="60" w:before="160"/>
      </w:pPr>
      <w:r>
        <w:rPr>
          <w:b/>
          <w:bCs/>
          <w:color w:val="8E5008"/>
          <w:sz w:val="19"/>
          <w:szCs w:val="19"/>
        </w:rPr>
        <w:t xml:space="preserve">10. </w:t>
      </w:r>
      <w:r>
        <w:rPr>
          <w:b/>
          <w:bCs/>
          <w:sz w:val="19"/>
          <w:szCs w:val="19"/>
        </w:rPr>
        <w:t xml:space="preserve">The tumour board operating model is reproduced unchanged across every disease roadmap so the programme has one operating standard rather than five. It is evidence grade D by construction and is labelled Standard because the programme has chosen it, not because trials support it. Audit it for adherence, not for effectiveness.</w:t>
      </w:r>
    </w:p>
    <w:p>
      <w:pPr>
        <w:spacing w:after="40" w:line="276"/>
        <w:ind w:left="260"/>
      </w:pPr>
      <w:r>
        <w:rPr>
          <w:color w:val="15181F"/>
          <w:sz w:val="18"/>
          <w:szCs w:val="18"/>
        </w:rPr>
        <w:t xml:space="preserve">The roadmap says so in §10. These are stakeholder-derived operating requirements.</w:t>
      </w:r>
    </w:p>
    <w:p>
      <w:pPr>
        <w:spacing w:after="60" w:before="160"/>
      </w:pPr>
      <w:r>
        <w:rPr>
          <w:b/>
          <w:bCs/>
          <w:color w:val="8E5008"/>
          <w:sz w:val="19"/>
          <w:szCs w:val="19"/>
        </w:rPr>
        <w:t xml:space="preserve">11. </w:t>
      </w:r>
      <w:r>
        <w:rPr>
          <w:b/>
          <w:bCs/>
          <w:sz w:val="19"/>
          <w:szCs w:val="19"/>
        </w:rPr>
        <w:t xml:space="preserve">A minimum annual volume for extended hepatectomy with biliary reconstruction at this centre has not been set.</w:t>
      </w:r>
    </w:p>
    <w:p>
      <w:pPr>
        <w:spacing w:after="40" w:line="276"/>
        <w:ind w:left="260"/>
      </w:pPr>
      <w:r>
        <w:rPr>
          <w:color w:val="15181F"/>
          <w:sz w:val="18"/>
          <w:szCs w:val="18"/>
        </w:rPr>
        <w:t xml:space="preserve">Volume-outcome relationships in this operation are observational but consistent; the threshold itself is a governance choice, not a measurable one (§11 item 4). [EXPERTISE]</w:t>
      </w:r>
    </w:p>
    <w:p>
      <w:pPr>
        <w:spacing w:after="40" w:line="276"/>
        <w:ind w:left="260"/>
      </w:pPr>
      <w:r>
        <w:rPr>
          <w:color w:val="5A6069"/>
          <w:sz w:val="16"/>
          <w:szCs w:val="16"/>
        </w:rPr>
        <w:t xml:space="preserve">Sources: Milan consensus</w:t>
      </w:r>
    </w:p>
    <w:p>
      <w:pPr>
        <w:spacing w:after="60" w:before="160"/>
      </w:pPr>
      <w:r>
        <w:rPr>
          <w:b/>
          <w:bCs/>
          <w:color w:val="8E5008"/>
          <w:sz w:val="19"/>
          <w:szCs w:val="19"/>
        </w:rPr>
        <w:t xml:space="preserve">12. </w:t>
      </w:r>
      <w:r>
        <w:rPr>
          <w:b/>
          <w:bCs/>
          <w:sz w:val="19"/>
          <w:szCs w:val="19"/>
        </w:rPr>
        <w:t xml:space="preserve">Gate 0 is named 'Biliary drainage comes first', and that is a sequencing rule, not an indication. ESGE 2026 suggests against routine preoperative drainage in malignant hilar obstruction.</w:t>
      </w:r>
    </w:p>
    <w:p>
      <w:pPr>
        <w:spacing w:after="40" w:line="276"/>
        <w:ind w:left="260"/>
      </w:pPr>
      <w:r>
        <w:rPr>
          <w:color w:val="15181F"/>
          <w:sz w:val="18"/>
          <w:szCs w:val="18"/>
        </w:rPr>
        <w:t xml:space="preserve">The guidelines accept drainage for severe jaundice, cholangitis or a predicted remnant of 30% or less; the Milan consensus restricts it to a small remnant needing hypertrophy, cholangitis, renal or hepatic failure, severe malnutrition or pruritus; and the Coelen investigators' own conclusion was that drainage should follow resectability assessment and may be unnecessary when the remnant exceeds 50% of liver volume. The Asia-Pacific panel reached only 56% full agreement on its own preoperative-drainage statement. What Gate 0 establishes is that </w:t>
      </w:r>
      <w:r>
        <w:rPr>
          <w:i/>
          <w:iCs/>
          <w:color w:val="15181F"/>
          <w:sz w:val="18"/>
          <w:szCs w:val="18"/>
        </w:rPr>
        <w:t xml:space="preserve">if</w:t>
      </w:r>
      <w:r>
        <w:rPr>
          <w:color w:val="15181F"/>
          <w:sz w:val="18"/>
          <w:szCs w:val="18"/>
        </w:rPr>
        <w:t xml:space="preserve"> you drain, you drain the remnant and you do it before anything that depends on hypertrophy — not that every jaundiced patient is drained.</w:t>
      </w:r>
    </w:p>
    <w:p>
      <w:pPr>
        <w:spacing w:after="40" w:line="276"/>
        <w:ind w:left="260"/>
      </w:pPr>
      <w:r>
        <w:rPr>
          <w:color w:val="5A6069"/>
          <w:sz w:val="16"/>
          <w:szCs w:val="16"/>
        </w:rPr>
        <w:t xml:space="preserve">Sources: ESGE 2026; Milan consensus; DRAINAGE; Asia-Pacific 2024</w:t>
      </w:r>
    </w:p>
    <w:p>
      <w:pPr>
        <w:spacing w:after="60" w:before="160"/>
      </w:pPr>
      <w:r>
        <w:rPr>
          <w:b/>
          <w:bCs/>
          <w:color w:val="8E5008"/>
          <w:sz w:val="19"/>
          <w:szCs w:val="19"/>
        </w:rPr>
        <w:t xml:space="preserve">13. </w:t>
      </w:r>
      <w:r>
        <w:rPr>
          <w:b/>
          <w:bCs/>
          <w:sz w:val="19"/>
          <w:szCs w:val="19"/>
        </w:rPr>
        <w:t xml:space="preserve">The drainage-route position is weaker than its grade suggested, and the page has been downgraded from B to C.</w:t>
      </w:r>
    </w:p>
    <w:p>
      <w:pPr>
        <w:spacing w:after="40" w:line="276"/>
        <w:ind w:left="260"/>
      </w:pPr>
      <w:r>
        <w:rPr>
          <w:color w:val="15181F"/>
          <w:sz w:val="18"/>
          <w:szCs w:val="18"/>
        </w:rPr>
        <w:t xml:space="preserve">The only randomised comparison was negative on its primary endpoint — severe drainage-related complications 63% after percutaneous versus 67% after endoscopic drainage, relative risk 0.94 (0.64–1.40) — and was stopped at 54 of a planned 106 patients for a mortality difference whose cause the safety board never identified and which the authors call prone to type I error. Pooled across three trials, 30-day mortality only trended lower with endoscopic drainage (RR 0.53, 0.28–1.01). Trial mortality was 26% against 10% in contemporaneous non-trial patients at the same centres, so neither arm's figure is the expected risk of either route. And ESGE's own section prints a meta-analysis giving percutaneous drainage higher therapeutic success (OR 3.5, 2.1–6.0) and 11.5-fold more reintervention after ERCP, 10 of its 11 studies retrospective — its strong recommendation runs against the best comparative data beside it. The 7.8%-versus-17.1% seeding differential that drives the ASGE recommendation is, by that panel's own assessment, the weakest evidence in its document: a six-study meta-analysis with high heterogeneity (I² 66%) and very few events, plus one adjusted single-centre cohort giving percutaneous drainage as the only independent predictor of peritoneal recurrence (OR 6.9, 1.9–25.7), both graded very low quality behind a conditional recommendation. Treat it as a reason to prefer the endoscopic route where a curative option survives, not as a measured seeding rate.</w:t>
      </w:r>
    </w:p>
    <w:p>
      <w:pPr>
        <w:spacing w:after="40" w:line="276"/>
        <w:ind w:left="260"/>
      </w:pPr>
      <w:r>
        <w:rPr>
          <w:color w:val="5A6069"/>
          <w:sz w:val="16"/>
          <w:szCs w:val="16"/>
        </w:rPr>
        <w:t xml:space="preserve">Sources: DRAINAGE; ESGE 2026; ASGE hilar</w:t>
      </w:r>
    </w:p>
    <w:p>
      <w:pPr>
        <w:spacing w:after="60" w:before="160"/>
      </w:pPr>
      <w:r>
        <w:rPr>
          <w:b/>
          <w:bCs/>
          <w:color w:val="8E5008"/>
          <w:sz w:val="19"/>
          <w:szCs w:val="19"/>
        </w:rPr>
        <w:t xml:space="preserve">14. </w:t>
      </w:r>
      <w:r>
        <w:rPr>
          <w:b/>
          <w:bCs/>
          <w:sz w:val="19"/>
          <w:szCs w:val="19"/>
        </w:rPr>
        <w:t xml:space="preserve">The drainage volume targets — more than 50%, ideally 70% or more, and better still above 80% — have never been derived, and this page now grades them D.</w:t>
      </w:r>
    </w:p>
    <w:p>
      <w:pPr>
        <w:spacing w:after="40" w:line="276"/>
        <w:ind w:left="260"/>
      </w:pPr>
      <w:r>
        <w:rPr>
          <w:color w:val="15181F"/>
          <w:sz w:val="18"/>
          <w:szCs w:val="18"/>
        </w:rPr>
        <w:t xml:space="preserve">No meta-analysis or comparative trial has tested any percentage threshold. The supporting cohorts disagree among themselves (50%, 71%, 80%), the 50% and 80% figures come from single-centre retrospective series, both guideline statements are graded low or very low quality, and ESGE lists prospective volumetry against survival and access to chemotherapy as an unmet need. The sector arithmetic (30/30/30/10) is a planning convention, not a measurement.</w:t>
      </w:r>
    </w:p>
    <w:p>
      <w:pPr>
        <w:spacing w:after="40" w:line="276"/>
        <w:ind w:left="260"/>
      </w:pPr>
      <w:r>
        <w:rPr>
          <w:color w:val="5A6069"/>
          <w:sz w:val="16"/>
          <w:szCs w:val="16"/>
        </w:rPr>
        <w:t xml:space="preserve">Sources: ESGE 2026; Asia-Pacific 2024; ASGE hilar</w:t>
      </w:r>
    </w:p>
    <w:p>
      <w:pPr>
        <w:spacing w:after="60" w:before="160"/>
      </w:pPr>
      <w:r>
        <w:rPr>
          <w:b/>
          <w:bCs/>
          <w:color w:val="8E5008"/>
          <w:sz w:val="19"/>
          <w:szCs w:val="19"/>
        </w:rPr>
        <w:t xml:space="preserve">15. </w:t>
      </w:r>
      <w:r>
        <w:rPr>
          <w:b/>
          <w:bCs/>
          <w:sz w:val="19"/>
          <w:szCs w:val="19"/>
        </w:rPr>
        <w:t xml:space="preserve">Two stent choices are unsettled and the page takes a position on neither: bilateral versus unilateral, and metal versus plastic.</w:t>
      </w:r>
    </w:p>
    <w:p>
      <w:pPr>
        <w:spacing w:after="40" w:line="276"/>
        <w:ind w:left="260"/>
      </w:pPr>
      <w:r>
        <w:rPr>
          <w:color w:val="15181F"/>
          <w:sz w:val="18"/>
          <w:szCs w:val="18"/>
        </w:rPr>
        <w:t xml:space="preserve">ASGE suggests bilateral stenting absent lobar atrophy, but its pooled survival gain was 11 days (95% CI −12 to 35), pooled patency showed no difference (SMD 0.38, −0.22 to 0.99, I² 78%), technical success was lower, and the panel worried a strong recommendation would burden endoscopists without the expertise. ESGE 2026 cites one randomised trial favouring bilateral stenting on clinical success (95.3% versus 84.9%) and patency (252 versus 139 days). Both panels carry declared relationships with stent manufacturers. This needs a local default rather than per-case improvisation. The metal-versus-plastic comparison is separately confounded: the pooled advantage for metal stents — 56 days more survival (12–101), better patency, fewer reinterventions (OR 0.34) — comes from trials that waited for plastic stents to occlude rather than exchanging them on schedule, which is why the ASGE panel declined a strong recommendation. If this programme exchanges plastic stents on schedule, the comparator arm in those trials is not the practice being compared against.</w:t>
      </w:r>
    </w:p>
    <w:p>
      <w:pPr>
        <w:spacing w:after="40" w:line="276"/>
        <w:ind w:left="260"/>
      </w:pPr>
      <w:r>
        <w:rPr>
          <w:color w:val="5A6069"/>
          <w:sz w:val="16"/>
          <w:szCs w:val="16"/>
        </w:rPr>
        <w:t xml:space="preserve">Sources: ASGE hilar; ESGE 2026</w:t>
      </w:r>
    </w:p>
    <w:p>
      <w:pPr>
        <w:spacing w:after="60" w:before="160"/>
      </w:pPr>
      <w:r>
        <w:rPr>
          <w:b/>
          <w:bCs/>
          <w:color w:val="8E5008"/>
          <w:sz w:val="19"/>
          <w:szCs w:val="19"/>
        </w:rPr>
        <w:t xml:space="preserve">16. </w:t>
      </w:r>
      <w:r>
        <w:rPr>
          <w:b/>
          <w:bCs/>
          <w:sz w:val="19"/>
          <w:szCs w:val="19"/>
        </w:rPr>
        <w:t xml:space="preserve">The transplant protocol's intention-to-treat result and its per-protocol result are different numbers on different denominators, and the draft blurred them.</w:t>
      </w:r>
    </w:p>
    <w:p>
      <w:pPr>
        <w:spacing w:after="40" w:line="276"/>
        <w:ind w:left="260"/>
      </w:pPr>
      <w:r>
        <w:rPr>
          <w:color w:val="15181F"/>
          <w:sz w:val="18"/>
          <w:szCs w:val="18"/>
        </w:rPr>
        <w:t xml:space="preserve">Intention-to-treat survival from the start of therapy was 68% at 2 years and 53% at 5 years in all 287 patients. Recurrence-free survival of 78% and 65% is measured among the 214 who reached transplantation, after 71 of 287 (25%) had dropped out at a median of 4.6 months. Excluding the 15 patients (5%) transplanted on clinical suspicion with no histologic proof, 5-year intention-to-treat survival was 50% and recurrence-free survival 62%. A patient entering this pathway should be quoted the first set, not the second. Two further figures from the same series are routinely misread. The hazard ratio of 2.98 (95% CI 1.79–4.95) for patients transplanted off criteria is for a composite group — 21 patients with a mass over 3 cm, 16 with a direct tumour biopsy, 4 with metastases and 7 with a prior malignancy, analysed together, with mass size producing the largest single disparity (5-year recurrence-free survival 32% versus 69%) — so it is not attributable to any one violation and in particular not to biopsy alone. And the widely quoted 5-year figures of 55–65% in primary sclerosing cholangitis and 35–55% in de novo disease are an ungraded 2015 expert consensus written by six people from four institutions, not a result of this series, which found no difference in outcome by PSC status at all; the page no longer quotes them as protocol outcomes.</w:t>
      </w:r>
    </w:p>
    <w:p>
      <w:pPr>
        <w:spacing w:after="40" w:line="276"/>
        <w:ind w:left="260"/>
      </w:pPr>
      <w:r>
        <w:rPr>
          <w:color w:val="5A6069"/>
          <w:sz w:val="16"/>
          <w:szCs w:val="16"/>
        </w:rPr>
        <w:t xml:space="preserve">Sources: 12-centre protocol series; AHPBA 2015; Heimbach 2011</w:t>
      </w:r>
    </w:p>
    <w:p>
      <w:pPr>
        <w:spacing w:after="60" w:before="160"/>
      </w:pPr>
      <w:r>
        <w:rPr>
          <w:b/>
          <w:bCs/>
          <w:color w:val="8E5008"/>
          <w:sz w:val="19"/>
          <w:szCs w:val="19"/>
        </w:rPr>
        <w:t xml:space="preserve">17. </w:t>
      </w:r>
      <w:r>
        <w:rPr>
          <w:b/>
          <w:bCs/>
          <w:sz w:val="19"/>
          <w:szCs w:val="19"/>
        </w:rPr>
        <w:t xml:space="preserve">The seeding evidence behind the biopsy prohibition is six exposed patients and five events, and reverse causation is not excluded.</w:t>
      </w:r>
    </w:p>
    <w:p>
      <w:pPr>
        <w:spacing w:after="40" w:line="276"/>
        <w:ind w:left="260"/>
      </w:pPr>
      <w:r>
        <w:rPr>
          <w:color w:val="15181F"/>
          <w:sz w:val="18"/>
          <w:szCs w:val="18"/>
        </w:rPr>
        <w:t xml:space="preserve">Of 191 protocol patients, 16 had an outside transperitoneal aspirate; 5 of the 6 whose aspirate was positive had peritoneal metastases at staging against 8% (14 of 175) of those not biopsied, while all 9 with non-diagnostic aspirates were metastasis-free. Because only diagnostic aspirates carried the excess, a positive aspirate may be marking a tumour bulky and cell-rich enough to hit with a needle. The groups could not be matched on tumour differentiation or perineural invasion because the diagnostic tissue was too limited, and only patients already accepted onto the protocol were counted, so anyone whose outside aspirate removed them from consideration is invisible. The prohibition stands as a policy condition; it is not a measured risk.</w:t>
      </w:r>
    </w:p>
    <w:p>
      <w:pPr>
        <w:spacing w:after="40" w:line="276"/>
        <w:ind w:left="260"/>
      </w:pPr>
      <w:r>
        <w:rPr>
          <w:color w:val="5A6069"/>
          <w:sz w:val="16"/>
          <w:szCs w:val="16"/>
        </w:rPr>
        <w:t xml:space="preserve">Sources: Heimbach 2011</w:t>
      </w:r>
    </w:p>
    <w:p>
      <w:pPr>
        <w:spacing w:after="60" w:before="160"/>
      </w:pPr>
      <w:r>
        <w:rPr>
          <w:b/>
          <w:bCs/>
          <w:color w:val="8E5008"/>
          <w:sz w:val="19"/>
          <w:szCs w:val="19"/>
        </w:rPr>
        <w:t xml:space="preserve">18. </w:t>
      </w:r>
      <w:r>
        <w:rPr>
          <w:b/>
          <w:bCs/>
          <w:sz w:val="19"/>
          <w:szCs w:val="19"/>
        </w:rPr>
        <w:t xml:space="preserve">Two of the protocol's alternative diagnostic criteria — FISH polysomy and CA 19-9 above 100 U/mL — are weaker than their place in a listing decision implies.</w:t>
      </w:r>
    </w:p>
    <w:p>
      <w:pPr>
        <w:spacing w:after="40" w:line="276"/>
        <w:ind w:left="260"/>
      </w:pPr>
      <w:r>
        <w:rPr>
          <w:color w:val="15181F"/>
          <w:sz w:val="18"/>
          <w:szCs w:val="18"/>
        </w:rPr>
        <w:t xml:space="preserve">Pooled polysomy sensitivity is 51% (43–59) at 93% specificity (91–95), but roughly three in ten benign PSC strictures test positive on any FISH result, and polysomy alone can qualify a patient for neoadjuvant chemoradiation and transplantation. All eight studies in that meta-analysis came from one centre with overlapping recruitment windows, so the pooled estimate is effectively one institution's experience, and verification bias is likely because a FISH-positive patient is more likely to reach the surgery that classifies them. Trisomy or tetrasomy alone is uninformative and must not be counted (positive likelihood ratio 1.19, 0.65–2.21). CA 19-9 is the other: pooled accuracy for separating benign from malignant stricture is 81% (76–87) with a 15% false-positive rate, from a recommendation graded very low quality, and the marker rises in primary sclerosing cholangitis, cirrhosis and obstructive jaundice — all three of which describe this population. Record the bilirubin and drainage status with every value, and do not let an undrained or cholangitic measurement count toward candidacy.</w:t>
      </w:r>
    </w:p>
    <w:p>
      <w:pPr>
        <w:spacing w:after="40" w:line="276"/>
        <w:ind w:left="260"/>
      </w:pPr>
      <w:r>
        <w:rPr>
          <w:color w:val="5A6069"/>
          <w:sz w:val="16"/>
          <w:szCs w:val="16"/>
        </w:rPr>
        <w:t xml:space="preserve">Sources: FISH meta-analysis; Njei 2016; ESGE 2025; 12-centre protocol series</w:t>
      </w:r>
    </w:p>
    <w:p>
      <w:pPr>
        <w:spacing w:after="60" w:before="160"/>
      </w:pPr>
      <w:r>
        <w:rPr>
          <w:b/>
          <w:bCs/>
          <w:color w:val="8E5008"/>
          <w:sz w:val="19"/>
          <w:szCs w:val="19"/>
        </w:rPr>
        <w:t xml:space="preserve">19. </w:t>
      </w:r>
      <w:r>
        <w:rPr>
          <w:b/>
          <w:bCs/>
          <w:sz w:val="19"/>
          <w:szCs w:val="19"/>
        </w:rPr>
        <w:t xml:space="preserve">The sampling numbers on this page were cited from the smaller and more favourable pooled estimate, and how much tissue to take is itself unsettled.</w:t>
      </w:r>
    </w:p>
    <w:p>
      <w:pPr>
        <w:spacing w:after="40" w:line="276"/>
        <w:ind w:left="260"/>
      </w:pPr>
      <w:r>
        <w:rPr>
          <w:color w:val="15181F"/>
          <w:sz w:val="18"/>
          <w:szCs w:val="18"/>
        </w:rPr>
        <w:t xml:space="preserve">ESGE's 25% (11–38, OR 2.7) comes from two retrospective cohorts totalling 101 patients. ASGE's 20% (9–31) comes from 21 studies and 2,726 patients, with combined sensitivity 0.66 against 0.52 for biopsy and 0.40 for brushing. The page now leads with the larger estimate. Both recommendations are conditional on very low quality evidence and neither panel found a randomised trial for any perihilar question. The quantity question is live and the two sources disagree in a way that matters: ESGE says three to four intraductal biopsies appear sufficient, while the real-world cholangioscopy cohort took a median of three and had 33% of specimens inconclusive, and its authors recommend a minimum of four with a pathologist on site, noting that series reporting under 6% inconclusive took at least four. Cytology sensitivity rises monotonically with brush passes — 38% at 10, 47% at 20, 57% at 30. A local minimum for passes and biopsies would convert this from technique to policy.</w:t>
      </w:r>
    </w:p>
    <w:p>
      <w:pPr>
        <w:spacing w:after="40" w:line="276"/>
        <w:ind w:left="260"/>
      </w:pPr>
      <w:r>
        <w:rPr>
          <w:color w:val="5A6069"/>
          <w:sz w:val="16"/>
          <w:szCs w:val="16"/>
        </w:rPr>
        <w:t xml:space="preserve">Sources: ESGE 2025; ASGE 2023; de Vries 2020</w:t>
      </w:r>
    </w:p>
    <w:p>
      <w:pPr>
        <w:spacing w:after="60" w:before="160"/>
      </w:pPr>
      <w:r>
        <w:rPr>
          <w:b/>
          <w:bCs/>
          <w:color w:val="8E5008"/>
          <w:sz w:val="19"/>
          <w:szCs w:val="19"/>
        </w:rPr>
        <w:t xml:space="preserve">20. </w:t>
      </w:r>
      <w:r>
        <w:rPr>
          <w:b/>
          <w:bCs/>
          <w:sz w:val="19"/>
          <w:szCs w:val="19"/>
        </w:rPr>
        <w:t xml:space="preserve">Cholangioscopy is presented in the guidelines as having no excess adverse events. In practice it has them.</w:t>
      </w:r>
    </w:p>
    <w:p>
      <w:pPr>
        <w:spacing w:after="40" w:line="276"/>
        <w:ind w:left="260"/>
      </w:pPr>
      <w:r>
        <w:rPr>
          <w:color w:val="15181F"/>
          <w:sz w:val="18"/>
          <w:szCs w:val="18"/>
        </w:rPr>
        <w:t xml:space="preserve">The pooled guideline statement found no difference in adverse events, specimen adequacy or technical success. The PSC meta-analysis records post-procedure cholangitis in 11% and procedural failure in 15% of PSC ducts against 2% of controls, because the cholangioscope often cannot pass a tight stricture without dilation and mucosal trauma. The real-world cohort had adverse events in 10 of 80 (13%): two episodes of bacterial cholangitis, one post-ERCP pancreatitis, and one cardiac arrest during the procedure followed by stroke. The pooled cholangioscopy advantage also rests on 4 studies and 128 patients, with study quality itself contributing significantly to the heterogeneity, and the senior authors declaring consultancy for the manufacturers of the platforms that came out best.</w:t>
      </w:r>
    </w:p>
    <w:p>
      <w:pPr>
        <w:spacing w:after="40" w:line="276"/>
        <w:ind w:left="260"/>
      </w:pPr>
      <w:r>
        <w:rPr>
          <w:color w:val="5A6069"/>
          <w:sz w:val="16"/>
          <w:szCs w:val="16"/>
        </w:rPr>
        <w:t xml:space="preserve">Sources: ASGE 2023; Njei 2016; de Vries 2020</w:t>
      </w:r>
    </w:p>
    <w:p>
      <w:pPr>
        <w:spacing w:after="60" w:before="160"/>
      </w:pPr>
      <w:r>
        <w:rPr>
          <w:b/>
          <w:bCs/>
          <w:color w:val="8E5008"/>
          <w:sz w:val="19"/>
          <w:szCs w:val="19"/>
        </w:rPr>
        <w:t xml:space="preserve">21. </w:t>
      </w:r>
      <w:r>
        <w:rPr>
          <w:b/>
          <w:bCs/>
          <w:sz w:val="19"/>
          <w:szCs w:val="19"/>
        </w:rPr>
        <w:t xml:space="preserve">The sequencing panel's headline figures come from a study in which sequencing and pathology were never run on the same specimen, and all testing was done in the laboratory that developed the assay.</w:t>
      </w:r>
    </w:p>
    <w:p>
      <w:pPr>
        <w:spacing w:after="40" w:line="276"/>
        <w:ind w:left="260"/>
      </w:pPr>
      <w:r>
        <w:rPr>
          <w:color w:val="15181F"/>
          <w:sz w:val="18"/>
          <w:szCs w:val="18"/>
        </w:rPr>
        <w:t xml:space="preserve">Specimens were submitted at the endoscopist's discretion rather than consecutively, 5% of patients had no follow-up and were dropped, FISH — the adjunct many units actually use in PSC — was never compared head to head, and a stricture could be classified as neoplastic on imaging plus 12 months of clinical or radiographic progression rather than on tissue, which tends to flatter the test that often prompted the work-up. Only 2% of neoplastic strictures were purely dysplastic, so outside PSC this is earlier diagnosis of established cancer rather than early detection, and no survival or resectability benefit has been shown. The test is a laboratory-developed test from a single CLIA-certified laboratory, not FDA cleared. And in the one real-world cohort that reported this disease separately, the gain in cholangiocarcinoma itself was not significant: 75% versus 42.9% overall in 77 patients, but 70% versus 60% (P=.72) in the 20 with cholangiocarcinoma, with the headline improvement driven partly by pancreatic and ampullary cancers; in that cohort's PSC subgroup sensitivity was 20% against 40% for brush cytology, and the panel was run only on brush and bile aspirate, never on transpapillary or cholangioscopy-guided tissue. A negative sequencing result does not stand a resection decision down — negative predictive value was 63% in the developer's prospective series (37 false negatives, 25%) and 74–82% in a small real-world cohort whose benign cases rested on six months of follow-up.</w:t>
      </w:r>
    </w:p>
    <w:p>
      <w:pPr>
        <w:spacing w:after="40" w:line="276"/>
        <w:ind w:left="260"/>
      </w:pPr>
      <w:r>
        <w:rPr>
          <w:color w:val="5A6069"/>
          <w:sz w:val="16"/>
          <w:szCs w:val="16"/>
        </w:rPr>
        <w:t xml:space="preserve">Sources: BiliSeq multi-institutional; BiliSeq validation; Bardhi 2025; Gillmeister 2026</w:t>
      </w:r>
    </w:p>
    <w:p>
      <w:pPr>
        <w:spacing w:after="60" w:before="160"/>
      </w:pPr>
      <w:r>
        <w:rPr>
          <w:b/>
          <w:bCs/>
          <w:color w:val="8E5008"/>
          <w:sz w:val="19"/>
          <w:szCs w:val="19"/>
        </w:rPr>
        <w:t xml:space="preserve">22. </w:t>
      </w:r>
      <w:r>
        <w:rPr>
          <w:b/>
          <w:bCs/>
          <w:sz w:val="19"/>
          <w:szCs w:val="19"/>
        </w:rPr>
        <w:t xml:space="preserve">The resection recommendation's margin data come from 23 resections over 30 years, in a series where only 9 of 122 operated patients achieved a histologically negative margin.</w:t>
      </w:r>
    </w:p>
    <w:p>
      <w:pPr>
        <w:spacing w:after="40" w:line="276"/>
        <w:ind w:left="260"/>
      </w:pPr>
      <w:r>
        <w:rPr>
          <w:color w:val="15181F"/>
          <w:sz w:val="18"/>
          <w:szCs w:val="18"/>
        </w:rPr>
        <w:t xml:space="preserve">Downgraded from B to C. There was no comparison group — patients treated by bypass or intubation were never analysed — follow-up averaged 26 months, and the 3-year figures rest on very few patients at risk. The R0 ranges the page quotes alongside (median survival 27–58 months, 5-year 27–45%) are ungraded expert consensus. What survives this reading is the direction, which is unambiguous and consistent across every later series: margin status drives outcome, and local excision alone above type I does not achieve it.</w:t>
      </w:r>
    </w:p>
    <w:p>
      <w:pPr>
        <w:spacing w:after="40" w:line="276"/>
        <w:ind w:left="260"/>
      </w:pPr>
      <w:r>
        <w:rPr>
          <w:color w:val="5A6069"/>
          <w:sz w:val="16"/>
          <w:szCs w:val="16"/>
        </w:rPr>
        <w:t xml:space="preserve">Sources: Bismuth-Corlette; AHPBA 2015</w:t>
      </w:r>
    </w:p>
    <w:p>
      <w:pPr>
        <w:spacing w:after="60" w:before="160"/>
      </w:pPr>
      <w:r>
        <w:rPr>
          <w:b/>
          <w:bCs/>
          <w:color w:val="8E5008"/>
          <w:sz w:val="19"/>
          <w:szCs w:val="19"/>
        </w:rPr>
        <w:t xml:space="preserve">23. </w:t>
      </w:r>
      <w:r>
        <w:rPr>
          <w:b/>
          <w:bCs/>
          <w:sz w:val="19"/>
          <w:szCs w:val="19"/>
        </w:rPr>
        <w:t xml:space="preserve">The Milan consensus prefers left-sided to right-sided hemihepatectomy where both would clear the tumour, and the page previously said nothing about laterality.</w:t>
      </w:r>
    </w:p>
    <w:p>
      <w:pPr>
        <w:spacing w:after="40" w:line="276"/>
        <w:ind w:left="260"/>
      </w:pPr>
      <w:r>
        <w:rPr>
          <w:color w:val="15181F"/>
          <w:sz w:val="18"/>
          <w:szCs w:val="18"/>
        </w:rPr>
        <w:t xml:space="preserve">Right-sided resection carries more morbidity, post-hepatectomy liver failure and mortality at equal oncological outcome in the jury's reading, and left trisectionectomy is favoured in Bismuth-Corlette type 4. That recommendation sits at level-4 expert opinion in a document where 84% of 570 reviewed studies were observational and 83.5% only of acceptable quality. It belongs in the operative conversation as a preference to be argued, not a rule.</w:t>
      </w:r>
    </w:p>
    <w:p>
      <w:pPr>
        <w:spacing w:after="40" w:line="276"/>
        <w:ind w:left="260"/>
      </w:pPr>
      <w:r>
        <w:rPr>
          <w:color w:val="5A6069"/>
          <w:sz w:val="16"/>
          <w:szCs w:val="16"/>
        </w:rPr>
        <w:t xml:space="preserve">Sources: Milan consensus</w:t>
      </w:r>
    </w:p>
    <w:p>
      <w:pPr>
        <w:spacing w:after="60" w:before="160"/>
      </w:pPr>
      <w:r>
        <w:rPr>
          <w:b/>
          <w:bCs/>
          <w:color w:val="8E5008"/>
          <w:sz w:val="19"/>
          <w:szCs w:val="19"/>
        </w:rPr>
        <w:t xml:space="preserve">24. </w:t>
      </w:r>
      <w:r>
        <w:rPr>
          <w:b/>
          <w:bCs/>
          <w:sz w:val="19"/>
          <w:szCs w:val="19"/>
        </w:rPr>
        <w:t xml:space="preserve">Perihilar cholangiocarcinoma has no validated resectability tool, and the body that said so most clearly is the one whose criteria the page relies on.</w:t>
      </w:r>
    </w:p>
    <w:p>
      <w:pPr>
        <w:spacing w:after="40" w:line="276"/>
        <w:ind w:left="260"/>
      </w:pPr>
      <w:r>
        <w:rPr>
          <w:color w:val="15181F"/>
          <w:sz w:val="18"/>
          <w:szCs w:val="18"/>
        </w:rPr>
        <w:t xml:space="preserve">The Milan jury declined to endorse any staging system — Bismuth-Corlette and MSKCC included — as a predictor of resectability, and states that the resectability criteria it adopted are expert-opinion-based and require validation. Only 32 of its 570 reviewed studies (5.6%) concerned transplantation. Resectability at this board is therefore a judgement by experienced surgeons looking at the same images, and should be recorded as such.</w:t>
      </w:r>
    </w:p>
    <w:p>
      <w:pPr>
        <w:spacing w:after="40" w:line="276"/>
        <w:ind w:left="260"/>
      </w:pPr>
      <w:r>
        <w:rPr>
          <w:color w:val="5A6069"/>
          <w:sz w:val="16"/>
          <w:szCs w:val="16"/>
        </w:rPr>
        <w:t xml:space="preserve">Sources: Milan consensus; AHPBA 2015</w:t>
      </w:r>
    </w:p>
    <w:p>
      <w:pPr>
        <w:spacing w:after="60" w:before="160"/>
      </w:pPr>
      <w:r>
        <w:rPr>
          <w:b/>
          <w:bCs/>
          <w:color w:val="8E5008"/>
          <w:sz w:val="19"/>
          <w:szCs w:val="19"/>
        </w:rPr>
        <w:t xml:space="preserve">25. </w:t>
      </w:r>
      <w:r>
        <w:rPr>
          <w:b/>
          <w:bCs/>
          <w:sz w:val="19"/>
          <w:szCs w:val="19"/>
        </w:rPr>
        <w:t xml:space="preserve">The adjuvant evidence in this disease is a trial that missed its primary endpoint and a trial that was null, and both need reading in full.</w:t>
      </w:r>
    </w:p>
    <w:p>
      <w:pPr>
        <w:spacing w:after="40" w:line="276"/>
        <w:ind w:left="260"/>
      </w:pPr>
      <w:r>
        <w:rPr>
          <w:color w:val="15181F"/>
          <w:sz w:val="18"/>
          <w:szCs w:val="18"/>
        </w:rPr>
        <w:t xml:space="preserve">BILCAP missed its intention-to-treat primary endpoint (HR 0.81, 0.63–1.04, p=0.097); significance came from a per-protocol analysis and a model adjusted for nodal status, grade and sex. Recurrence-free survival favoured capecitabine over the first 24 months (HR 0.75, 0.58–0.98) and not at all from 24 to 60 months (HR 1.48, 0.80–2.77). 128 of 447 patients (29%) had hilar tumours, the trial was not powered for site, and the Milan consensus records no benefit in the perihilar subgroup. Grade 3 events in 44%, 46% dose-reduced, 32% stopped for toxicity. Offer it with those numbers, not as an obligation. The one adjuvant randomised trial confined to this population, BCAT, enrolled perihilar and distal bile duct cancer only and found nothing for gemcitabine (overall survival HR 1.01, 0.70–1.45), with no subgroup benefiting including node-positive and R1 patients — but its null is also underpowered: recruitment stopped at 226 of a planned 300 because most patients wanted adjuvant chemotherapy, the authors calculate only a 2.8% probability of significance even with the planned events, and observed 5-year survival was about 50% against an assumed 30% in a cohort from which R2 resections, metastases, severe complications and in-hospital deaths were all excluded. It rules out gemcitabine; it does not rule out adjuvant therapy.</w:t>
      </w:r>
    </w:p>
    <w:p>
      <w:pPr>
        <w:spacing w:after="40" w:line="276"/>
        <w:ind w:left="260"/>
      </w:pPr>
      <w:r>
        <w:rPr>
          <w:color w:val="5A6069"/>
          <w:sz w:val="16"/>
          <w:szCs w:val="16"/>
        </w:rPr>
        <w:t xml:space="preserve">Sources: BILCAP; Milan consensus; BCAT</w:t>
      </w:r>
    </w:p>
    <w:p>
      <w:pPr>
        <w:spacing w:after="60" w:before="160"/>
      </w:pPr>
      <w:r>
        <w:rPr>
          <w:b/>
          <w:bCs/>
          <w:color w:val="8E5008"/>
          <w:sz w:val="19"/>
          <w:szCs w:val="19"/>
        </w:rPr>
        <w:t xml:space="preserve">26. </w:t>
      </w:r>
      <w:r>
        <w:rPr>
          <w:b/>
          <w:bCs/>
          <w:sz w:val="19"/>
          <w:szCs w:val="19"/>
        </w:rPr>
        <w:t xml:space="preserve">First-line chemo-immunotherapy is graded B rather than A on this page, because the subgroup that contains perihilar disease showed no effect.</w:t>
      </w:r>
    </w:p>
    <w:p>
      <w:pPr>
        <w:spacing w:after="40" w:line="276"/>
        <w:ind w:left="260"/>
      </w:pPr>
      <w:r>
        <w:rPr>
          <w:color w:val="15181F"/>
          <w:sz w:val="18"/>
          <w:szCs w:val="18"/>
        </w:rPr>
        <w:t xml:space="preserve">Both trials are properly conducted positive phase 3 trials in biliary tract cancer as a whole, but KEYNOTE-966 was enriched for intrahepatic disease (59%, because tumour tissue was mandatory) and its extrahepatic subgroup hazard ratio was 0.99 (95% CI 0.73–1.35), with the gallbladder subgroup at 0.96 (0.73–1.26); the authors state both are underpowered. KEYNOTE-966 also missed its progression-free survival boundary and showed identical response rates (29% versus 29%). TOPAZ-1 was a prespecified interim analysis at 424 of 496 planned deaths, powered to about 75%, with a formally violated proportional hazards assumption and a 1.3-month median gain concentrated after 6 months. The regimen remains the standard; the effect size in this disease is an extrapolation and should be described as one.</w:t>
      </w:r>
    </w:p>
    <w:p>
      <w:pPr>
        <w:spacing w:after="40" w:line="276"/>
        <w:ind w:left="260"/>
      </w:pPr>
      <w:r>
        <w:rPr>
          <w:color w:val="5A6069"/>
          <w:sz w:val="16"/>
          <w:szCs w:val="16"/>
        </w:rPr>
        <w:t xml:space="preserve">Sources: KEYNOTE-966; TOPAZ-1; ESMO 2024 interim</w:t>
      </w:r>
    </w:p>
    <w:p>
      <w:pPr>
        <w:spacing w:after="60" w:before="160"/>
      </w:pPr>
      <w:r>
        <w:rPr>
          <w:b/>
          <w:bCs/>
          <w:color w:val="8E5008"/>
          <w:sz w:val="19"/>
          <w:szCs w:val="19"/>
        </w:rPr>
        <w:t xml:space="preserve">27. </w:t>
      </w:r>
      <w:r>
        <w:rPr>
          <w:b/>
          <w:bCs/>
          <w:sz w:val="19"/>
          <w:szCs w:val="19"/>
        </w:rPr>
        <w:t xml:space="preserve">The matched-therapy trials are not trials in this disease, with one instructive exception.</w:t>
      </w:r>
    </w:p>
    <w:p>
      <w:pPr>
        <w:spacing w:after="40" w:line="276"/>
        <w:ind w:left="260"/>
      </w:pPr>
      <w:r>
        <w:rPr>
          <w:color w:val="15181F"/>
          <w:sz w:val="18"/>
          <w:szCs w:val="18"/>
        </w:rPr>
        <w:t xml:space="preserve">FIGHT-202 cohort A was 107 of 108 intrahepatic, FOENIX-CCA2 intrahepatic only, ROAR 39 of 43 (91%) intrahepatic, ClarIDHy 6 of 187 extrahepatic or perihilar. All are single-arm or, in ClarIDHy's case, randomised against placebo with a non-significant intention-to-treat overall survival (HR 0.79, 0.56–1.12) and a 2% response rate. All were industry sponsored with company employees as authors, and all sit second line or later. HER2 is the exception, because it is enriched in extrahepatic disease: zanidatamab gave a 52% response rate in immunohistochemistry 3+ tumours against 6% (1 of 18) in 2+, with median overall survival 18.1 versus 5.2 months — so the assay threshold carries the result, and ESMO concedes there are no standardised criteria for assessing HER2 in this disease and no specific test it can recommend.</w:t>
      </w:r>
    </w:p>
    <w:p>
      <w:pPr>
        <w:spacing w:after="40" w:line="276"/>
        <w:ind w:left="260"/>
      </w:pPr>
      <w:r>
        <w:rPr>
          <w:color w:val="5A6069"/>
          <w:sz w:val="16"/>
          <w:szCs w:val="16"/>
        </w:rPr>
        <w:t xml:space="preserve">Sources: FIGHT-202; FOENIX-CCA2; ROAR; ClarIDHy; HERIZON-BTC-01; ESMO 2024 interim</w:t>
      </w:r>
    </w:p>
    <w:p>
      <w:pPr>
        <w:spacing w:after="60" w:before="160"/>
      </w:pPr>
      <w:r>
        <w:rPr>
          <w:b/>
          <w:bCs/>
          <w:color w:val="8E5008"/>
          <w:sz w:val="19"/>
          <w:szCs w:val="19"/>
        </w:rPr>
        <w:t xml:space="preserve">28. </w:t>
      </w:r>
      <w:r>
        <w:rPr>
          <w:b/>
          <w:bCs/>
          <w:sz w:val="19"/>
          <w:szCs w:val="19"/>
        </w:rPr>
        <w:t xml:space="preserve">The liver-directed avoid rows are graded D, not C: they rest on the absence of perihilar evidence rather than on comparative studies.</w:t>
      </w:r>
    </w:p>
    <w:p>
      <w:pPr>
        <w:spacing w:after="40" w:line="276"/>
        <w:ind w:left="260"/>
      </w:pPr>
      <w:r>
        <w:rPr>
          <w:color w:val="15181F"/>
          <w:sz w:val="18"/>
          <w:szCs w:val="18"/>
        </w:rPr>
        <w:t xml:space="preserve">No study in this depot addresses ablation, radioembolisation, chemoembolisation or histotripsy of a central perihilar primary. The hepatic arterial infusion data are from a single-arm, single-institution trial in liver-confined intrahepatic disease that treated 38 of 84 screened patients, with grade 4 pump or arterial complications in 11% and biliary stents needed in 11%, two for chemotherapy-induced biliary sclerosis — the one toxicity that matters most in a tumour whose problem is central biliary obstruction. The roadmap's positions stand; what changes is that they are honest absences of evidence rather than graded comparisons.</w:t>
      </w:r>
    </w:p>
    <w:p>
      <w:pPr>
        <w:spacing w:after="40" w:line="276"/>
        <w:ind w:left="260"/>
      </w:pPr>
      <w:r>
        <w:rPr>
          <w:color w:val="5A6069"/>
          <w:sz w:val="16"/>
          <w:szCs w:val="16"/>
        </w:rPr>
        <w:t xml:space="preserve">Sources: HAI floxuridine phase II</w:t>
      </w:r>
    </w:p>
    <w:p>
      <w:pPr>
        <w:spacing w:after="60" w:before="160"/>
      </w:pPr>
      <w:r>
        <w:rPr>
          <w:b/>
          <w:bCs/>
          <w:color w:val="8E5008"/>
          <w:sz w:val="19"/>
          <w:szCs w:val="19"/>
        </w:rPr>
        <w:t xml:space="preserve">29. </w:t>
      </w:r>
      <w:r>
        <w:rPr>
          <w:b/>
          <w:bCs/>
          <w:sz w:val="19"/>
          <w:szCs w:val="19"/>
        </w:rPr>
        <w:t xml:space="preserve">The best-supportive-care bundle was graded A. It is not one intervention and only part of it has evidence in this depot.</w:t>
      </w:r>
    </w:p>
    <w:p>
      <w:pPr>
        <w:spacing w:after="40" w:line="276"/>
        <w:ind w:left="260"/>
      </w:pPr>
      <w:r>
        <w:rPr>
          <w:color w:val="15181F"/>
          <w:sz w:val="18"/>
          <w:szCs w:val="18"/>
        </w:rPr>
        <w:t xml:space="preserve">Downgraded to C. Drainage rests on guideline recommendations graded low to very low quality; early specialist palliative involvement rests on randomised evidence in other cancers that this reference depot does not contain; pruritus control, pain control and nutritional support are uncontroversial but untested here. The bundle is right; the grade was reading as though a trial had tested it.</w:t>
      </w:r>
    </w:p>
    <w:p>
      <w:pPr>
        <w:spacing w:after="40" w:line="276"/>
        <w:ind w:left="260"/>
      </w:pPr>
      <w:r>
        <w:rPr>
          <w:color w:val="5A6069"/>
          <w:sz w:val="16"/>
          <w:szCs w:val="16"/>
        </w:rPr>
        <w:t xml:space="preserve">Sources: ESGE 2026</w:t>
      </w:r>
    </w:p>
    <w:p>
      <w:pPr>
        <w:spacing w:after="60" w:before="160"/>
      </w:pPr>
      <w:r>
        <w:rPr>
          <w:b/>
          <w:bCs/>
          <w:color w:val="8E5008"/>
          <w:sz w:val="19"/>
          <w:szCs w:val="19"/>
        </w:rPr>
        <w:t xml:space="preserve">30. </w:t>
      </w:r>
      <w:r>
        <w:rPr>
          <w:b/>
          <w:bCs/>
          <w:sz w:val="19"/>
          <w:szCs w:val="19"/>
        </w:rPr>
        <w:t xml:space="preserve">Device-industry relationships run through most of the evidence this page depends on for drainage, stenting and cholangioscopy.</w:t>
      </w:r>
    </w:p>
    <w:p>
      <w:pPr>
        <w:spacing w:after="40" w:line="276"/>
        <w:ind w:left="260"/>
      </w:pPr>
      <w:r>
        <w:rPr>
          <w:color w:val="15181F"/>
          <w:sz w:val="18"/>
          <w:szCs w:val="18"/>
        </w:rPr>
        <w:t xml:space="preserve">Five ESGE 2026 authors declare consultancy, advisory or lecture relationships with stent manufacturers; many ASGE panel members declare the same across both the hilar-obstruction and the stricture-diagnosis guidelines; multiple ESGE 2025 panel members declare relationships with endoscopy device manufacturers; and the senior authors of the PSC meta-analysis that puts cholangioscopy first declare consultancy for the manufacturers of the cholangioscopy platforms. None of these guidelines was industry funded. This is not a reason to discount them, but it is a reason to read a strong recommendation on moderate evidence carefully, and it should be on the table when the programme ratifies a route or a stent default. One ASGE panel member on the hilar-obstruction guideline is at this institution.</w:t>
      </w:r>
    </w:p>
    <w:p>
      <w:pPr>
        <w:spacing w:after="40" w:line="276"/>
        <w:ind w:left="260"/>
      </w:pPr>
      <w:r>
        <w:rPr>
          <w:color w:val="5A6069"/>
          <w:sz w:val="16"/>
          <w:szCs w:val="16"/>
        </w:rPr>
        <w:t xml:space="preserve">Sources: ESGE 2026; ASGE hilar; ESGE 2025; Njei 2016</w:t>
      </w:r>
    </w:p>
    <w:p>
      <w:pPr>
        <w:pStyle w:val="Heading1"/>
        <w:keepNext/>
        <w:pageBreakBefore/>
        <w:spacing w:after="110" w:before="320"/>
      </w:pPr>
      <w:r>
        <w:rPr>
          <w:rFonts w:ascii="Cambria" w:cs="Cambria" w:eastAsia="Cambria" w:hAnsi="Cambria"/>
          <w:b/>
          <w:bCs/>
          <w:color w:val="17365D"/>
          <w:sz w:val="32"/>
          <w:szCs w:val="32"/>
        </w:rPr>
        <w:t xml:space="preserve">Operations</w:t>
      </w:r>
    </w:p>
    <w:p>
      <w:pPr>
        <w:pStyle w:val="Heading2"/>
        <w:keepNext/>
        <w:spacing w:after="110" w:before="240"/>
      </w:pPr>
      <w:r>
        <w:rPr>
          <w:rFonts w:ascii="Cambria" w:cs="Cambria" w:eastAsia="Cambria" w:hAnsi="Cambria"/>
          <w:b/>
          <w:bCs/>
          <w:color w:val="17365D"/>
          <w:sz w:val="26"/>
          <w:szCs w:val="26"/>
        </w:rPr>
        <w:t xml:space="preserve">The board meeting</w:t>
      </w:r>
    </w:p>
    <w:p>
      <w:pPr>
        <w:pStyle w:val="Heading2"/>
        <w:keepNext/>
        <w:spacing w:after="110" w:before="240"/>
      </w:pPr>
      <w:r>
        <w:rPr>
          <w:rFonts w:ascii="Cambria" w:cs="Cambria" w:eastAsia="Cambria" w:hAnsi="Cambria"/>
          <w:b/>
          <w:bCs/>
          <w:color w:val="17365D"/>
          <w:sz w:val="26"/>
          <w:szCs w:val="26"/>
        </w:rPr>
        <w:t xml:space="preserve">The dashboard</w:t>
      </w:r>
    </w:p>
    <w:p>
      <w:pPr>
        <w:pStyle w:val="Heading2"/>
        <w:keepNext/>
        <w:spacing w:after="110" w:before="240"/>
      </w:pPr>
      <w:r>
        <w:rPr>
          <w:rFonts w:ascii="Cambria" w:cs="Cambria" w:eastAsia="Cambria" w:hAnsi="Cambria"/>
          <w:b/>
          <w:bCs/>
          <w:color w:val="17365D"/>
          <w:sz w:val="26"/>
          <w:szCs w:val="26"/>
        </w:rPr>
        <w:t xml:space="preserve">Decisions this programme still has to make</w:t>
      </w:r>
    </w:p>
    <w:p>
      <w:pPr>
        <w:spacing w:after="160" w:line="276"/>
      </w:pPr>
      <w:r>
        <w:rPr>
          <w:i/>
          <w:iCs/>
          <w:color w:val="5A6069"/>
          <w:sz w:val="20"/>
          <w:szCs w:val="20"/>
        </w:rPr>
        <w:t xml:space="preserve">These are not evidence gaps. They are choices the roadmap cannot make on the programme's behalf, and until each is settled the same patient can be managed differently depending on who is in the room.</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520"/>
        <w:gridCol w:w="4100"/>
        <w:gridCol w:w="4740"/>
      </w:tblGrid>
      <w:tr>
        <w:trPr>
          <w:cantSplit/>
          <w:tblHeader/>
        </w:trPr>
        <w:tc>
          <w:tcPr>
            <w:tcW w:type="dxa" w:w="520"/>
            <w:shd w:fill="17365D" w:color="auto" w:val="clear"/>
            <w:tcMar>
              <w:top w:type="dxa" w:w="70"/>
              <w:left w:type="dxa" w:w="110"/>
              <w:bottom w:type="dxa" w:w="70"/>
              <w:right w:type="dxa" w:w="110"/>
            </w:tcMar>
            <w:vAlign w:val="top"/>
          </w:tcPr>
          <w:p>
            <w:r>
              <w:rPr>
                <w:b/>
                <w:bCs/>
                <w:color w:val="FFFFFF"/>
                <w:spacing w:val="18"/>
                <w:sz w:val="15"/>
                <w:szCs w:val="15"/>
              </w:rPr>
              <w:t xml:space="preserve">#</w:t>
            </w:r>
          </w:p>
        </w:tc>
        <w:tc>
          <w:tcPr>
            <w:tcW w:type="dxa" w:w="4100"/>
            <w:shd w:fill="17365D" w:color="auto" w:val="clear"/>
            <w:tcMar>
              <w:top w:type="dxa" w:w="70"/>
              <w:left w:type="dxa" w:w="110"/>
              <w:bottom w:type="dxa" w:w="70"/>
              <w:right w:type="dxa" w:w="110"/>
            </w:tcMar>
            <w:vAlign w:val="top"/>
          </w:tcPr>
          <w:p>
            <w:r>
              <w:rPr>
                <w:b/>
                <w:bCs/>
                <w:color w:val="FFFFFF"/>
                <w:spacing w:val="18"/>
                <w:sz w:val="15"/>
                <w:szCs w:val="15"/>
              </w:rPr>
              <w:t xml:space="preserve">THE DECISION</w:t>
            </w:r>
          </w:p>
        </w:tc>
        <w:tc>
          <w:tcPr>
            <w:tcW w:type="dxa" w:w="4740"/>
            <w:shd w:fill="17365D" w:color="auto" w:val="clear"/>
            <w:tcMar>
              <w:top w:type="dxa" w:w="70"/>
              <w:left w:type="dxa" w:w="110"/>
              <w:bottom w:type="dxa" w:w="70"/>
              <w:right w:type="dxa" w:w="110"/>
            </w:tcMar>
            <w:vAlign w:val="top"/>
          </w:tcPr>
          <w:p>
            <w:r>
              <w:rPr>
                <w:b/>
                <w:bCs/>
                <w:color w:val="FFFFFF"/>
                <w:spacing w:val="18"/>
                <w:sz w:val="15"/>
                <w:szCs w:val="15"/>
              </w:rPr>
              <w:t xml:space="preserve">WHY IT HAS TO BE MADE</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1</w:t>
            </w:r>
          </w:p>
        </w:tc>
        <w:tc>
          <w:tcPr>
            <w:tcW w:type="dxa" w:w="4100"/>
            <w:tcMar>
              <w:top w:type="dxa" w:w="70"/>
              <w:left w:type="dxa" w:w="110"/>
              <w:bottom w:type="dxa" w:w="70"/>
              <w:right w:type="dxa" w:w="110"/>
            </w:tcMar>
            <w:vAlign w:val="top"/>
          </w:tcPr>
          <w:p>
            <w:pPr>
              <w:spacing w:after="0" w:line="276"/>
            </w:pPr>
            <w:r>
              <w:rPr>
                <w:color w:val="15181F"/>
                <w:sz w:val="17"/>
                <w:szCs w:val="17"/>
              </w:rPr>
              <w:t xml:space="preserve">Does the programme open a perihilar transplant protocol, and under whose governance?</w:t>
            </w:r>
          </w:p>
        </w:tc>
        <w:tc>
          <w:tcPr>
            <w:tcW w:type="dxa" w:w="4740"/>
            <w:tcMar>
              <w:top w:type="dxa" w:w="70"/>
              <w:left w:type="dxa" w:w="110"/>
              <w:bottom w:type="dxa" w:w="70"/>
              <w:right w:type="dxa" w:w="110"/>
            </w:tcMar>
            <w:vAlign w:val="top"/>
          </w:tcPr>
          <w:p>
            <w:pPr>
              <w:spacing w:after="0" w:line="276"/>
            </w:pPr>
            <w:r>
              <w:rPr>
                <w:color w:val="15181F"/>
                <w:sz w:val="17"/>
                <w:szCs w:val="17"/>
              </w:rPr>
              <w:t xml:space="preserve">Supporting data are retrospective multicentre protocol experience with heavy selection. Graft stewardship is an institutional judgement.</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2</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Endoscopic or percutaneous drainage as the default first route?</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The randomised trial was negative on its primary endpoint (severe drainage-related complications 63% versus 67%, RR 0.94), enrolled 54 of a planned 106 patients and stopped early because mortality was higher after percutaneous drainage (41% versus 11%; cause unexplained, authors call the signal prone to type I error). Pooled across three trials 30-day mortality only trended lower with the endoscopic route (RR 0.53, 0.28–1.01). ESGE's own section gives percutaneous drainage higher therapeutic success (OR 3.5) and 11.5-fold less reintervention. Local endoscopic and interventional radiology expertise decides.</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3</w:t>
            </w:r>
          </w:p>
        </w:tc>
        <w:tc>
          <w:tcPr>
            <w:tcW w:type="dxa" w:w="4100"/>
            <w:tcMar>
              <w:top w:type="dxa" w:w="70"/>
              <w:left w:type="dxa" w:w="110"/>
              <w:bottom w:type="dxa" w:w="70"/>
              <w:right w:type="dxa" w:w="110"/>
            </w:tcMar>
            <w:vAlign w:val="top"/>
          </w:tcPr>
          <w:p>
            <w:pPr>
              <w:spacing w:after="0" w:line="276"/>
            </w:pPr>
            <w:r>
              <w:rPr>
                <w:color w:val="15181F"/>
                <w:sz w:val="17"/>
                <w:szCs w:val="17"/>
              </w:rPr>
              <w:t xml:space="preserve">Bilirubin threshold before major hepatectomy, embolic therapy, radiation, and systemic therapy.</w:t>
            </w:r>
          </w:p>
        </w:tc>
        <w:tc>
          <w:tcPr>
            <w:tcW w:type="dxa" w:w="4740"/>
            <w:tcMar>
              <w:top w:type="dxa" w:w="70"/>
              <w:left w:type="dxa" w:w="110"/>
              <w:bottom w:type="dxa" w:w="70"/>
              <w:right w:type="dxa" w:w="110"/>
            </w:tcMar>
            <w:vAlign w:val="top"/>
          </w:tcPr>
          <w:p>
            <w:pPr>
              <w:spacing w:after="0" w:line="276"/>
            </w:pPr>
            <w:r>
              <w:rPr>
                <w:color w:val="15181F"/>
                <w:sz w:val="17"/>
                <w:szCs w:val="17"/>
              </w:rPr>
              <w:t xml:space="preserve">No comparative data define the cut-off; it is a safety convention.</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4</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Minimum annual volume for extended hepatectomy with biliary reconstruction at this centre.</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Volume-outcome relationships are observational but consistent. The threshold is a governance choice. [EXPERTISE]</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5</w:t>
            </w:r>
          </w:p>
        </w:tc>
        <w:tc>
          <w:tcPr>
            <w:tcW w:type="dxa" w:w="4100"/>
            <w:tcMar>
              <w:top w:type="dxa" w:w="70"/>
              <w:left w:type="dxa" w:w="110"/>
              <w:bottom w:type="dxa" w:w="70"/>
              <w:right w:type="dxa" w:w="110"/>
            </w:tcMar>
            <w:vAlign w:val="top"/>
          </w:tcPr>
          <w:p>
            <w:pPr>
              <w:spacing w:after="0" w:line="276"/>
            </w:pPr>
            <w:r>
              <w:rPr>
                <w:color w:val="15181F"/>
                <w:sz w:val="17"/>
                <w:szCs w:val="17"/>
              </w:rPr>
              <w:t xml:space="preserve">Adjuvant capecitabine — offered routinely, or case-by-case?</w:t>
            </w:r>
          </w:p>
        </w:tc>
        <w:tc>
          <w:tcPr>
            <w:tcW w:type="dxa" w:w="4740"/>
            <w:tcMar>
              <w:top w:type="dxa" w:w="70"/>
              <w:left w:type="dxa" w:w="110"/>
              <w:bottom w:type="dxa" w:w="70"/>
              <w:right w:type="dxa" w:w="110"/>
            </w:tcMar>
            <w:vAlign w:val="top"/>
          </w:tcPr>
          <w:p>
            <w:pPr>
              <w:spacing w:after="0" w:line="276"/>
            </w:pPr>
            <w:r>
              <w:rPr>
                <w:color w:val="15181F"/>
                <w:sz w:val="17"/>
                <w:szCs w:val="17"/>
              </w:rPr>
              <w:t xml:space="preserve">BILCAP's primary analysis was not significant and BCAT was null for gemcitabine in bile duct cancer specifically.</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6</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How is tissue obtained in a potentially protocol-eligible patient?</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A protocol condition, not an evidence question, but it requires a standing agreement so no one disqualifies a candidate inadvertently.</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7</w:t>
            </w:r>
          </w:p>
        </w:tc>
        <w:tc>
          <w:tcPr>
            <w:tcW w:type="dxa" w:w="4100"/>
            <w:tcMar>
              <w:top w:type="dxa" w:w="70"/>
              <w:left w:type="dxa" w:w="110"/>
              <w:bottom w:type="dxa" w:w="70"/>
              <w:right w:type="dxa" w:w="110"/>
            </w:tcMar>
            <w:vAlign w:val="top"/>
          </w:tcPr>
          <w:p>
            <w:pPr>
              <w:spacing w:after="0" w:line="276"/>
            </w:pPr>
            <w:r>
              <w:rPr>
                <w:color w:val="15181F"/>
                <w:sz w:val="17"/>
                <w:szCs w:val="17"/>
              </w:rPr>
              <w:t xml:space="preserve">Who owns drain management across services?</w:t>
            </w:r>
          </w:p>
        </w:tc>
        <w:tc>
          <w:tcPr>
            <w:tcW w:type="dxa" w:w="4740"/>
            <w:tcMar>
              <w:top w:type="dxa" w:w="70"/>
              <w:left w:type="dxa" w:w="110"/>
              <w:bottom w:type="dxa" w:w="70"/>
              <w:right w:type="dxa" w:w="110"/>
            </w:tcMar>
            <w:vAlign w:val="top"/>
          </w:tcPr>
          <w:p>
            <w:pPr>
              <w:spacing w:after="0" w:line="276"/>
            </w:pPr>
            <w:r>
              <w:rPr>
                <w:color w:val="15181F"/>
                <w:sz w:val="17"/>
                <w:szCs w:val="17"/>
              </w:rPr>
              <w:t xml:space="preserve">Not an evidence question. Uncoordinated drainage is a recognised failure pattern and needs a named owner.</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8</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Does a molecular (next-generation sequencing) result on an ERCP-obtained specimen satisfy the transplant protocol's confirmed-malignancy condition?</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The published protocol criteria predate these data and do not address molecular confirmation. Diagnostic performance is now supported by a prospective multi-institutional study, but the protocol question is a governance decision, not an evidence one. [PAYER]</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9</w:t>
            </w:r>
          </w:p>
        </w:tc>
        <w:tc>
          <w:tcPr>
            <w:tcW w:type="dxa" w:w="4100"/>
            <w:tcMar>
              <w:top w:type="dxa" w:w="70"/>
              <w:left w:type="dxa" w:w="110"/>
              <w:bottom w:type="dxa" w:w="70"/>
              <w:right w:type="dxa" w:w="110"/>
            </w:tcMar>
            <w:vAlign w:val="top"/>
          </w:tcPr>
          <w:p>
            <w:pPr>
              <w:spacing w:after="0" w:line="276"/>
            </w:pPr>
            <w:r>
              <w:rPr>
                <w:color w:val="15181F"/>
                <w:sz w:val="17"/>
                <w:szCs w:val="17"/>
              </w:rPr>
              <w:t xml:space="preserve">Who owns subsequent NCCN and OPTN update checks, and on what cycle?</w:t>
            </w:r>
          </w:p>
        </w:tc>
        <w:tc>
          <w:tcPr>
            <w:tcW w:type="dxa" w:w="4740"/>
            <w:tcMar>
              <w:top w:type="dxa" w:w="70"/>
              <w:left w:type="dxa" w:w="110"/>
              <w:bottom w:type="dxa" w:w="70"/>
              <w:right w:type="dxa" w:w="110"/>
            </w:tcMar>
            <w:vAlign w:val="top"/>
          </w:tcPr>
          <w:p>
            <w:pPr>
              <w:spacing w:after="0" w:line="276"/>
            </w:pPr>
            <w:r>
              <w:rPr>
                <w:color w:val="15181F"/>
                <w:sz w:val="17"/>
                <w:szCs w:val="17"/>
              </w:rPr>
              <w:t xml:space="preserve">Source reconciliation is complete in this version. Assign an owner to verify subsequent editions and current allocation requirements, ratify the documented institutional positions, and maintain the update cycle.</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10</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Adjuvant chemoradiation after R0 resection with nodal metastases?</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NCCN places nodal involvement alongside margin status as a trigger for discussing chemoradiation; BSG 2023 limits its recommendation to R1 resection, and the node-positive benefit rests on retrospective meta-analysis.</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11</w:t>
            </w:r>
          </w:p>
        </w:tc>
        <w:tc>
          <w:tcPr>
            <w:tcW w:type="dxa" w:w="4100"/>
            <w:tcMar>
              <w:top w:type="dxa" w:w="70"/>
              <w:left w:type="dxa" w:w="110"/>
              <w:bottom w:type="dxa" w:w="70"/>
              <w:right w:type="dxa" w:w="110"/>
            </w:tcMar>
            <w:vAlign w:val="top"/>
          </w:tcPr>
          <w:p>
            <w:pPr>
              <w:spacing w:after="0" w:line="276"/>
            </w:pPr>
            <w:r>
              <w:rPr>
                <w:color w:val="15181F"/>
                <w:sz w:val="17"/>
                <w:szCs w:val="17"/>
              </w:rPr>
              <w:t xml:space="preserve">Which palliative drainage volume target does the programme adopt — NCCN's more than 50%, or ESGE 2026's ideally 70% or more?</w:t>
            </w:r>
          </w:p>
        </w:tc>
        <w:tc>
          <w:tcPr>
            <w:tcW w:type="dxa" w:w="4740"/>
            <w:tcMar>
              <w:top w:type="dxa" w:w="70"/>
              <w:left w:type="dxa" w:w="110"/>
              <w:bottom w:type="dxa" w:w="70"/>
              <w:right w:type="dxa" w:w="110"/>
            </w:tcMar>
            <w:vAlign w:val="top"/>
          </w:tcPr>
          <w:p>
            <w:pPr>
              <w:spacing w:after="0" w:line="276"/>
            </w:pPr>
            <w:r>
              <w:rPr>
                <w:color w:val="15181F"/>
                <w:sz w:val="17"/>
                <w:szCs w:val="17"/>
              </w:rPr>
              <w:t xml:space="preserve">Neither was derived. No comparative trial or meta-analysis has tested a percentage threshold, the supporting cohorts disagree (50%, 71%, 80%), and both guideline statements are graded low or very low quality. The choice is a planning convention and should be written down rather than left to the endoscopist at the index ERCP.</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12</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Is first-line chemo-immunotherapy offered on the biliary-tract-wide result, given that the extrahepatic subgroup showed no effect?</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KEYNOTE-966's extrahepatic subgroup hazard ratio was 0.99 (0.73–1.35) and the trial was enriched for intrahepatic disease; TOPAZ-1 was an interim analysis with a violated proportional hazards assumption and a 1.3-month median gain. The roadmap's position is to offer it; the group should agree how it is described to a perihilar patient, because the honest answer is an extrapolation.</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13</w:t>
            </w:r>
          </w:p>
        </w:tc>
        <w:tc>
          <w:tcPr>
            <w:tcW w:type="dxa" w:w="4100"/>
            <w:tcMar>
              <w:top w:type="dxa" w:w="70"/>
              <w:left w:type="dxa" w:w="110"/>
              <w:bottom w:type="dxa" w:w="70"/>
              <w:right w:type="dxa" w:w="110"/>
            </w:tcMar>
            <w:vAlign w:val="top"/>
          </w:tcPr>
          <w:p>
            <w:pPr>
              <w:spacing w:after="0" w:line="276"/>
            </w:pPr>
            <w:r>
              <w:rPr>
                <w:color w:val="15181F"/>
                <w:sz w:val="17"/>
                <w:szCs w:val="17"/>
              </w:rPr>
              <w:t xml:space="preserve">Bilateral or unilateral stenting as the default in palliative hilar obstruction?</w:t>
            </w:r>
          </w:p>
        </w:tc>
        <w:tc>
          <w:tcPr>
            <w:tcW w:type="dxa" w:w="4740"/>
            <w:tcMar>
              <w:top w:type="dxa" w:w="70"/>
              <w:left w:type="dxa" w:w="110"/>
              <w:bottom w:type="dxa" w:w="70"/>
              <w:right w:type="dxa" w:w="110"/>
            </w:tcMar>
            <w:vAlign w:val="top"/>
          </w:tcPr>
          <w:p>
            <w:pPr>
              <w:spacing w:after="0" w:line="276"/>
            </w:pPr>
            <w:r>
              <w:rPr>
                <w:color w:val="15181F"/>
                <w:sz w:val="17"/>
                <w:szCs w:val="17"/>
              </w:rPr>
              <w:t xml:space="preserve">ASGE suggests bilateral absent lobar atrophy on a pooled survival gain of 11 days (95% CI −12 to 35) and no pooled patency difference; one randomised trial reported in ESGE 2026 favours bilateral on patency. Both panels carry declared stent-manufacturer relationships. Without a default this is decided case by case by whoever is holding the scope.</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14</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Does FISH polysomy alone satisfy the programme's diagnostic threshold for entering a patient on the transplant protocol?</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Polysomy is a named protocol criterion, but its positive predictive value in primary sclerosing cholangitis is 0.68, roughly three in ten benign PSC strictures are positive on any FISH result, and all eight studies in the pooled estimate came from one centre with overlapping cohorts. Trisomy and tetrasomy alone must be excluded explicitly, since their positive likelihood ratio is 1.19. A written local rule prevents a benign stricture entering neoadjuvant chemoradiation.</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15</w:t>
            </w:r>
          </w:p>
        </w:tc>
        <w:tc>
          <w:tcPr>
            <w:tcW w:type="dxa" w:w="4100"/>
            <w:tcMar>
              <w:top w:type="dxa" w:w="70"/>
              <w:left w:type="dxa" w:w="110"/>
              <w:bottom w:type="dxa" w:w="70"/>
              <w:right w:type="dxa" w:w="110"/>
            </w:tcMar>
            <w:vAlign w:val="top"/>
          </w:tcPr>
          <w:p>
            <w:pPr>
              <w:spacing w:after="0" w:line="276"/>
            </w:pPr>
            <w:r>
              <w:rPr>
                <w:color w:val="15181F"/>
                <w:sz w:val="17"/>
                <w:szCs w:val="17"/>
              </w:rPr>
              <w:t xml:space="preserve">A written minimum for brush passes and intraductal biopsies at the index ERCP.</w:t>
            </w:r>
          </w:p>
        </w:tc>
        <w:tc>
          <w:tcPr>
            <w:tcW w:type="dxa" w:w="4740"/>
            <w:tcMar>
              <w:top w:type="dxa" w:w="70"/>
              <w:left w:type="dxa" w:w="110"/>
              <w:bottom w:type="dxa" w:w="70"/>
              <w:right w:type="dxa" w:w="110"/>
            </w:tcMar>
            <w:vAlign w:val="top"/>
          </w:tcPr>
          <w:p>
            <w:pPr>
              <w:spacing w:after="0" w:line="276"/>
            </w:pPr>
            <w:r>
              <w:rPr>
                <w:color w:val="15181F"/>
                <w:sz w:val="17"/>
                <w:szCs w:val="17"/>
              </w:rPr>
              <w:t xml:space="preserve">ESGE says three to four biopsies appear sufficient; the real-world cohort that took a median of three had 33% inconclusive specimens and 15% biopsy sensitivity, and its authors recommend at least four. Cytology sensitivity rises with passes — 38% at 10, 47% at 20, 57% at 30. This is the cheapest available improvement in yield on the one sampling route that does not jeopardise protocol candidacy.</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16</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Left-sided versus right-sided hepatectomy where both would achieve R0.</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The Milan consensus prefers left-sided hemihepatectomy on the grounds of lower morbidity, liver failure and mortality at equal oncological outcome, and favours left trisectionectomy in Bismuth-Corlette type 4. That sits at level-4 expert opinion, so it is a preference for the group to accept or decline rather than a rule to import.</w:t>
            </w:r>
          </w:p>
        </w:tc>
      </w:tr>
    </w:tbl>
    <w:p>
      <w:pPr>
        <w:pStyle w:val="Heading1"/>
        <w:keepNext/>
        <w:pageBreakBefore/>
        <w:spacing w:after="110" w:before="320"/>
      </w:pPr>
      <w:r>
        <w:rPr>
          <w:rFonts w:ascii="Cambria" w:cs="Cambria" w:eastAsia="Cambria" w:hAnsi="Cambria"/>
          <w:b/>
          <w:bCs/>
          <w:color w:val="17365D"/>
          <w:sz w:val="32"/>
          <w:szCs w:val="32"/>
        </w:rPr>
        <w:t xml:space="preserve">Provenance</w:t>
      </w:r>
    </w:p>
    <w:p>
      <w:pPr>
        <w:spacing w:after="120" w:line="276"/>
      </w:pPr>
      <w:r>
        <w:rPr>
          <w:color w:val="15181F"/>
          <w:sz w:val="20"/>
          <w:szCs w:val="20"/>
        </w:rPr>
        <w:t xml:space="preserve">Revised on 7 October 2026 (Batch 08) after a full-text read of this page's reference depot. All 39 PubMed-indexed references were read in full and abstracted with an independent critique: 19 from the perihilar cholangiocarcinoma depot and 20 shared papers drawn from the intrahepatic CCA depot, which supplies the biliary systemic-therapy trials (ABC-02, TOPAZ-1, KEYNOTE-966, ABC-06, BILCAP, BCAT, PRODIGE-12, ASCOT), the targeted-therapy trials (ClarIDHy, FIGHT-202, FOENIX-CCA2, ROAR, HERIZON-BTC-01), the hepatic arterial infusion trial, the AASLD, BSG, ESMO 2023 and ESMO 2024 interim guidelines, and the two next-generation sequencing studies from the developing centre. Three limits of that read should be named rather than implied. First, one reference is effectively abstract-level: in Gillmeister 2026 (PMID 42698384, a brief report) the Results section did not survive text extraction, so every figure quoted from it comes from its Table 1, abstract and Discussion and is expressed per biopsy rather than per patient, and its patient count, malignancy prevalence and PSC subgroup size could not be read. Second, several linked editorials and correspondence were identified in PubMed but not obtained in full, so no critique point on this page is attributed to them: Alipour's editorial on Bardhi 2025 (PMID 40518235), Bridgewater, Webster and Amin's comment on the DRAINAGE trial (PMID 30122357), the four ABC-06 correspondence letters, and the paywalled Lancet Oncology comments on ClarIDHy, where the cost-of-benefit point is reported second-hand and should be treated as provisional. Third, SWOG S0809 is cited only as quoted by BSG 2023; the primary report is not in this depot, and the non-PubMed sources — NCCN Biliary Tract Cancers v1.2026, OPTN Policy 9, the OPTN review-board guidance, the UTHealth protocol v2, the HOPE4LIVER one-year update, the roadmap itself and its alignment worksheet — were read as documents but not abstracted or critiqued in the same way. Where a figure in the earlier draft could not be traced to any of these sources it has been replaced with one that can, and the removals are visible in the text: the reported incidence split for IDH1 between intrahepatic and extrahepatic disease, and a per-site adjuvant hazard ratio for hilar tumours, are both gone. Built from the Memorial Hermann Perihilar Cholangiocarcinoma System Roadmap, Draft v0.6, dated 4 October 2026 (with the liver-directed treatment revision of 3 October 2026), and its companion Guideline alignment worksheet of the same version and date, which compares AASLD 2023, BSG 2023, the ESMO 2024 interim update, the Asia-Pacific 2024 consensus, OPTN policy and review-board guidance, and NCCN Biliary Tract Cancers v1.2026 (10 March 2026) across sixteen areas. The gates follow the roadmap's own sequence: §2 (its Gate 0, drainage), §3 (define the extent), §4 and §4.1 (tissue and route), §5 (its Gate 1, resectable disease), §6 (its Gate 2, the transplant protocol), and §7 (its Gates 3 and 4). Allocation criteria are from OPTN Policy 9.5.A and 9.4.C–E, official PDF checked 1 October 2026, with the programme's own standard perihilar CCA protocol v2 (policy review 16 July 2026). Perihilar cholangiocarcinoma has no column in the liver-directed therapy matrix, so that section is omitted and the modality positions appear as explicit avoid items instead. This revision changed grades as well as numbers. Forty-five evidence strings were rewritten and twenty-seven of them were regraded downward where the full-text critique did not support the grade assigned from study design, and the reason is given in each string's note; the page now carries one grade-A string where it previously carried seven. No recommendation was removed: the roadmap's positions stand, and the page's job is to say how well supported each one is. This page reproduces a draft pending multidisciplinary and institutional governance review: it is not active clinical policy, it does not replace clinician judgement, and every numeric criterion must be verified against the current source before use.</w:t>
      </w:r>
    </w:p>
    <w:p>
      <w:pPr>
        <w:pStyle w:val="Heading1"/>
        <w:widowControl/>
        <w:keepNext/>
      </w:pPr>
      <w:r>
        <w:t xml:space="preserve">Systemic treatment matrix — full-text integration, 25 October 2026</w:t>
      </w:r>
    </w:p>
    <w:p>
      <w:pPr>
        <w:pStyle w:val="Normal"/>
        <w:widowControl/>
        <w:spacing w:after="120"/>
      </w:pPr>
      <w:r>
        <w:t xml:space="preserve">These systemic studies inform advanced biliary cancer care, not the established pCCA transplant-neoadjuvant regimen. Preserve biopsy-route precautions and existing staging, neoadjuvant and operative gates. ICI exposure requires prospective transplant safety review.</w:t>
      </w:r>
    </w:p>
    <w:p>
      <w:pPr>
        <w:pStyle w:val="Heading2"/>
        <w:widowControl/>
        <w:keepNext/>
      </w:pPr>
      <w:r>
        <w:t xml:space="preserve">Regimen, setting and evidence</w:t>
      </w:r>
    </w:p>
    <w:tbl>
      <w:tblPr>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110" w:type="dxa"/>
          <w:left w:w="110" w:type="dxa"/>
          <w:bottom w:w="110" w:type="dxa"/>
          <w:right w:w="110" w:type="dxa"/>
        </w:tblCellMar>
      </w:tblPr>
      <w:tblGrid>
        <w:gridCol w:w="1900"/>
        <w:gridCol w:w="4000"/>
        <w:gridCol w:w="4180"/>
      </w:tblGrid>
      <w:tr>
        <w:trPr>
          <w:cantSplit/>
          <w:tblHeader/>
        </w:trPr>
        <w:tc>
          <w:tcPr>
            <w:tcW w:w="1900" w:type="dxa"/>
            <w:vAlign w:val="top"/>
            <w:shd w:fill="17365D"/>
          </w:tcPr>
          <w:p>
            <w:pPr>
              <w:pStyle w:val="Normal"/>
              <w:widowControl/>
              <w:spacing w:after="55" w:line="240" w:lineRule="auto"/>
              <w:keepNext w:val="0"/>
              <w:keepLines/>
            </w:pPr>
            <w:r>
              <w:rPr>
                <w:sz w:val="21"/>
                <w:szCs w:val="21"/>
                <w:b/>
                <w:color w:val="FFFFFF"/>
              </w:rPr>
              <w:t xml:space="preserve">Option / setting</w:t>
            </w:r>
          </w:p>
        </w:tc>
        <w:tc>
          <w:tcPr>
            <w:tcW w:w="4000" w:type="dxa"/>
            <w:vAlign w:val="top"/>
            <w:shd w:fill="17365D"/>
          </w:tcPr>
          <w:p>
            <w:pPr>
              <w:pStyle w:val="Normal"/>
              <w:widowControl/>
              <w:spacing w:after="55" w:line="240" w:lineRule="auto"/>
              <w:keepNext w:val="0"/>
              <w:keepLines/>
            </w:pPr>
            <w:r>
              <w:rPr>
                <w:sz w:val="21"/>
                <w:szCs w:val="21"/>
                <w:b/>
                <w:color w:val="FFFFFF"/>
              </w:rPr>
              <w:t xml:space="preserve">Selection and safety</w:t>
            </w:r>
          </w:p>
        </w:tc>
        <w:tc>
          <w:tcPr>
            <w:tcW w:w="4180" w:type="dxa"/>
            <w:vAlign w:val="top"/>
            <w:shd w:fill="17365D"/>
          </w:tcPr>
          <w:p>
            <w:pPr>
              <w:pStyle w:val="Normal"/>
              <w:widowControl/>
              <w:spacing w:after="55" w:line="240" w:lineRule="auto"/>
              <w:keepNext w:val="0"/>
              <w:keepLines/>
            </w:pPr>
            <w:r>
              <w:rPr>
                <w:sz w:val="21"/>
                <w:szCs w:val="21"/>
                <w:b/>
                <w:color w:val="FFFFFF"/>
              </w:rPr>
              <w:t xml:space="preserve">Evidence and limitations</w:t>
            </w:r>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Capecitabine</w:t>
            </w:r>
          </w:p>
          <w:p>
            <w:pPr>
              <w:pStyle w:val="Normal"/>
              <w:widowControl/>
              <w:spacing w:after="55" w:line="240" w:lineRule="auto"/>
              <w:keepNext w:val="0"/>
              <w:keepLines/>
            </w:pPr>
            <w:r>
              <w:rPr>
                <w:sz w:val="21"/>
                <w:szCs w:val="21"/>
              </w:rPr>
              <w:t xml:space="preserve">After curative resection</w:t>
            </w:r>
          </w:p>
        </w:tc>
        <w:tc>
          <w:tcPr>
            <w:tcW w:w="4000" w:type="dxa"/>
            <w:vAlign w:val="top"/>
            <w:shd w:fill="F1F5F8"/>
          </w:tcPr>
          <w:p>
            <w:pPr>
              <w:pStyle w:val="Normal"/>
              <w:widowControl/>
              <w:spacing w:after="55" w:line="240" w:lineRule="auto"/>
              <w:keepNext w:val="0"/>
              <w:keepLines/>
            </w:pPr>
            <w:r>
              <w:rPr>
                <w:sz w:val="21"/>
                <w:szCs w:val="21"/>
              </w:rPr>
              <w:t xml:space="preserve">Consider approximately six months after R0/R1 resection of biliary tract cancer when recovery and organ function permit. Separate margin-directed radiation discussion from systemic treatment.</w:t>
            </w:r>
          </w:p>
        </w:tc>
        <w:tc>
          <w:tcPr>
            <w:tcW w:w="4180" w:type="dxa"/>
            <w:vAlign w:val="top"/>
            <w:shd w:fill="F1F5F8"/>
          </w:tcPr>
          <w:p>
            <w:pPr>
              <w:pStyle w:val="Normal"/>
              <w:widowControl/>
              <w:spacing w:after="55" w:line="240" w:lineRule="auto"/>
              <w:keepNext w:val="0"/>
              <w:keepLines/>
            </w:pPr>
            <w:r>
              <w:rPr>
                <w:sz w:val="21"/>
                <w:szCs w:val="21"/>
              </w:rPr>
              <w:t xml:space="preserve">BILCAP did not meet its primary intention-to-treat OS endpoint; sensitivity and per-protocol analyses supported the guideline recommendation. Not proof that every resected subgroup benefits equally.</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</w:fldData>
              </w:fldChar>
            </w:r>
            <w:r>
              <w:instrText xml:space="preserve"> ADDIN EN.CITE.DATA </w:instrText>
            </w:r>
            <w:r>
              <w:fldChar w:fldCharType="end"/>
            </w:r>
            <w:r>
              <w:fldChar w:fldCharType="separate"/>
            </w:r>
            <w:r>
              <w:t xml:space="preserve">[V12-1]</w:t>
            </w:r>
            <w:r>
              <w:fldChar w:fldCharType="end"/>
            </w:r>
            <w:r>
              <w:t xml:space="preserve"> </w:t>
            </w:r>
            <w:r>
              <w:fldChar w:fldCharType="begin"/>
            </w:r>
            <w:r>
              <w:instrText xml:space="preserve"> ADDIN EN.CITE </w:instrText>
            </w:r>
            <w:r>
              <w:fldChar w:fldCharType="begin">
                <w:fldData>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PHVybHM+PHJlbGF0ZWQtdXJscz48dXJsPmh0dHBzOi8vZG9pLm9yZy8xMC4xMDE2L2ouZXNtb29wLjIwMjQuMTA0MDAz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br/>
            </w:r>
            <w:hyperlink r:id="rId9">
              <w:r>
                <w:rPr>
                  <w:color w:val="0563C1"/>
                  <w:u w:val="single"/>
                </w:rPr>
                <w:t>Source</w:t>
              </w:r>
            </w:hyperlink>
            <w:r>
              <w:t xml:space="preserve"> · </w:t>
            </w:r>
            <w:hyperlink r:id="rId10">
              <w:r>
                <w:rPr>
                  <w:color w:val="0563C1"/>
                  <w:u w:val="single"/>
                </w:rPr>
                <w:t>PDF</w:t>
              </w:r>
            </w:hyperlink>
            <w:r>
              <w:br/>
            </w:r>
            <w:hyperlink r:id="rId11">
              <w:r>
                <w:rPr>
                  <w:color w:val="0563C1"/>
                  <w:u w:val="single"/>
                </w:rPr>
                <w:t>Source</w:t>
              </w:r>
            </w:hyperlink>
            <w:r>
              <w:t xml:space="preserve"> · </w:t>
            </w:r>
            <w:hyperlink r:id="rId12">
              <w:r>
                <w:rPr>
                  <w:color w:val="0563C1"/>
                  <w:u w:val="single"/>
                </w:rPr>
                <w:t>PDF</w:t>
              </w:r>
            </w:hyperlink>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Gemcitabine cisplatin durvalumab</w:t>
            </w:r>
          </w:p>
          <w:p>
            <w:pPr>
              <w:pStyle w:val="Normal"/>
              <w:widowControl/>
              <w:spacing w:after="55" w:line="240" w:lineRule="auto"/>
              <w:keepNext w:val="0"/>
              <w:keepLines/>
            </w:pPr>
            <w:r>
              <w:rPr>
                <w:sz w:val="21"/>
                <w:szCs w:val="21"/>
              </w:rPr>
              <w:t xml:space="preserve">Advanced first line</w:t>
            </w:r>
          </w:p>
        </w:tc>
        <w:tc>
          <w:tcPr>
            <w:tcW w:w="4000" w:type="dxa"/>
            <w:vAlign w:val="top"/>
            <w:shd w:fill="FFFFFF"/>
          </w:tcPr>
          <w:p>
            <w:pPr>
              <w:pStyle w:val="Normal"/>
              <w:widowControl/>
              <w:spacing w:after="55" w:line="240" w:lineRule="auto"/>
              <w:keepNext w:val="0"/>
              <w:keepLines/>
            </w:pPr>
            <w:r>
              <w:rPr>
                <w:sz w:val="21"/>
                <w:szCs w:val="21"/>
              </w:rPr>
              <w:t xml:space="preserve">Fit patient with unresectable or metastatic BTC, adequate drainage, no uncontrolled cholangitis and acceptable renal and immune status. Durvalumab maintenance follows the induction plan.</w:t>
            </w:r>
          </w:p>
        </w:tc>
        <w:tc>
          <w:tcPr>
            <w:tcW w:w="4180" w:type="dxa"/>
            <w:vAlign w:val="top"/>
            <w:shd w:fill="FFFFFF"/>
          </w:tcPr>
          <w:p>
            <w:pPr>
              <w:pStyle w:val="Normal"/>
              <w:widowControl/>
              <w:spacing w:after="55" w:line="240" w:lineRule="auto"/>
              <w:keepNext w:val="0"/>
              <w:keepLines/>
            </w:pPr>
            <w:r>
              <w:rPr>
                <w:sz w:val="21"/>
                <w:szCs w:val="21"/>
              </w:rPr>
              <w:t xml:space="preserve">TOPAZ-1 randomized phase III evidence improved OS versus GemCis alone. This is not the neoadjuvant chemoradiation regimen for a pCCA transplant candidate.</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r>
              <w:t xml:space="preserve"> </w:t>
            </w:r>
            <w:r>
              <w:fldChar w:fldCharType="begin"/>
            </w:r>
            <w:r>
              <w:instrText xml:space="preserve"> ADDIN EN.CITE </w:instrText>
            </w:r>
            <w:r>
              <w:fldChar w:fldCharType="begin">
                <w:fldData>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PHVybHM+PHJlbGF0ZWQtdXJscz48dXJsPmh0dHBzOi8vZG9pLm9yZy8xMC4xMDE2L2ouZXNtb29wLjIwMjQuMTA0MDAz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t xml:space="preserve"> </w:t>
            </w:r>
            <w:r>
              <w:fldChar w:fldCharType="begin"/>
            </w:r>
            <w:r>
              <w:instrText xml:space="preserve"> ADDIN EN.CITE </w:instrText>
            </w:r>
            <w:r>
              <w:fldChar w:fldCharType="begin">
                <w:fldData>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</w:fldData>
              </w:fldChar>
            </w:r>
            <w:r>
              <w:instrText xml:space="preserve"> ADDIN EN.CITE.DATA </w:instrText>
            </w:r>
            <w:r>
              <w:fldChar w:fldCharType="end"/>
            </w:r>
            <w:r>
              <w:fldChar w:fldCharType="separate"/>
            </w:r>
            <w:r>
              <w:t xml:space="preserve">[V12-4]</w:t>
            </w:r>
            <w:r>
              <w:fldChar w:fldCharType="end"/>
            </w:r>
            <w:r>
              <w:br/>
            </w:r>
            <w:hyperlink r:id="rId13">
              <w:r>
                <w:rPr>
                  <w:color w:val="0563C1"/>
                  <w:u w:val="single"/>
                </w:rPr>
                <w:t>Source</w:t>
              </w:r>
            </w:hyperlink>
            <w:r>
              <w:t xml:space="preserve"> · </w:t>
            </w:r>
            <w:hyperlink r:id="rId14">
              <w:r>
                <w:rPr>
                  <w:color w:val="0563C1"/>
                  <w:u w:val="single"/>
                </w:rPr>
                <w:t>PDF</w:t>
              </w:r>
            </w:hyperlink>
            <w:r>
              <w:br/>
            </w:r>
            <w:hyperlink r:id="rId15">
              <w:r>
                <w:rPr>
                  <w:color w:val="0563C1"/>
                  <w:u w:val="single"/>
                </w:rPr>
                <w:t>Source</w:t>
              </w:r>
            </w:hyperlink>
            <w:r>
              <w:t xml:space="preserve"> · </w:t>
            </w:r>
            <w:hyperlink r:id="rId16">
              <w:r>
                <w:rPr>
                  <w:color w:val="0563C1"/>
                  <w:u w:val="single"/>
                </w:rPr>
                <w:t>PDF</w:t>
              </w:r>
            </w:hyperlink>
            <w:r>
              <w:br/>
            </w:r>
            <w:hyperlink r:id="rId17">
              <w:r>
                <w:rPr>
                  <w:color w:val="0563C1"/>
                  <w:u w:val="single"/>
                </w:rPr>
                <w:t>Source</w:t>
              </w:r>
            </w:hyperlink>
            <w:r>
              <w:t xml:space="preserve"> · </w:t>
            </w:r>
            <w:hyperlink r:id="rId18">
              <w:r>
                <w:rPr>
                  <w:color w:val="0563C1"/>
                  <w:u w:val="single"/>
                </w:rPr>
                <w:t>PDF</w:t>
              </w:r>
            </w:hyperlink>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Gemcitabine cisplatin pembrolizumab</w:t>
            </w:r>
          </w:p>
          <w:p>
            <w:pPr>
              <w:pStyle w:val="Normal"/>
              <w:widowControl/>
              <w:spacing w:after="55" w:line="240" w:lineRule="auto"/>
              <w:keepNext w:val="0"/>
              <w:keepLines/>
            </w:pPr>
            <w:r>
              <w:rPr>
                <w:sz w:val="21"/>
                <w:szCs w:val="21"/>
              </w:rPr>
              <w:t xml:space="preserve">Advanced first line</w:t>
            </w:r>
          </w:p>
        </w:tc>
        <w:tc>
          <w:tcPr>
            <w:tcW w:w="4000" w:type="dxa"/>
            <w:vAlign w:val="top"/>
            <w:shd w:fill="F1F5F8"/>
          </w:tcPr>
          <w:p>
            <w:pPr>
              <w:pStyle w:val="Normal"/>
              <w:widowControl/>
              <w:spacing w:after="55" w:line="240" w:lineRule="auto"/>
              <w:keepNext w:val="0"/>
              <w:keepLines/>
            </w:pPr>
            <w:r>
              <w:rPr>
                <w:sz w:val="21"/>
                <w:szCs w:val="21"/>
              </w:rPr>
              <w:t xml:space="preserve">An alternative chemo-immunotherapy backbone under the same drainage, renal and immune assessment. Do not combine the two checkpoint agents or assume identical chemotherapy duration.</w:t>
            </w:r>
          </w:p>
        </w:tc>
        <w:tc>
          <w:tcPr>
            <w:tcW w:w="4180" w:type="dxa"/>
            <w:vAlign w:val="top"/>
            <w:shd w:fill="F1F5F8"/>
          </w:tcPr>
          <w:p>
            <w:pPr>
              <w:pStyle w:val="Normal"/>
              <w:widowControl/>
              <w:spacing w:after="55" w:line="240" w:lineRule="auto"/>
              <w:keepNext w:val="0"/>
              <w:keepLines/>
            </w:pPr>
            <w:r>
              <w:rPr>
                <w:sz w:val="21"/>
                <w:szCs w:val="21"/>
              </w:rPr>
              <w:t xml:space="preserve">KEYNOTE-966: OS 12.7 versus 10.9 months, HR 0.83. No head-to-head comparison with TOPAZ-1; treatment duration and populations differ.</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PHVybHM+PHJlbGF0ZWQtdXJscz48dXJsPmh0dHBzOi8vZG9pLm9yZy8xMC4xMDE2L1MwMTQwLTY3MzYoMjMpMDA3MjctNDwvdXJsPjwvcmVsYXRlZC11cmxzPjxwZGYtdXJscy8+PC91cmxzPjwvcmVjb3JkPjwvQ2l0ZT48L0VuZE5vdGU+</w:fldData>
              </w:fldChar>
            </w:r>
            <w:r>
              <w:instrText xml:space="preserve"> ADDIN EN.CITE.DATA </w:instrText>
            </w:r>
            <w:r>
              <w:fldChar w:fldCharType="end"/>
            </w:r>
            <w:r>
              <w:fldChar w:fldCharType="separate"/>
            </w:r>
            <w:r>
              <w:t xml:space="preserve">[V12-5]</w:t>
            </w:r>
            <w:r>
              <w:fldChar w:fldCharType="end"/>
            </w:r>
            <w:r>
              <w:t xml:space="preserve"> </w:t>
            </w:r>
            <w:r>
              <w:fldChar w:fldCharType="begin"/>
            </w:r>
            <w:r>
              <w:instrText xml:space="preserve"> ADDIN EN.CITE </w:instrText>
            </w:r>
            <w:r>
              <w:fldChar w:fldCharType="begin">
                <w:fldData>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PHVybHM+PHJlbGF0ZWQtdXJscz48dXJsPmh0dHBzOi8vZG9pLm9yZy8xMC4xMDE2L2ouZXNtb29wLjIwMjQuMTA0MDAz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t xml:space="preserve"> </w:t>
            </w:r>
            <w:r>
              <w:fldChar w:fldCharType="begin"/>
            </w:r>
            <w:r>
              <w:instrText xml:space="preserve"> ADDIN EN.CITE </w:instrText>
            </w:r>
            <w:r>
              <w:fldChar w:fldCharType="begin">
                <w:fldData>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</w:fldData>
              </w:fldChar>
            </w:r>
            <w:r>
              <w:instrText xml:space="preserve"> ADDIN EN.CITE.DATA </w:instrText>
            </w:r>
            <w:r>
              <w:fldChar w:fldCharType="end"/>
            </w:r>
            <w:r>
              <w:fldChar w:fldCharType="separate"/>
            </w:r>
            <w:r>
              <w:t xml:space="preserve">[V12-4]</w:t>
            </w:r>
            <w:r>
              <w:fldChar w:fldCharType="end"/>
            </w:r>
            <w:r>
              <w:br/>
            </w:r>
            <w:hyperlink r:id="rId19">
              <w:r>
                <w:rPr>
                  <w:color w:val="0563C1"/>
                  <w:u w:val="single"/>
                </w:rPr>
                <w:t>Source</w:t>
              </w:r>
            </w:hyperlink>
            <w:r>
              <w:t xml:space="preserve"> · </w:t>
            </w:r>
            <w:hyperlink r:id="rId20">
              <w:r>
                <w:rPr>
                  <w:color w:val="0563C1"/>
                  <w:u w:val="single"/>
                </w:rPr>
                <w:t>PDF</w:t>
              </w:r>
            </w:hyperlink>
            <w:r>
              <w:br/>
            </w:r>
            <w:hyperlink r:id="rId21">
              <w:r>
                <w:rPr>
                  <w:color w:val="0563C1"/>
                  <w:u w:val="single"/>
                </w:rPr>
                <w:t>Source</w:t>
              </w:r>
            </w:hyperlink>
            <w:r>
              <w:t xml:space="preserve"> · </w:t>
            </w:r>
            <w:hyperlink r:id="rId22">
              <w:r>
                <w:rPr>
                  <w:color w:val="0563C1"/>
                  <w:u w:val="single"/>
                </w:rPr>
                <w:t>PDF</w:t>
              </w:r>
            </w:hyperlink>
            <w:r>
              <w:br/>
            </w:r>
            <w:hyperlink r:id="rId23">
              <w:r>
                <w:rPr>
                  <w:color w:val="0563C1"/>
                  <w:u w:val="single"/>
                </w:rPr>
                <w:t>Source</w:t>
              </w:r>
            </w:hyperlink>
            <w:r>
              <w:t xml:space="preserve"> · </w:t>
            </w:r>
            <w:hyperlink r:id="rId24">
              <w:r>
                <w:rPr>
                  <w:color w:val="0563C1"/>
                  <w:u w:val="single"/>
                </w:rPr>
                <w:t>PDF</w:t>
              </w:r>
            </w:hyperlink>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Gemcitabine cisplatin without ICI</w:t>
            </w:r>
          </w:p>
          <w:p>
            <w:pPr>
              <w:pStyle w:val="Normal"/>
              <w:widowControl/>
              <w:spacing w:after="55" w:line="240" w:lineRule="auto"/>
              <w:keepNext w:val="0"/>
              <w:keepLines/>
            </w:pPr>
            <w:r>
              <w:rPr>
                <w:sz w:val="21"/>
                <w:szCs w:val="21"/>
              </w:rPr>
              <w:t xml:space="preserve">Selected first line</w:t>
            </w:r>
          </w:p>
        </w:tc>
        <w:tc>
          <w:tcPr>
            <w:tcW w:w="4000" w:type="dxa"/>
            <w:vAlign w:val="top"/>
            <w:shd w:fill="FFFFFF"/>
          </w:tcPr>
          <w:p>
            <w:pPr>
              <w:pStyle w:val="Normal"/>
              <w:widowControl/>
              <w:spacing w:after="55" w:line="240" w:lineRule="auto"/>
              <w:keepNext w:val="0"/>
              <w:keepLines/>
            </w:pPr>
            <w:r>
              <w:rPr>
                <w:sz w:val="21"/>
                <w:szCs w:val="21"/>
              </w:rPr>
              <w:t xml:space="preserve">When checkpoint therapy is unsuitable, including selected transplant-intent situations after joint review. Renal dysfunction or hearing impairment may require a different platinum plan; frailty may favor gemcitabine alone or symptom-focused care.</w:t>
            </w:r>
          </w:p>
        </w:tc>
        <w:tc>
          <w:tcPr>
            <w:tcW w:w="4180" w:type="dxa"/>
            <w:vAlign w:val="top"/>
            <w:shd w:fill="FFFFFF"/>
          </w:tcPr>
          <w:p>
            <w:pPr>
              <w:pStyle w:val="Normal"/>
              <w:widowControl/>
              <w:spacing w:after="55" w:line="240" w:lineRule="auto"/>
              <w:keepNext w:val="0"/>
              <w:keepLines/>
            </w:pPr>
            <w:r>
              <w:rPr>
                <w:sz w:val="21"/>
                <w:szCs w:val="21"/>
              </w:rPr>
              <w:t xml:space="preserve">ABC-02 established GemCis over gemcitabine alone. Substitution with oxaliplatin or carboplatin is not the exact TOPAZ-1 or KEYNOTE-966 regimen and requires an explicit rationale.</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PHVybHM+PHJlbGF0ZWQtdXJscz48dXJsPmh0dHBzOi8vZG9pLm9yZy8xMC4xMDU2L05FSk1vYTA5MDg3MjE8L3VybD48L3JlbGF0ZWQtdXJscz48cGRmLXVybHMvPjwvdXJscz48L3JlY29yZD48L0NpdGU+PC9FbmROb3RlPg==</w:fldData>
              </w:fldChar>
            </w:r>
            <w:r>
              <w:instrText xml:space="preserve"> ADDIN EN.CITE.DATA </w:instrText>
            </w:r>
            <w:r>
              <w:fldChar w:fldCharType="end"/>
            </w:r>
            <w:r>
              <w:fldChar w:fldCharType="separate"/>
            </w:r>
            <w:r>
              <w:t xml:space="preserve">[V12-6]</w:t>
            </w:r>
            <w:r>
              <w:fldChar w:fldCharType="end"/>
            </w:r>
            <w:r>
              <w:t xml:space="preserve"> </w:t>
            </w:r>
            <w:r>
              <w:fldChar w:fldCharType="begin"/>
            </w:r>
            <w:r>
              <w:instrText xml:space="preserve"> ADDIN EN.CITE </w:instrText>
            </w:r>
            <w:r>
              <w:fldChar w:fldCharType="begin">
                <w:fldData>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PHVybHM+PHJlbGF0ZWQtdXJscz48dXJsPmh0dHBzOi8vZG9pLm9yZy8xMC4xMDE2L2ouZXNtb29wLjIwMjQuMTA0MDAz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t xml:space="preserve"> </w:t>
            </w:r>
            <w:r>
              <w:fldChar w:fldCharType="begin"/>
            </w:r>
            <w:r>
              <w:instrText xml:space="preserve"> ADDIN EN.CITE </w:instrText>
            </w:r>
            <w:r>
              <w:fldChar w:fldCharType="begin">
                <w:fldData>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</w:fldData>
              </w:fldChar>
            </w:r>
            <w:r>
              <w:instrText xml:space="preserve"> ADDIN EN.CITE.DATA </w:instrText>
            </w:r>
            <w:r>
              <w:fldChar w:fldCharType="end"/>
            </w:r>
            <w:r>
              <w:fldChar w:fldCharType="separate"/>
            </w:r>
            <w:r>
              <w:t xml:space="preserve">[V12-4]</w:t>
            </w:r>
            <w:r>
              <w:fldChar w:fldCharType="end"/>
            </w:r>
            <w:r>
              <w:br/>
            </w:r>
            <w:hyperlink r:id="rId25">
              <w:r>
                <w:rPr>
                  <w:color w:val="0563C1"/>
                  <w:u w:val="single"/>
                </w:rPr>
                <w:t>Source</w:t>
              </w:r>
            </w:hyperlink>
            <w:r>
              <w:t xml:space="preserve"> · </w:t>
            </w:r>
            <w:hyperlink r:id="rId26">
              <w:r>
                <w:rPr>
                  <w:color w:val="0563C1"/>
                  <w:u w:val="single"/>
                </w:rPr>
                <w:t>PDF</w:t>
              </w:r>
            </w:hyperlink>
            <w:r>
              <w:br/>
            </w:r>
            <w:hyperlink r:id="rId27">
              <w:r>
                <w:rPr>
                  <w:color w:val="0563C1"/>
                  <w:u w:val="single"/>
                </w:rPr>
                <w:t>Source</w:t>
              </w:r>
            </w:hyperlink>
            <w:r>
              <w:t xml:space="preserve"> · </w:t>
            </w:r>
            <w:hyperlink r:id="rId28">
              <w:r>
                <w:rPr>
                  <w:color w:val="0563C1"/>
                  <w:u w:val="single"/>
                </w:rPr>
                <w:t>PDF</w:t>
              </w:r>
            </w:hyperlink>
            <w:r>
              <w:br/>
            </w:r>
            <w:hyperlink r:id="rId29">
              <w:r>
                <w:rPr>
                  <w:color w:val="0563C1"/>
                  <w:u w:val="single"/>
                </w:rPr>
                <w:t>Source</w:t>
              </w:r>
            </w:hyperlink>
            <w:r>
              <w:t xml:space="preserve"> · </w:t>
            </w:r>
            <w:hyperlink r:id="rId30">
              <w:r>
                <w:rPr>
                  <w:color w:val="0563C1"/>
                  <w:u w:val="single"/>
                </w:rPr>
                <w:t>PDF</w:t>
              </w:r>
            </w:hyperlink>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FOLFOX</w:t>
            </w:r>
          </w:p>
          <w:p>
            <w:pPr>
              <w:pStyle w:val="Normal"/>
              <w:widowControl/>
              <w:spacing w:after="55" w:line="240" w:lineRule="auto"/>
              <w:keepNext w:val="0"/>
              <w:keepLines/>
            </w:pPr>
            <w:r>
              <w:rPr>
                <w:sz w:val="21"/>
                <w:szCs w:val="21"/>
              </w:rPr>
              <w:t xml:space="preserve">After progression</w:t>
            </w:r>
          </w:p>
        </w:tc>
        <w:tc>
          <w:tcPr>
            <w:tcW w:w="4000" w:type="dxa"/>
            <w:vAlign w:val="top"/>
            <w:shd w:fill="F1F5F8"/>
          </w:tcPr>
          <w:p>
            <w:pPr>
              <w:pStyle w:val="Normal"/>
              <w:widowControl/>
              <w:spacing w:after="55" w:line="240" w:lineRule="auto"/>
              <w:keepNext w:val="0"/>
              <w:keepLines/>
            </w:pPr>
            <w:r>
              <w:rPr>
                <w:sz w:val="21"/>
                <w:szCs w:val="21"/>
              </w:rPr>
              <w:t xml:space="preserve">For a fit patient after GemCis-based treatment without a preferable molecular option. Recheck performance status, neuropathy, biliary sepsis and goals before second-line treatment.</w:t>
            </w:r>
          </w:p>
          <w:p>
            <w:pPr>
              <w:pStyle w:val="Normal"/>
              <w:widowControl/>
              <w:spacing w:after="55" w:line="240" w:lineRule="auto"/>
              <w:keepNext w:val="0"/>
              <w:keepLines/>
            </w:pPr>
            <w:r>
              <w:rPr>
                <w:sz w:val="21"/>
                <w:szCs w:val="21"/>
              </w:rPr>
              <w:t xml:space="preserve">Add biomarker-led branches: IDH1 ivosidenib; FGFR2 fusion/rearrangement pemigatinib/futibatinib; BRAF V600E dabrafenib/trametinib; HER2 IHC3+ zanidatamab/T-DXd; qualifying RET/NTRK/NRG1 options. Confirm current label and line. Negative plasma does not exclude a fusion; pursue tissue/RNA when feasible. Pre-LT ICI requires separate safety review.</w:t>
            </w:r>
          </w:p>
        </w:tc>
        <w:tc>
          <w:tcPr>
            <w:tcW w:w="4180" w:type="dxa"/>
            <w:vAlign w:val="top"/>
            <w:shd w:fill="F1F5F8"/>
          </w:tcPr>
          <w:p>
            <w:pPr>
              <w:pStyle w:val="Normal"/>
              <w:widowControl/>
              <w:spacing w:after="55" w:line="240" w:lineRule="auto"/>
              <w:keepNext w:val="0"/>
              <w:keepLines/>
            </w:pPr>
            <w:r>
              <w:rPr>
                <w:sz w:val="21"/>
                <w:szCs w:val="21"/>
              </w:rPr>
              <w:t xml:space="preserve">Broad tissue DNA/RNA profiling, MMR and HER2 testing at diagnosis. For eligible MSS/pMMR disease: GemCis plus durvalumab or pembrolizumab (high-quality/strong); GemCis without ICI if unsuitable (conditional). After progression without an actionable target: FOLFOX plus active symptom control or active symptom control alone (conditional). For oxaliplatin-ineligible patients, irinotecan/nal-IRI-based options have low-quality conditional support, not equal default status. Rare targets often rely on small basket cohorts. Accepted-manuscript tables/narrative contain inconsistent estimates; primary trial results govern this update.</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</w:fldData>
              </w:fldChar>
            </w:r>
            <w:r>
              <w:instrText xml:space="preserve"> ADDIN EN.CITE.DATA </w:instrText>
            </w:r>
            <w:r>
              <w:fldChar w:fldCharType="end"/>
            </w:r>
            <w:r>
              <w:fldChar w:fldCharType="separate"/>
            </w:r>
            <w:r>
              <w:t xml:space="preserve">[V12-7]</w:t>
            </w:r>
            <w:r>
              <w:fldChar w:fldCharType="end"/>
            </w:r>
            <w:r>
              <w:t xml:space="preserve"> </w:t>
            </w:r>
            <w:r>
              <w:fldChar w:fldCharType="begin"/>
            </w:r>
            <w:r>
              <w:instrText xml:space="preserve"> ADDIN EN.CITE </w:instrText>
            </w:r>
            <w:r>
              <w:fldChar w:fldCharType="begin">
                <w:fldData>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</w:fldData>
              </w:fldChar>
            </w:r>
            <w:r>
              <w:instrText xml:space="preserve"> ADDIN EN.CITE.DATA </w:instrText>
            </w:r>
            <w:r>
              <w:fldChar w:fldCharType="end"/>
            </w:r>
            <w:r>
              <w:fldChar w:fldCharType="separate"/>
            </w:r>
            <w:r>
              <w:t xml:space="preserve">[V12-4]</w:t>
            </w:r>
            <w:r>
              <w:fldChar w:fldCharType="end"/>
            </w:r>
            <w:r>
              <w:br/>
            </w:r>
            <w:hyperlink r:id="rId31">
              <w:r>
                <w:rPr>
                  <w:color w:val="0563C1"/>
                  <w:u w:val="single"/>
                </w:rPr>
                <w:t>Source</w:t>
              </w:r>
            </w:hyperlink>
            <w:r>
              <w:t xml:space="preserve"> · </w:t>
            </w:r>
            <w:hyperlink r:id="rId32">
              <w:r>
                <w:rPr>
                  <w:color w:val="0563C1"/>
                  <w:u w:val="single"/>
                </w:rPr>
                <w:t>PDF</w:t>
              </w:r>
            </w:hyperlink>
            <w:r>
              <w:br/>
            </w:r>
            <w:hyperlink r:id="rId33">
              <w:r>
                <w:rPr>
                  <w:color w:val="0563C1"/>
                  <w:u w:val="single"/>
                </w:rPr>
                <w:t>Source</w:t>
              </w:r>
            </w:hyperlink>
            <w:r>
              <w:t xml:space="preserve"> · </w:t>
            </w:r>
            <w:hyperlink r:id="rId34">
              <w:r>
                <w:rPr>
                  <w:color w:val="0563C1"/>
                  <w:u w:val="single"/>
                </w:rPr>
                <w:t>PDF</w:t>
              </w:r>
            </w:hyperlink>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Liposomal irinotecan plus fluorouracil leucovorin</w:t>
            </w:r>
          </w:p>
          <w:p>
            <w:pPr>
              <w:pStyle w:val="Normal"/>
              <w:widowControl/>
              <w:spacing w:after="55" w:line="240" w:lineRule="auto"/>
              <w:keepNext w:val="0"/>
              <w:keepLines/>
            </w:pPr>
            <w:r>
              <w:rPr>
                <w:sz w:val="21"/>
                <w:szCs w:val="21"/>
              </w:rPr>
              <w:t xml:space="preserve">Selected later line</w:t>
            </w:r>
          </w:p>
        </w:tc>
        <w:tc>
          <w:tcPr>
            <w:tcW w:w="4000" w:type="dxa"/>
            <w:vAlign w:val="top"/>
            <w:shd w:fill="FFFFFF"/>
          </w:tcPr>
          <w:p>
            <w:pPr>
              <w:pStyle w:val="Normal"/>
              <w:widowControl/>
              <w:spacing w:after="55" w:line="240" w:lineRule="auto"/>
              <w:keepNext w:val="0"/>
              <w:keepLines/>
            </w:pPr>
            <w:r>
              <w:rPr>
                <w:sz w:val="21"/>
                <w:szCs w:val="21"/>
              </w:rPr>
              <w:t xml:space="preserve">Discuss only with an explicit explanation of the inconsistent randomized evidence, prior irinotecan exposure, bilirubin and diarrhea risk. Not an interchangeable default with FOLFOX.</w:t>
            </w:r>
          </w:p>
          <w:p>
            <w:pPr>
              <w:pStyle w:val="Normal"/>
              <w:widowControl/>
              <w:spacing w:after="55" w:line="240" w:lineRule="auto"/>
              <w:keepNext w:val="0"/>
              <w:keepLines/>
            </w:pPr>
            <w:r>
              <w:rPr>
                <w:sz w:val="21"/>
                <w:szCs w:val="21"/>
              </w:rPr>
              <w:t xml:space="preserve">Show NALIRICC alongside NIFTY. Do not call nal-IRI/5-FU an unqualified preferred second-line BTC regimen. Consider only a qualified alternative after target review, especially if oxaliplatin is unsuitable, with explicit benefit/toxicity discussion.</w:t>
            </w:r>
          </w:p>
        </w:tc>
        <w:tc>
          <w:tcPr>
            <w:tcW w:w="4180" w:type="dxa"/>
            <w:vAlign w:val="top"/>
            <w:shd w:fill="FFFFFF"/>
          </w:tcPr>
          <w:p>
            <w:pPr>
              <w:pStyle w:val="Normal"/>
              <w:widowControl/>
              <w:spacing w:after="55" w:line="240" w:lineRule="auto"/>
              <w:keepNext w:val="0"/>
              <w:keepLines/>
            </w:pPr>
            <w:r>
              <w:rPr>
                <w:sz w:val="21"/>
                <w:szCs w:val="21"/>
              </w:rPr>
              <w:t xml:space="preserve">PFS 2.6 versus 2.3 months, HR 0.87 (0.56–1.35); OS 6.9 versus 8.2 months, HR 1.08 (0.68–1.72). ORR 14% versus 4% did not translate into PFS/OS benefit. Grade ≥3 events 71% versus 50%; treatment-related serious events 33% versus 2%. Small phase II trial; subsequent therapy differed (more control patients received later therapy). This does not erase the negative primary PFS result. Contrasts with positive NIFTY; population and treatment differences do not resolve the inconsistency.</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PHVybHM+PHJlbGF0ZWQtdXJscz48dXJsPmh0dHBzOi8vZG9pLm9yZy8xMC4xMDE2L2ouZXNtb29wLjIwMjQuMTA0MDAz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t xml:space="preserve"> </w:t>
            </w:r>
            <w:r>
              <w:fldChar w:fldCharType="begin"/>
            </w:r>
            <w:r>
              <w:instrText xml:space="preserve"> ADDIN EN.CITE </w:instrText>
            </w:r>
            <w:r>
              <w:fldChar w:fldCharType="begin">
                <w:fldData>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</w:fldData>
              </w:fldChar>
            </w:r>
            <w:r>
              <w:instrText xml:space="preserve"> ADDIN EN.CITE.DATA </w:instrText>
            </w:r>
            <w:r>
              <w:fldChar w:fldCharType="end"/>
            </w:r>
            <w:r>
              <w:fldChar w:fldCharType="separate"/>
            </w:r>
            <w:r>
              <w:t xml:space="preserve">[V12-8]</w:t>
            </w:r>
            <w:r>
              <w:fldChar w:fldCharType="end"/>
            </w:r>
            <w:r>
              <w:t xml:space="preserve"> </w:t>
            </w:r>
            <w:r>
              <w:fldChar w:fldCharType="begin"/>
            </w:r>
            <w:r>
              <w:instrText xml:space="preserve"> ADDIN EN.CITE </w:instrText>
            </w:r>
            <w:r>
              <w:fldChar w:fldCharType="begin">
                <w:fldData>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</w:fldData>
              </w:fldChar>
            </w:r>
            <w:r>
              <w:instrText xml:space="preserve"> ADDIN EN.CITE.DATA </w:instrText>
            </w:r>
            <w:r>
              <w:fldChar w:fldCharType="end"/>
            </w:r>
            <w:r>
              <w:fldChar w:fldCharType="separate"/>
            </w:r>
            <w:r>
              <w:t xml:space="preserve">[V12-4]</w:t>
            </w:r>
            <w:r>
              <w:fldChar w:fldCharType="end"/>
            </w:r>
            <w:r>
              <w:br/>
            </w:r>
            <w:hyperlink r:id="rId35">
              <w:r>
                <w:rPr>
                  <w:color w:val="0563C1"/>
                  <w:u w:val="single"/>
                </w:rPr>
                <w:t>Source</w:t>
              </w:r>
            </w:hyperlink>
            <w:r>
              <w:t xml:space="preserve"> · </w:t>
            </w:r>
            <w:hyperlink r:id="rId36">
              <w:r>
                <w:rPr>
                  <w:color w:val="0563C1"/>
                  <w:u w:val="single"/>
                </w:rPr>
                <w:t>PDF</w:t>
              </w:r>
            </w:hyperlink>
            <w:r>
              <w:br/>
            </w:r>
            <w:hyperlink r:id="rId37">
              <w:r>
                <w:rPr>
                  <w:color w:val="0563C1"/>
                  <w:u w:val="single"/>
                </w:rPr>
                <w:t>Source</w:t>
              </w:r>
            </w:hyperlink>
            <w:r>
              <w:t xml:space="preserve"> · </w:t>
            </w:r>
            <w:hyperlink r:id="rId38">
              <w:r>
                <w:rPr>
                  <w:color w:val="0563C1"/>
                  <w:u w:val="single"/>
                </w:rPr>
                <w:t>PDF</w:t>
              </w:r>
            </w:hyperlink>
            <w:r>
              <w:br/>
            </w:r>
            <w:hyperlink r:id="rId39">
              <w:r>
                <w:rPr>
                  <w:color w:val="0563C1"/>
                  <w:u w:val="single"/>
                </w:rPr>
                <w:t>Source</w:t>
              </w:r>
            </w:hyperlink>
            <w:r>
              <w:t xml:space="preserve"> · </w:t>
            </w:r>
            <w:hyperlink r:id="rId40">
              <w:r>
                <w:rPr>
                  <w:color w:val="0563C1"/>
                  <w:u w:val="single"/>
                </w:rPr>
                <w:t>PDF</w:t>
              </w:r>
            </w:hyperlink>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Pemigatinib or futibatinib</w:t>
            </w:r>
          </w:p>
          <w:p>
            <w:pPr>
              <w:pStyle w:val="Normal"/>
              <w:widowControl/>
              <w:spacing w:after="55" w:line="240" w:lineRule="auto"/>
              <w:keepNext w:val="0"/>
              <w:keepLines/>
            </w:pPr>
            <w:r>
              <w:rPr>
                <w:sz w:val="21"/>
                <w:szCs w:val="21"/>
              </w:rPr>
              <w:t xml:space="preserve">FGFR2 fusion or rearrangement</w:t>
            </w:r>
          </w:p>
        </w:tc>
        <w:tc>
          <w:tcPr>
            <w:tcW w:w="4000" w:type="dxa"/>
            <w:vAlign w:val="top"/>
            <w:shd w:fill="F1F5F8"/>
          </w:tcPr>
          <w:p>
            <w:pPr>
              <w:pStyle w:val="Normal"/>
              <w:widowControl/>
              <w:spacing w:after="55" w:line="240" w:lineRule="auto"/>
              <w:keepNext w:val="0"/>
              <w:keepLines/>
            </w:pPr>
            <w:r>
              <w:rPr>
                <w:sz w:val="21"/>
                <w:szCs w:val="21"/>
              </w:rPr>
              <w:t xml:space="preserve">After prior systemic therapy in the eligible molecular population; the futibatinib indication is iCCA. Confirm a qualifying fusion or rearrangement, not an arbitrary FGFR mutation. Monitor phosphate and ocular toxicity.</w:t>
            </w:r>
          </w:p>
        </w:tc>
        <w:tc>
          <w:tcPr>
            <w:tcW w:w="4180" w:type="dxa"/>
            <w:vAlign w:val="top"/>
            <w:shd w:fill="F1F5F8"/>
          </w:tcPr>
          <w:p>
            <w:pPr>
              <w:pStyle w:val="Normal"/>
              <w:widowControl/>
              <w:spacing w:after="55" w:line="240" w:lineRule="auto"/>
              <w:keepNext w:val="0"/>
              <w:keepLines/>
            </w:pPr>
            <w:r>
              <w:rPr>
                <w:sz w:val="21"/>
                <w:szCs w:val="21"/>
              </w:rPr>
              <w:t xml:space="preserve">FIGHT-202 and FOENIX-CCA2 are single-arm studies. Response and disease-control evidence do not establish a preferred FGFR drug, first-line superiority or efficacy after every prior FGFR inhibitor.</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</w:fldData>
              </w:fldChar>
            </w:r>
            <w:r>
              <w:instrText xml:space="preserve"> ADDIN EN.CITE.DATA </w:instrText>
            </w:r>
            <w:r>
              <w:fldChar w:fldCharType="end"/>
            </w:r>
            <w:r>
              <w:fldChar w:fldCharType="separate"/>
            </w:r>
            <w:r>
              <w:t xml:space="preserve">[V12-9]</w:t>
            </w:r>
            <w:r>
              <w:fldChar w:fldCharType="end"/>
            </w:r>
            <w:r>
              <w:t xml:space="preserve"> </w:t>
            </w:r>
            <w:r>
              <w:fldChar w:fldCharType="begin"/>
            </w:r>
            <w:r>
              <w:instrText xml:space="preserve"> ADDIN EN.CITE </w:instrText>
            </w:r>
            <w:r>
              <w:fldChar w:fldCharType="begin">
                <w:fldData>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</w:fldData>
              </w:fldChar>
            </w:r>
            <w:r>
              <w:instrText xml:space="preserve"> ADDIN EN.CITE.DATA </w:instrText>
            </w:r>
            <w:r>
              <w:fldChar w:fldCharType="end"/>
            </w:r>
            <w:r>
              <w:fldChar w:fldCharType="separate"/>
            </w:r>
            <w:r>
              <w:t xml:space="preserve">[V12-10]</w:t>
            </w:r>
            <w:r>
              <w:fldChar w:fldCharType="end"/>
            </w:r>
            <w:r>
              <w:t xml:space="preserve"> </w:t>
            </w:r>
            <w:r>
              <w:fldChar w:fldCharType="begin"/>
            </w:r>
            <w:r>
              <w:instrText xml:space="preserve"> ADDIN EN.CITE </w:instrText>
            </w:r>
            <w:r>
              <w:fldChar w:fldCharType="begin">
                <w:fldData>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</w:fldData>
              </w:fldChar>
            </w:r>
            <w:r>
              <w:instrText xml:space="preserve"> ADDIN EN.CITE.DATA </w:instrText>
            </w:r>
            <w:r>
              <w:fldChar w:fldCharType="end"/>
            </w:r>
            <w:r>
              <w:fldChar w:fldCharType="separate"/>
            </w:r>
            <w:r>
              <w:t xml:space="preserve">[V12-4]</w:t>
            </w:r>
            <w:r>
              <w:fldChar w:fldCharType="end"/>
            </w:r>
            <w:r>
              <w:br/>
            </w:r>
            <w:hyperlink r:id="rId41">
              <w:r>
                <w:rPr>
                  <w:color w:val="0563C1"/>
                  <w:u w:val="single"/>
                </w:rPr>
                <w:t>Source</w:t>
              </w:r>
            </w:hyperlink>
            <w:r>
              <w:t xml:space="preserve"> · </w:t>
            </w:r>
            <w:hyperlink r:id="rId42">
              <w:r>
                <w:rPr>
                  <w:color w:val="0563C1"/>
                  <w:u w:val="single"/>
                </w:rPr>
                <w:t>PDF</w:t>
              </w:r>
            </w:hyperlink>
            <w:r>
              <w:br/>
            </w:r>
            <w:hyperlink r:id="rId43">
              <w:r>
                <w:rPr>
                  <w:color w:val="0563C1"/>
                  <w:u w:val="single"/>
                </w:rPr>
                <w:t>Source</w:t>
              </w:r>
            </w:hyperlink>
            <w:r>
              <w:t xml:space="preserve"> · </w:t>
            </w:r>
            <w:hyperlink r:id="rId44">
              <w:r>
                <w:rPr>
                  <w:color w:val="0563C1"/>
                  <w:u w:val="single"/>
                </w:rPr>
                <w:t>PDF</w:t>
              </w:r>
            </w:hyperlink>
            <w:r>
              <w:br/>
            </w:r>
            <w:hyperlink r:id="rId45">
              <w:r>
                <w:rPr>
                  <w:color w:val="0563C1"/>
                  <w:u w:val="single"/>
                </w:rPr>
                <w:t>Source</w:t>
              </w:r>
            </w:hyperlink>
            <w:r>
              <w:t xml:space="preserve"> · </w:t>
            </w:r>
            <w:hyperlink r:id="rId46">
              <w:r>
                <w:rPr>
                  <w:color w:val="0563C1"/>
                  <w:u w:val="single"/>
                </w:rPr>
                <w:t>PDF</w:t>
              </w:r>
            </w:hyperlink>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Ivosidenib</w:t>
            </w:r>
          </w:p>
          <w:p>
            <w:pPr>
              <w:pStyle w:val="Normal"/>
              <w:widowControl/>
              <w:spacing w:after="55" w:line="240" w:lineRule="auto"/>
              <w:keepNext w:val="0"/>
              <w:keepLines/>
            </w:pPr>
            <w:r>
              <w:rPr>
                <w:sz w:val="21"/>
                <w:szCs w:val="21"/>
              </w:rPr>
              <w:t xml:space="preserve">IDH1 mutated CCA</w:t>
            </w:r>
          </w:p>
        </w:tc>
        <w:tc>
          <w:tcPr>
            <w:tcW w:w="4000" w:type="dxa"/>
            <w:vAlign w:val="top"/>
            <w:shd w:fill="FFFFFF"/>
          </w:tcPr>
          <w:p>
            <w:pPr>
              <w:pStyle w:val="Normal"/>
              <w:widowControl/>
              <w:spacing w:after="55" w:line="240" w:lineRule="auto"/>
              <w:keepNext w:val="0"/>
              <w:keepLines/>
            </w:pPr>
            <w:r>
              <w:rPr>
                <w:sz w:val="21"/>
                <w:szCs w:val="21"/>
              </w:rPr>
              <w:t xml:space="preserve">Previously treated advanced CCA with a susceptible IDH1 mutation. Review QT interval, interacting drugs and ability to take oral therapy.</w:t>
            </w:r>
          </w:p>
        </w:tc>
        <w:tc>
          <w:tcPr>
            <w:tcW w:w="4180" w:type="dxa"/>
            <w:vAlign w:val="top"/>
            <w:shd w:fill="FFFFFF"/>
          </w:tcPr>
          <w:p>
            <w:pPr>
              <w:pStyle w:val="Normal"/>
              <w:widowControl/>
              <w:spacing w:after="55" w:line="240" w:lineRule="auto"/>
              <w:keepNext w:val="0"/>
              <w:keepLines/>
            </w:pPr>
            <w:r>
              <w:rPr>
                <w:sz w:val="21"/>
                <w:szCs w:val="21"/>
              </w:rPr>
              <w:t xml:space="preserve">ClarIDHy randomized evidence improved PFS. Crossover complicates OS interpretation; do not equate a disease-control benefit with a high tumor-shrinkage rate.</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PHVybHM+PHJlbGF0ZWQtdXJscz48dXJsPmh0dHBzOi8vZG9pLm9yZy8xMC4xMDAxL2phbWFvbmNvbC4yMDIxLjM4MzY8L3VybD48L3JlbGF0ZWQtdXJscz48cGRmLXVybHMvPjwvdXJscz48L3JlY29yZD48L0NpdGU+PC9FbmROb3RlPg==</w:fldData>
              </w:fldChar>
            </w:r>
            <w:r>
              <w:instrText xml:space="preserve"> ADDIN EN.CITE.DATA </w:instrText>
            </w:r>
            <w:r>
              <w:fldChar w:fldCharType="end"/>
            </w:r>
            <w:r>
              <w:fldChar w:fldCharType="separate"/>
            </w:r>
            <w:r>
              <w:t xml:space="preserve">[V12-11]</w:t>
            </w:r>
            <w:r>
              <w:fldChar w:fldCharType="end"/>
            </w:r>
            <w:r>
              <w:t xml:space="preserve"> </w:t>
            </w:r>
            <w:r>
              <w:fldChar w:fldCharType="begin"/>
            </w:r>
            <w:r>
              <w:instrText xml:space="preserve"> ADDIN EN.CITE </w:instrText>
            </w:r>
            <w:r>
              <w:fldChar w:fldCharType="begin">
                <w:fldData>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PHVybHM+PHJlbGF0ZWQtdXJscz48dXJsPmh0dHBzOi8vZG9pLm9yZy8xMC4xMDE2L2ouZXNtb29wLjIwMjQuMTA0MDAz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t xml:space="preserve"> </w:t>
            </w:r>
            <w:r>
              <w:fldChar w:fldCharType="begin"/>
            </w:r>
            <w:r>
              <w:instrText xml:space="preserve"> ADDIN EN.CITE </w:instrText>
            </w:r>
            <w:r>
              <w:fldChar w:fldCharType="begin">
                <w:fldData>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</w:fldData>
              </w:fldChar>
            </w:r>
            <w:r>
              <w:instrText xml:space="preserve"> ADDIN EN.CITE.DATA </w:instrText>
            </w:r>
            <w:r>
              <w:fldChar w:fldCharType="end"/>
            </w:r>
            <w:r>
              <w:fldChar w:fldCharType="separate"/>
            </w:r>
            <w:r>
              <w:t xml:space="preserve">[V12-4]</w:t>
            </w:r>
            <w:r>
              <w:fldChar w:fldCharType="end"/>
            </w:r>
            <w:r>
              <w:br/>
            </w:r>
            <w:hyperlink r:id="rId47">
              <w:r>
                <w:rPr>
                  <w:color w:val="0563C1"/>
                  <w:u w:val="single"/>
                </w:rPr>
                <w:t>Source</w:t>
              </w:r>
            </w:hyperlink>
            <w:r>
              <w:t xml:space="preserve"> · </w:t>
            </w:r>
            <w:hyperlink r:id="rId48">
              <w:r>
                <w:rPr>
                  <w:color w:val="0563C1"/>
                  <w:u w:val="single"/>
                </w:rPr>
                <w:t>PDF</w:t>
              </w:r>
            </w:hyperlink>
            <w:r>
              <w:br/>
            </w:r>
            <w:hyperlink r:id="rId49">
              <w:r>
                <w:rPr>
                  <w:color w:val="0563C1"/>
                  <w:u w:val="single"/>
                </w:rPr>
                <w:t>Source</w:t>
              </w:r>
            </w:hyperlink>
            <w:r>
              <w:t xml:space="preserve"> · </w:t>
            </w:r>
            <w:hyperlink r:id="rId50">
              <w:r>
                <w:rPr>
                  <w:color w:val="0563C1"/>
                  <w:u w:val="single"/>
                </w:rPr>
                <w:t>PDF</w:t>
              </w:r>
            </w:hyperlink>
            <w:r>
              <w:br/>
            </w:r>
            <w:hyperlink r:id="rId51">
              <w:r>
                <w:rPr>
                  <w:color w:val="0563C1"/>
                  <w:u w:val="single"/>
                </w:rPr>
                <w:t>Source</w:t>
              </w:r>
            </w:hyperlink>
            <w:r>
              <w:t xml:space="preserve"> · </w:t>
            </w:r>
            <w:hyperlink r:id="rId52">
              <w:r>
                <w:rPr>
                  <w:color w:val="0563C1"/>
                  <w:u w:val="single"/>
                </w:rPr>
                <w:t>PDF</w:t>
              </w:r>
            </w:hyperlink>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Dabrafenib trametinib</w:t>
            </w:r>
          </w:p>
          <w:p>
            <w:pPr>
              <w:pStyle w:val="Normal"/>
              <w:widowControl/>
              <w:spacing w:after="55" w:line="240" w:lineRule="auto"/>
              <w:keepNext w:val="0"/>
              <w:keepLines/>
            </w:pPr>
            <w:r>
              <w:rPr>
                <w:sz w:val="21"/>
                <w:szCs w:val="21"/>
              </w:rPr>
              <w:t xml:space="preserve">BRAF V600E</w:t>
            </w:r>
          </w:p>
        </w:tc>
        <w:tc>
          <w:tcPr>
            <w:tcW w:w="4000" w:type="dxa"/>
            <w:vAlign w:val="top"/>
            <w:shd w:fill="F1F5F8"/>
          </w:tcPr>
          <w:p>
            <w:pPr>
              <w:pStyle w:val="Normal"/>
              <w:widowControl/>
              <w:spacing w:after="55" w:line="240" w:lineRule="auto"/>
              <w:keepNext w:val="0"/>
              <w:keepLines/>
            </w:pPr>
            <w:r>
              <w:rPr>
                <w:sz w:val="21"/>
                <w:szCs w:val="21"/>
              </w:rPr>
              <w:t xml:space="preserve">Selected previously treated BRAF V600E BTC under the applicable tumor-agnostic indication and molecular review. Monitor fever, cardiac function and ocular toxicity.</w:t>
            </w:r>
          </w:p>
        </w:tc>
        <w:tc>
          <w:tcPr>
            <w:tcW w:w="4180" w:type="dxa"/>
            <w:vAlign w:val="top"/>
            <w:shd w:fill="F1F5F8"/>
          </w:tcPr>
          <w:p>
            <w:pPr>
              <w:pStyle w:val="Normal"/>
              <w:widowControl/>
              <w:spacing w:after="55" w:line="240" w:lineRule="auto"/>
              <w:keepNext w:val="0"/>
              <w:keepLines/>
            </w:pPr>
            <w:r>
              <w:rPr>
                <w:sz w:val="21"/>
                <w:szCs w:val="21"/>
              </w:rPr>
              <w:t xml:space="preserve">ROAR supports activity in a biomarker-selected single-arm cohort. BRAF non-V600E mutations are not equivalent; this is not the colorectal BRAF regimen.</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</w:fldData>
              </w:fldChar>
            </w:r>
            <w:r>
              <w:instrText xml:space="preserve"> ADDIN EN.CITE.DATA </w:instrText>
            </w:r>
            <w:r>
              <w:fldChar w:fldCharType="end"/>
            </w:r>
            <w:r>
              <w:fldChar w:fldCharType="separate"/>
            </w:r>
            <w:r>
              <w:t xml:space="preserve">[V12-12]</w:t>
            </w:r>
            <w:r>
              <w:fldChar w:fldCharType="end"/>
            </w:r>
            <w:r>
              <w:t xml:space="preserve"> </w:t>
            </w:r>
            <w:r>
              <w:fldChar w:fldCharType="begin"/>
            </w:r>
            <w:r>
              <w:instrText xml:space="preserve"> ADDIN EN.CITE </w:instrText>
            </w:r>
            <w:r>
              <w:fldChar w:fldCharType="begin">
                <w:fldData>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PHVybHM+PHJlbGF0ZWQtdXJscz48dXJsPmh0dHBzOi8vZG9pLm9yZy8xMC4xMDE2L2ouZXNtb29wLjIwMjQuMTA0MDAz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t xml:space="preserve"> </w:t>
            </w:r>
            <w:r>
              <w:fldChar w:fldCharType="begin"/>
            </w:r>
            <w:r>
              <w:instrText xml:space="preserve"> ADDIN EN.CITE </w:instrText>
            </w:r>
            <w:r>
              <w:fldChar w:fldCharType="begin">
                <w:fldData>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</w:fldData>
              </w:fldChar>
            </w:r>
            <w:r>
              <w:instrText xml:space="preserve"> ADDIN EN.CITE.DATA </w:instrText>
            </w:r>
            <w:r>
              <w:fldChar w:fldCharType="end"/>
            </w:r>
            <w:r>
              <w:fldChar w:fldCharType="separate"/>
            </w:r>
            <w:r>
              <w:t xml:space="preserve">[V12-4]</w:t>
            </w:r>
            <w:r>
              <w:fldChar w:fldCharType="end"/>
            </w:r>
            <w:r>
              <w:br/>
            </w:r>
            <w:hyperlink r:id="rId53">
              <w:r>
                <w:rPr>
                  <w:color w:val="0563C1"/>
                  <w:u w:val="single"/>
                </w:rPr>
                <w:t>Source</w:t>
              </w:r>
            </w:hyperlink>
            <w:r>
              <w:t xml:space="preserve"> · </w:t>
            </w:r>
            <w:hyperlink r:id="rId54">
              <w:r>
                <w:rPr>
                  <w:color w:val="0563C1"/>
                  <w:u w:val="single"/>
                </w:rPr>
                <w:t>PDF</w:t>
              </w:r>
            </w:hyperlink>
            <w:r>
              <w:br/>
            </w:r>
            <w:hyperlink r:id="rId55">
              <w:r>
                <w:rPr>
                  <w:color w:val="0563C1"/>
                  <w:u w:val="single"/>
                </w:rPr>
                <w:t>Source</w:t>
              </w:r>
            </w:hyperlink>
            <w:r>
              <w:t xml:space="preserve"> · </w:t>
            </w:r>
            <w:hyperlink r:id="rId56">
              <w:r>
                <w:rPr>
                  <w:color w:val="0563C1"/>
                  <w:u w:val="single"/>
                </w:rPr>
                <w:t>PDF</w:t>
              </w:r>
            </w:hyperlink>
            <w:r>
              <w:br/>
            </w:r>
            <w:hyperlink r:id="rId57">
              <w:r>
                <w:rPr>
                  <w:color w:val="0563C1"/>
                  <w:u w:val="single"/>
                </w:rPr>
                <w:t>Source</w:t>
              </w:r>
            </w:hyperlink>
            <w:r>
              <w:t xml:space="preserve"> · </w:t>
            </w:r>
            <w:hyperlink r:id="rId58">
              <w:r>
                <w:rPr>
                  <w:color w:val="0563C1"/>
                  <w:u w:val="single"/>
                </w:rPr>
                <w:t>PDF</w:t>
              </w:r>
            </w:hyperlink>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Zanidatamab</w:t>
            </w:r>
          </w:p>
          <w:p>
            <w:pPr>
              <w:pStyle w:val="Normal"/>
              <w:widowControl/>
              <w:spacing w:after="55" w:line="240" w:lineRule="auto"/>
              <w:keepNext w:val="0"/>
              <w:keepLines/>
            </w:pPr>
            <w:r>
              <w:rPr>
                <w:sz w:val="21"/>
                <w:szCs w:val="21"/>
              </w:rPr>
              <w:t xml:space="preserve">HER2 positive BTC</w:t>
            </w:r>
          </w:p>
        </w:tc>
        <w:tc>
          <w:tcPr>
            <w:tcW w:w="4000" w:type="dxa"/>
            <w:vAlign w:val="top"/>
            <w:shd w:fill="FFFFFF"/>
          </w:tcPr>
          <w:p>
            <w:pPr>
              <w:pStyle w:val="Normal"/>
              <w:widowControl/>
              <w:spacing w:after="55" w:line="240" w:lineRule="auto"/>
              <w:keepNext w:val="0"/>
              <w:keepLines/>
            </w:pPr>
            <w:r>
              <w:rPr>
                <w:sz w:val="21"/>
                <w:szCs w:val="21"/>
              </w:rPr>
              <w:t xml:space="preserve">Previously treated unresectable or metastatic HER2 IHC 3+ BTC under the US indication. Confirm assay and cardiac suitability; monitor infusion reactions and diarrhea.</w:t>
            </w:r>
          </w:p>
        </w:tc>
        <w:tc>
          <w:tcPr>
            <w:tcW w:w="4180" w:type="dxa"/>
            <w:vAlign w:val="top"/>
            <w:shd w:fill="FFFFFF"/>
          </w:tcPr>
          <w:p>
            <w:pPr>
              <w:pStyle w:val="Normal"/>
              <w:widowControl/>
              <w:spacing w:after="55" w:line="240" w:lineRule="auto"/>
              <w:keepNext w:val="0"/>
              <w:keepLines/>
            </w:pPr>
            <w:r>
              <w:rPr>
                <w:sz w:val="21"/>
                <w:szCs w:val="21"/>
              </w:rPr>
              <w:t xml:space="preserve">FDA accelerated approval based on HERIZON-BTC-01: ORR 52%, median response duration 14.9 months in 62 IHC 3+ patients. HER2 amplification alone or IHC 2+ is not the same label population.</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</w:fldData>
              </w:fldChar>
            </w:r>
            <w:r>
              <w:instrText xml:space="preserve"> ADDIN EN.CITE.DATA </w:instrText>
            </w:r>
            <w:r>
              <w:fldChar w:fldCharType="end"/>
            </w:r>
            <w:r>
              <w:fldChar w:fldCharType="separate"/>
            </w:r>
            <w:r>
              <w:t xml:space="preserve">[V12-13]</w:t>
            </w:r>
            <w:r>
              <w:fldChar w:fldCharType="end"/>
            </w:r>
            <w:r>
              <w:t xml:space="preserve"> </w:t>
            </w:r>
            <w:r>
              <w:fldChar w:fldCharType="begin"/>
            </w:r>
            <w:r>
              <w:instrText xml:space="preserve"> ADDIN EN.CITE </w:instrText>
            </w:r>
            <w:r>
              <w:fldChar w:fldCharType="begin">
                <w:fldData>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PHVybHM+PHJlbGF0ZWQtdXJscz48dXJsPmh0dHBzOi8vZG9pLm9yZy8xMC4xMDE2L2ouZXNtb29wLjIwMjQuMTA0MDAz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t xml:space="preserve"> </w:t>
            </w:r>
            <w:r>
              <w:fldChar w:fldCharType="begin"/>
            </w:r>
            <w:r>
              <w:instrText xml:space="preserve"> ADDIN EN.CITE </w:instrText>
            </w:r>
            <w:r>
              <w:fldChar w:fldCharType="begin">
                <w:fldData>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</w:fldData>
              </w:fldChar>
            </w:r>
            <w:r>
              <w:instrText xml:space="preserve"> ADDIN EN.CITE.DATA </w:instrText>
            </w:r>
            <w:r>
              <w:fldChar w:fldCharType="end"/>
            </w:r>
            <w:r>
              <w:fldChar w:fldCharType="separate"/>
            </w:r>
            <w:r>
              <w:t xml:space="preserve">[V12-4]</w:t>
            </w:r>
            <w:r>
              <w:fldChar w:fldCharType="end"/>
            </w:r>
            <w:r>
              <w:br/>
            </w:r>
            <w:hyperlink r:id="rId59">
              <w:r>
                <w:rPr>
                  <w:color w:val="0563C1"/>
                  <w:u w:val="single"/>
                </w:rPr>
                <w:t>Source</w:t>
              </w:r>
            </w:hyperlink>
            <w:r>
              <w:t xml:space="preserve"> · </w:t>
            </w:r>
            <w:r>
              <w:t xml:space="preserve">full PDF pending</w:t>
            </w:r>
            <w:r>
              <w:br/>
            </w:r>
            <w:hyperlink r:id="rId60">
              <w:r>
                <w:rPr>
                  <w:color w:val="0563C1"/>
                  <w:u w:val="single"/>
                </w:rPr>
                <w:t>Source</w:t>
              </w:r>
            </w:hyperlink>
            <w:r>
              <w:t xml:space="preserve"> · </w:t>
            </w:r>
            <w:hyperlink r:id="rId61">
              <w:r>
                <w:rPr>
                  <w:color w:val="0563C1"/>
                  <w:u w:val="single"/>
                </w:rPr>
                <w:t>PDF</w:t>
              </w:r>
            </w:hyperlink>
            <w:r>
              <w:br/>
            </w:r>
            <w:hyperlink r:id="rId62">
              <w:r>
                <w:rPr>
                  <w:color w:val="0563C1"/>
                  <w:u w:val="single"/>
                </w:rPr>
                <w:t>Source</w:t>
              </w:r>
            </w:hyperlink>
            <w:r>
              <w:t xml:space="preserve"> · </w:t>
            </w:r>
            <w:hyperlink r:id="rId63">
              <w:r>
                <w:rPr>
                  <w:color w:val="0563C1"/>
                  <w:u w:val="single"/>
                </w:rPr>
                <w:t>PDF</w:t>
              </w:r>
            </w:hyperlink>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Zenocutuzumab</w:t>
            </w:r>
          </w:p>
          <w:p>
            <w:pPr>
              <w:pStyle w:val="Normal"/>
              <w:widowControl/>
              <w:spacing w:after="55" w:line="240" w:lineRule="auto"/>
              <w:keepNext w:val="0"/>
              <w:keepLines/>
            </w:pPr>
            <w:r>
              <w:rPr>
                <w:sz w:val="21"/>
                <w:szCs w:val="21"/>
              </w:rPr>
              <w:t xml:space="preserve">NRG1 fusion CCA</w:t>
            </w:r>
          </w:p>
        </w:tc>
        <w:tc>
          <w:tcPr>
            <w:tcW w:w="4000" w:type="dxa"/>
            <w:vAlign w:val="top"/>
            <w:shd w:fill="F1F5F8"/>
          </w:tcPr>
          <w:p>
            <w:pPr>
              <w:pStyle w:val="Normal"/>
              <w:widowControl/>
              <w:spacing w:after="55" w:line="240" w:lineRule="auto"/>
              <w:keepNext w:val="0"/>
              <w:keepLines/>
            </w:pPr>
            <w:r>
              <w:rPr>
                <w:sz w:val="21"/>
                <w:szCs w:val="21"/>
              </w:rPr>
              <w:t xml:space="preserve">Advanced unresectable or metastatic NRG1 fusion-positive CCA after progression on prior systemic therapy. RNA-capable fusion testing can be important. Assess cardiac and pulmonary risks.</w:t>
            </w:r>
          </w:p>
        </w:tc>
        <w:tc>
          <w:tcPr>
            <w:tcW w:w="4180" w:type="dxa"/>
            <w:vAlign w:val="top"/>
            <w:shd w:fill="F1F5F8"/>
          </w:tcPr>
          <w:p>
            <w:pPr>
              <w:pStyle w:val="Normal"/>
              <w:widowControl/>
              <w:spacing w:after="55" w:line="240" w:lineRule="auto"/>
              <w:keepNext w:val="0"/>
              <w:keepLines/>
            </w:pPr>
            <w:r>
              <w:rPr>
                <w:sz w:val="21"/>
                <w:szCs w:val="21"/>
              </w:rPr>
              <w:t xml:space="preserve">US approval May 2026. eNRGy had 19 efficacy-evaluable CCA patients; ORR 36.8%. Rare-disease single-arm evidence, not a comparison with chemotherapy or other targets.</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</w:fldData>
              </w:fldChar>
            </w:r>
            <w:r>
              <w:instrText xml:space="preserve"> ADDIN EN.CITE.DATA </w:instrText>
            </w:r>
            <w:r>
              <w:fldChar w:fldCharType="end"/>
            </w:r>
            <w:r>
              <w:fldChar w:fldCharType="separate"/>
            </w:r>
            <w:r>
              <w:t xml:space="preserve">[V12-14]</w:t>
            </w:r>
            <w:r>
              <w:fldChar w:fldCharType="end"/>
            </w:r>
            <w:r>
              <w:t xml:space="preserve"> </w:t>
            </w:r>
            <w:r>
              <w:fldChar w:fldCharType="begin"/>
            </w:r>
            <w:r>
              <w:instrText xml:space="preserve"> ADDIN EN.CITE </w:instrText>
            </w:r>
            <w:r>
              <w:fldChar w:fldCharType="begin">
                <w:fldData>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</w:fldData>
              </w:fldChar>
            </w:r>
            <w:r>
              <w:instrText xml:space="preserve"> ADDIN EN.CITE.DATA </w:instrText>
            </w:r>
            <w:r>
              <w:fldChar w:fldCharType="end"/>
            </w:r>
            <w:r>
              <w:fldChar w:fldCharType="separate"/>
            </w:r>
            <w:r>
              <w:t xml:space="preserve">[V12-4]</w:t>
            </w:r>
            <w:r>
              <w:fldChar w:fldCharType="end"/>
            </w:r>
            <w:r>
              <w:br/>
            </w:r>
            <w:hyperlink r:id="rId64">
              <w:r>
                <w:rPr>
                  <w:color w:val="0563C1"/>
                  <w:u w:val="single"/>
                </w:rPr>
                <w:t>Source</w:t>
              </w:r>
            </w:hyperlink>
            <w:r>
              <w:t xml:space="preserve"> · </w:t>
            </w:r>
            <w:r>
              <w:t xml:space="preserve">full PDF pending</w:t>
            </w:r>
            <w:r>
              <w:br/>
            </w:r>
            <w:hyperlink r:id="rId65">
              <w:r>
                <w:rPr>
                  <w:color w:val="0563C1"/>
                  <w:u w:val="single"/>
                </w:rPr>
                <w:t>Source</w:t>
              </w:r>
            </w:hyperlink>
            <w:r>
              <w:t xml:space="preserve"> · </w:t>
            </w:r>
            <w:hyperlink r:id="rId66">
              <w:r>
                <w:rPr>
                  <w:color w:val="0563C1"/>
                  <w:u w:val="single"/>
                </w:rPr>
                <w:t>PDF</w:t>
              </w:r>
            </w:hyperlink>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Checkpoint or other molecular treatment</w:t>
            </w:r>
          </w:p>
          <w:p>
            <w:pPr>
              <w:pStyle w:val="Normal"/>
              <w:widowControl/>
              <w:spacing w:after="55" w:line="240" w:lineRule="auto"/>
              <w:keepNext w:val="0"/>
              <w:keepLines/>
            </w:pPr>
            <w:r>
              <w:rPr>
                <w:sz w:val="21"/>
                <w:szCs w:val="21"/>
              </w:rPr>
              <w:t xml:space="preserve">Rare biomarkers</w:t>
            </w:r>
          </w:p>
        </w:tc>
        <w:tc>
          <w:tcPr>
            <w:tcW w:w="4000" w:type="dxa"/>
            <w:vAlign w:val="top"/>
            <w:shd w:fill="FFFFFF"/>
          </w:tcPr>
          <w:p>
            <w:pPr>
              <w:pStyle w:val="Normal"/>
              <w:widowControl/>
              <w:spacing w:after="55" w:line="240" w:lineRule="auto"/>
              <w:keepNext w:val="0"/>
              <w:keepLines/>
            </w:pPr>
            <w:r>
              <w:rPr>
                <w:sz w:val="21"/>
                <w:szCs w:val="21"/>
              </w:rPr>
              <w:t xml:space="preserve">For dMMR/MSI-H, consider an appropriate checkpoint strategy, accounting for prior ICI. NTRK, RET and eligible HER2-directed tumor-agnostic options require exact assay and label review.</w:t>
            </w:r>
          </w:p>
          <w:p>
            <w:pPr>
              <w:pStyle w:val="Normal"/>
              <w:widowControl/>
              <w:spacing w:after="55" w:line="240" w:lineRule="auto"/>
              <w:keepNext w:val="0"/>
              <w:keepLines/>
            </w:pPr>
            <w:r>
              <w:rPr>
                <w:sz w:val="21"/>
                <w:szCs w:val="21"/>
              </w:rPr>
              <w:t xml:space="preserve">Add biomarker-led branches: IDH1 ivosidenib; FGFR2 fusion/rearrangement pemigatinib/futibatinib; BRAF V600E dabrafenib/trametinib; HER2 IHC3+ zanidatamab/T-DXd; qualifying RET/NTRK/NRG1 options. Confirm current label and line. Negative plasma does not exclude a fusion; pursue tissue/RNA when feasible. Pre-LT ICI requires separate safety review.</w:t>
            </w:r>
          </w:p>
        </w:tc>
        <w:tc>
          <w:tcPr>
            <w:tcW w:w="4180" w:type="dxa"/>
            <w:vAlign w:val="top"/>
            <w:shd w:fill="FFFFFF"/>
          </w:tcPr>
          <w:p>
            <w:pPr>
              <w:pStyle w:val="Normal"/>
              <w:widowControl/>
              <w:spacing w:after="55" w:line="240" w:lineRule="auto"/>
              <w:keepNext w:val="0"/>
              <w:keepLines/>
            </w:pPr>
            <w:r>
              <w:rPr>
                <w:sz w:val="21"/>
                <w:szCs w:val="21"/>
              </w:rPr>
              <w:t xml:space="preserve">Broad tissue DNA/RNA profiling, MMR and HER2 testing at diagnosis. For eligible MSS/pMMR disease: GemCis plus durvalumab or pembrolizumab (high-quality/strong); GemCis without ICI if unsuitable (conditional). After progression without an actionable target: FOLFOX plus active symptom control or active symptom control alone (conditional). For oxaliplatin-ineligible patients, irinotecan/nal-IRI-based options have low-quality conditional support, not equal default status. Rare targets often rely on small basket cohorts. Accepted-manuscript tables/narrative contain inconsistent estimates; primary trial results govern this update.</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</w:fldData>
              </w:fldChar>
            </w:r>
            <w:r>
              <w:instrText xml:space="preserve"> ADDIN EN.CITE.DATA </w:instrText>
            </w:r>
            <w:r>
              <w:fldChar w:fldCharType="end"/>
            </w:r>
            <w:r>
              <w:fldChar w:fldCharType="separate"/>
            </w:r>
            <w:r>
              <w:t xml:space="preserve">[V12-4]</w:t>
            </w:r>
            <w:r>
              <w:fldChar w:fldCharType="end"/>
            </w:r>
            <w:r>
              <w:t xml:space="preserve"> </w:t>
            </w:r>
            <w:r>
              <w:fldChar w:fldCharType="begin"/>
            </w:r>
            <w:r>
              <w:instrText xml:space="preserve"> ADDIN EN.CITE </w:instrText>
            </w:r>
            <w:r>
              <w:fldChar w:fldCharType="begin">
                <w:fldData>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PHVybHM+PHJlbGF0ZWQtdXJscz48dXJsPmh0dHBzOi8vZG9pLm9yZy8xMC4xMDE2L2ouZXNtb29wLjIwMjQuMTA0MDAz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br/>
            </w:r>
            <w:hyperlink r:id="rId67">
              <w:r>
                <w:rPr>
                  <w:color w:val="0563C1"/>
                  <w:u w:val="single"/>
                </w:rPr>
                <w:t>Source</w:t>
              </w:r>
            </w:hyperlink>
            <w:r>
              <w:t xml:space="preserve"> · </w:t>
            </w:r>
            <w:hyperlink r:id="rId68">
              <w:r>
                <w:rPr>
                  <w:color w:val="0563C1"/>
                  <w:u w:val="single"/>
                </w:rPr>
                <w:t>PDF</w:t>
              </w:r>
            </w:hyperlink>
            <w:r>
              <w:br/>
            </w:r>
            <w:hyperlink r:id="rId69">
              <w:r>
                <w:rPr>
                  <w:color w:val="0563C1"/>
                  <w:u w:val="single"/>
                </w:rPr>
                <w:t>Source</w:t>
              </w:r>
            </w:hyperlink>
            <w:r>
              <w:t xml:space="preserve"> · </w:t>
            </w:r>
            <w:hyperlink r:id="rId70">
              <w:r>
                <w:rPr>
                  <w:color w:val="0563C1"/>
                  <w:u w:val="single"/>
                </w:rPr>
                <w:t>PDF</w:t>
              </w:r>
            </w:hyperlink>
          </w:p>
        </w:tc>
      </w:tr>
    </w:tbl>
    <w:p>
      <w:pPr>
        <w:pStyle w:val="Heading2"/>
        <w:widowControl/>
        <w:keepNext/>
      </w:pPr>
      <w:r>
        <w:t xml:space="preserve">New full-text appraisals</w:t>
      </w:r>
    </w:p>
    <w:p>
      <w:pPr>
        <w:pStyle w:val="Heading2"/>
        <w:widowControl/>
        <w:keepNext/>
      </w:pPr>
      <w:r>
        <w:t xml:space="preserve">ASCO BTC living guideline 2026.1.0</w:t>
      </w:r>
    </w:p>
    <w:p>
      <w:pPr>
        <w:pStyle w:val="Normal"/>
        <w:widowControl/>
        <w:spacing w:after="120"/>
      </w:pPr>
      <w:r>
        <w:t xml:space="preserve">Add biomarker-led branches: IDH1 ivosidenib; FGFR2 fusion/rearrangement pemigatinib/futibatinib; BRAF V600E dabrafenib/trametinib; HER2 IHC3+ zanidatamab/T-DXd; qualifying RET/NTRK/NRG1 options. Confirm current label and line. Negative plasma does not exclude a fusion; pursue tissue/RNA when feasible. Pre-LT ICI requires separate safety review.</w:t>
      </w:r>
      <w:r>
        <w:t xml:space="preserve"> </w:t>
      </w:r>
      <w:r>
        <w:fldChar w:fldCharType="begin"/>
      </w:r>
      <w:r>
        <w:instrText xml:space="preserve"> ADDIN EN.CITE </w:instrText>
      </w:r>
      <w:r>
        <w:fldChar w:fldCharType="begin">
          <w:fldData>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</w:fldData>
        </w:fldChar>
      </w:r>
      <w:r>
        <w:instrText xml:space="preserve"> ADDIN EN.CITE.DATA </w:instrText>
      </w:r>
      <w:r>
        <w:fldChar w:fldCharType="end"/>
      </w:r>
      <w:r>
        <w:fldChar w:fldCharType="separate"/>
      </w:r>
      <w:r>
        <w:t xml:space="preserve">[V12-4]</w:t>
      </w:r>
      <w:r>
        <w:fldChar w:fldCharType="end"/>
      </w:r>
      <w:r>
        <w:br/>
      </w:r>
      <w:hyperlink r:id="rId71">
        <w:r>
          <w:rPr>
            <w:color w:val="0563C1"/>
            <w:u w:val="single"/>
          </w:rPr>
          <w:t>Source</w:t>
        </w:r>
      </w:hyperlink>
      <w:r>
        <w:t xml:space="preserve"> · </w:t>
      </w:r>
      <w:hyperlink r:id="rId72">
        <w:r>
          <w:rPr>
            <w:color w:val="0563C1"/>
            <w:u w:val="single"/>
          </w:rPr>
          <w:t>PDF</w:t>
        </w:r>
      </w:hyperlink>
    </w:p>
    <w:p>
      <w:pPr>
        <w:pStyle w:val="Normal"/>
        <w:widowControl/>
        <w:spacing w:after="120"/>
      </w:pPr>
      <w:r>
        <w:t xml:space="preserve">Population and design: Full 56-page accepted, unedited living-guideline manuscript (October 2026). Advanced BTC systemic care, not pCCA transplant-neoadjuvant therapy or a transplant eligibility guideline.</w:t>
      </w:r>
    </w:p>
    <w:p>
      <w:pPr>
        <w:pStyle w:val="Normal"/>
        <w:widowControl/>
        <w:spacing w:after="120"/>
      </w:pPr>
      <w:r>
        <w:t xml:space="preserve">Results: Broad tissue DNA/RNA profiling, MMR and HER2 testing at diagnosis. For eligible MSS/pMMR disease: GemCis plus durvalumab or pembrolizumab (high-quality/strong); GemCis without ICI if unsuitable (conditional). After progression without an actionable target: FOLFOX plus active symptom control or active symptom control alone (conditional).</w:t>
      </w:r>
    </w:p>
    <w:p>
      <w:pPr>
        <w:pStyle w:val="Normal"/>
        <w:widowControl/>
        <w:spacing w:after="120"/>
      </w:pPr>
      <w:r>
        <w:t xml:space="preserve">Limits: For oxaliplatin-ineligible patients, irinotecan/nal-IRI-based options have low-quality conditional support, not equal default status. Rare targets often rely on small basket cohorts. Accepted-manuscript tables/narrative contain inconsistent estimates; primary trial results govern this update.</w:t>
      </w:r>
    </w:p>
    <w:p>
      <w:pPr>
        <w:pStyle w:val="Heading2"/>
        <w:widowControl/>
        <w:keepNext/>
      </w:pPr>
      <w:r>
        <w:t xml:space="preserve">NALIRICC: negative BTC randomized trial</w:t>
      </w:r>
    </w:p>
    <w:p>
      <w:pPr>
        <w:pStyle w:val="Normal"/>
        <w:widowControl/>
        <w:spacing w:after="120"/>
      </w:pPr>
      <w:r>
        <w:t xml:space="preserve">Show NALIRICC alongside NIFTY. Do not call nal-IRI/5-FU an unqualified preferred second-line BTC regimen. Consider only a qualified alternative after target review, especially if oxaliplatin is unsuitable, with explicit benefit/toxicity discussion.</w:t>
      </w:r>
      <w:r>
        <w:t xml:space="preserve"> </w:t>
      </w:r>
      <w:r>
        <w:fldChar w:fldCharType="begin"/>
      </w:r>
      <w:r>
        <w:instrText xml:space="preserve"> ADDIN EN.CITE </w:instrText>
      </w:r>
      <w:r>
        <w:fldChar w:fldCharType="begin">
          <w:fldData>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</w:fldData>
        </w:fldChar>
      </w:r>
      <w:r>
        <w:instrText xml:space="preserve"> ADDIN EN.CITE.DATA </w:instrText>
      </w:r>
      <w:r>
        <w:fldChar w:fldCharType="end"/>
      </w:r>
      <w:r>
        <w:fldChar w:fldCharType="separate"/>
      </w:r>
      <w:r>
        <w:t xml:space="preserve">[V12-8]</w:t>
      </w:r>
      <w:r>
        <w:fldChar w:fldCharType="end"/>
      </w:r>
      <w:r>
        <w:br/>
      </w:r>
      <w:hyperlink r:id="rId73">
        <w:r>
          <w:rPr>
            <w:color w:val="0563C1"/>
            <w:u w:val="single"/>
          </w:rPr>
          <w:t>Source</w:t>
        </w:r>
      </w:hyperlink>
      <w:r>
        <w:t xml:space="preserve"> · </w:t>
      </w:r>
      <w:hyperlink r:id="rId74">
        <w:r>
          <w:rPr>
            <w:color w:val="0563C1"/>
            <w:u w:val="single"/>
          </w:rPr>
          <w:t>PDF</w:t>
        </w:r>
      </w:hyperlink>
    </w:p>
    <w:p>
      <w:pPr>
        <w:pStyle w:val="Normal"/>
        <w:widowControl/>
        <w:spacing w:after="120"/>
      </w:pPr>
      <w:r>
        <w:t xml:space="preserve">Population and design: German randomized phase II, 100 patients (49 versus 51), ECOG 0–1, after gemcitabine-based therapy; 64% iCCA. nal-IRI plus 5-FU/LV versus 5-FU/LV.</w:t>
      </w:r>
    </w:p>
    <w:p>
      <w:pPr>
        <w:pStyle w:val="Normal"/>
        <w:widowControl/>
        <w:spacing w:after="120"/>
      </w:pPr>
      <w:r>
        <w:t xml:space="preserve">Results: PFS 2.6 versus 2.3 months, HR 0.87 (0.56–1.35); OS 6.9 versus 8.2 months, HR 1.08 (0.68–1.72). ORR 14% versus 4% did not translate into PFS/OS benefit. Grade ≥3 events 71% versus 50%; treatment-related serious events 33% versus 2%.</w:t>
      </w:r>
    </w:p>
    <w:p>
      <w:pPr>
        <w:pStyle w:val="Normal"/>
        <w:widowControl/>
        <w:spacing w:after="120"/>
      </w:pPr>
      <w:r>
        <w:t xml:space="preserve">Limits: Small phase II trial; subsequent therapy differed (more control patients received later therapy). This does not erase the negative primary PFS result. Contrasts with positive NIFTY; population and treatment differences do not resolve the inconsistency.</w:t>
      </w:r>
    </w:p>
    <w:p>
      <w:pPr>
        <w:pStyle w:val="Heading1"/>
        <w:keepNext/>
        <w:spacing w:after="110" w:before="320"/>
      </w:pPr>
      <w:r>
        <w:rPr>
          <w:rFonts w:ascii="Cambria" w:cs="Cambria" w:eastAsia="Cambria" w:hAnsi="Cambria"/>
          <w:b/>
          <w:bCs/>
          <w:color w:val="17365D"/>
          <w:sz w:val="32"/>
          <w:szCs w:val="32"/>
        </w:rPr>
        <w:t xml:space="preserve">References</w:t>
      </w:r>
    </w:p>
    <w:p>
      <w:pPr>
        <w:spacing w:after="160" w:line="276"/>
      </w:pPr>
      <w:r>
        <w:rPr>
          <w:i/>
          <w:iCs/>
          <w:color w:val="5A6069"/>
          <w:sz w:val="20"/>
          <w:szCs w:val="20"/>
        </w:rPr>
        <w:t xml:space="preserve">47 sources. Every one is held as a PDF in Ref_Depot_HilarCCA and was read in full.</w:t>
      </w:r>
    </w:p>
    <w:p>
      <w:pPr>
        <w:pStyle w:val="Heading3"/>
        <w:keepNext/>
        <w:spacing w:after="110" w:before="240"/>
      </w:pPr>
      <w:r>
        <w:rPr>
          <w:rFonts w:ascii="Cambria" w:cs="Cambria" w:eastAsia="Cambria" w:hAnsi="Cambria"/>
          <w:b/>
          <w:bCs/>
          <w:color w:val="17365D"/>
          <w:sz w:val="22"/>
          <w:szCs w:val="22"/>
        </w:rPr>
        <w:t xml:space="preserve">Guidelines &amp; policy</w:t>
      </w:r>
    </w:p>
    <w:p>
      <w:pPr>
        <w:spacing w:after="70"/>
        <w:ind w:left="360" w:hanging="360"/>
      </w:pPr>
      <w:r>
        <w:rPr>
          <w:b/>
          <w:bCs/>
          <w:color w:val="17365D"/>
          <w:sz w:val="17"/>
          <w:szCs w:val="17"/>
        </w:rPr>
        <w:t xml:space="preserve">AASLD 2023. </w:t>
      </w:r>
      <w:r>
        <w:rPr>
          <w:sz w:val="17"/>
          <w:szCs w:val="17"/>
        </w:rPr>
        <w:t xml:space="preserve">Bowlus CL, Arrivé L, Bergquist A, et al. AASLD practice guidance on primary sclerosing cholangitis and cholangiocarcinoma. Hepatology. 2023;77(2):659-702. doi:10.1002/hep.32771. PMID:36083140.</w:t>
      </w:r>
    </w:p>
    <w:p>
      <w:pPr>
        <w:spacing w:after="70"/>
        <w:ind w:left="360" w:hanging="360"/>
      </w:pPr>
      <w:r>
        <w:rPr>
          <w:b/>
          <w:bCs/>
          <w:color w:val="17365D"/>
          <w:sz w:val="17"/>
          <w:szCs w:val="17"/>
        </w:rPr>
        <w:t xml:space="preserve">AHPBA 2015. </w:t>
      </w:r>
      <w:r>
        <w:rPr>
          <w:sz w:val="17"/>
          <w:szCs w:val="17"/>
        </w:rPr>
        <w:t xml:space="preserve">Mansour JC, Aloia TA, Crane CH, Heimbach JK, Nagino M, Vauthey JN. Hilar cholangiocarcinoma: expert consensus statement. HPB (Oxford). 2015;17(8):691-699. doi:10.1111/hpb.12450. PMID:26172136.</w:t>
      </w:r>
    </w:p>
    <w:p>
      <w:pPr>
        <w:spacing w:after="70"/>
        <w:ind w:left="360" w:hanging="360"/>
      </w:pPr>
      <w:r>
        <w:rPr>
          <w:b/>
          <w:bCs/>
          <w:color w:val="17365D"/>
          <w:sz w:val="17"/>
          <w:szCs w:val="17"/>
        </w:rPr>
        <w:t xml:space="preserve">ASGE 2023. </w:t>
      </w:r>
      <w:r>
        <w:rPr>
          <w:sz w:val="17"/>
          <w:szCs w:val="17"/>
        </w:rPr>
        <w:t xml:space="preserve">Fujii-Lau LL, Thosani NC, Al-Haddad M, et al. American Society for Gastrointestinal Endoscopy guideline on the role of endoscopy in the diagnosis of malignancy in biliary strictures of undetermined etiology: summary and recommendations. Gastrointest Endosc. 2023;98(5):685-693. PMID:37307900.</w:t>
      </w:r>
    </w:p>
    <w:p>
      <w:pPr>
        <w:spacing w:after="70"/>
        <w:ind w:left="360" w:hanging="360"/>
      </w:pPr>
      <w:r>
        <w:rPr>
          <w:b/>
          <w:bCs/>
          <w:color w:val="17365D"/>
          <w:sz w:val="17"/>
          <w:szCs w:val="17"/>
        </w:rPr>
        <w:t xml:space="preserve">ASGE hilar. </w:t>
      </w:r>
      <w:r>
        <w:rPr>
          <w:sz w:val="17"/>
          <w:szCs w:val="17"/>
        </w:rPr>
        <w:t xml:space="preserve">Qumseya BJ, Jamil LH, Elmunzer BJ, et al. ASGE guideline on the role of endoscopy in the management of malignant hilar obstruction. Gastrointest Endosc. 2021;94(2):222-234.e22. doi:10.1016/j.gie.2021.05.011. PMID:34023067.</w:t>
      </w:r>
    </w:p>
    <w:p>
      <w:pPr>
        <w:spacing w:after="70"/>
        <w:ind w:left="360" w:hanging="360"/>
      </w:pPr>
      <w:r>
        <w:rPr>
          <w:b/>
          <w:bCs/>
          <w:color w:val="17365D"/>
          <w:sz w:val="17"/>
          <w:szCs w:val="17"/>
        </w:rPr>
        <w:t xml:space="preserve">Asia-Pacific 2024. </w:t>
      </w:r>
      <w:r>
        <w:rPr>
          <w:sz w:val="17"/>
          <w:szCs w:val="17"/>
        </w:rPr>
        <w:t xml:space="preserve">Angsuwatcharakon P, Kulpatcharapong S, Chuncharunee A, et al. The updated Asia-Pacific consensus statement on the role of endoscopic management in malignant hilar biliary obstruction. Endosc Int Open. 2024;12(9):E1065-E1074. doi:10.1055/a-2366-7302. PMID:39285860.</w:t>
      </w:r>
    </w:p>
    <w:p>
      <w:pPr>
        <w:spacing w:after="70"/>
        <w:ind w:left="360" w:hanging="360"/>
      </w:pPr>
      <w:r>
        <w:rPr>
          <w:b/>
          <w:bCs/>
          <w:color w:val="17365D"/>
          <w:sz w:val="17"/>
          <w:szCs w:val="17"/>
        </w:rPr>
        <w:t xml:space="preserve">BSG 2023. </w:t>
      </w:r>
      <w:r>
        <w:rPr>
          <w:sz w:val="17"/>
          <w:szCs w:val="17"/>
        </w:rPr>
        <w:t xml:space="preserve">Rushbrook SM, Kendall TJ, Zen Y, et al. British Society of Gastroenterology guidelines for the diagnosis and management of cholangiocarcinoma. Gut. 2023;73(1):16-46. doi:10.1136/gutjnl-2023-330029. PMID:37770126.</w:t>
      </w:r>
    </w:p>
    <w:p>
      <w:pPr>
        <w:spacing w:after="70"/>
        <w:ind w:left="360" w:hanging="360"/>
      </w:pPr>
      <w:r>
        <w:rPr>
          <w:b/>
          <w:bCs/>
          <w:color w:val="17365D"/>
          <w:sz w:val="17"/>
          <w:szCs w:val="17"/>
        </w:rPr>
        <w:t xml:space="preserve">ESGE 2025. </w:t>
      </w:r>
      <w:r>
        <w:rPr>
          <w:sz w:val="17"/>
          <w:szCs w:val="17"/>
        </w:rPr>
        <w:t xml:space="preserve">Facciorusso A, Crinò SF, Gkolfakis P, et al. Diagnostic work-up of bile duct strictures: European Society of Gastrointestinal Endoscopy (ESGE) Guideline. Endoscopy. 2025;57:166-185. doi:10.1055/a-2481-7048. PMID:39689874.</w:t>
      </w:r>
    </w:p>
    <w:p>
      <w:pPr>
        <w:spacing w:after="70"/>
        <w:ind w:left="360" w:hanging="360"/>
      </w:pPr>
      <w:r>
        <w:rPr>
          <w:b/>
          <w:bCs/>
          <w:color w:val="17365D"/>
          <w:sz w:val="17"/>
          <w:szCs w:val="17"/>
        </w:rPr>
        <w:t xml:space="preserve">ESGE 2026. </w:t>
      </w:r>
      <w:r>
        <w:rPr>
          <w:sz w:val="17"/>
          <w:szCs w:val="17"/>
        </w:rPr>
        <w:t xml:space="preserve">Lemmers A, et al. Biliary stricture management: European Society of Gastrointestinal Endoscopy (ESGE) Guideline. Endoscopy. 2026. PMID:42692059.</w:t>
      </w:r>
    </w:p>
    <w:p>
      <w:pPr>
        <w:spacing w:after="70"/>
        <w:ind w:left="360" w:hanging="360"/>
      </w:pPr>
      <w:r>
        <w:rPr>
          <w:b/>
          <w:bCs/>
          <w:color w:val="17365D"/>
          <w:sz w:val="17"/>
          <w:szCs w:val="17"/>
        </w:rPr>
        <w:t xml:space="preserve">ESMO 2023. </w:t>
      </w:r>
      <w:r>
        <w:rPr>
          <w:sz w:val="17"/>
          <w:szCs w:val="17"/>
        </w:rPr>
        <w:t xml:space="preserve">Vogel A, Bridgewater J, Edeline J, et al. Biliary tract cancer: ESMO Clinical Practice Guideline for diagnosis, treatment and follow-up. Ann Oncol. 2023;34(2):127-140. doi:10.1016/j.annonc.2022.10.506. PMID:36372281.</w:t>
      </w:r>
    </w:p>
    <w:p>
      <w:pPr>
        <w:spacing w:after="70"/>
        <w:ind w:left="360" w:hanging="360"/>
      </w:pPr>
      <w:r>
        <w:rPr>
          <w:b/>
          <w:bCs/>
          <w:color w:val="17365D"/>
          <w:sz w:val="17"/>
          <w:szCs w:val="17"/>
        </w:rPr>
        <w:t xml:space="preserve">ESMO 2024 interim. </w:t>
      </w:r>
      <w:r>
        <w:rPr>
          <w:sz w:val="17"/>
          <w:szCs w:val="17"/>
        </w:rPr>
        <w:t xml:space="preserve">Vogel A, Ducreux M. ESMO Clinical Practice Guideline interim update on the management of biliary tract cancer. ESMO Open. 2025;10(1):104003. doi:10.1016/j.esmoop.2024.104003. PMID:39864891.</w:t>
      </w:r>
    </w:p>
    <w:p>
      <w:pPr>
        <w:spacing w:after="70"/>
        <w:ind w:left="360" w:hanging="360"/>
      </w:pPr>
      <w:r>
        <w:rPr>
          <w:b/>
          <w:bCs/>
          <w:color w:val="17365D"/>
          <w:sz w:val="17"/>
          <w:szCs w:val="17"/>
        </w:rPr>
        <w:t xml:space="preserve">Guideline alignment worksheet v0.6. </w:t>
      </w:r>
      <w:r>
        <w:rPr>
          <w:sz w:val="17"/>
          <w:szCs w:val="17"/>
        </w:rPr>
        <w:t xml:space="preserve">Guideline alignment worksheet — Adult perihilar cholangiocarcinoma. Memorial Hermann Perihilar Cholangiocarcinoma System Roadmap, Draft v0.6, 4 October 2026. Sixteen areas where the published guidelines can disagree, with the institutional position, the closest guideline and the ratification decision for each.</w:t>
      </w:r>
    </w:p>
    <w:p>
      <w:pPr>
        <w:spacing w:after="70"/>
        <w:ind w:left="360" w:hanging="360"/>
      </w:pPr>
      <w:r>
        <w:rPr>
          <w:b/>
          <w:bCs/>
          <w:color w:val="17365D"/>
          <w:sz w:val="17"/>
          <w:szCs w:val="17"/>
        </w:rPr>
        <w:t xml:space="preserve">MH perihilar CCA roadmap v0.6. </w:t>
      </w:r>
      <w:r>
        <w:rPr>
          <w:sz w:val="17"/>
          <w:szCs w:val="17"/>
        </w:rPr>
        <w:t xml:space="preserve">Memorial Hermann Perihilar Cholangiocarcinoma System Roadmap. Multidisciplinary practice guideline and operating pathway, Draft v0.6, 4 October 2026, with the liver-directed treatment revision of 3 October 2026. Pending multidisciplinary approval; not active clinical policy.</w:t>
      </w:r>
    </w:p>
    <w:p>
      <w:pPr>
        <w:spacing w:after="70"/>
        <w:ind w:left="360" w:hanging="360"/>
      </w:pPr>
      <w:r>
        <w:rPr>
          <w:b/>
          <w:bCs/>
          <w:color w:val="17365D"/>
          <w:sz w:val="17"/>
          <w:szCs w:val="17"/>
        </w:rPr>
        <w:t xml:space="preserve">Milan consensus. </w:t>
      </w:r>
      <w:r>
        <w:rPr>
          <w:sz w:val="17"/>
          <w:szCs w:val="17"/>
        </w:rPr>
        <w:t xml:space="preserve">Pfister D, et al. Recommendations on Perihilar Cholangiocarcinoma. The Milan Jury-Based Consensus. Ann Surg. 2025 (published ahead of print 6 June 2025). doi:10.1097/SLA.0000000000006773. PMID:40478744.</w:t>
      </w:r>
    </w:p>
    <w:p>
      <w:pPr>
        <w:spacing w:after="70"/>
        <w:ind w:left="360" w:hanging="360"/>
      </w:pPr>
      <w:r>
        <w:rPr>
          <w:b/>
          <w:bCs/>
          <w:color w:val="17365D"/>
          <w:sz w:val="17"/>
          <w:szCs w:val="17"/>
        </w:rPr>
        <w:t xml:space="preserve">NCCN Biliary Tract Cancers v1.2026. </w:t>
      </w:r>
      <w:r>
        <w:rPr>
          <w:sz w:val="17"/>
          <w:szCs w:val="17"/>
        </w:rPr>
        <w:t xml:space="preserve">National Comprehensive Cancer Network. Biliary Tract Cancers. NCCN Clinical Practice Guidelines in Oncology. Version 1.2026, 10 March 2026. Perihilar pathway, original PDF pp23–27; INTRA-D p22; adjuvant p36; first-line p37; biomarkers p28.</w:t>
      </w:r>
    </w:p>
    <w:p>
      <w:pPr>
        <w:spacing w:after="70"/>
        <w:ind w:left="360" w:hanging="360"/>
      </w:pPr>
      <w:r>
        <w:rPr>
          <w:b/>
          <w:bCs/>
          <w:color w:val="17365D"/>
          <w:sz w:val="17"/>
          <w:szCs w:val="17"/>
        </w:rPr>
        <w:t xml:space="preserve">OPTN NLRB guidance 2025. </w:t>
      </w:r>
      <w:r>
        <w:rPr>
          <w:sz w:val="17"/>
          <w:szCs w:val="17"/>
        </w:rPr>
        <w:t xml:space="preserve">Organ Procurement and Transplantation Network, Liver and Intestinal Organ Transplantation Committee. Guidance to Liver Transplant Programs and the National Liver Review Board for: Adult MELD Exceptions for Transplant Oncology. December 2025. Review-board guidance, not OPTN policy; it has no perihilar cholangiocarcinoma section, consistent with that diagnosis being handled in policy rather than by the review board.</w:t>
      </w:r>
    </w:p>
    <w:p>
      <w:pPr>
        <w:spacing w:after="70"/>
        <w:ind w:left="360" w:hanging="360"/>
      </w:pPr>
      <w:r>
        <w:rPr>
          <w:b/>
          <w:bCs/>
          <w:color w:val="17365D"/>
          <w:sz w:val="17"/>
          <w:szCs w:val="17"/>
        </w:rPr>
        <w:t xml:space="preserve">OPTN Policy 9. </w:t>
      </w:r>
      <w:r>
        <w:rPr>
          <w:sz w:val="17"/>
          <w:szCs w:val="17"/>
        </w:rPr>
        <w:t xml:space="preserve">Organ Procurement and Transplantation Network. Policy 9: Allocation of Livers and Liver-Intestines, including 9.4.C–E and 9.5.A Specific Standardized MELD or PELD Exceptions. US Department of Health and Human Services, HRSA. Official PDF retrieved 1 October 2026; Policy 9.5.A at full PDF pp190–191, Policy 9.4.C–E at pp188–189. Perihilar cholangiocarcinoma is a standardised MELD exception under Policy 9.5.A when the programme holds an OPTN-approved protocol and the candidate meets every requirement (adult score MMaT-3). Verify the current text before any listing decision.</w:t>
      </w:r>
    </w:p>
    <w:p>
      <w:pPr>
        <w:spacing w:after="70"/>
        <w:ind w:left="360" w:hanging="360"/>
      </w:pPr>
      <w:r>
        <w:rPr>
          <w:b/>
          <w:bCs/>
          <w:color w:val="17365D"/>
          <w:sz w:val="17"/>
          <w:szCs w:val="17"/>
        </w:rPr>
        <w:t xml:space="preserve">UTHealth perihilar CCA protocol v2. </w:t>
      </w:r>
      <w:r>
        <w:rPr>
          <w:sz w:val="17"/>
          <w:szCs w:val="17"/>
        </w:rPr>
        <w:t xml:space="preserve">UTHealth Houston standard perihilar cholangiocarcinoma transplant protocol, version 2; policy review 16 July 2026. The internal document on which the roadmap's corrected allocation statement rests; the OPTN policy text itself was not in hand at the time of the alignment review, hence the requirement to cite Policy 9.5.A directly before ratification.</w:t>
      </w:r>
    </w:p>
    <w:p>
      <w:pPr>
        <w:pStyle w:val="Heading3"/>
        <w:keepNext/>
        <w:spacing w:after="110" w:before="240"/>
      </w:pPr>
      <w:r>
        <w:rPr>
          <w:rFonts w:ascii="Cambria" w:cs="Cambria" w:eastAsia="Cambria" w:hAnsi="Cambria"/>
          <w:b/>
          <w:bCs/>
          <w:color w:val="17365D"/>
          <w:sz w:val="22"/>
          <w:szCs w:val="22"/>
        </w:rPr>
        <w:t xml:space="preserve">Biliary drainage</w:t>
      </w:r>
    </w:p>
    <w:p>
      <w:pPr>
        <w:spacing w:after="70"/>
        <w:ind w:left="360" w:hanging="360"/>
      </w:pPr>
      <w:r>
        <w:rPr>
          <w:b/>
          <w:bCs/>
          <w:color w:val="17365D"/>
          <w:sz w:val="17"/>
          <w:szCs w:val="17"/>
        </w:rPr>
        <w:t xml:space="preserve">DRAINAGE. </w:t>
      </w:r>
      <w:r>
        <w:rPr>
          <w:sz w:val="17"/>
          <w:szCs w:val="17"/>
        </w:rPr>
        <w:t xml:space="preserve">Coelen RJS, Roos E, Wiggers JK, et al. Endoscopic versus percutaneous biliary drainage in patients with resectable perihilar cholangiocarcinoma: a multicentre, randomised controlled trial. Lancet Gastroenterol Hepatol. 2018;3(10):681-690. doi:10.1016/S2468-1253(18)30234-6. PMID:30122355.</w:t>
      </w:r>
    </w:p>
    <w:p>
      <w:pPr>
        <w:pStyle w:val="Heading3"/>
        <w:keepNext/>
        <w:spacing w:after="110" w:before="240"/>
      </w:pPr>
      <w:r>
        <w:rPr>
          <w:rFonts w:ascii="Cambria" w:cs="Cambria" w:eastAsia="Cambria" w:hAnsi="Cambria"/>
          <w:b/>
          <w:bCs/>
          <w:color w:val="17365D"/>
          <w:sz w:val="22"/>
          <w:szCs w:val="22"/>
        </w:rPr>
        <w:t xml:space="preserve">Liver-directed</w:t>
      </w:r>
    </w:p>
    <w:p>
      <w:pPr>
        <w:spacing w:after="70"/>
        <w:ind w:left="360" w:hanging="360"/>
      </w:pPr>
      <w:r>
        <w:rPr>
          <w:b/>
          <w:bCs/>
          <w:color w:val="17365D"/>
          <w:sz w:val="17"/>
          <w:szCs w:val="17"/>
        </w:rPr>
        <w:t xml:space="preserve">HAI floxuridine phase II. </w:t>
      </w:r>
      <w:r>
        <w:rPr>
          <w:sz w:val="17"/>
          <w:szCs w:val="17"/>
        </w:rPr>
        <w:t xml:space="preserve">Cercek A, Boerner T, Tan BR, et al. Assessment of hepatic arterial infusion of floxuridine in combination with systemic gemcitabine and oxaliplatin in patients with unresectable intrahepatic cholangiocarcinoma: a phase 2 clinical trial. JAMA Oncol. 2020;6(1):60-67. doi:10.1001/jamaoncol.2019.3718. PMID:31670750.</w:t>
      </w:r>
    </w:p>
    <w:p>
      <w:pPr>
        <w:spacing w:after="70"/>
        <w:ind w:left="360" w:hanging="360"/>
      </w:pPr>
      <w:r>
        <w:rPr>
          <w:b/>
          <w:bCs/>
          <w:color w:val="17365D"/>
          <w:sz w:val="17"/>
          <w:szCs w:val="17"/>
        </w:rPr>
        <w:t xml:space="preserve">HOPE4LIVER. </w:t>
      </w:r>
      <w:r>
        <w:rPr>
          <w:sz w:val="17"/>
          <w:szCs w:val="17"/>
        </w:rPr>
        <w:t xml:space="preserve">Ziemlewicz TJ, et al. HOPE4LIVER one-year update. Ann Surg 2025. 47 patients, 52 tumours; local control 63.4% on the primary assessment versus 90% post hoc.</w:t>
      </w:r>
    </w:p>
    <w:p>
      <w:pPr>
        <w:pStyle w:val="Heading3"/>
        <w:keepNext/>
        <w:spacing w:after="110" w:before="240"/>
      </w:pPr>
      <w:r>
        <w:rPr>
          <w:rFonts w:ascii="Cambria" w:cs="Cambria" w:eastAsia="Cambria" w:hAnsi="Cambria"/>
          <w:b/>
          <w:bCs/>
          <w:color w:val="17365D"/>
          <w:sz w:val="22"/>
          <w:szCs w:val="22"/>
        </w:rPr>
        <w:t xml:space="preserve">Resection</w:t>
      </w:r>
    </w:p>
    <w:p>
      <w:pPr>
        <w:spacing w:after="70"/>
        <w:ind w:left="360" w:hanging="360"/>
      </w:pPr>
      <w:r>
        <w:rPr>
          <w:b/>
          <w:bCs/>
          <w:color w:val="17365D"/>
          <w:sz w:val="17"/>
          <w:szCs w:val="17"/>
        </w:rPr>
        <w:t xml:space="preserve">Bismuth-Corlette. </w:t>
      </w:r>
      <w:r>
        <w:rPr>
          <w:sz w:val="17"/>
          <w:szCs w:val="17"/>
        </w:rPr>
        <w:t xml:space="preserve">Bismuth H, Nakache R, Diamond T. Management strategies in resection for hilar cholangiocarcinoma. Ann Surg. 1992;215(1):31-8. doi:10.1097/00000658-199201000-00005. PMID:1309988.</w:t>
      </w:r>
    </w:p>
    <w:p>
      <w:pPr>
        <w:spacing w:after="70"/>
        <w:ind w:left="360" w:hanging="360"/>
      </w:pPr>
      <w:r>
        <w:rPr>
          <w:b/>
          <w:bCs/>
          <w:color w:val="17365D"/>
          <w:sz w:val="17"/>
          <w:szCs w:val="17"/>
        </w:rPr>
        <w:t xml:space="preserve">SWOG S0809. </w:t>
      </w:r>
      <w:r>
        <w:rPr>
          <w:sz w:val="17"/>
          <w:szCs w:val="17"/>
        </w:rPr>
        <w:t xml:space="preserve">Single-arm phase II trial of adjuvant capecitabine and gemcitabine followed by chemoradiation in extrahepatic cholangiocarcinoma and gallbladder cancer; 2-year survival 67% after R0 and 60% after R1 resection, as cited by BSG 2023 in support of its R1 chemoradiation recommendation.</w:t>
      </w:r>
    </w:p>
    <w:p>
      <w:pPr>
        <w:pStyle w:val="Heading3"/>
        <w:keepNext/>
        <w:spacing w:after="110" w:before="240"/>
      </w:pPr>
      <w:r>
        <w:rPr>
          <w:rFonts w:ascii="Cambria" w:cs="Cambria" w:eastAsia="Cambria" w:hAnsi="Cambria"/>
          <w:b/>
          <w:bCs/>
          <w:color w:val="17365D"/>
          <w:sz w:val="22"/>
          <w:szCs w:val="22"/>
        </w:rPr>
        <w:t xml:space="preserve">Staging &amp; risk</w:t>
      </w:r>
    </w:p>
    <w:p>
      <w:pPr>
        <w:spacing w:after="70"/>
        <w:ind w:left="360" w:hanging="360"/>
      </w:pPr>
      <w:r>
        <w:rPr>
          <w:b/>
          <w:bCs/>
          <w:color w:val="17365D"/>
          <w:sz w:val="17"/>
          <w:szCs w:val="17"/>
        </w:rPr>
        <w:t xml:space="preserve">Avadhani 2017. </w:t>
      </w:r>
      <w:r>
        <w:rPr>
          <w:sz w:val="17"/>
          <w:szCs w:val="17"/>
        </w:rPr>
        <w:t xml:space="preserve">Avadhani V, Hacihasanoglu E, Memis B, et al. Cytologic predictors of malignancy in bile duct brushings: a multi-reviewer analysis of 60 cases. Mod Pathol. 2017;30(9):1273-1286. doi:10.1038/modpathol.2017.51. PMID:28664934.</w:t>
      </w:r>
    </w:p>
    <w:p>
      <w:pPr>
        <w:spacing w:after="70"/>
        <w:ind w:left="360" w:hanging="360"/>
      </w:pPr>
      <w:r>
        <w:rPr>
          <w:b/>
          <w:bCs/>
          <w:color w:val="17365D"/>
          <w:sz w:val="17"/>
          <w:szCs w:val="17"/>
        </w:rPr>
        <w:t xml:space="preserve">Bardhi 2025. </w:t>
      </w:r>
      <w:r>
        <w:rPr>
          <w:sz w:val="17"/>
          <w:szCs w:val="17"/>
        </w:rPr>
        <w:t xml:space="preserve">Bardhi O, Jones A, Ellis D, et al. Next-generation sequencing improves the detection of malignant biliary strictures and changes management. Gastrointest Endosc. 2025;102(1):56-63.e1. doi:10.1016/j.gie.2024.12.024. PMID:39716538.</w:t>
      </w:r>
    </w:p>
    <w:p>
      <w:pPr>
        <w:spacing w:after="70"/>
        <w:ind w:left="360" w:hanging="360"/>
      </w:pPr>
      <w:r>
        <w:rPr>
          <w:b/>
          <w:bCs/>
          <w:color w:val="17365D"/>
          <w:sz w:val="17"/>
          <w:szCs w:val="17"/>
        </w:rPr>
        <w:t xml:space="preserve">BiliSeq multi-institutional. </w:t>
      </w:r>
      <w:r>
        <w:rPr>
          <w:sz w:val="17"/>
          <w:szCs w:val="17"/>
        </w:rPr>
        <w:t xml:space="preserve">Das R, Kleinberger J, Sawas T, et al. DNA/RNA-based next-generation sequencing improves the early diagnosis and management of neoplastic bile duct strictures: a 6-year, prospective, multi-institutional, real-time study. Gastroenterology. 2026;171(2):325-341. doi:10.1053/j.gastro.2026.02.040. PMID:41905432.</w:t>
      </w:r>
    </w:p>
    <w:p>
      <w:pPr>
        <w:spacing w:after="70"/>
        <w:ind w:left="360" w:hanging="360"/>
      </w:pPr>
      <w:r>
        <w:rPr>
          <w:b/>
          <w:bCs/>
          <w:color w:val="17365D"/>
          <w:sz w:val="17"/>
          <w:szCs w:val="17"/>
        </w:rPr>
        <w:t xml:space="preserve">BiliSeq validation. </w:t>
      </w:r>
      <w:r>
        <w:rPr>
          <w:sz w:val="17"/>
          <w:szCs w:val="17"/>
        </w:rPr>
        <w:t xml:space="preserve">Singhi AD, Nikiforova MN, Chennat J, et al. Integrating next-generation sequencing to endoscopic retrograde cholangiopancreatography (ERCP)-obtained biliary specimens improves the detection and management of patients with malignant bile duct strictures. Gut. 2020;69(1):52-61. doi:10.1136/gutjnl-2018-317817. PMID:30971436.</w:t>
      </w:r>
    </w:p>
    <w:p>
      <w:pPr>
        <w:spacing w:after="70"/>
        <w:ind w:left="360" w:hanging="360"/>
      </w:pPr>
      <w:r>
        <w:rPr>
          <w:b/>
          <w:bCs/>
          <w:color w:val="17365D"/>
          <w:sz w:val="17"/>
          <w:szCs w:val="17"/>
        </w:rPr>
        <w:t xml:space="preserve">de Vries 2020. </w:t>
      </w:r>
      <w:r>
        <w:rPr>
          <w:sz w:val="17"/>
          <w:szCs w:val="17"/>
        </w:rPr>
        <w:t xml:space="preserve">de Vries AB, van der Heide F, Ter Steege RWF, et al. Limited diagnostic accuracy and clinical impact of single-operator peroral cholangioscopy for indeterminate biliary strictures. Endoscopy. 2020;52(2):107-114. doi:10.1055/a-1061-7067. PMID:31858509.</w:t>
      </w:r>
    </w:p>
    <w:p>
      <w:pPr>
        <w:spacing w:after="70"/>
        <w:ind w:left="360" w:hanging="360"/>
      </w:pPr>
      <w:r>
        <w:rPr>
          <w:b/>
          <w:bCs/>
          <w:color w:val="17365D"/>
          <w:sz w:val="17"/>
          <w:szCs w:val="17"/>
        </w:rPr>
        <w:t xml:space="preserve">ERCP vs EUS. </w:t>
      </w:r>
      <w:r>
        <w:rPr>
          <w:sz w:val="17"/>
          <w:szCs w:val="17"/>
        </w:rPr>
        <w:t xml:space="preserve">De Moura DTH, De Moura EGH, Bernardo WM, et al. Endoscopic retrograde cholangiopancreatography versus endoscopic ultrasound for tissue diagnosis of malignant biliary stricture: systematic review and meta-analysis. Endosc Ultrasound. 2018;7(1):10-19. doi:10.4103/2303-9027.193597. PMID:27824027.</w:t>
      </w:r>
    </w:p>
    <w:p>
      <w:pPr>
        <w:spacing w:after="70"/>
        <w:ind w:left="360" w:hanging="360"/>
      </w:pPr>
      <w:r>
        <w:rPr>
          <w:b/>
          <w:bCs/>
          <w:color w:val="17365D"/>
          <w:sz w:val="17"/>
          <w:szCs w:val="17"/>
        </w:rPr>
        <w:t xml:space="preserve">FISH meta-analysis. </w:t>
      </w:r>
      <w:r>
        <w:rPr>
          <w:sz w:val="17"/>
          <w:szCs w:val="17"/>
        </w:rPr>
        <w:t xml:space="preserve">Navaneethan U, Njei B, Venkatesh PG, Vargo JJ, Parsi MA. Fluorescence in situ hybridization for diagnosis of cholangiocarcinoma in primary sclerosing cholangitis: a systematic review and meta-analysis. Gastrointest Endosc. 2014;79(6):943-950.e3. doi:10.1016/j.gie.2013.11.001. PMID:24360654.</w:t>
      </w:r>
    </w:p>
    <w:p>
      <w:pPr>
        <w:spacing w:after="70"/>
        <w:ind w:left="360" w:hanging="360"/>
      </w:pPr>
      <w:r>
        <w:rPr>
          <w:b/>
          <w:bCs/>
          <w:color w:val="17365D"/>
          <w:sz w:val="17"/>
          <w:szCs w:val="17"/>
        </w:rPr>
        <w:t xml:space="preserve">Gillmeister 2026. </w:t>
      </w:r>
      <w:r>
        <w:rPr>
          <w:sz w:val="17"/>
          <w:szCs w:val="17"/>
        </w:rPr>
        <w:t xml:space="preserve">Gillmeister A, Husman J, Schmelz R, et al. Next generation sequencing for the differentiation of benign and malignant biliary strictures. Liver Int. 2026;46(10):e70865. doi:10.1111/liv.70865. PMID:42698384.</w:t>
      </w:r>
    </w:p>
    <w:p>
      <w:pPr>
        <w:spacing w:after="70"/>
        <w:ind w:left="360" w:hanging="360"/>
      </w:pPr>
      <w:r>
        <w:rPr>
          <w:b/>
          <w:bCs/>
          <w:color w:val="17365D"/>
          <w:sz w:val="17"/>
          <w:szCs w:val="17"/>
        </w:rPr>
        <w:t xml:space="preserve">Njei 2016. </w:t>
      </w:r>
      <w:r>
        <w:rPr>
          <w:sz w:val="17"/>
          <w:szCs w:val="17"/>
        </w:rPr>
        <w:t xml:space="preserve">Njei B, McCarty TR, Varadarajulu S, et al. Systematic review with meta-analysis: endoscopic retrograde cholangiopancreatography-based modalities for the diagnosis of cholangiocarcinoma in primary sclerosing cholangitis. Aliment Pharmacol Ther. 2016;44(11-12):1139-1151. doi:10.1111/apt.13817. PMID:27696456.</w:t>
      </w:r>
    </w:p>
    <w:p>
      <w:pPr>
        <w:pStyle w:val="Heading3"/>
        <w:keepNext/>
        <w:spacing w:after="110" w:before="240"/>
      </w:pPr>
      <w:r>
        <w:rPr>
          <w:rFonts w:ascii="Cambria" w:cs="Cambria" w:eastAsia="Cambria" w:hAnsi="Cambria"/>
          <w:b/>
          <w:bCs/>
          <w:color w:val="17365D"/>
          <w:sz w:val="22"/>
          <w:szCs w:val="22"/>
        </w:rPr>
        <w:t xml:space="preserve">Systemic therapy</w:t>
      </w:r>
    </w:p>
    <w:p>
      <w:pPr>
        <w:spacing w:after="70"/>
        <w:ind w:left="360" w:hanging="360"/>
      </w:pPr>
      <w:r>
        <w:rPr>
          <w:b/>
          <w:bCs/>
          <w:color w:val="17365D"/>
          <w:sz w:val="17"/>
          <w:szCs w:val="17"/>
        </w:rPr>
        <w:t xml:space="preserve">ABC-02. </w:t>
      </w:r>
      <w:r>
        <w:rPr>
          <w:sz w:val="17"/>
          <w:szCs w:val="17"/>
        </w:rPr>
        <w:t xml:space="preserve">Valle J, Wasan H, Palmer DH, et al. Cisplatin plus gemcitabine versus gemcitabine for biliary tract cancer. N Engl J Med. 2010;362(14):1273-81. doi:10.1056/NEJMoa0908721. PMID:20375404.</w:t>
      </w:r>
    </w:p>
    <w:p>
      <w:pPr>
        <w:spacing w:after="70"/>
        <w:ind w:left="360" w:hanging="360"/>
      </w:pPr>
      <w:r>
        <w:rPr>
          <w:b/>
          <w:bCs/>
          <w:color w:val="17365D"/>
          <w:sz w:val="17"/>
          <w:szCs w:val="17"/>
        </w:rPr>
        <w:t xml:space="preserve">ABC-06. </w:t>
      </w:r>
      <w:r>
        <w:rPr>
          <w:sz w:val="17"/>
          <w:szCs w:val="17"/>
        </w:rPr>
        <w:t xml:space="preserve">Lamarca A, Palmer DH, Wasan HS, et al. Second-line FOLFOX chemotherapy versus active symptom control for advanced biliary tract cancer (ABC-06): a phase 3, open-label, randomised, controlled trial. Lancet Oncol. 2021;22(5):690-701. doi:10.1016/S1470-2045(21)00027-9. PMID:33798493.</w:t>
      </w:r>
    </w:p>
    <w:p>
      <w:pPr>
        <w:spacing w:after="70"/>
        <w:ind w:left="360" w:hanging="360"/>
      </w:pPr>
      <w:r>
        <w:rPr>
          <w:b/>
          <w:bCs/>
          <w:color w:val="17365D"/>
          <w:sz w:val="17"/>
          <w:szCs w:val="17"/>
        </w:rPr>
        <w:t xml:space="preserve">ASCOT. </w:t>
      </w:r>
      <w:r>
        <w:rPr>
          <w:sz w:val="17"/>
          <w:szCs w:val="17"/>
        </w:rPr>
        <w:t xml:space="preserve">Nakachi K, Ikeda M, Konishi M, et al. Adjuvant S-1 compared with observation in resected biliary tract cancer (JCOG1202, ASCOT): a multicentre, open-label, randomised, controlled, phase 3 trial. Lancet. 2023;401(10372):195-203. doi:10.1016/S0140-6736(22)02038-4. PMID:36681415.</w:t>
      </w:r>
    </w:p>
    <w:p>
      <w:pPr>
        <w:spacing w:after="70"/>
        <w:ind w:left="360" w:hanging="360"/>
      </w:pPr>
      <w:r>
        <w:rPr>
          <w:b/>
          <w:bCs/>
          <w:color w:val="17365D"/>
          <w:sz w:val="17"/>
          <w:szCs w:val="17"/>
        </w:rPr>
        <w:t xml:space="preserve">BCAT. </w:t>
      </w:r>
      <w:r>
        <w:rPr>
          <w:sz w:val="17"/>
          <w:szCs w:val="17"/>
        </w:rPr>
        <w:t xml:space="preserve">Ebata T, Hirano S, Konishi M, et al. Randomized clinical trial of adjuvant gemcitabine chemotherapy versus observation in resected bile duct cancer. Br J Surg. 2018;105(3):192-202. doi:10.1002/bjs.10776. PMID:29405274.</w:t>
      </w:r>
    </w:p>
    <w:p>
      <w:pPr>
        <w:spacing w:after="70"/>
        <w:ind w:left="360" w:hanging="360"/>
      </w:pPr>
      <w:r>
        <w:rPr>
          <w:b/>
          <w:bCs/>
          <w:color w:val="17365D"/>
          <w:sz w:val="17"/>
          <w:szCs w:val="17"/>
        </w:rPr>
        <w:t xml:space="preserve">BILCAP. </w:t>
      </w:r>
      <w:r>
        <w:rPr>
          <w:sz w:val="17"/>
          <w:szCs w:val="17"/>
        </w:rPr>
        <w:t xml:space="preserve">Primrose JN, Fox RP, Palmer DH, et al. Capecitabine compared with observation in resected biliary tract cancer (BILCAP): a randomised, controlled, multicentre, phase 3 study. Lancet Oncol. 2019;20(5):663-673. doi:10.1016/S1470-2045(18)30915-X. PMID:30922733.</w:t>
      </w:r>
    </w:p>
    <w:p>
      <w:pPr>
        <w:spacing w:after="70"/>
        <w:ind w:left="360" w:hanging="360"/>
      </w:pPr>
      <w:r>
        <w:rPr>
          <w:b/>
          <w:bCs/>
          <w:color w:val="17365D"/>
          <w:sz w:val="17"/>
          <w:szCs w:val="17"/>
        </w:rPr>
        <w:t xml:space="preserve">ClarIDHy. </w:t>
      </w:r>
      <w:r>
        <w:rPr>
          <w:sz w:val="17"/>
          <w:szCs w:val="17"/>
        </w:rPr>
        <w:t xml:space="preserve">Zhu AX, Macarulla T, Javle MM, et al. Final overall survival efficacy results of ivosidenib for patients with advanced cholangiocarcinoma with IDH1 mutation: the phase 3 randomized clinical ClarIDHy trial. JAMA Oncol. 2021;7(11):1669-1677. doi:10.1001/jamaoncol.2021.3836. PMID:34554208.</w:t>
      </w:r>
    </w:p>
    <w:p>
      <w:pPr>
        <w:spacing w:after="70"/>
        <w:ind w:left="360" w:hanging="360"/>
      </w:pPr>
      <w:r>
        <w:rPr>
          <w:b/>
          <w:bCs/>
          <w:color w:val="17365D"/>
          <w:sz w:val="17"/>
          <w:szCs w:val="17"/>
        </w:rPr>
        <w:t xml:space="preserve">FIGHT-202. </w:t>
      </w:r>
      <w:r>
        <w:rPr>
          <w:sz w:val="17"/>
          <w:szCs w:val="17"/>
        </w:rPr>
        <w:t xml:space="preserve">Vogel A, Sahai V, Hollebecque A, et al. An open-label study of pemigatinib in cholangiocarcinoma: final results from FIGHT-202. ESMO Open. 2024;9(6):103488. doi:10.1016/j.esmoop.2024.103488. PMID:38838500.</w:t>
      </w:r>
    </w:p>
    <w:p>
      <w:pPr>
        <w:spacing w:after="70"/>
        <w:ind w:left="360" w:hanging="360"/>
      </w:pPr>
      <w:r>
        <w:rPr>
          <w:b/>
          <w:bCs/>
          <w:color w:val="17365D"/>
          <w:sz w:val="17"/>
          <w:szCs w:val="17"/>
        </w:rPr>
        <w:t xml:space="preserve">FOENIX-CCA2. </w:t>
      </w:r>
      <w:r>
        <w:rPr>
          <w:sz w:val="17"/>
          <w:szCs w:val="17"/>
        </w:rPr>
        <w:t xml:space="preserve">Goyal L, Meric-Bernstam F, Hollebecque A, et al. Futibatinib for FGFR2-rearranged intrahepatic cholangiocarcinoma. N Engl J Med. 2023;388(3):228-239. doi:10.1056/NEJMoa2206834. PMID:36652354.</w:t>
      </w:r>
    </w:p>
    <w:p>
      <w:pPr>
        <w:spacing w:after="70"/>
        <w:ind w:left="360" w:hanging="360"/>
      </w:pPr>
      <w:r>
        <w:rPr>
          <w:b/>
          <w:bCs/>
          <w:color w:val="17365D"/>
          <w:sz w:val="17"/>
          <w:szCs w:val="17"/>
        </w:rPr>
        <w:t xml:space="preserve">HERIZON-BTC-01. </w:t>
      </w:r>
      <w:r>
        <w:rPr>
          <w:sz w:val="17"/>
          <w:szCs w:val="17"/>
        </w:rPr>
        <w:t xml:space="preserve">Pant S, Fan J, Oh DY, et al. Zanidatamab in HER2-positive metastatic biliary tract cancer: final results from HERIZON-BTC-01. JAMA Oncol. 2026;12(1):106-109. doi:10.1001/jamaoncol.2025.4736. PMID:41264278.</w:t>
      </w:r>
    </w:p>
    <w:p>
      <w:pPr>
        <w:spacing w:after="70"/>
        <w:ind w:left="360" w:hanging="360"/>
      </w:pPr>
      <w:r>
        <w:rPr>
          <w:b/>
          <w:bCs/>
          <w:color w:val="17365D"/>
          <w:sz w:val="17"/>
          <w:szCs w:val="17"/>
        </w:rPr>
        <w:t xml:space="preserve">KEYNOTE-966. </w:t>
      </w:r>
      <w:r>
        <w:rPr>
          <w:sz w:val="17"/>
          <w:szCs w:val="17"/>
        </w:rPr>
        <w:t xml:space="preserve">Kelley RK, Ueno M, Yoo C, et al. Pembrolizumab in combination with gemcitabine and cisplatin compared with gemcitabine and cisplatin alone for patients with advanced biliary tract cancer (KEYNOTE-966): a randomised, double-blind, placebo-controlled, phase 3 trial. Lancet. 2023;401(10391):1853-1865. doi:10.1016/S0140-6736(23)00727-4. PMID:37075781.</w:t>
      </w:r>
    </w:p>
    <w:p>
      <w:pPr>
        <w:spacing w:after="70"/>
        <w:ind w:left="360" w:hanging="360"/>
      </w:pPr>
      <w:r>
        <w:rPr>
          <w:b/>
          <w:bCs/>
          <w:color w:val="17365D"/>
          <w:sz w:val="17"/>
          <w:szCs w:val="17"/>
        </w:rPr>
        <w:t xml:space="preserve">PRODIGE-12. </w:t>
      </w:r>
      <w:r>
        <w:rPr>
          <w:sz w:val="17"/>
          <w:szCs w:val="17"/>
        </w:rPr>
        <w:t xml:space="preserve">Edeline J, Benabdelghani M, Bertaut A, et al. Gemcitabine and oxaliplatin chemotherapy or surveillance in resected biliary tract cancer (PRODIGE 12-ACCORD 18-UNICANCER GI): a randomized phase III study. J Clin Oncol. 2019;37(8):658-667. doi:10.1200/JCO.18.00050. PMID:30707660.</w:t>
      </w:r>
    </w:p>
    <w:p>
      <w:pPr>
        <w:spacing w:after="70"/>
        <w:ind w:left="360" w:hanging="360"/>
      </w:pPr>
      <w:r>
        <w:rPr>
          <w:b/>
          <w:bCs/>
          <w:color w:val="17365D"/>
          <w:sz w:val="17"/>
          <w:szCs w:val="17"/>
        </w:rPr>
        <w:t xml:space="preserve">ROAR. </w:t>
      </w:r>
      <w:r>
        <w:rPr>
          <w:sz w:val="17"/>
          <w:szCs w:val="17"/>
        </w:rPr>
        <w:t xml:space="preserve">Subbiah V, Lassen U, Élez E, et al. Dabrafenib plus trametinib in patients with BRAF V600E-mutated biliary tract cancer (ROAR): a phase 2, open-label, single-arm, multicentre basket trial. Lancet Oncol. 2020;21(9):1234-1243. doi:10.1016/S1470-2045(20)30321-1. PMID:32818466.</w:t>
      </w:r>
    </w:p>
    <w:p>
      <w:pPr>
        <w:spacing w:after="70"/>
        <w:ind w:left="360" w:hanging="360"/>
      </w:pPr>
      <w:r>
        <w:rPr>
          <w:b/>
          <w:bCs/>
          <w:color w:val="17365D"/>
          <w:sz w:val="17"/>
          <w:szCs w:val="17"/>
        </w:rPr>
        <w:t xml:space="preserve">TOPAZ-1. </w:t>
      </w:r>
      <w:r>
        <w:rPr>
          <w:sz w:val="17"/>
          <w:szCs w:val="17"/>
        </w:rPr>
        <w:t xml:space="preserve">Oh DY, Ruth He A, Qin S, et al. Durvalumab plus gemcitabine and cisplatin in advanced biliary tract cancer. NEJM Evid. 2022;1(8):EVIDoa2200015. doi:10.1056/EVIDoa2200015. PMID:38319896.</w:t>
      </w:r>
    </w:p>
    <w:p>
      <w:pPr>
        <w:pStyle w:val="Heading3"/>
        <w:keepNext/>
        <w:spacing w:after="110" w:before="240"/>
      </w:pPr>
      <w:r>
        <w:rPr>
          <w:rFonts w:ascii="Cambria" w:cs="Cambria" w:eastAsia="Cambria" w:hAnsi="Cambria"/>
          <w:b/>
          <w:bCs/>
          <w:color w:val="17365D"/>
          <w:sz w:val="22"/>
          <w:szCs w:val="22"/>
        </w:rPr>
        <w:t xml:space="preserve">Transplant</w:t>
      </w:r>
    </w:p>
    <w:p>
      <w:pPr>
        <w:spacing w:after="70"/>
        <w:ind w:left="360" w:hanging="360"/>
      </w:pPr>
      <w:r>
        <w:rPr>
          <w:b/>
          <w:bCs/>
          <w:color w:val="17365D"/>
          <w:sz w:val="17"/>
          <w:szCs w:val="17"/>
        </w:rPr>
        <w:t xml:space="preserve">12-centre protocol series. </w:t>
      </w:r>
      <w:r>
        <w:rPr>
          <w:sz w:val="17"/>
          <w:szCs w:val="17"/>
        </w:rPr>
        <w:t xml:space="preserve">Darwish Murad S, Kim WR, Harnois DM, et al. Efficacy of neoadjuvant chemoradiation, followed by liver transplantation, for perihilar cholangiocarcinoma at 12 US centers. Gastroenterology. 2012;143(1):88-98.e3. doi:10.1053/j.gastro.2012.04.008. PMID:22504095.</w:t>
      </w:r>
    </w:p>
    <w:p>
      <w:pPr>
        <w:spacing w:after="70"/>
        <w:ind w:left="360" w:hanging="360"/>
      </w:pPr>
      <w:r>
        <w:rPr>
          <w:b/>
          <w:bCs/>
          <w:color w:val="17365D"/>
          <w:sz w:val="17"/>
          <w:szCs w:val="17"/>
        </w:rPr>
        <w:t xml:space="preserve">Heimbach 2011. </w:t>
      </w:r>
      <w:r>
        <w:rPr>
          <w:sz w:val="17"/>
          <w:szCs w:val="17"/>
        </w:rPr>
        <w:t xml:space="preserve">Heimbach JK, Sanchez W, Rosen CB, et al. Trans-peritoneal fine needle aspiration biopsy of hilar cholangiocarcinoma is associated with disease dissemination. HPB (Oxford). 2011;13(5):356-60. doi:10.1111/j.1477-2574.2011.00298.x. PMID:21492336.</w:t>
      </w:r>
    </w:p>
    <w:p>
      <w:pPr>
        <w:spacing w:after="70"/>
        <w:ind w:left="360" w:hanging="360"/>
      </w:pPr>
      <w:r>
        <w:rPr>
          <w:b/>
          <w:bCs/>
          <w:color w:val="17365D"/>
          <w:sz w:val="17"/>
          <w:szCs w:val="17"/>
        </w:rPr>
        <w:t xml:space="preserve">Rea 2005. </w:t>
      </w:r>
      <w:r>
        <w:rPr>
          <w:sz w:val="17"/>
          <w:szCs w:val="17"/>
        </w:rPr>
        <w:t xml:space="preserve">Rea DJ, Heimbach JK, Rosen CB, et al. Liver transplantation with neoadjuvant chemoradiation is more effective than resection for hilar cholangiocarcinoma. Ann Surg. 2005;242(3):451-8; discussion 458-61. doi:10.1097/01.sla.0000179678.13285.fa. PMID:16135931.</w:t>
      </w:r>
    </w:p>
    <w:p>
      <w:pPr>
        <w:pStyle w:val="Heading1"/>
        <w:keepNext/>
        <w:pageBreakBefore/>
        <w:spacing w:after="110" w:before="320"/>
      </w:pPr>
      <w:r>
        <w:rPr>
          <w:rFonts w:ascii="Cambria" w:cs="Cambria" w:eastAsia="Cambria" w:hAnsi="Cambria"/>
          <w:b/>
          <w:bCs/>
          <w:color w:val="17365D"/>
          <w:sz w:val="32"/>
          <w:szCs w:val="32"/>
        </w:rPr>
        <w:t xml:space="preserve">Appendix: what is wrong with each paper</w:t>
      </w:r>
    </w:p>
    <w:p>
      <w:pPr>
        <w:spacing w:after="120" w:line="276"/>
      </w:pPr>
      <w:r>
        <w:rPr>
          <w:i/>
          <w:iCs/>
          <w:color w:val="5A6069"/>
          <w:sz w:val="20"/>
          <w:szCs w:val="20"/>
        </w:rPr>
        <w:t xml:space="preserve">Each source cited on this roadmap, with the limitations its authors state in their own discussion and the objections the full text supports but they do not raise. Nothing here withdraws a recommendation. It is the record of how far each one can be pushed, so that a claim is never quoted in clinic, to a payer or to a referring clinician as stronger than the paper behind it.</w:t>
      </w:r>
    </w:p>
    <w:p>
      <w:pPr>
        <w:spacing w:after="180" w:line="276"/>
      </w:pPr>
      <w:r>
        <w:rPr>
          <w:i/>
          <w:iCs/>
          <w:color w:val="5A6069"/>
          <w:sz w:val="20"/>
          <w:szCs w:val="20"/>
        </w:rPr>
        <w:t xml:space="preserve">38 of this pathway's 47 sources were read in full and abstracted this way. 9 were not, and are listed at the end of this appendix: guidelines and policy documents without a PMID, and the papers that could not be retrieved.</w:t>
      </w:r>
    </w:p>
    <w:p>
      <w:pPr>
        <w:keepNext/>
        <w:spacing w:after="50" w:before="260"/>
      </w:pPr>
      <w:r>
        <w:rPr>
          <w:rFonts w:ascii="Cambria" w:cs="Cambria" w:eastAsia="Cambria" w:hAnsi="Cambria"/>
          <w:b/>
          <w:bCs/>
          <w:color w:val="17365D"/>
          <w:sz w:val="20"/>
          <w:szCs w:val="20"/>
        </w:rPr>
        <w:t xml:space="preserve">12-centre protocol series</w:t>
      </w:r>
      <w:r>
        <w:rPr>
          <w:b/>
          <w:bCs/>
          <w:color w:val="176A87"/>
          <w:sz w:val="15"/>
          <w:szCs w:val="15"/>
        </w:rPr>
        <w:t xml:space="preserve">   cohort</w:t>
      </w:r>
      <w:r>
        <w:rPr>
          <w:color w:val="5A6069"/>
          <w:sz w:val="15"/>
          <w:szCs w:val="15"/>
        </w:rPr>
        <w:t xml:space="preserve">   PMID 22504095</w:t>
      </w:r>
    </w:p>
    <w:p>
      <w:pPr>
        <w:spacing w:after="50" w:line="276"/>
      </w:pPr>
      <w:r>
        <w:rPr>
          <w:color w:val="5A6069"/>
          <w:sz w:val="17"/>
          <w:szCs w:val="17"/>
        </w:rPr>
        <w:t xml:space="preserve">Efficacy of neoadjuvant chemoradiation, followed by liver transplantation, for perihilar cholangiocarcinoma at 12 US centers</w:t>
      </w:r>
    </w:p>
    <w:p>
      <w:pPr>
        <w:spacing w:after="50"/>
      </w:pPr>
      <w:r>
        <w:rPr>
          <w:b/>
          <w:bCs/>
          <w:color w:val="176A87"/>
          <w:sz w:val="16"/>
          <w:szCs w:val="16"/>
        </w:rPr>
        <w:t xml:space="preserve">Population. </w:t>
      </w:r>
      <w:r>
        <w:rPr>
          <w:sz w:val="16"/>
          <w:szCs w:val="16"/>
        </w:rPr>
        <w:t xml:space="preserve">287 patients with perihilar cholangiocarcinoma treated under a UNOS-approved neoadjuvant chemoradiation and liver transplant protocol at 12 US centres from January 1993 to July 2010, of whom 214 reached transplantation; 193 of the 287 came from one centre, and 26 patients plus 6 duplicates were excluded from the 319 originally reported</w:t>
      </w:r>
    </w:p>
    <w:p>
      <w:pPr>
        <w:spacing w:after="70"/>
      </w:pPr>
      <w:r>
        <w:rPr>
          <w:b/>
          <w:bCs/>
          <w:color w:val="17365D"/>
          <w:sz w:val="16"/>
          <w:szCs w:val="16"/>
        </w:rPr>
        <w:t xml:space="preserve">Bottom line. </w:t>
      </w:r>
      <w:r>
        <w:rPr>
          <w:sz w:val="16"/>
          <w:szCs w:val="16"/>
        </w:rPr>
        <w:t xml:space="preserve">Across 12 US centres, 214 of 287 patients enrolled in a neoadjuvant chemoradiation and transplant protocol reached transplantation and 65% were alive without recurrence at 5 years, which is the evidence base for the standard MELD exception for perihilar cholangiocarcinoma. Measured from enrolment the same cohort has 53% 5-year survival, 71 patients (25%) dropped out at a median of 4.6 months, and 193 of the 287 came from the centre that wrote the eligibility criteria this study then validates. It establishes that the protocol is reproducible where it is already practised; it does not compare transplantation with resection, cannot isolate any component of the neoadjuvant regimen, and leaves the cost of 236 grafts for 287 patients out of the allocation argument.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study was not a randomised controlled trial, and the authors argue that a trial of transplantation with or without neoadjuvant therapy would be extremely difficult given the rarity of the disease and the unacceptably high recurrence historically reported after transplantation alone</w:t>
            </w:r>
          </w:p>
          <w:p>
            <w:pPr>
              <w:pStyle w:val="ListParagraph"/>
              <w:numPr>
                <w:ilvl w:val="0"/>
                <w:numId w:val="2"/>
              </w:numPr>
              <w:spacing w:after="45"/>
            </w:pPr>
            <w:r>
              <w:rPr>
                <w:sz w:val="15"/>
                <w:szCs w:val="15"/>
              </w:rPr>
              <w:t xml:space="preserve">A large proportion of patients came from one centre, 193 of 287, creating a potential for bias, which the authors address by showing no statistical difference in intent-to-treat or recurrence-free survival between that centre and the other 11</w:t>
            </w:r>
          </w:p>
          <w:p>
            <w:pPr>
              <w:pStyle w:val="ListParagraph"/>
              <w:numPr>
                <w:ilvl w:val="0"/>
                <w:numId w:val="2"/>
              </w:numPr>
              <w:spacing w:after="45"/>
            </w:pPr>
            <w:r>
              <w:rPr>
                <w:sz w:val="15"/>
                <w:szCs w:val="15"/>
              </w:rPr>
              <w:t xml:space="preserve">Heterogeneity in the duration, type and dose of maintenance chemotherapy across centres meant the independent impact of maintenance chemotherapy could not be determined</w:t>
            </w:r>
          </w:p>
          <w:p>
            <w:pPr>
              <w:pStyle w:val="ListParagraph"/>
              <w:numPr>
                <w:ilvl w:val="0"/>
                <w:numId w:val="2"/>
              </w:numPr>
              <w:spacing w:after="45"/>
            </w:pPr>
            <w:r>
              <w:rPr>
                <w:sz w:val="15"/>
                <w:szCs w:val="15"/>
              </w:rPr>
              <w:t xml:space="preserve">Pretransplant surgical staging failed to show a statistical advantage in recurrence-free survival, which the authors attribute mostly to lack of power given that only 30 transplanted patients were unstaged</w:t>
            </w:r>
          </w:p>
          <w:p>
            <w:pPr>
              <w:pStyle w:val="ListParagraph"/>
              <w:numPr>
                <w:ilvl w:val="0"/>
                <w:numId w:val="2"/>
              </w:numPr>
              <w:spacing w:after="45"/>
            </w:pPr>
            <w:r>
              <w:rPr>
                <w:sz w:val="15"/>
                <w:szCs w:val="15"/>
              </w:rPr>
              <w:t xml:space="preserve">Because the tumour biology remains incompletely understood, the effect of more rapid access to transplantation is unknown and may raise recurrence in patients whose tumours resist neoadjuvant therapy</w:t>
            </w:r>
          </w:p>
          <w:p>
            <w:pPr>
              <w:pStyle w:val="ListParagraph"/>
              <w:numPr>
                <w:ilvl w:val="0"/>
                <w:numId w:val="2"/>
              </w:numPr>
              <w:spacing w:after="45"/>
            </w:pPr>
            <w:r>
              <w:rPr>
                <w:sz w:val="15"/>
                <w:szCs w:val="15"/>
              </w:rPr>
              <w:t xml:space="preserve">Patients without a visible mass on cross-sectional imaging were counted as having a mass smaller than 3 cm for statistical purposes, which the authors state was necessary given the limits of radiographic detection of a small perihilar mass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headline figures of 78% and 65% recurrence-free survival are measured from the date of transplantation among the 214 patients who reached it; intention-to-treat survival for the 287 enrolled is 68% at 2 years and 53% at 5, and the abstract and conclusion lead with the post-transplant number</w:t>
            </w:r>
          </w:p>
          <w:p>
            <w:pPr>
              <w:pStyle w:val="ListParagraph"/>
              <w:numPr>
                <w:ilvl w:val="0"/>
                <w:numId w:val="2"/>
              </w:numPr>
              <w:spacing w:after="45"/>
            </w:pPr>
            <w:r>
              <w:rPr>
                <w:sz w:val="15"/>
                <w:szCs w:val="15"/>
              </w:rPr>
              <w:t xml:space="preserve">71 patients (25%) dropped out at a median of 4.6 months and 60 of the 122 deaths occurred before transplantation, 52 of them from tumour progression; the MELD exception is justified by restating that 25% as an average of 11.5% per 3 months (range 7%-17%) so that it approximates the 10% already assigned to hepatocellular carcinoma</w:t>
            </w:r>
          </w:p>
          <w:p>
            <w:pPr>
              <w:pStyle w:val="ListParagraph"/>
              <w:numPr>
                <w:ilvl w:val="0"/>
                <w:numId w:val="2"/>
              </w:numPr>
              <w:spacing w:after="45"/>
            </w:pPr>
            <w:r>
              <w:rPr>
                <w:sz w:val="15"/>
                <w:szCs w:val="15"/>
              </w:rPr>
              <w:t xml:space="preserve">The UNOS/OPTN eligibility criteria being tested were derived from earlier reports by the same group, and are re-evaluated in a dataset in which 193 of 287 patients come from the originating centre, so this is not external validation</w:t>
            </w:r>
          </w:p>
          <w:p>
            <w:pPr>
              <w:pStyle w:val="ListParagraph"/>
              <w:numPr>
                <w:ilvl w:val="0"/>
                <w:numId w:val="2"/>
              </w:numPr>
              <w:spacing w:after="45"/>
            </w:pPr>
            <w:r>
              <w:rPr>
                <w:sz w:val="15"/>
                <w:szCs w:val="15"/>
              </w:rPr>
              <w:t xml:space="preserve">The composite 'outside UNOS criteria' exposure, hazard ratio 2.98 (95% CI 1.79-4.95), pools mass over 3 cm (n=21), metastatic disease at transplantation (n=4), direct tumour biopsy (n=16) and prior malignancy within 5 years (n=7); no component is analysed separately, and Figure 4B gives the mass-over-3-cm group as n=23 against n=21 in the text</w:t>
            </w:r>
          </w:p>
          <w:p>
            <w:pPr>
              <w:pStyle w:val="ListParagraph"/>
              <w:numPr>
                <w:ilvl w:val="0"/>
                <w:numId w:val="2"/>
              </w:numPr>
              <w:spacing w:after="45"/>
            </w:pPr>
            <w:r>
              <w:rPr>
                <w:sz w:val="15"/>
                <w:szCs w:val="15"/>
              </w:rPr>
              <w:t xml:space="preserve">129 of 287 patients had no mass on imaging and were counted as having a mass under 3 cm, so the mass-size result that drives the selection argument, 5-year recurrence-free survival of 69% against 32%, rests partly on an assumption rather than a measurement</w:t>
            </w:r>
          </w:p>
          <w:p>
            <w:pPr>
              <w:pStyle w:val="ListParagraph"/>
              <w:numPr>
                <w:ilvl w:val="0"/>
                <w:numId w:val="2"/>
              </w:numPr>
              <w:spacing w:after="45"/>
            </w:pPr>
            <w:r>
              <w:rPr>
                <w:sz w:val="15"/>
                <w:szCs w:val="15"/>
              </w:rPr>
              <w:t xml:space="preserve">Tissue confirmation at entry was weak: 96 of 287 (33%) had a positive brushing and 65 (23%) a positive biopsy, 75 (26%) were negative on both, and median CA 19-9 was 76 U/mL with only 45% above the 100 U/mL criterion; the authors reduce the number with no proof to 15 (5%) by counting explant pathology and post-transplant recurrence as confirmation, which is evidence obtained after the intervention</w:t>
            </w:r>
          </w:p>
          <w:p>
            <w:pPr>
              <w:pStyle w:val="ListParagraph"/>
              <w:numPr>
                <w:ilvl w:val="0"/>
                <w:numId w:val="2"/>
              </w:numPr>
              <w:spacing w:after="45"/>
            </w:pPr>
            <w:r>
              <w:rPr>
                <w:sz w:val="15"/>
                <w:szCs w:val="15"/>
              </w:rPr>
              <w:t xml:space="preserve">Excluding those 15 patients lowers 5-year intention-to-treat survival to 50% and recurrence-free survival to 62%, figures the paper describes as similar to the entire cohort</w:t>
            </w:r>
          </w:p>
          <w:p>
            <w:pPr>
              <w:pStyle w:val="ListParagraph"/>
              <w:numPr>
                <w:ilvl w:val="0"/>
                <w:numId w:val="2"/>
              </w:numPr>
              <w:spacing w:after="45"/>
            </w:pPr>
            <w:r>
              <w:rPr>
                <w:sz w:val="15"/>
                <w:szCs w:val="15"/>
              </w:rPr>
              <w:t xml:space="preserve">Living donor allografts are given as 52 in Table 1 and 62 in Supplementary Table 2, where 152 deceased plus 62 living equals the 214 transplanted</w:t>
            </w:r>
          </w:p>
          <w:p>
            <w:pPr>
              <w:pStyle w:val="ListParagraph"/>
              <w:numPr>
                <w:ilvl w:val="0"/>
                <w:numId w:val="2"/>
              </w:numPr>
              <w:spacing w:after="45"/>
            </w:pPr>
            <w:r>
              <w:rPr>
                <w:sz w:val="15"/>
                <w:szCs w:val="15"/>
              </w:rPr>
              <w:t xml:space="preserve">The organ cost is absent from the argument for the MELD exception: 214 first grafts plus 22 re-transplantations (10%, eleven of them for arterial compromise) for 287 enrolled patients, in a protocol whose radiation made the portal vein friable in 23% and the hepatic artery in 12%</w:t>
            </w:r>
          </w:p>
          <w:p>
            <w:pPr>
              <w:pStyle w:val="ListParagraph"/>
              <w:numPr>
                <w:ilvl w:val="0"/>
                <w:numId w:val="2"/>
              </w:numPr>
              <w:spacing w:after="45"/>
            </w:pPr>
            <w:r>
              <w:rPr>
                <w:sz w:val="15"/>
                <w:szCs w:val="15"/>
              </w:rPr>
              <w:t xml:space="preserve">The 5-year graft survival confidence interval is printed as 60% (95% CI, 68-52), with the bounds reversed</w:t>
            </w:r>
          </w:p>
          <w:p>
            <w:pPr>
              <w:pStyle w:val="ListParagraph"/>
              <w:numPr>
                <w:ilvl w:val="0"/>
                <w:numId w:val="2"/>
              </w:numPr>
              <w:spacing w:after="45"/>
            </w:pPr>
            <w:r>
              <w:rPr>
                <w:sz w:val="15"/>
                <w:szCs w:val="15"/>
              </w:rPr>
              <w:t xml:space="preserve">Staging surgery showed no recurrence-free survival benefit (hazard ratio 0.73, 95% CI 0.37-1.43) and the timing of staging made no difference (0.79, 0.43-1.43), yet the practice is retained by an indirect calculation applying the 17% metastasis yield to the 30 unstaged patients</w:t>
            </w:r>
          </w:p>
          <w:p>
            <w:pPr>
              <w:pStyle w:val="ListParagraph"/>
              <w:numPr>
                <w:ilvl w:val="0"/>
                <w:numId w:val="2"/>
              </w:numPr>
              <w:spacing w:after="45"/>
            </w:pPr>
            <w:r>
              <w:rPr>
                <w:sz w:val="15"/>
                <w:szCs w:val="15"/>
              </w:rPr>
              <w:t xml:space="preserve">Brachytherapy showed no benefit (hazard ratio 1.05, 95% CI 0.60-1.85) and the authors note that most patients who did not receive it were given a higher external beam dose, so this compares delivery route at similar total dose rather than radiation dose</w:t>
            </w:r>
          </w:p>
          <w:p>
            <w:pPr>
              <w:pStyle w:val="ListParagraph"/>
              <w:numPr>
                <w:ilvl w:val="0"/>
                <w:numId w:val="2"/>
              </w:numPr>
              <w:spacing w:after="45"/>
            </w:pPr>
            <w:r>
              <w:rPr>
                <w:sz w:val="15"/>
                <w:szCs w:val="15"/>
              </w:rPr>
              <w:t xml:space="preserve">Centre protocols differ at the level of eligibility, not only therapy: Supplementary Table 1 shows one centre requiring a mass under 2 cm and another admitting masses up to 10 cm, with external beam doses from 2100 to 6000 cGy and brachytherapy from 988 to 5000 cGy, all pooled as one treatment</w:t>
            </w:r>
          </w:p>
          <w:p>
            <w:pPr>
              <w:pStyle w:val="ListParagraph"/>
              <w:numPr>
                <w:ilvl w:val="0"/>
                <w:numId w:val="2"/>
              </w:numPr>
              <w:spacing w:after="45"/>
            </w:pPr>
            <w:r>
              <w:rPr>
                <w:sz w:val="15"/>
                <w:szCs w:val="15"/>
              </w:rPr>
              <w:t xml:space="preserve">26 of the 319 reported patients were excluded, including 11 incidental explant diagnoses and 8 transplanted without neoadjuvant therapy, so the group that would form the natural comparator for the value of neoadjuvant therapy is removed from the analysis</w:t>
            </w:r>
          </w:p>
          <w:p>
            <w:pPr>
              <w:pStyle w:val="ListParagraph"/>
              <w:numPr>
                <w:ilvl w:val="0"/>
                <w:numId w:val="2"/>
              </w:numPr>
              <w:spacing w:after="45"/>
            </w:pPr>
            <w:r>
              <w:rPr>
                <w:sz w:val="15"/>
                <w:szCs w:val="15"/>
              </w:rPr>
              <w:t xml:space="preserve">Of 50 centres invited, 30 responded and 12 qualified, and the authors identify at least 10 further centres with approved protocols whose outcomes are unknown, so centres with worse results are not represented</w:t>
            </w:r>
          </w:p>
          <w:p>
            <w:pPr>
              <w:pStyle w:val="ListParagraph"/>
              <w:numPr>
                <w:ilvl w:val="0"/>
                <w:numId w:val="2"/>
              </w:numPr>
              <w:spacing w:after="45"/>
            </w:pPr>
            <w:r>
              <w:rPr>
                <w:sz w:val="15"/>
                <w:szCs w:val="15"/>
              </w:rPr>
              <w:t xml:space="preserve">Median follow-up was 2.5 years from listing while 5- and 10-year estimates are reported, including 59% (49-69) recurrence-free survival at 10 years, and no numbers at risk appear on any curve</w:t>
            </w:r>
          </w:p>
          <w:p>
            <w:pPr>
              <w:pStyle w:val="ListParagraph"/>
              <w:numPr>
                <w:ilvl w:val="0"/>
                <w:numId w:val="2"/>
              </w:numPr>
              <w:spacing w:after="45"/>
            </w:pPr>
            <w:r>
              <w:rPr>
                <w:sz w:val="15"/>
                <w:szCs w:val="15"/>
              </w:rPr>
              <w:t xml:space="preserve">Toxicity is reported without grading or a stated denominator: recurrent clinical or subclinical cholangitis 'occurred in all patients', gastroduodenal ulcers in 34%, nausea or vomiting in 81%</w:t>
            </w:r>
          </w:p>
          <w:p>
            <w:pPr>
              <w:pStyle w:val="ListParagraph"/>
              <w:numPr>
                <w:ilvl w:val="0"/>
                <w:numId w:val="2"/>
              </w:numPr>
              <w:spacing w:after="45"/>
            </w:pPr>
            <w:r>
              <w:rPr>
                <w:sz w:val="15"/>
                <w:szCs w:val="15"/>
              </w:rPr>
              <w:t xml:space="preserve">No linked editorial or comment was found in PubMed; a Covering the Cover synopsis and a CME activity accompany the article and were not reviewed</w:t>
            </w:r>
          </w:p>
        </w:tc>
      </w:tr>
    </w:tbl>
    <w:p>
      <w:pPr>
        <w:spacing w:after="0" w:line="276"/>
      </w:pPr>
      <w:r>
        <w:rPr>
          <w:color w:val="5A6069"/>
          <w:sz w:val="14"/>
          <w:szCs w:val="14"/>
        </w:rPr>
        <w:t xml:space="preserve">Funding: Sarwa Darwish Murad held the 2010/2011 American Association for the Study of Liver Disease/LIFER Clinical and Translational Research Fellowship in Liver Diseases Award; the authors disclose no conflicts</w:t>
      </w:r>
    </w:p>
    <w:p>
      <w:pPr>
        <w:keepNext/>
        <w:spacing w:after="50" w:before="260"/>
      </w:pPr>
      <w:r>
        <w:rPr>
          <w:rFonts w:ascii="Cambria" w:cs="Cambria" w:eastAsia="Cambria" w:hAnsi="Cambria"/>
          <w:b/>
          <w:bCs/>
          <w:color w:val="17365D"/>
          <w:sz w:val="20"/>
          <w:szCs w:val="20"/>
        </w:rPr>
        <w:t xml:space="preserve">AASLD 2023</w:t>
      </w:r>
      <w:r>
        <w:rPr>
          <w:b/>
          <w:bCs/>
          <w:color w:val="176A87"/>
          <w:sz w:val="15"/>
          <w:szCs w:val="15"/>
        </w:rPr>
        <w:t xml:space="preserve">   Guideline</w:t>
      </w:r>
      <w:r>
        <w:rPr>
          <w:color w:val="5A6069"/>
          <w:sz w:val="15"/>
          <w:szCs w:val="15"/>
        </w:rPr>
        <w:t xml:space="preserve">   PMID 36083140</w:t>
      </w:r>
    </w:p>
    <w:p>
      <w:pPr>
        <w:spacing w:after="50" w:line="276"/>
      </w:pPr>
      <w:r>
        <w:rPr>
          <w:color w:val="5A6069"/>
          <w:sz w:val="17"/>
          <w:szCs w:val="17"/>
        </w:rPr>
        <w:t xml:space="preserve">AASLD practice guidance on primary sclerosing cholangitis and cholangiocarcinoma</w:t>
      </w:r>
    </w:p>
    <w:p>
      <w:pPr>
        <w:spacing w:after="70"/>
      </w:pPr>
      <w:r>
        <w:rPr>
          <w:b/>
          <w:bCs/>
          <w:color w:val="17365D"/>
          <w:sz w:val="16"/>
          <w:szCs w:val="16"/>
        </w:rPr>
        <w:t xml:space="preserve">Bottom line. </w:t>
      </w:r>
      <w:r>
        <w:rPr>
          <w:sz w:val="16"/>
          <w:szCs w:val="16"/>
        </w:rPr>
        <w:t xml:space="preserve">The AASLD guidance is the reference for surveillance and diagnosis in primary sclerosing cholangitis and the first AASLD document to cover cholangiocarcinoma, with 53 statements spanning annual MRI/MRCP surveillance, intraductal cytology with FISH, mandatory histology for iCCA, and transplantation after neoadjuvant therapy for perihilar tumours of 3 cm or less. It is explicitly expert consensus with no graded evidence, and no prospective study supports its central surveillance recommendation. It contradicts itself on iCCA transplantation, with statement 40 confining it to research protocols and the algorithm figure referring every unresectable tumour of 2 cm or less.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document states that too few randomised trials exist for a GRADE-based guideline, so all 53 statements are expert panel consensus with no formal rating of evidence quality or strength of recommendation</w:t>
            </w:r>
          </w:p>
          <w:p>
            <w:pPr>
              <w:pStyle w:val="ListParagraph"/>
              <w:numPr>
                <w:ilvl w:val="0"/>
                <w:numId w:val="2"/>
              </w:numPr>
              <w:spacing w:after="45"/>
            </w:pPr>
            <w:r>
              <w:rPr>
                <w:sz w:val="15"/>
                <w:szCs w:val="15"/>
              </w:rPr>
              <w:t xml:space="preserve">Surveillance is explicitly not recommended in patients under 18 or with small-duct primary sclerosing cholangitis, an acknowledged gap rather than a positive recommendation</w:t>
            </w:r>
          </w:p>
          <w:p>
            <w:pPr>
              <w:pStyle w:val="ListParagraph"/>
              <w:numPr>
                <w:ilvl w:val="0"/>
                <w:numId w:val="2"/>
              </w:numPr>
              <w:spacing w:after="45"/>
            </w:pPr>
            <w:r>
              <w:rPr>
                <w:sz w:val="15"/>
                <w:szCs w:val="15"/>
              </w:rPr>
              <w:t xml:space="preserve">Elevated CA 19-9 alone is stated to be insufficient to diagnose cholangiocarcinoma</w:t>
            </w:r>
          </w:p>
          <w:p>
            <w:pPr>
              <w:pStyle w:val="ListParagraph"/>
              <w:numPr>
                <w:ilvl w:val="0"/>
                <w:numId w:val="2"/>
              </w:numPr>
              <w:spacing w:after="45"/>
            </w:pPr>
            <w:r>
              <w:rPr>
                <w:sz w:val="15"/>
                <w:szCs w:val="15"/>
              </w:rPr>
              <w:t xml:space="preserve">The panel states that locoregional therapy for iCCA is not yet standard and that transplantation for unresectable liver-limited iCCA belongs only in research protocols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No prospective study supports annual cholangiocarcinoma surveillance in primary sclerosing cholangitis; the 68% against 20% 5-year survival figure comes from a single retrospective cohort comparison, where the surveyed group is by construction composed of patients well enough to attend surveillance</w:t>
            </w:r>
          </w:p>
          <w:p>
            <w:pPr>
              <w:pStyle w:val="ListParagraph"/>
              <w:numPr>
                <w:ilvl w:val="0"/>
                <w:numId w:val="2"/>
              </w:numPr>
              <w:spacing w:after="45"/>
            </w:pPr>
            <w:r>
              <w:rPr>
                <w:sz w:val="15"/>
                <w:szCs w:val="15"/>
              </w:rPr>
              <w:t xml:space="preserve">The guidance contradicts itself on iCCA transplantation: statement 40 confines it to research protocols while the Figure 9A algorithm directs referral to a transplant centre for any unresectable iCCA of 2 cm or less, and a reader following the figure and a reader following the statement will do different things</w:t>
            </w:r>
          </w:p>
          <w:p>
            <w:pPr>
              <w:pStyle w:val="ListParagraph"/>
              <w:numPr>
                <w:ilvl w:val="0"/>
                <w:numId w:val="2"/>
              </w:numPr>
              <w:spacing w:after="45"/>
            </w:pPr>
            <w:r>
              <w:rPr>
                <w:sz w:val="15"/>
                <w:szCs w:val="15"/>
              </w:rPr>
              <w:t xml:space="preserve">Two different size thresholds sit in the same document, 2 cm in the iCCA algorithm and 3 cm radial diameter for perihilar transplantation after neoadjuvant therapy, with no explanation of why the intrahepatic limit is tighter</w:t>
            </w:r>
          </w:p>
          <w:p>
            <w:pPr>
              <w:pStyle w:val="ListParagraph"/>
              <w:numPr>
                <w:ilvl w:val="0"/>
                <w:numId w:val="2"/>
              </w:numPr>
              <w:spacing w:after="45"/>
            </w:pPr>
            <w:r>
              <w:rPr>
                <w:sz w:val="15"/>
                <w:szCs w:val="15"/>
              </w:rPr>
              <w:t xml:space="preserve">Routine FISH on biliary brushings is recommended for every suspected perihilar or distal cholangiocarcinoma, a test not uniformly available for this purpose even in major centres, and the 70% against 18% figure for serial polysomy is a diagnostic yield over time rather than a test characteristic at the point of decision</w:t>
            </w:r>
          </w:p>
          <w:p>
            <w:pPr>
              <w:pStyle w:val="ListParagraph"/>
              <w:numPr>
                <w:ilvl w:val="0"/>
                <w:numId w:val="2"/>
              </w:numPr>
              <w:spacing w:after="45"/>
            </w:pPr>
            <w:r>
              <w:rPr>
                <w:sz w:val="15"/>
                <w:szCs w:val="15"/>
              </w:rPr>
              <w:t xml:space="preserve">Statement 44 forbids fine-needle aspiration or percutaneous biopsy of a perihilar mass to protect transplant candidacy, while statement 34 of the companion literature and most oncology guidance require tissue before systemic therapy; the guidance does not say what to do for a patient who turns out not to be a transplant candidate after the opportunity to biopsy has passed</w:t>
            </w:r>
          </w:p>
          <w:p>
            <w:pPr>
              <w:pStyle w:val="ListParagraph"/>
              <w:numPr>
                <w:ilvl w:val="0"/>
                <w:numId w:val="2"/>
              </w:numPr>
              <w:spacing w:after="45"/>
            </w:pPr>
            <w:r>
              <w:rPr>
                <w:sz w:val="15"/>
                <w:szCs w:val="15"/>
              </w:rPr>
              <w:t xml:space="preserve">No statement addresses the role or extent of lymphadenectomy in iCCA, nor a minimum node count in perihilar or distal disease, leaving the operative decision that determines stage unaddressed across 53 statements</w:t>
            </w:r>
          </w:p>
          <w:p>
            <w:pPr>
              <w:pStyle w:val="ListParagraph"/>
              <w:numPr>
                <w:ilvl w:val="0"/>
                <w:numId w:val="2"/>
              </w:numPr>
              <w:spacing w:after="45"/>
            </w:pPr>
            <w:r>
              <w:rPr>
                <w:sz w:val="15"/>
                <w:szCs w:val="15"/>
              </w:rPr>
              <w:t xml:space="preserve">Thresholds conflict with European guidance without the conflict being noted: cholecystectomy at a gallbladder polyp above 8 mm against above 6 mm in the 2017 European guidelines, and ursodeoxycholic acid at 13 to 23 mg/kg/day against 15 to 20 mg/kg/day in EASL guidance</w:t>
            </w:r>
          </w:p>
          <w:p>
            <w:pPr>
              <w:pStyle w:val="ListParagraph"/>
              <w:numPr>
                <w:ilvl w:val="0"/>
                <w:numId w:val="2"/>
              </w:numPr>
              <w:spacing w:after="45"/>
            </w:pPr>
            <w:r>
              <w:rPr>
                <w:sz w:val="15"/>
                <w:szCs w:val="15"/>
              </w:rPr>
              <w:t xml:space="preserve">Adjuvant capecitabine is recommended for all cholangiocarcinoma without reference to the failed intention-to-treat analysis of the trial behind it or to the absence of an intrahepatic subgroup effect</w:t>
            </w:r>
          </w:p>
          <w:p>
            <w:pPr>
              <w:pStyle w:val="ListParagraph"/>
              <w:numPr>
                <w:ilvl w:val="0"/>
                <w:numId w:val="2"/>
              </w:numPr>
              <w:spacing w:after="45"/>
            </w:pPr>
            <w:r>
              <w:rPr>
                <w:sz w:val="15"/>
                <w:szCs w:val="15"/>
              </w:rPr>
              <w:t xml:space="preserve">The diagnostic performance figures are quoted without the cohorts behind them: MRI/MRCP at 89% sensitivity and 75% specificity against ultrasound at 57% and 94%, and CA 19-9 at 129 U/mL giving 78% and 98%, are presented side by side from different studies with different reference standards</w:t>
            </w:r>
          </w:p>
          <w:p>
            <w:pPr>
              <w:pStyle w:val="ListParagraph"/>
              <w:numPr>
                <w:ilvl w:val="0"/>
                <w:numId w:val="2"/>
              </w:numPr>
              <w:spacing w:after="45"/>
            </w:pPr>
            <w:r>
              <w:rPr>
                <w:sz w:val="15"/>
                <w:szCs w:val="15"/>
              </w:rPr>
              <w:t xml:space="preserve">PET is recommended against for the primary tumour here while the EASL-ILCA guideline recommends routine FDG-PET for nodal staging in apparently resectable iCCA, a direct conflict between two 2023 guidance documents that neither acknowledges</w:t>
            </w:r>
          </w:p>
          <w:p>
            <w:pPr>
              <w:pStyle w:val="ListParagraph"/>
              <w:numPr>
                <w:ilvl w:val="0"/>
                <w:numId w:val="2"/>
              </w:numPr>
              <w:spacing w:after="45"/>
            </w:pPr>
            <w:r>
              <w:rPr>
                <w:sz w:val="15"/>
                <w:szCs w:val="15"/>
              </w:rPr>
              <w:t xml:space="preserve">The guidance introduces new stricture terminology (dominant, high-grade and relevant) whose thresholds are set by expert consensus with no validation data, and then conditions several management statements on those definitions</w:t>
            </w:r>
          </w:p>
          <w:p>
            <w:pPr>
              <w:pStyle w:val="ListParagraph"/>
              <w:numPr>
                <w:ilvl w:val="0"/>
                <w:numId w:val="2"/>
              </w:numPr>
              <w:spacing w:after="45"/>
            </w:pPr>
            <w:r>
              <w:rPr>
                <w:sz w:val="15"/>
                <w:szCs w:val="15"/>
              </w:rPr>
              <w:t xml:space="preserve">The transplant author declares consulting and grant relationships with Roche and AstraZeneca and is also the senior author of the iCCA transplant series and review on which the transplant statements depend</w:t>
            </w:r>
          </w:p>
          <w:p>
            <w:pPr>
              <w:pStyle w:val="ListParagraph"/>
              <w:numPr>
                <w:ilvl w:val="0"/>
                <w:numId w:val="2"/>
              </w:numPr>
              <w:spacing w:after="45"/>
            </w:pPr>
            <w:r>
              <w:rPr>
                <w:sz w:val="15"/>
                <w:szCs w:val="15"/>
              </w:rPr>
              <w:t xml:space="preserve">An editorial by Saffioti and Mavroeidis (Hepatobiliary Surg Nutr 2024;13:172-5, PMID 38322224) raises the FISH availability and lymphadenectomy gaps; it was identified from the citation record and its arguments are reported second-hand rather than read here</w:t>
            </w:r>
          </w:p>
        </w:tc>
      </w:tr>
    </w:tbl>
    <w:p>
      <w:pPr>
        <w:spacing w:after="0" w:line="276"/>
      </w:pPr>
      <w:r>
        <w:rPr>
          <w:color w:val="5A6069"/>
          <w:sz w:val="14"/>
          <w:szCs w:val="14"/>
        </w:rPr>
        <w:t xml:space="preserve">Funding: Funding for the development of the Practice Guidance was provided by the American Association for the Study of Liver Diseases; individual authors declare grants and advisory relationships including Gilead, Bristol-Myers Squibb, GlaxoSmithKline, Mirum, Boston Scientific, Intercept, Novartis and others, and the transplant author declares consulting and grants from Roche, AstraZeneca and Integra</w:t>
      </w:r>
    </w:p>
    <w:p>
      <w:pPr>
        <w:keepNext/>
        <w:spacing w:after="50" w:before="260"/>
      </w:pPr>
      <w:r>
        <w:rPr>
          <w:rFonts w:ascii="Cambria" w:cs="Cambria" w:eastAsia="Cambria" w:hAnsi="Cambria"/>
          <w:b/>
          <w:bCs/>
          <w:color w:val="17365D"/>
          <w:sz w:val="20"/>
          <w:szCs w:val="20"/>
        </w:rPr>
        <w:t xml:space="preserve">ABC-02</w:t>
      </w:r>
      <w:r>
        <w:rPr>
          <w:b/>
          <w:bCs/>
          <w:color w:val="176A87"/>
          <w:sz w:val="15"/>
          <w:szCs w:val="15"/>
        </w:rPr>
        <w:t xml:space="preserve">   Randomised trial</w:t>
      </w:r>
      <w:r>
        <w:rPr>
          <w:color w:val="5A6069"/>
          <w:sz w:val="15"/>
          <w:szCs w:val="15"/>
        </w:rPr>
        <w:t xml:space="preserve">   PMID 20375404</w:t>
      </w:r>
    </w:p>
    <w:p>
      <w:pPr>
        <w:spacing w:after="50" w:line="276"/>
      </w:pPr>
      <w:r>
        <w:rPr>
          <w:color w:val="5A6069"/>
          <w:sz w:val="17"/>
          <w:szCs w:val="17"/>
        </w:rPr>
        <w:t xml:space="preserve">Cisplatin plus Gemcitabine versus Gemcitabine for Biliary Tract Cancer</w:t>
      </w:r>
    </w:p>
    <w:p>
      <w:pPr>
        <w:spacing w:after="50"/>
      </w:pPr>
      <w:r>
        <w:rPr>
          <w:b/>
          <w:bCs/>
          <w:color w:val="176A87"/>
          <w:sz w:val="16"/>
          <w:szCs w:val="16"/>
        </w:rPr>
        <w:t xml:space="preserve">Population. </w:t>
      </w:r>
      <w:r>
        <w:rPr>
          <w:sz w:val="16"/>
          <w:szCs w:val="16"/>
        </w:rPr>
        <w:t xml:space="preserve">410 patients with locally advanced or metastatic biliary tract cancer at 37 UK centres, of whom 80 (20%) had intrahepatic cholangiocarcinoma, 149 gallbladder cancer, 73 extrahepatic and 57 hilar cholangiocarcinoma, 20 ampullary cancer and 31 unspecified; 86 of the 410 came from the preceding randomised phase 2 ABC-01 study</w:t>
      </w:r>
    </w:p>
    <w:p>
      <w:pPr>
        <w:spacing w:after="70"/>
      </w:pPr>
      <w:r>
        <w:rPr>
          <w:b/>
          <w:bCs/>
          <w:color w:val="17365D"/>
          <w:sz w:val="16"/>
          <w:szCs w:val="16"/>
        </w:rPr>
        <w:t xml:space="preserve">Bottom line. </w:t>
      </w:r>
      <w:r>
        <w:rPr>
          <w:sz w:val="16"/>
          <w:szCs w:val="16"/>
        </w:rPr>
        <w:t xml:space="preserve">ABC-02 established cisplatin plus gemcitabine as first-line treatment for advanced biliary tract cancer, with median survival of 11.7 against 8.1 months and a hazard ratio of 0.64 (0.52-0.80) at no cost in overall toxicity. It does not establish a benefit in intrahepatic cholangiocarcinoma specifically, since iCCA was 80 of 410 patients and no site-specific estimate was ever reported. Median follow-up was 8.2 months, shorter than the median survival it reports, and 86 of the patients came from the phase 2 study that generated the hypothesis.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No limitations section anywhere in the paper; the authors concede only that the excess of grade 3 or 4 abnormal liver function in the gemcitabine-alone arm was possibly a result of inferior disease control and biliary drainage, and that until ABC-01 and this trial the evidence base was non-randomised phase 2 studies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trial is a continuation of ABC-01, and the 86 patients randomised there generated the progression-free survival signal used to justify the extension and were then counted in this 410-patient confirmatory analysis, so the hypothesis and the test of it share data</w:t>
            </w:r>
          </w:p>
          <w:p>
            <w:pPr>
              <w:pStyle w:val="ListParagraph"/>
              <w:numPr>
                <w:ilvl w:val="0"/>
                <w:numId w:val="2"/>
              </w:numPr>
              <w:spacing w:after="45"/>
            </w:pPr>
            <w:r>
              <w:rPr>
                <w:sz w:val="15"/>
                <w:szCs w:val="15"/>
              </w:rPr>
              <w:t xml:space="preserve">Median follow-up was 8.2 months, shorter than the 11.7-month median survival being reported; the numbers at risk fall to 17 against 4 by 24 months and 2 against 2 by 32 months, so nothing beyond two years is estimable</w:t>
            </w:r>
          </w:p>
          <w:p>
            <w:pPr>
              <w:pStyle w:val="ListParagraph"/>
              <w:numPr>
                <w:ilvl w:val="0"/>
                <w:numId w:val="2"/>
              </w:numPr>
              <w:spacing w:after="45"/>
            </w:pPr>
            <w:r>
              <w:rPr>
                <w:sz w:val="15"/>
                <w:szCs w:val="15"/>
              </w:rPr>
              <w:t xml:space="preserve">Intrahepatic cholangiocarcinoma is 80 of 410 patients and no site-specific hazard ratio is reported; the forest plot showing no heterogeneity is used to license pooling in a trial with no power to detect site-by-treatment interaction</w:t>
            </w:r>
          </w:p>
          <w:p>
            <w:pPr>
              <w:pStyle w:val="ListParagraph"/>
              <w:numPr>
                <w:ilvl w:val="0"/>
                <w:numId w:val="2"/>
              </w:numPr>
              <w:spacing w:after="45"/>
            </w:pPr>
            <w:r>
              <w:rPr>
                <w:sz w:val="15"/>
                <w:szCs w:val="15"/>
              </w:rPr>
              <w:t xml:space="preserve">Gallbladder cancer is 36% of the population and ampullary carcinoma a further 5%, so more than two-fifths of the evidence for the iCCA standard of care comes from tumours of different origin and different biology</w:t>
            </w:r>
          </w:p>
          <w:p>
            <w:pPr>
              <w:pStyle w:val="ListParagraph"/>
              <w:numPr>
                <w:ilvl w:val="0"/>
                <w:numId w:val="2"/>
              </w:numPr>
              <w:spacing w:after="45"/>
            </w:pPr>
            <w:r>
              <w:rPr>
                <w:sz w:val="15"/>
                <w:szCs w:val="15"/>
              </w:rPr>
              <w:t xml:space="preserve">The two arms differ in gemcitabine schedule as well as in cisplatin, 1000 mg/m2 on days 1 and 8 of 21 against days 1, 8 and 15 of 28, so the comparison is regimen against regimen and cannot isolate the contribution of adding cisplatin</w:t>
            </w:r>
          </w:p>
          <w:p>
            <w:pPr>
              <w:pStyle w:val="ListParagraph"/>
              <w:numPr>
                <w:ilvl w:val="0"/>
                <w:numId w:val="2"/>
              </w:numPr>
              <w:spacing w:after="45"/>
            </w:pPr>
            <w:r>
              <w:rPr>
                <w:sz w:val="15"/>
                <w:szCs w:val="15"/>
              </w:rPr>
              <w:t xml:space="preserve">Objective response was assessable in only 303 of 410 patients because measurable disease was not required at entry, and the 81.4% versus 71.8% tumour control rate at P = 0.049 is computed on that incomplete subset and counts stable disease as control</w:t>
            </w:r>
          </w:p>
          <w:p>
            <w:pPr>
              <w:pStyle w:val="ListParagraph"/>
              <w:numPr>
                <w:ilvl w:val="0"/>
                <w:numId w:val="2"/>
              </w:numPr>
              <w:spacing w:after="45"/>
            </w:pPr>
            <w:r>
              <w:rPr>
                <w:sz w:val="15"/>
                <w:szCs w:val="15"/>
              </w:rPr>
              <w:t xml:space="preserve">Imaging was obtained only at weeks 12 and 24 by RECIST 1.0 with no confirmatory scan, so progression-free survival can only move in 12-week steps and the 3-month difference in median progression-free survival is of the same order as the assessment interval</w:t>
            </w:r>
          </w:p>
          <w:p>
            <w:pPr>
              <w:pStyle w:val="ListParagraph"/>
              <w:numPr>
                <w:ilvl w:val="0"/>
                <w:numId w:val="2"/>
              </w:numPr>
              <w:spacing w:after="45"/>
            </w:pPr>
            <w:r>
              <w:rPr>
                <w:sz w:val="15"/>
                <w:szCs w:val="15"/>
              </w:rPr>
              <w:t xml:space="preserve">Biliary obstruction was deliberately not counted as progression, which in a disease whose dominant local event is biliary obstruction removes a clinically meaningful progression event from the primary biological endpoint's companion measure</w:t>
            </w:r>
          </w:p>
          <w:p>
            <w:pPr>
              <w:pStyle w:val="ListParagraph"/>
              <w:numPr>
                <w:ilvl w:val="0"/>
                <w:numId w:val="2"/>
              </w:numPr>
              <w:spacing w:after="45"/>
            </w:pPr>
            <w:r>
              <w:rPr>
                <w:sz w:val="15"/>
                <w:szCs w:val="15"/>
              </w:rPr>
              <w:t xml:space="preserve">Only 72 of 410 patients (18%) received any second-line therapy, so the overall survival difference was generated in a setting with almost no post-progression treatment and will not transfer to current practice</w:t>
            </w:r>
          </w:p>
          <w:p>
            <w:pPr>
              <w:pStyle w:val="ListParagraph"/>
              <w:numPr>
                <w:ilvl w:val="0"/>
                <w:numId w:val="2"/>
              </w:numPr>
              <w:spacing w:after="45"/>
            </w:pPr>
            <w:r>
              <w:rPr>
                <w:sz w:val="15"/>
                <w:szCs w:val="15"/>
              </w:rPr>
              <w:t xml:space="preserve">Treatment duration differed substantially between arms, 21 against 14 weeks, P = 0.003, and 63% against 52% started a second 12 weeks, so the arms also differ in total exposure and in contact with the treating team</w:t>
            </w:r>
          </w:p>
          <w:p>
            <w:pPr>
              <w:pStyle w:val="ListParagraph"/>
              <w:numPr>
                <w:ilvl w:val="0"/>
                <w:numId w:val="2"/>
              </w:numPr>
              <w:spacing w:after="45"/>
            </w:pPr>
            <w:r>
              <w:rPr>
                <w:sz w:val="15"/>
                <w:szCs w:val="15"/>
              </w:rPr>
              <w:t xml:space="preserve">The explanation offered for better liver function tests on the combination, superior disease control and biliary drainage, is an interpretation with no drainage-procedure data reported to support it</w:t>
            </w:r>
          </w:p>
          <w:p>
            <w:pPr>
              <w:pStyle w:val="ListParagraph"/>
              <w:numPr>
                <w:ilvl w:val="0"/>
                <w:numId w:val="2"/>
              </w:numPr>
              <w:spacing w:after="45"/>
            </w:pPr>
            <w:r>
              <w:rPr>
                <w:sz w:val="15"/>
                <w:szCs w:val="15"/>
              </w:rPr>
              <w:t xml:space="preserve">Lilly Oncology supplied gemcitabine free and gave an unrestricted educational grant to a trial in which both arms receive Lilly's drug and the result establishes a gemcitabine-containing standard</w:t>
            </w:r>
          </w:p>
          <w:p>
            <w:pPr>
              <w:pStyle w:val="ListParagraph"/>
              <w:numPr>
                <w:ilvl w:val="0"/>
                <w:numId w:val="2"/>
              </w:numPr>
              <w:spacing w:after="45"/>
            </w:pPr>
            <w:r>
              <w:rPr>
                <w:sz w:val="15"/>
                <w:szCs w:val="15"/>
              </w:rPr>
              <w:t xml:space="preserve">The trial was open-label with investigator-assessed progression and no blinded central review of imaging is described</w:t>
            </w:r>
          </w:p>
          <w:p>
            <w:pPr>
              <w:pStyle w:val="ListParagraph"/>
              <w:numPr>
                <w:ilvl w:val="0"/>
                <w:numId w:val="2"/>
              </w:numPr>
              <w:spacing w:after="45"/>
            </w:pPr>
            <w:r>
              <w:rPr>
                <w:sz w:val="15"/>
                <w:szCs w:val="15"/>
              </w:rPr>
              <w:t xml:space="preserve">No tissue collection, molecular stratification or biobanking is described, so the trial that defined the control arm for every subsequent biliary trial left no material to characterise who benefited</w:t>
            </w:r>
          </w:p>
          <w:p>
            <w:pPr>
              <w:pStyle w:val="ListParagraph"/>
              <w:numPr>
                <w:ilvl w:val="0"/>
                <w:numId w:val="2"/>
              </w:numPr>
              <w:spacing w:after="45"/>
            </w:pPr>
            <w:r>
              <w:rPr>
                <w:sz w:val="15"/>
                <w:szCs w:val="15"/>
              </w:rPr>
              <w:t xml:space="preserve">Two letters in the New England Journal of Medicine (Hall, PMID 20653076, with the authors' reply; Cariati, PMID 20647216) questioned the cost-benefit of a 3.6-month median gain; both were identified from the citation record and not read here</w:t>
            </w:r>
          </w:p>
        </w:tc>
      </w:tr>
    </w:tbl>
    <w:p>
      <w:pPr>
        <w:spacing w:after="0" w:line="276"/>
      </w:pPr>
      <w:r>
        <w:rPr>
          <w:color w:val="5A6069"/>
          <w:sz w:val="14"/>
          <w:szCs w:val="14"/>
        </w:rPr>
        <w:t xml:space="preserve">Funding: Supported by University College London Hospitals and UCL Comprehensive Biomedical Research Centre, Cancer Research UK, and an unrestricted educational grant from Lilly Oncology, which supplied gemcitabine free of charge and had no role in accrual, analysis, interpretation or writing</w:t>
      </w:r>
    </w:p>
    <w:p>
      <w:pPr>
        <w:keepNext/>
        <w:spacing w:after="50" w:before="260"/>
      </w:pPr>
      <w:r>
        <w:rPr>
          <w:rFonts w:ascii="Cambria" w:cs="Cambria" w:eastAsia="Cambria" w:hAnsi="Cambria"/>
          <w:b/>
          <w:bCs/>
          <w:color w:val="17365D"/>
          <w:sz w:val="20"/>
          <w:szCs w:val="20"/>
        </w:rPr>
        <w:t xml:space="preserve">ABC-06</w:t>
      </w:r>
      <w:r>
        <w:rPr>
          <w:b/>
          <w:bCs/>
          <w:color w:val="176A87"/>
          <w:sz w:val="15"/>
          <w:szCs w:val="15"/>
        </w:rPr>
        <w:t xml:space="preserve">   Randomised trial</w:t>
      </w:r>
      <w:r>
        <w:rPr>
          <w:color w:val="5A6069"/>
          <w:sz w:val="15"/>
          <w:szCs w:val="15"/>
        </w:rPr>
        <w:t xml:space="preserve">   PMID 33798493</w:t>
      </w:r>
    </w:p>
    <w:p>
      <w:pPr>
        <w:spacing w:after="50" w:line="276"/>
      </w:pPr>
      <w:r>
        <w:rPr>
          <w:color w:val="5A6069"/>
          <w:sz w:val="17"/>
          <w:szCs w:val="17"/>
        </w:rPr>
        <w:t xml:space="preserve">Second-line FOLFOX chemotherapy versus active symptom control for advanced biliary tract cancer (ABC-06): a phase 3, open-label, randomised, controlled trial</w:t>
      </w:r>
    </w:p>
    <w:p>
      <w:pPr>
        <w:spacing w:after="50"/>
      </w:pPr>
      <w:r>
        <w:rPr>
          <w:b/>
          <w:bCs/>
          <w:color w:val="176A87"/>
          <w:sz w:val="16"/>
          <w:szCs w:val="16"/>
        </w:rPr>
        <w:t xml:space="preserve">Population. </w:t>
      </w:r>
      <w:r>
        <w:rPr>
          <w:sz w:val="16"/>
          <w:szCs w:val="16"/>
        </w:rPr>
        <w:t xml:space="preserve">162 patients with advanced biliary tract cancer progressing after first-line cisplatin-gemcitabine, randomised 1:1 at 20 UK centres from 290 screened between 27 March 2014 and 4 January 2018; 72 of 162 (44%) had intrahepatic cholangiocarcinoma and 133 (82%) were metastatic</w:t>
      </w:r>
    </w:p>
    <w:p>
      <w:pPr>
        <w:spacing w:after="70"/>
      </w:pPr>
      <w:r>
        <w:rPr>
          <w:b/>
          <w:bCs/>
          <w:color w:val="17365D"/>
          <w:sz w:val="16"/>
          <w:szCs w:val="16"/>
        </w:rPr>
        <w:t xml:space="preserve">Bottom line. </w:t>
      </w:r>
      <w:r>
        <w:rPr>
          <w:sz w:val="16"/>
          <w:szCs w:val="16"/>
        </w:rPr>
        <w:t xml:space="preserve">ABC-06 is the only randomised evidence for second-line chemotherapy in advanced biliary tract cancer, and it is positive: adjusted HR 0.69 (0.50-0.97), with 12-month survival of 25.9% against 11.4%. The absolute median gain is 0.9 months, bought with 69% grade 3 to 5 toxicity and three treatment-related deaths, and the response rate was 5%. Stratification errors required a post hoc sensitivity analysis, the control arm had no imaging so there is no comparative disease-control data, and 44% intrahepatic disease was never analysed separately.</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trial was conducted in a single country, and UK first-line practice of stopping chemotherapy at 6 months differs from countries that treat to progression, with unknown effect on second-line efficacy</w:t>
            </w:r>
          </w:p>
          <w:p>
            <w:pPr>
              <w:pStyle w:val="ListParagraph"/>
              <w:numPr>
                <w:ilvl w:val="0"/>
                <w:numId w:val="2"/>
              </w:numPr>
              <w:spacing w:after="45"/>
            </w:pPr>
            <w:r>
              <w:rPr>
                <w:sz w:val="15"/>
                <w:szCs w:val="15"/>
              </w:rPr>
              <w:t xml:space="preserve">Countries had varying access to molecular profiling, especially during recruitment</w:t>
            </w:r>
          </w:p>
          <w:p>
            <w:pPr>
              <w:pStyle w:val="ListParagraph"/>
              <w:numPr>
                <w:ilvl w:val="0"/>
                <w:numId w:val="2"/>
              </w:numPr>
              <w:spacing w:after="45"/>
            </w:pPr>
            <w:r>
              <w:rPr>
                <w:sz w:val="15"/>
                <w:szCs w:val="15"/>
              </w:rPr>
              <w:t xml:space="preserve">There was insufficient power for subgroup analyses, which the authors acknowledge challenges some interpretations in such a heterogeneous disease</w:t>
            </w:r>
          </w:p>
          <w:p>
            <w:pPr>
              <w:pStyle w:val="ListParagraph"/>
              <w:numPr>
                <w:ilvl w:val="0"/>
                <w:numId w:val="2"/>
              </w:numPr>
              <w:spacing w:after="45"/>
            </w:pPr>
            <w:r>
              <w:rPr>
                <w:sz w:val="15"/>
                <w:szCs w:val="15"/>
              </w:rPr>
              <w:t xml:space="preserve">Routine radiological follow-up was not performed in the active symptom control group, so progression-free survival and response data exist only for the chemotherapy arm</w:t>
            </w:r>
          </w:p>
          <w:p>
            <w:pPr>
              <w:pStyle w:val="ListParagraph"/>
              <w:numPr>
                <w:ilvl w:val="0"/>
                <w:numId w:val="2"/>
              </w:numPr>
              <w:spacing w:after="45"/>
            </w:pPr>
            <w:r>
              <w:rPr>
                <w:sz w:val="15"/>
                <w:szCs w:val="15"/>
              </w:rPr>
              <w:t xml:space="preserve">Three-monthly imaging, no central radiology review and the open-label design might have affected the progression-free survival results</w:t>
            </w:r>
          </w:p>
          <w:p>
            <w:pPr>
              <w:pStyle w:val="ListParagraph"/>
              <w:numPr>
                <w:ilvl w:val="0"/>
                <w:numId w:val="2"/>
              </w:numPr>
              <w:spacing w:after="45"/>
            </w:pPr>
            <w:r>
              <w:rPr>
                <w:sz w:val="15"/>
                <w:szCs w:val="15"/>
              </w:rPr>
              <w:t xml:space="preserve">Subsequent lines of treatment were given at clinician discretion and could have affected overall survival, although the authors state the proportions were balanced</w:t>
            </w:r>
          </w:p>
          <w:p>
            <w:pPr>
              <w:pStyle w:val="ListParagraph"/>
              <w:numPr>
                <w:ilvl w:val="0"/>
                <w:numId w:val="2"/>
              </w:numPr>
              <w:spacing w:after="45"/>
            </w:pPr>
            <w:r>
              <w:rPr>
                <w:sz w:val="15"/>
                <w:szCs w:val="15"/>
              </w:rPr>
              <w:t xml:space="preserve">Stratification errors from incorrect baseline data supplied at randomisation were discovered during data cleaning and required a post hoc sensitivity analysis</w:t>
            </w:r>
          </w:p>
          <w:p>
            <w:pPr>
              <w:pStyle w:val="ListParagraph"/>
              <w:numPr>
                <w:ilvl w:val="0"/>
                <w:numId w:val="2"/>
              </w:numPr>
              <w:spacing w:after="45"/>
            </w:pPr>
            <w:r>
              <w:rPr>
                <w:sz w:val="15"/>
                <w:szCs w:val="15"/>
              </w:rPr>
              <w:t xml:space="preserve">Quality-of-life and health-economic analyses were not reported with the primary results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absolute difference in median overall survival is 0.9 months, 6.2 against 5.3, against grade 3 to 5 adverse events in 69% of the chemotherapy arm and three chemotherapy-related deaths from infection, acute kidney injury and febrile neutropenia</w:t>
            </w:r>
          </w:p>
          <w:p>
            <w:pPr>
              <w:pStyle w:val="ListParagraph"/>
              <w:numPr>
                <w:ilvl w:val="0"/>
                <w:numId w:val="2"/>
              </w:numPr>
              <w:spacing w:after="45"/>
            </w:pPr>
            <w:r>
              <w:rPr>
                <w:sz w:val="15"/>
                <w:szCs w:val="15"/>
              </w:rPr>
              <w:t xml:space="preserve">The adjusted hazard ratio of 0.69 (0.50-0.97) at p = 0.031 just clears conventional significance in a trial powered for HR 0.63 on 148 deaths, and the sensitivity analysis required after the stratification errors gives 0.68 (0.49-0.95), so the result sits close to the boundary under either model</w:t>
            </w:r>
          </w:p>
          <w:p>
            <w:pPr>
              <w:pStyle w:val="ListParagraph"/>
              <w:numPr>
                <w:ilvl w:val="0"/>
                <w:numId w:val="2"/>
              </w:numPr>
              <w:spacing w:after="45"/>
            </w:pPr>
            <w:r>
              <w:rPr>
                <w:sz w:val="15"/>
                <w:szCs w:val="15"/>
              </w:rPr>
              <w:t xml:space="preserve">Platinum sensitivity was itself independently prognostic, adjusted HR 0.71 (0.49-1.00), and was imbalanced against the chemotherapy arm, 67% platinum resistant or refractory against 58% in the control arm; the minimisation variable that mattered most was the one that failed</w:t>
            </w:r>
          </w:p>
          <w:p>
            <w:pPr>
              <w:pStyle w:val="ListParagraph"/>
              <w:numPr>
                <w:ilvl w:val="0"/>
                <w:numId w:val="2"/>
              </w:numPr>
              <w:spacing w:after="45"/>
            </w:pPr>
            <w:r>
              <w:rPr>
                <w:sz w:val="15"/>
                <w:szCs w:val="15"/>
              </w:rPr>
              <w:t xml:space="preserve">Objective response was 4 of 81 (5%) and 37% of the chemotherapy arm had progressive disease on first assessment, so for most patients FOLFOX did nothing measurable to the tumour while producing the toxicity recorded</w:t>
            </w:r>
          </w:p>
          <w:p>
            <w:pPr>
              <w:pStyle w:val="ListParagraph"/>
              <w:numPr>
                <w:ilvl w:val="0"/>
                <w:numId w:val="2"/>
              </w:numPr>
              <w:spacing w:after="45"/>
            </w:pPr>
            <w:r>
              <w:rPr>
                <w:sz w:val="15"/>
                <w:szCs w:val="15"/>
              </w:rPr>
              <w:t xml:space="preserve">6 of 81 assigned FOLFOX never received it and 9 received only one cycle, while 8 of 81 in the control arm received off-study chemotherapy, so roughly a fifth of the randomised contrast was diluted in both directions</w:t>
            </w:r>
          </w:p>
          <w:p>
            <w:pPr>
              <w:pStyle w:val="ListParagraph"/>
              <w:numPr>
                <w:ilvl w:val="0"/>
                <w:numId w:val="2"/>
              </w:numPr>
              <w:spacing w:after="45"/>
            </w:pPr>
            <w:r>
              <w:rPr>
                <w:sz w:val="15"/>
                <w:szCs w:val="15"/>
              </w:rPr>
              <w:t xml:space="preserve">Progression-free survival and radiological response can only be reported for one arm because the control arm had no scheduled imaging, which means the trial has no comparative disease-control data at all and the survival difference cannot be attributed to any observed antitumour effect</w:t>
            </w:r>
          </w:p>
          <w:p>
            <w:pPr>
              <w:pStyle w:val="ListParagraph"/>
              <w:numPr>
                <w:ilvl w:val="0"/>
                <w:numId w:val="2"/>
              </w:numPr>
              <w:spacing w:after="45"/>
            </w:pPr>
            <w:r>
              <w:rPr>
                <w:sz w:val="15"/>
                <w:szCs w:val="15"/>
              </w:rPr>
              <w:t xml:space="preserve">The three chemotherapy-related deaths amount to 3.7% of the FOLFOX arm, a mortality figure of the same order as the median survival gain, and the paper does not set the two against each other</w:t>
            </w:r>
          </w:p>
          <w:p>
            <w:pPr>
              <w:pStyle w:val="ListParagraph"/>
              <w:numPr>
                <w:ilvl w:val="0"/>
                <w:numId w:val="2"/>
              </w:numPr>
              <w:spacing w:after="45"/>
            </w:pPr>
            <w:r>
              <w:rPr>
                <w:sz w:val="15"/>
                <w:szCs w:val="15"/>
              </w:rPr>
              <w:t xml:space="preserve">Baseline albumin of 35 g/L or above carried an adjusted HR of 0.54 (0.37-0.78), a larger prognostic effect than the treatment itself, which indicates the population is dominated by performance and nutritional state rather than by second-line chemotherapy</w:t>
            </w:r>
          </w:p>
          <w:p>
            <w:pPr>
              <w:pStyle w:val="ListParagraph"/>
              <w:numPr>
                <w:ilvl w:val="0"/>
                <w:numId w:val="2"/>
              </w:numPr>
              <w:spacing w:after="45"/>
            </w:pPr>
            <w:r>
              <w:rPr>
                <w:sz w:val="15"/>
                <w:szCs w:val="15"/>
              </w:rPr>
              <w:t xml:space="preserve">44% of patients had intrahepatic disease and no site-specific hazard ratio is reported, with the authors conceding subgroup power was insufficient, so an iCCA-specific second-line benefit is not demonstrated</w:t>
            </w:r>
          </w:p>
          <w:p>
            <w:pPr>
              <w:pStyle w:val="ListParagraph"/>
              <w:numPr>
                <w:ilvl w:val="0"/>
                <w:numId w:val="2"/>
              </w:numPr>
              <w:spacing w:after="45"/>
            </w:pPr>
            <w:r>
              <w:rPr>
                <w:sz w:val="15"/>
                <w:szCs w:val="15"/>
              </w:rPr>
              <w:t xml:space="preserve">The trial's comparator and context are now historical: with first-line immunotherapy and FGFR2 or IDH1 inhibitors available for roughly a third of intrahepatic patients, who would be offered FOLFOX in the second line has changed, and no molecular profiling was performed here</w:t>
            </w:r>
          </w:p>
          <w:p>
            <w:pPr>
              <w:pStyle w:val="ListParagraph"/>
              <w:numPr>
                <w:ilvl w:val="0"/>
                <w:numId w:val="2"/>
              </w:numPr>
              <w:spacing w:after="45"/>
            </w:pPr>
            <w:r>
              <w:rPr>
                <w:sz w:val="15"/>
                <w:szCs w:val="15"/>
              </w:rPr>
              <w:t xml:space="preserve">Four linked correspondence letters with an authors' reply appeared in Lancet Oncology 2021;22(7):e284-e289 (PMIDs 34197747, 34197748, 34197749, 34197750, reply 34197751); their content was not available here, so none of their arguments is represented</w:t>
            </w:r>
          </w:p>
        </w:tc>
      </w:tr>
    </w:tbl>
    <w:p>
      <w:pPr>
        <w:spacing w:after="0" w:line="276"/>
      </w:pPr>
      <w:r>
        <w:rPr>
          <w:color w:val="5A6069"/>
          <w:sz w:val="14"/>
          <w:szCs w:val="14"/>
        </w:rPr>
        <w:t xml:space="preserve">Funding: Cancer Research UK, StandUpToCancer, AMMF (The UK Cholangiocarcinoma Charity) and The Christie Charity, with additional funding from The Cholangiocarcinoma Foundation and a Conquer Cancer Foundation Young Investigator Award; the funders peer-reviewed for patient acceptability but had no role in design, and The Christie NHS Foundation Trust sponsored it as an investigator-initiated study</w:t>
      </w:r>
    </w:p>
    <w:p>
      <w:pPr>
        <w:keepNext/>
        <w:spacing w:after="50" w:before="260"/>
      </w:pPr>
      <w:r>
        <w:rPr>
          <w:rFonts w:ascii="Cambria" w:cs="Cambria" w:eastAsia="Cambria" w:hAnsi="Cambria"/>
          <w:b/>
          <w:bCs/>
          <w:color w:val="17365D"/>
          <w:sz w:val="20"/>
          <w:szCs w:val="20"/>
        </w:rPr>
        <w:t xml:space="preserve">AHPBA 2015</w:t>
      </w:r>
      <w:r>
        <w:rPr>
          <w:b/>
          <w:bCs/>
          <w:color w:val="176A87"/>
          <w:sz w:val="15"/>
          <w:szCs w:val="15"/>
        </w:rPr>
        <w:t xml:space="preserve">   Consensus statement</w:t>
      </w:r>
      <w:r>
        <w:rPr>
          <w:color w:val="5A6069"/>
          <w:sz w:val="15"/>
          <w:szCs w:val="15"/>
        </w:rPr>
        <w:t xml:space="preserve">   PMID 26172136</w:t>
      </w:r>
    </w:p>
    <w:p>
      <w:pPr>
        <w:spacing w:after="50" w:line="276"/>
      </w:pPr>
      <w:r>
        <w:rPr>
          <w:color w:val="5A6069"/>
          <w:sz w:val="17"/>
          <w:szCs w:val="17"/>
        </w:rPr>
        <w:t xml:space="preserve">Hilar cholangiocarcinoma: expert consensus statement</w:t>
      </w:r>
    </w:p>
    <w:p>
      <w:pPr>
        <w:spacing w:after="50"/>
      </w:pPr>
      <w:r>
        <w:rPr>
          <w:b/>
          <w:bCs/>
          <w:color w:val="176A87"/>
          <w:sz w:val="16"/>
          <w:szCs w:val="16"/>
        </w:rPr>
        <w:t xml:space="preserve">Population. </w:t>
      </w:r>
      <w:r>
        <w:rPr>
          <w:sz w:val="16"/>
          <w:szCs w:val="16"/>
        </w:rPr>
        <w:t xml:space="preserve">A six-member expert panel from four institutions, convened by the AHPBA at the January 2014 joint AHPBA/SSAT/SSO/ASCO consensus conference on the multidisciplinary management of bile duct cancer, issuing thirteen ungraded consensus statements; there is no patient cohort</w:t>
      </w:r>
    </w:p>
    <w:p>
      <w:pPr>
        <w:spacing w:after="70"/>
      </w:pPr>
      <w:r>
        <w:rPr>
          <w:b/>
          <w:bCs/>
          <w:color w:val="17365D"/>
          <w:sz w:val="16"/>
          <w:szCs w:val="16"/>
        </w:rPr>
        <w:t xml:space="preserve">Bottom line. </w:t>
      </w:r>
      <w:r>
        <w:rPr>
          <w:sz w:val="16"/>
          <w:szCs w:val="16"/>
        </w:rPr>
        <w:t xml:space="preserve">This is the clearest single statement of the US surgical position on hilar cholangiocarcinoma around 2014: resect the intra- and extrahepatic ducts with the ipsilateral liver and caudate lobe, do not require pathological confirmation first, do not biopsy the primary tumour in a potential transplant candidate, embolise the portal vein below a 30% remnant, and treat unresectable or PSC-associated disease on a standardised neoadjuvant chemoradiation and transplant protocol. Nothing in it is graded, no methods are reported, the panel is six people from four institutions meeting for a day, and its percutaneous-drainage preference has since been contradicted by a randomised trial and two later consensus documents. It predates BILCAP and the chemo-immunotherapy trials, so its systemic therapy section should not be used.</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route of preoperative biliary drainage is openly debated, with centres in Asia advocating drainage as mandatory regardless of bilirubin level because of the association between cholangitis and outcome, while others resect undrained patients whose nutritional status is adequate</w:t>
            </w:r>
          </w:p>
          <w:p>
            <w:pPr>
              <w:pStyle w:val="ListParagraph"/>
              <w:numPr>
                <w:ilvl w:val="0"/>
                <w:numId w:val="2"/>
              </w:numPr>
              <w:spacing w:after="45"/>
            </w:pPr>
            <w:r>
              <w:rPr>
                <w:sz w:val="15"/>
                <w:szCs w:val="15"/>
              </w:rPr>
              <w:t xml:space="preserve">The role of liver transplantation in resectable de novo hilar disease is not well defined, and in light of the scarcity of donor organs and the absence of superior results with transplantation the panel keeps resection as the standard of care there</w:t>
            </w:r>
          </w:p>
          <w:p>
            <w:pPr>
              <w:pStyle w:val="ListParagraph"/>
              <w:numPr>
                <w:ilvl w:val="0"/>
                <w:numId w:val="2"/>
              </w:numPr>
              <w:spacing w:after="45"/>
            </w:pPr>
            <w:r>
              <w:rPr>
                <w:sz w:val="15"/>
                <w:szCs w:val="15"/>
              </w:rPr>
              <w:t xml:space="preserve">The role of adjuvant chemotherapy is still not clearly defined, and the first cooperative group adjuvant trial, SWOG 0809, had results pending at the time of writing</w:t>
            </w:r>
          </w:p>
          <w:p>
            <w:pPr>
              <w:pStyle w:val="ListParagraph"/>
              <w:numPr>
                <w:ilvl w:val="0"/>
                <w:numId w:val="2"/>
              </w:numPr>
              <w:spacing w:after="45"/>
            </w:pPr>
            <w:r>
              <w:rPr>
                <w:sz w:val="15"/>
                <w:szCs w:val="15"/>
              </w:rPr>
              <w:t xml:space="preserve">Complete preoperative assessment does not eliminate the risk of non-therapeutic laparotomy or incomplete resection, and 20% to 50% of patients prove unresectable at exploration</w:t>
            </w:r>
          </w:p>
          <w:p>
            <w:pPr>
              <w:pStyle w:val="ListParagraph"/>
              <w:numPr>
                <w:ilvl w:val="0"/>
                <w:numId w:val="2"/>
              </w:numPr>
              <w:spacing w:after="45"/>
            </w:pPr>
            <w:r>
              <w:rPr>
                <w:sz w:val="15"/>
                <w:szCs w:val="15"/>
              </w:rPr>
              <w:t xml:space="preserve">A benign aetiology is identified in approximately 10% of resections performed on a presumptive diagnosis of hilar cholangiocarcinoma</w:t>
            </w:r>
          </w:p>
          <w:p>
            <w:pPr>
              <w:pStyle w:val="ListParagraph"/>
              <w:numPr>
                <w:ilvl w:val="0"/>
                <w:numId w:val="2"/>
              </w:numPr>
              <w:spacing w:after="45"/>
            </w:pPr>
            <w:r>
              <w:rPr>
                <w:sz w:val="15"/>
                <w:szCs w:val="15"/>
              </w:rPr>
              <w:t xml:space="preserve">The largest study of systemic chemotherapy for advanced biliary malignancy, ABC-02, included a disparate collection of histologies, and the panel adopts it as the best available evidence rather than as hilar-specific evidence</w:t>
            </w:r>
          </w:p>
          <w:p>
            <w:pPr>
              <w:pStyle w:val="ListParagraph"/>
              <w:numPr>
                <w:ilvl w:val="0"/>
                <w:numId w:val="2"/>
              </w:numPr>
              <w:spacing w:after="45"/>
            </w:pPr>
            <w:r>
              <w:rPr>
                <w:sz w:val="15"/>
                <w:szCs w:val="15"/>
              </w:rPr>
              <w:t xml:space="preserve">FDG-PET lacks the sensitivity and specificity required of a routine staging tool and rarely adds to the information available from other modalities</w:t>
            </w:r>
          </w:p>
          <w:p>
            <w:pPr>
              <w:pStyle w:val="ListParagraph"/>
              <w:numPr>
                <w:ilvl w:val="0"/>
                <w:numId w:val="2"/>
              </w:numPr>
              <w:spacing w:after="45"/>
            </w:pPr>
            <w:r>
              <w:rPr>
                <w:sz w:val="15"/>
                <w:szCs w:val="15"/>
              </w:rPr>
              <w:t xml:space="preserve">Barriers to transplantation include the significant dropout rate during pre-transplant induction therapy and the need for long-term immunosuppression</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Nothing is graded. No statement carries a level of evidence or a strength of recommendation, and no methods are described at all: no literature search, no voting procedure, no definition of consensus and no external review, for a document produced by six people at a one-day meeting</w:t>
            </w:r>
          </w:p>
          <w:p>
            <w:pPr>
              <w:pStyle w:val="ListParagraph"/>
              <w:numPr>
                <w:ilvl w:val="0"/>
                <w:numId w:val="2"/>
              </w:numPr>
              <w:spacing w:after="45"/>
            </w:pPr>
            <w:r>
              <w:rPr>
                <w:sz w:val="15"/>
                <w:szCs w:val="15"/>
              </w:rPr>
              <w:t xml:space="preserve">The prohibition on percutaneous or laparoscopic biopsy of the primary tumour in potential transplant candidates is referenced to a single study whose exposed group was six patients and whose senior author sits on this panel</w:t>
            </w:r>
          </w:p>
          <w:p>
            <w:pPr>
              <w:pStyle w:val="ListParagraph"/>
              <w:numPr>
                <w:ilvl w:val="0"/>
                <w:numId w:val="2"/>
              </w:numPr>
              <w:spacing w:after="45"/>
            </w:pPr>
            <w:r>
              <w:rPr>
                <w:sz w:val="15"/>
                <w:szCs w:val="15"/>
              </w:rPr>
              <w:t xml:space="preserve">The transplant protocol, eligibility rules and survival figures presented as standard of care come from the Mayo programme, which one panel member represents; the statement that transplantation is standard of care for unresectable and PSC-associated disease quotes survival ranges of 55-65% and 35-55% from the start of therapy with no confidence intervals and no dropout rate anywhere in the section</w:t>
            </w:r>
          </w:p>
          <w:p>
            <w:pPr>
              <w:pStyle w:val="ListParagraph"/>
              <w:numPr>
                <w:ilvl w:val="0"/>
                <w:numId w:val="2"/>
              </w:numPr>
              <w:spacing w:after="45"/>
            </w:pPr>
            <w:r>
              <w:rPr>
                <w:sz w:val="15"/>
                <w:szCs w:val="15"/>
              </w:rPr>
              <w:t xml:space="preserve">The abstract states that preoperative biliary drainage is best achieved percutaneously, but no consensus statement names a route; the statements list indications only, so the document's most quoted position is not one it formally adopts</w:t>
            </w:r>
          </w:p>
          <w:p>
            <w:pPr>
              <w:pStyle w:val="ListParagraph"/>
              <w:numPr>
                <w:ilvl w:val="0"/>
                <w:numId w:val="2"/>
              </w:numPr>
              <w:spacing w:after="45"/>
            </w:pPr>
            <w:r>
              <w:rPr>
                <w:sz w:val="15"/>
                <w:szCs w:val="15"/>
              </w:rPr>
              <w:t xml:space="preserve">That percutaneous preference has not held up: the Coelen randomised trial closed early for excess mortality after percutaneous drainage, and the 2024 Asia-Pacific and 2026 ESGE documents now prefer endoscopic drainage, which also sits awkwardly with this panel's own warning about catheter-tract seeding</w:t>
            </w:r>
          </w:p>
          <w:p>
            <w:pPr>
              <w:pStyle w:val="ListParagraph"/>
              <w:numPr>
                <w:ilvl w:val="0"/>
                <w:numId w:val="2"/>
              </w:numPr>
              <w:spacing w:after="45"/>
            </w:pPr>
            <w:r>
              <w:rPr>
                <w:sz w:val="15"/>
                <w:szCs w:val="15"/>
              </w:rPr>
              <w:t xml:space="preserve">The sentence supporting the percutaneous preference reverses its own meaning: the technical success rate measured as time from first attempt to a satisfactory biliary level is reported as 'higher with the endoscopic approach (61 days) than with PTC (44 days)', where a shorter time is the better result</w:t>
            </w:r>
          </w:p>
          <w:p>
            <w:pPr>
              <w:pStyle w:val="ListParagraph"/>
              <w:numPr>
                <w:ilvl w:val="0"/>
                <w:numId w:val="2"/>
              </w:numPr>
              <w:spacing w:after="45"/>
            </w:pPr>
            <w:r>
              <w:rPr>
                <w:sz w:val="15"/>
                <w:szCs w:val="15"/>
              </w:rPr>
              <w:t xml:space="preserve">The portal vein embolisation threshold is a future liver remnant below 30% in the abstract and below 30% to 40% in the consensus statement</w:t>
            </w:r>
          </w:p>
          <w:p>
            <w:pPr>
              <w:pStyle w:val="ListParagraph"/>
              <w:numPr>
                <w:ilvl w:val="0"/>
                <w:numId w:val="2"/>
              </w:numPr>
              <w:spacing w:after="45"/>
            </w:pPr>
            <w:r>
              <w:rPr>
                <w:sz w:val="15"/>
                <w:szCs w:val="15"/>
              </w:rPr>
              <w:t xml:space="preserve">Resection survival is quoted as 25% to 50% at five years in the resectability section, 27% to 45% for margin-negative resection in the margin paragraph, and 35% to 50% in the summary: three different ranges in one document</w:t>
            </w:r>
          </w:p>
          <w:p>
            <w:pPr>
              <w:pStyle w:val="ListParagraph"/>
              <w:numPr>
                <w:ilvl w:val="0"/>
                <w:numId w:val="2"/>
              </w:numPr>
              <w:spacing w:after="45"/>
            </w:pPr>
            <w:r>
              <w:rPr>
                <w:sz w:val="15"/>
                <w:szCs w:val="15"/>
              </w:rPr>
              <w:t xml:space="preserve">Adjuvant chemoradiation is recommended for margin-positive or node-positive disease on retrospective series, one of which showed only that irradiated high-risk patients matched unirradiated low-risk patients (5-year survival 36% against 42%, locoregional recurrence 38% against 37%), which is not a demonstration of benefit, while the Todoroki series assigned adjuvant therapy non-randomly</w:t>
            </w:r>
          </w:p>
          <w:p>
            <w:pPr>
              <w:pStyle w:val="ListParagraph"/>
              <w:numPr>
                <w:ilvl w:val="0"/>
                <w:numId w:val="2"/>
              </w:numPr>
              <w:spacing w:after="45"/>
            </w:pPr>
            <w:r>
              <w:rPr>
                <w:sz w:val="15"/>
                <w:szCs w:val="15"/>
              </w:rPr>
              <w:t xml:space="preserve">The only randomised trial cited anywhere in the radiotherapy section enrolled 42 patients and compared percutaneous stenting with brachytherapy and external radiotherapy against stenting alone (median survival 12.9 against 9.9 months), in an era before current systemic therapy</w:t>
            </w:r>
          </w:p>
          <w:p>
            <w:pPr>
              <w:pStyle w:val="ListParagraph"/>
              <w:numPr>
                <w:ilvl w:val="0"/>
                <w:numId w:val="2"/>
              </w:numPr>
              <w:spacing w:after="45"/>
            </w:pPr>
            <w:r>
              <w:rPr>
                <w:sz w:val="15"/>
                <w:szCs w:val="15"/>
              </w:rPr>
              <w:t xml:space="preserve">The three criteria that define unresectability are listed without a single supporting citation</w:t>
            </w:r>
          </w:p>
          <w:p>
            <w:pPr>
              <w:pStyle w:val="ListParagraph"/>
              <w:numPr>
                <w:ilvl w:val="0"/>
                <w:numId w:val="2"/>
              </w:numPr>
              <w:spacing w:after="45"/>
            </w:pPr>
            <w:r>
              <w:rPr>
                <w:sz w:val="15"/>
                <w:szCs w:val="15"/>
              </w:rPr>
              <w:t xml:space="preserve">The FISH figures of 50% sensitivity and above 95% specificity for polysomy, and the claim that clinical evaluation without FISH predicts malignancy about 90% of the time, are given without pooled sources, and the latter derives from resected patients, that is conditioned on the decision to operate</w:t>
            </w:r>
          </w:p>
          <w:p>
            <w:pPr>
              <w:pStyle w:val="ListParagraph"/>
              <w:numPr>
                <w:ilvl w:val="0"/>
                <w:numId w:val="2"/>
              </w:numPr>
              <w:spacing w:after="45"/>
            </w:pPr>
            <w:r>
              <w:rPr>
                <w:sz w:val="15"/>
                <w:szCs w:val="15"/>
              </w:rPr>
              <w:t xml:space="preserve">Systemic therapy is dated by publication: this predates BILCAP, so adjuvant capecitabine is absent, and first-line therapy is gemcitabine-cisplatin from ABC-02, before the chemo-immunotherapy trials</w:t>
            </w:r>
          </w:p>
          <w:p>
            <w:pPr>
              <w:pStyle w:val="ListParagraph"/>
              <w:numPr>
                <w:ilvl w:val="0"/>
                <w:numId w:val="2"/>
              </w:numPr>
              <w:spacing w:after="45"/>
            </w:pPr>
            <w:r>
              <w:rPr>
                <w:sz w:val="15"/>
                <w:szCs w:val="15"/>
              </w:rPr>
              <w:t xml:space="preserve">The neoadjuvant regimen called a standardised protocol has itself changed within the experience being cited, the brachytherapy boost having moved from 2000 cGy delivered over 24 hours to 1200-1600 cGy in two to four fractions</w:t>
            </w:r>
          </w:p>
          <w:p>
            <w:pPr>
              <w:pStyle w:val="ListParagraph"/>
              <w:numPr>
                <w:ilvl w:val="0"/>
                <w:numId w:val="2"/>
              </w:numPr>
              <w:spacing w:after="45"/>
            </w:pPr>
            <w:r>
              <w:rPr>
                <w:sz w:val="15"/>
                <w:szCs w:val="15"/>
              </w:rPr>
              <w:t xml:space="preserve">Nothing in the document addresses palliative drainage strategy, surveillance after resection, cost or quality of life</w:t>
            </w:r>
          </w:p>
          <w:p>
            <w:pPr>
              <w:pStyle w:val="ListParagraph"/>
              <w:numPr>
                <w:ilvl w:val="0"/>
                <w:numId w:val="2"/>
              </w:numPr>
              <w:spacing w:after="45"/>
            </w:pPr>
            <w:r>
              <w:rPr>
                <w:sz w:val="15"/>
                <w:szCs w:val="15"/>
              </w:rPr>
              <w:t xml:space="preserve">No linked editorial or comment was found in PubMed</w:t>
            </w:r>
          </w:p>
        </w:tc>
      </w:tr>
    </w:tbl>
    <w:p>
      <w:pPr>
        <w:spacing w:after="0" w:line="276"/>
      </w:pPr>
      <w:r>
        <w:rPr>
          <w:color w:val="5A6069"/>
          <w:sz w:val="14"/>
          <w:szCs w:val="14"/>
        </w:rPr>
        <w:t xml:space="preserve">Funding: No funding statement; conflicts of interest declared as none</w:t>
      </w:r>
    </w:p>
    <w:p>
      <w:pPr>
        <w:keepNext/>
        <w:spacing w:after="50" w:before="260"/>
      </w:pPr>
      <w:r>
        <w:rPr>
          <w:rFonts w:ascii="Cambria" w:cs="Cambria" w:eastAsia="Cambria" w:hAnsi="Cambria"/>
          <w:b/>
          <w:bCs/>
          <w:color w:val="17365D"/>
          <w:sz w:val="20"/>
          <w:szCs w:val="20"/>
        </w:rPr>
        <w:t xml:space="preserve">ASCOT</w:t>
      </w:r>
      <w:r>
        <w:rPr>
          <w:b/>
          <w:bCs/>
          <w:color w:val="176A87"/>
          <w:sz w:val="15"/>
          <w:szCs w:val="15"/>
        </w:rPr>
        <w:t xml:space="preserve">   Randomised trial</w:t>
      </w:r>
      <w:r>
        <w:rPr>
          <w:color w:val="5A6069"/>
          <w:sz w:val="15"/>
          <w:szCs w:val="15"/>
        </w:rPr>
        <w:t xml:space="preserve">   PMID 36681415</w:t>
      </w:r>
    </w:p>
    <w:p>
      <w:pPr>
        <w:spacing w:after="50" w:line="276"/>
      </w:pPr>
      <w:r>
        <w:rPr>
          <w:color w:val="5A6069"/>
          <w:sz w:val="17"/>
          <w:szCs w:val="17"/>
        </w:rPr>
        <w:t xml:space="preserve">Adjuvant S-1 compared with observation in resected biliary tract cancer (JCOG1202, ASCOT): a multicentre, open-label, randomised, controlled, phase 3 trial</w:t>
      </w:r>
    </w:p>
    <w:p>
      <w:pPr>
        <w:spacing w:after="50"/>
      </w:pPr>
      <w:r>
        <w:rPr>
          <w:b/>
          <w:bCs/>
          <w:color w:val="176A87"/>
          <w:sz w:val="16"/>
          <w:szCs w:val="16"/>
        </w:rPr>
        <w:t xml:space="preserve">Population. </w:t>
      </w:r>
      <w:r>
        <w:rPr>
          <w:sz w:val="16"/>
          <w:szCs w:val="16"/>
        </w:rPr>
        <w:t xml:space="preserve">440 patients randomised at 38 Japanese hospitals between 9 September 2013 and 22 June 2018 after R0 or R1 resection of biliary tract cancer, 222 observation and 218 S-1; only 58 of 440 (13%) had intrahepatic cholangiocarcinoma and 186 (42%) underwent hepatectomy</w:t>
      </w:r>
    </w:p>
    <w:p>
      <w:pPr>
        <w:spacing w:after="70"/>
      </w:pPr>
      <w:r>
        <w:rPr>
          <w:b/>
          <w:bCs/>
          <w:color w:val="17365D"/>
          <w:sz w:val="16"/>
          <w:szCs w:val="16"/>
        </w:rPr>
        <w:t xml:space="preserve">Bottom line. </w:t>
      </w:r>
      <w:r>
        <w:rPr>
          <w:sz w:val="16"/>
          <w:szCs w:val="16"/>
        </w:rPr>
        <w:t xml:space="preserve">ASCOT is the first adjuvant trial in biliary tract cancer to show a survival benefit on its intention-to-treat primary endpoint, 3-year survival 77.1% against 67.6% with S-1, HR 0.69 (0.51-0.94). It does not establish adjuvant therapy for resected iCCA: 13% of patients had intrahepatic disease with a subgroup interval of 0.30 to 1.89, relapse-free survival was not significant and its curves cross, and the analysis was done at 63% of the planned events. S-1 is also not an option outside Asia, and it has never been compared with capecitabine.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trial was conducted only in Japanese patients, and S-1 pharmacokinetics and toxicity, particularly diarrhoea, are suggested to differ in European and North American patients, requiring dose adjustment</w:t>
            </w:r>
          </w:p>
          <w:p>
            <w:pPr>
              <w:pStyle w:val="ListParagraph"/>
              <w:numPr>
                <w:ilvl w:val="0"/>
                <w:numId w:val="2"/>
              </w:numPr>
              <w:spacing w:after="45"/>
            </w:pPr>
            <w:r>
              <w:rPr>
                <w:sz w:val="15"/>
                <w:szCs w:val="15"/>
              </w:rPr>
              <w:t xml:space="preserve">Statistical power for relapse-free survival was low because of the small number of events, and the Kaplan-Meier curves crossed at 6 years</w:t>
            </w:r>
          </w:p>
          <w:p>
            <w:pPr>
              <w:pStyle w:val="ListParagraph"/>
              <w:numPr>
                <w:ilvl w:val="0"/>
                <w:numId w:val="2"/>
              </w:numPr>
              <w:spacing w:after="45"/>
            </w:pPr>
            <w:r>
              <w:rPr>
                <w:sz w:val="15"/>
                <w:szCs w:val="15"/>
              </w:rPr>
              <w:t xml:space="preserve">3-year overall survival in the observation group was 67.6% against a hypothesised 47%, a hypothesis based on outcomes more than ten years earlier</w:t>
            </w:r>
          </w:p>
          <w:p>
            <w:pPr>
              <w:pStyle w:val="ListParagraph"/>
              <w:numPr>
                <w:ilvl w:val="0"/>
                <w:numId w:val="2"/>
              </w:numPr>
              <w:spacing w:after="45"/>
            </w:pPr>
            <w:r>
              <w:rPr>
                <w:sz w:val="15"/>
                <w:szCs w:val="15"/>
              </w:rPr>
              <w:t xml:space="preserve">Follow-up time was short and the number of events at the primary analysis small, so a final analysis at 5-year follow-up is planned</w:t>
            </w:r>
          </w:p>
          <w:p>
            <w:pPr>
              <w:pStyle w:val="ListParagraph"/>
              <w:numPr>
                <w:ilvl w:val="0"/>
                <w:numId w:val="2"/>
              </w:numPr>
              <w:spacing w:after="45"/>
            </w:pPr>
            <w:r>
              <w:rPr>
                <w:sz w:val="15"/>
                <w:szCs w:val="15"/>
              </w:rPr>
              <w:t xml:space="preserve">The trial is open-label, which the authors defend as ethically acceptable</w:t>
            </w:r>
          </w:p>
          <w:p>
            <w:pPr>
              <w:pStyle w:val="ListParagraph"/>
              <w:numPr>
                <w:ilvl w:val="0"/>
                <w:numId w:val="2"/>
              </w:numPr>
              <w:spacing w:after="45"/>
            </w:pPr>
            <w:r>
              <w:rPr>
                <w:sz w:val="15"/>
                <w:szCs w:val="15"/>
              </w:rPr>
              <w:t xml:space="preserve">Relapse data beyond 3 years should be considered immature with many censored cases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primary analysis was conducted at 179 deaths, 62.8% of the 285 prespecified events, with a one-sided alpha of 0.05 and the result reported as definitive; the planned 5-year analysis can therefore only weaken, not strengthen, the registration claim</w:t>
            </w:r>
          </w:p>
          <w:p>
            <w:pPr>
              <w:pStyle w:val="ListParagraph"/>
              <w:numPr>
                <w:ilvl w:val="0"/>
                <w:numId w:val="2"/>
              </w:numPr>
              <w:spacing w:after="45"/>
            </w:pPr>
            <w:r>
              <w:rPr>
                <w:sz w:val="15"/>
                <w:szCs w:val="15"/>
              </w:rPr>
              <w:t xml:space="preserve">Median overall survival is not estimable in the S-1 arm, with a lower confidence bound of 5.2 years, so the headline rests entirely on a 3-year landmark difference of 9.5 percentage points rather than on any median</w:t>
            </w:r>
          </w:p>
          <w:p>
            <w:pPr>
              <w:pStyle w:val="ListParagraph"/>
              <w:numPr>
                <w:ilvl w:val="0"/>
                <w:numId w:val="2"/>
              </w:numPr>
              <w:spacing w:after="45"/>
            </w:pPr>
            <w:r>
              <w:rPr>
                <w:sz w:val="15"/>
                <w:szCs w:val="15"/>
              </w:rPr>
              <w:t xml:space="preserve">Relapse-free survival did not reach significance, HR 0.80 (0.61-1.04), p = 0.088, and the curves cross at 6 years, so the mechanism by which a drug given for 24 weeks improves survival without delaying relapse is not accounted for</w:t>
            </w:r>
          </w:p>
          <w:p>
            <w:pPr>
              <w:pStyle w:val="ListParagraph"/>
              <w:numPr>
                <w:ilvl w:val="0"/>
                <w:numId w:val="2"/>
              </w:numPr>
              <w:spacing w:after="45"/>
            </w:pPr>
            <w:r>
              <w:rPr>
                <w:sz w:val="15"/>
                <w:szCs w:val="15"/>
              </w:rPr>
              <w:t xml:space="preserve">Only 13% of patients had intrahepatic disease, and that subgroup's overall survival hazard ratio is 0.75 with an interval of 0.30-1.89 in 58 patients, which is compatible with substantial harm; the Japanese staging system classifies iCCA as primary liver cancer, which is why the stratum is this small</w:t>
            </w:r>
          </w:p>
          <w:p>
            <w:pPr>
              <w:pStyle w:val="ListParagraph"/>
              <w:numPr>
                <w:ilvl w:val="0"/>
                <w:numId w:val="2"/>
              </w:numPr>
              <w:spacing w:after="45"/>
            </w:pPr>
            <w:r>
              <w:rPr>
                <w:sz w:val="15"/>
                <w:szCs w:val="15"/>
              </w:rPr>
              <w:t xml:space="preserve">Ampullary carcinoma, excluded from BILCAP as a different disease, is included here and carries the most favourable subgroup hazard ratio of 0.49, so the most responsive tumour type in the trial is the one other trials deliberately left out</w:t>
            </w:r>
          </w:p>
          <w:p>
            <w:pPr>
              <w:pStyle w:val="ListParagraph"/>
              <w:numPr>
                <w:ilvl w:val="0"/>
                <w:numId w:val="2"/>
              </w:numPr>
              <w:spacing w:after="45"/>
            </w:pPr>
            <w:r>
              <w:rPr>
                <w:sz w:val="15"/>
                <w:szCs w:val="15"/>
              </w:rPr>
              <w:t xml:space="preserve">Subgroup hazard ratios are quoted for sex (0.51 in women), nodal status, stage and margin, with the R1 subgroup at 1.04 (0.57-1.92); no interaction reached significance, so these differences are being read off a forest plot with no multiplicity control</w:t>
            </w:r>
          </w:p>
          <w:p>
            <w:pPr>
              <w:pStyle w:val="ListParagraph"/>
              <w:numPr>
                <w:ilvl w:val="0"/>
                <w:numId w:val="2"/>
              </w:numPr>
              <w:spacing w:after="45"/>
            </w:pPr>
            <w:r>
              <w:rPr>
                <w:sz w:val="15"/>
                <w:szCs w:val="15"/>
              </w:rPr>
              <w:t xml:space="preserve">The control arm is observation, which was already superseded outside Asia by adjuvant capecitabine after BILCAP, so the trial cannot tell a surgeon whether to use S-1 or capecitabine and the two have never been compared</w:t>
            </w:r>
          </w:p>
          <w:p>
            <w:pPr>
              <w:pStyle w:val="ListParagraph"/>
              <w:numPr>
                <w:ilvl w:val="0"/>
                <w:numId w:val="2"/>
              </w:numPr>
              <w:spacing w:after="45"/>
            </w:pPr>
            <w:r>
              <w:rPr>
                <w:sz w:val="15"/>
                <w:szCs w:val="15"/>
              </w:rPr>
              <w:t xml:space="preserve">The population was highly selected, 87% performance status 0 and 86% R0, and the control arm did 20 percentage points better than assumed; a trial in that population needs a much larger sample to measure an adjuvant effect reliably</w:t>
            </w:r>
          </w:p>
          <w:p>
            <w:pPr>
              <w:pStyle w:val="ListParagraph"/>
              <w:numPr>
                <w:ilvl w:val="0"/>
                <w:numId w:val="2"/>
              </w:numPr>
              <w:spacing w:after="45"/>
            </w:pPr>
            <w:r>
              <w:rPr>
                <w:sz w:val="15"/>
                <w:szCs w:val="15"/>
              </w:rPr>
              <w:t xml:space="preserve">Toxicity was monitored in 207 treated patients while the observation arm received no scheduled treatment contact, so the modest toxicity profile is not a between-arm comparison</w:t>
            </w:r>
          </w:p>
          <w:p>
            <w:pPr>
              <w:pStyle w:val="ListParagraph"/>
              <w:numPr>
                <w:ilvl w:val="0"/>
                <w:numId w:val="2"/>
              </w:numPr>
              <w:spacing w:after="45"/>
            </w:pPr>
            <w:r>
              <w:rPr>
                <w:sz w:val="15"/>
                <w:szCs w:val="15"/>
              </w:rPr>
              <w:t xml:space="preserve">An eligible-patients-only analysis (n = 429) is reported alongside intention to treat with hazard ratios of 0.70 and 0.78, a second analysis set presented without stating which was prespecified as supportive</w:t>
            </w:r>
          </w:p>
          <w:p>
            <w:pPr>
              <w:pStyle w:val="ListParagraph"/>
              <w:numPr>
                <w:ilvl w:val="0"/>
                <w:numId w:val="2"/>
              </w:numPr>
              <w:spacing w:after="45"/>
            </w:pPr>
            <w:r>
              <w:rPr>
                <w:sz w:val="15"/>
                <w:szCs w:val="15"/>
              </w:rPr>
              <w:t xml:space="preserve">Two published commentaries exist, Chiang and Chen in the Lancet (PMID 36681404) and Sood and Mayo on the eligibility criteria in Annals of Surgical Oncology (PMID 37684366); both were identified from the citation record and not read here</w:t>
            </w:r>
          </w:p>
        </w:tc>
      </w:tr>
    </w:tbl>
    <w:p>
      <w:pPr>
        <w:spacing w:after="0" w:line="276"/>
      </w:pPr>
      <w:r>
        <w:rPr>
          <w:color w:val="5A6069"/>
          <w:sz w:val="14"/>
          <w:szCs w:val="14"/>
        </w:rPr>
        <w:t xml:space="preserve">Funding: The National Cancer Center Research and Development Fund and the Ministry of Health, Labour and Welfare of Japan; the funders had no role in design, collection, analysis, interpretation or writing, but individual authors declare extensive industry grants and honoraria including from Delta-Fly Pharma, Eisai, Yakult, AstraZeneca, Ono and many others</w:t>
      </w:r>
    </w:p>
    <w:p>
      <w:pPr>
        <w:keepNext/>
        <w:spacing w:after="50" w:before="260"/>
      </w:pPr>
      <w:r>
        <w:rPr>
          <w:rFonts w:ascii="Cambria" w:cs="Cambria" w:eastAsia="Cambria" w:hAnsi="Cambria"/>
          <w:b/>
          <w:bCs/>
          <w:color w:val="17365D"/>
          <w:sz w:val="20"/>
          <w:szCs w:val="20"/>
        </w:rPr>
        <w:t xml:space="preserve">ASGE 2023</w:t>
      </w:r>
      <w:r>
        <w:rPr>
          <w:b/>
          <w:bCs/>
          <w:color w:val="176A87"/>
          <w:sz w:val="15"/>
          <w:szCs w:val="15"/>
        </w:rPr>
        <w:t xml:space="preserve">   Guideline</w:t>
      </w:r>
      <w:r>
        <w:rPr>
          <w:color w:val="5A6069"/>
          <w:sz w:val="15"/>
          <w:szCs w:val="15"/>
        </w:rPr>
        <w:t xml:space="preserve">   PMID 37307900</w:t>
      </w:r>
    </w:p>
    <w:p>
      <w:pPr>
        <w:spacing w:after="50" w:line="276"/>
      </w:pPr>
      <w:r>
        <w:rPr>
          <w:color w:val="5A6069"/>
          <w:sz w:val="17"/>
          <w:szCs w:val="17"/>
        </w:rPr>
        <w:t xml:space="preserve">American Society for Gastrointestinal Endoscopy guideline on the role of endoscopy in the diagnosis of malignancy in biliary strictures of undetermined etiology: summary and recommendations</w:t>
      </w:r>
    </w:p>
    <w:p>
      <w:pPr>
        <w:spacing w:after="70"/>
      </w:pPr>
      <w:r>
        <w:rPr>
          <w:b/>
          <w:bCs/>
          <w:color w:val="17365D"/>
          <w:sz w:val="16"/>
          <w:szCs w:val="16"/>
        </w:rPr>
        <w:t xml:space="preserve">Bottom line. </w:t>
      </w:r>
      <w:r>
        <w:rPr>
          <w:sz w:val="16"/>
          <w:szCs w:val="16"/>
        </w:rPr>
        <w:t xml:space="preserve">The ASGE's three conditional recommendations, all on very low quality evidence, are to add fluoroscopy-guided biopsy to brush cytology, to use cholangioscopy-guided biopsy in non-distal strictures where the critical liver segment can be drained, and to add EUS after a non-diagnostic ERCP or for a distal stricture, with the explicit practice point that the hilar mass itself must not be punctured in a potential transplant candidate. Heterogeneity runs to I-squared of 80% to 90% for the central estimates, EUS alone and ERCP alone do not differ in sensitivity, and every forest plot and evidence profile sits in a separate companion article. Even the best combination leaves sensitivity at 0.66 to 0.88, so a negative endoscopic work-up excludes nothing, and primary sclerosing cholangitis is left to a future-directions list.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All three recommendations are conditional and based on very low quality evidence drawn almost entirely from observational studies, and the panel's first future direction is a call for randomised trials to address the same three questions</w:t>
            </w:r>
          </w:p>
          <w:p>
            <w:pPr>
              <w:pStyle w:val="ListParagraph"/>
              <w:numPr>
                <w:ilvl w:val="0"/>
                <w:numId w:val="2"/>
              </w:numPr>
              <w:spacing w:after="45"/>
            </w:pPr>
            <w:r>
              <w:rPr>
                <w:sz w:val="15"/>
                <w:szCs w:val="15"/>
              </w:rPr>
              <w:t xml:space="preserve">Patients with primary sclerosing cholangitis need separate study because the diagnostic algorithm probably differs and FISH plays a larger role there; the guideline makes no recommendation for them</w:t>
            </w:r>
          </w:p>
          <w:p>
            <w:pPr>
              <w:pStyle w:val="ListParagraph"/>
              <w:numPr>
                <w:ilvl w:val="0"/>
                <w:numId w:val="2"/>
              </w:numPr>
              <w:spacing w:after="45"/>
            </w:pPr>
            <w:r>
              <w:rPr>
                <w:sz w:val="15"/>
                <w:szCs w:val="15"/>
              </w:rPr>
              <w:t xml:space="preserve">The role of adjunctive pathological analyses, next-generation sequencing, flow cytometry, FISH and digital image analysis, is unaddressed and listed as a future direction</w:t>
            </w:r>
          </w:p>
          <w:p>
            <w:pPr>
              <w:pStyle w:val="ListParagraph"/>
              <w:numPr>
                <w:ilvl w:val="0"/>
                <w:numId w:val="2"/>
              </w:numPr>
              <w:spacing w:after="45"/>
            </w:pPr>
            <w:r>
              <w:rPr>
                <w:sz w:val="15"/>
                <w:szCs w:val="15"/>
              </w:rPr>
              <w:t xml:space="preserve">The diagnostic yield of cholangioscopy and EUS should be studied in consecutive patients rather than only in those in whom the procedure is technically successful</w:t>
            </w:r>
          </w:p>
          <w:p>
            <w:pPr>
              <w:pStyle w:val="ListParagraph"/>
              <w:numPr>
                <w:ilvl w:val="0"/>
                <w:numId w:val="2"/>
              </w:numPr>
              <w:spacing w:after="45"/>
            </w:pPr>
            <w:r>
              <w:rPr>
                <w:sz w:val="15"/>
                <w:szCs w:val="15"/>
              </w:rPr>
              <w:t xml:space="preserve">The interval before repeating a non-diagnostic ERCP is unknown and needs study</w:t>
            </w:r>
          </w:p>
          <w:p>
            <w:pPr>
              <w:pStyle w:val="ListParagraph"/>
              <w:numPr>
                <w:ilvl w:val="0"/>
                <w:numId w:val="2"/>
              </w:numPr>
              <w:spacing w:after="45"/>
            </w:pPr>
            <w:r>
              <w:rPr>
                <w:sz w:val="15"/>
                <w:szCs w:val="15"/>
              </w:rPr>
              <w:t xml:space="preserve">Panel members disagreed about whether to perform cholangioscopy at the index ERCP or to wait until decompression of the proximal ducts is assured, because cholangioscopy requires instillation of water or saline and risks introducing infection into an undrained tree</w:t>
            </w:r>
          </w:p>
          <w:p>
            <w:pPr>
              <w:pStyle w:val="ListParagraph"/>
              <w:numPr>
                <w:ilvl w:val="0"/>
                <w:numId w:val="2"/>
              </w:numPr>
              <w:spacing w:after="45"/>
            </w:pPr>
            <w:r>
              <w:rPr>
                <w:sz w:val="15"/>
                <w:szCs w:val="15"/>
              </w:rPr>
              <w:t xml:space="preserve">The panel acknowledged that intraductal biopsy is technically more difficult, more time-consuming and produced more severe adverse events than brush cytology, and that some studies may not have attempted it in every stricture, so specimen adequacy figures reflect technical failure rather than specimen quality</w:t>
            </w:r>
          </w:p>
          <w:p>
            <w:pPr>
              <w:pStyle w:val="ListParagraph"/>
              <w:numPr>
                <w:ilvl w:val="0"/>
                <w:numId w:val="2"/>
              </w:numPr>
              <w:spacing w:after="45"/>
            </w:pPr>
            <w:r>
              <w:rPr>
                <w:sz w:val="15"/>
                <w:szCs w:val="15"/>
              </w:rPr>
              <w:t xml:space="preserve">Intraductal ultrasound and confocal laser endomicroscopy are reviewed but no recommendation is made; confocal endomicroscopy is difficult to master and expensive and the Miami classification is limited by low interobserver agreement</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Heterogeneity is high in every pooled estimate and is carried forward without accommodation: I-squared of 79.5% for the brush cytology miss rate, 80.3% for the biopsy miss rate, 79.4% for biopsy sensitivity, and 86.6% and 90% for the ERCP and EUS sensitivity pools, so the pooled numbers have no single referent</w:t>
            </w:r>
          </w:p>
          <w:p>
            <w:pPr>
              <w:pStyle w:val="ListParagraph"/>
              <w:numPr>
                <w:ilvl w:val="0"/>
                <w:numId w:val="2"/>
              </w:numPr>
              <w:spacing w:after="45"/>
            </w:pPr>
            <w:r>
              <w:rPr>
                <w:sz w:val="15"/>
                <w:szCs w:val="15"/>
              </w:rPr>
              <w:t xml:space="preserve">No agreement percentages or vote counts are published; the document states only that the final wording was approved by all panel members and the ASGE governing board, even where the text records open disagreement among them</w:t>
            </w:r>
          </w:p>
          <w:p>
            <w:pPr>
              <w:pStyle w:val="ListParagraph"/>
              <w:numPr>
                <w:ilvl w:val="0"/>
                <w:numId w:val="2"/>
              </w:numPr>
              <w:spacing w:after="45"/>
            </w:pPr>
            <w:r>
              <w:rPr>
                <w:sz w:val="15"/>
                <w:szCs w:val="15"/>
              </w:rPr>
              <w:t xml:space="preserve">The disclosure list covers almost the whole panel and names the manufacturers of the forceps, cholangioscopes and needles the recommendations promote; the conflicts are said to have been addressed according to ASGE policy with no statement of how, and no recusal is recorded</w:t>
            </w:r>
          </w:p>
          <w:p>
            <w:pPr>
              <w:pStyle w:val="ListParagraph"/>
              <w:numPr>
                <w:ilvl w:val="0"/>
                <w:numId w:val="2"/>
              </w:numPr>
              <w:spacing w:after="45"/>
            </w:pPr>
            <w:r>
              <w:rPr>
                <w:sz w:val="15"/>
                <w:szCs w:val="15"/>
              </w:rPr>
              <w:t xml:space="preserve">Adverse events for intraductal biopsy against brushing are called no different (odds ratio 0.53, 95% CI 0.14-2.05) on 2 and 5 events, while both severe events in the analysis, a prolonged bleed and a perforation requiring surgical choledochotomy, occurred in the biopsy arm</w:t>
            </w:r>
          </w:p>
          <w:p>
            <w:pPr>
              <w:pStyle w:val="ListParagraph"/>
              <w:numPr>
                <w:ilvl w:val="0"/>
                <w:numId w:val="2"/>
              </w:numPr>
              <w:spacing w:after="45"/>
            </w:pPr>
            <w:r>
              <w:rPr>
                <w:sz w:val="15"/>
                <w:szCs w:val="15"/>
              </w:rPr>
              <w:t xml:space="preserve">The EUS adverse-event comparison, odds ratio 8.11 (2.95-22.29) favouring EUS, counts ERCP's own procedural complications (1 severe and 27 mild pancreatitis, 10 cholangitis, 6 mild bleeds) as the comparator, yet the recommendation is EUS in addition to ERCP, so those complications are not avoided</w:t>
            </w:r>
          </w:p>
          <w:p>
            <w:pPr>
              <w:pStyle w:val="ListParagraph"/>
              <w:numPr>
                <w:ilvl w:val="0"/>
                <w:numId w:val="2"/>
              </w:numPr>
              <w:spacing w:after="45"/>
            </w:pPr>
            <w:r>
              <w:rPr>
                <w:sz w:val="15"/>
                <w:szCs w:val="15"/>
              </w:rPr>
              <w:t xml:space="preserve">EUS alone and ERCP alone did not differ in pooled sensitivity (0.74 against 0.70, P = 0.31), so the recommendation's benefit rests entirely on the combination estimate (0.88 against 0.61) pooled from 8 studies with I-squared of 53.6% and 86.4%</w:t>
            </w:r>
          </w:p>
          <w:p>
            <w:pPr>
              <w:pStyle w:val="ListParagraph"/>
              <w:numPr>
                <w:ilvl w:val="0"/>
                <w:numId w:val="2"/>
              </w:numPr>
              <w:spacing w:after="45"/>
            </w:pPr>
            <w:r>
              <w:rPr>
                <w:sz w:val="15"/>
                <w:szCs w:val="15"/>
              </w:rPr>
              <w:t xml:space="preserve">Technical success for brushing against biopsy is reported as odds ratio 3.27 (0.52-20.53) and read as no difference, while the panel concedes biopsy may not have been attempted in all strictures, so the comparison is conditional on the endoscopist having judged it feasible</w:t>
            </w:r>
          </w:p>
          <w:p>
            <w:pPr>
              <w:pStyle w:val="ListParagraph"/>
              <w:numPr>
                <w:ilvl w:val="0"/>
                <w:numId w:val="2"/>
              </w:numPr>
              <w:spacing w:after="45"/>
            </w:pPr>
            <w:r>
              <w:rPr>
                <w:sz w:val="15"/>
                <w:szCs w:val="15"/>
              </w:rPr>
              <w:t xml:space="preserve">The cholangioscopy incremental yield is 27% (9-46) from four observational studies and 41% (11-72) from the single randomised trial; the intervals overlap almost entirely and the headline figure is the observational pooling</w:t>
            </w:r>
          </w:p>
          <w:p>
            <w:pPr>
              <w:pStyle w:val="ListParagraph"/>
              <w:numPr>
                <w:ilvl w:val="0"/>
                <w:numId w:val="2"/>
              </w:numPr>
              <w:spacing w:after="45"/>
            </w:pPr>
            <w:r>
              <w:rPr>
                <w:sz w:val="15"/>
                <w:szCs w:val="15"/>
              </w:rPr>
              <w:t xml:space="preserve">Recommendation 2's three conditions carry no evidence of their own: the drainage condition rests on one reference about saline instillation and on the panel's recorded disagreement, and the single study that compared locations found cholangioscopy less sensitive than intraductal biopsy for distal strictures (50% against 76%) with no difference for proximal ones, which is not the pattern the recommendation assumes</w:t>
            </w:r>
          </w:p>
          <w:p>
            <w:pPr>
              <w:pStyle w:val="ListParagraph"/>
              <w:numPr>
                <w:ilvl w:val="0"/>
                <w:numId w:val="2"/>
              </w:numPr>
              <w:spacing w:after="45"/>
            </w:pPr>
            <w:r>
              <w:rPr>
                <w:sz w:val="15"/>
                <w:szCs w:val="15"/>
              </w:rPr>
              <w:t xml:space="preserve">Cost-effectiveness for all three recommendations rests on one cost-utility study and a willingness-to-pay threshold under $50,000, a US figure applied without sensitivity analysis; the quoted incremental cost-effectiveness ratio for cholangioscopy in primary sclerosing cholangitis is $39,277 for a gain of 0.22 quality-adjusted life years</w:t>
            </w:r>
          </w:p>
          <w:p>
            <w:pPr>
              <w:pStyle w:val="ListParagraph"/>
              <w:numPr>
                <w:ilvl w:val="0"/>
                <w:numId w:val="2"/>
              </w:numPr>
              <w:spacing w:after="45"/>
            </w:pPr>
            <w:r>
              <w:rPr>
                <w:sz w:val="15"/>
                <w:szCs w:val="15"/>
              </w:rPr>
              <w:t xml:space="preserve">Every forest plot, funnel plot, evidence profile and risk-of-bias assessment sits in a separate companion article subtitled Methodology and Review of Evidence, so the recommendations cannot be checked against the analysis in the document that states them</w:t>
            </w:r>
          </w:p>
          <w:p>
            <w:pPr>
              <w:pStyle w:val="ListParagraph"/>
              <w:numPr>
                <w:ilvl w:val="0"/>
                <w:numId w:val="2"/>
              </w:numPr>
              <w:spacing w:after="45"/>
            </w:pPr>
            <w:r>
              <w:rPr>
                <w:sz w:val="15"/>
                <w:szCs w:val="15"/>
              </w:rPr>
              <w:t xml:space="preserve">The guideline substitutes undetermined for indeterminate so that studies of a first ERCP without a prior negative brushing can be included; that changes the pre-test probability of the pooled population and no subgroup analysis accounts for it</w:t>
            </w:r>
          </w:p>
          <w:p>
            <w:pPr>
              <w:pStyle w:val="ListParagraph"/>
              <w:numPr>
                <w:ilvl w:val="0"/>
                <w:numId w:val="2"/>
              </w:numPr>
              <w:spacing w:after="45"/>
            </w:pPr>
            <w:r>
              <w:rPr>
                <w:sz w:val="15"/>
                <w:szCs w:val="15"/>
              </w:rPr>
              <w:t xml:space="preserve">The hilar transplant caveat, that the endosonographer must not perform fine-needle aspiration or biopsy of the biliary mass itself, appears only as a practice point beneath Table 1 and one sentence of text referenced to a single source, and is neither graded nor built into the wording of any recommendation</w:t>
            </w:r>
          </w:p>
          <w:p>
            <w:pPr>
              <w:pStyle w:val="ListParagraph"/>
              <w:numPr>
                <w:ilvl w:val="0"/>
                <w:numId w:val="2"/>
              </w:numPr>
              <w:spacing w:after="45"/>
            </w:pPr>
            <w:r>
              <w:rPr>
                <w:sz w:val="15"/>
                <w:szCs w:val="15"/>
              </w:rPr>
              <w:t xml:space="preserve">Confocal laser endomicroscopy is credited with pooled sensitivity 90% (86-94) at I-squared 1.6% and specificity 72% (65-79) at I-squared 0%, implausibly homogeneous for a technique the same paragraph says suffers from low interobserver agreement</w:t>
            </w:r>
          </w:p>
          <w:p>
            <w:pPr>
              <w:pStyle w:val="ListParagraph"/>
              <w:numPr>
                <w:ilvl w:val="0"/>
                <w:numId w:val="2"/>
              </w:numPr>
              <w:spacing w:after="45"/>
            </w:pPr>
            <w:r>
              <w:rPr>
                <w:sz w:val="15"/>
                <w:szCs w:val="15"/>
              </w:rPr>
              <w:t xml:space="preserve">Even the best combination leaves sensitivity at 0.66 to 0.88, so a negative endoscopic work-up excludes nothing, and in a hilar stricture the decision to resect or to enter a neoadjuvant transplant protocol will still rest on imaging, CA 19-9 and clinical suspicion</w:t>
            </w:r>
          </w:p>
          <w:p>
            <w:pPr>
              <w:pStyle w:val="ListParagraph"/>
              <w:numPr>
                <w:ilvl w:val="0"/>
                <w:numId w:val="2"/>
              </w:numPr>
              <w:spacing w:after="45"/>
            </w:pPr>
            <w:r>
              <w:rPr>
                <w:sz w:val="15"/>
                <w:szCs w:val="15"/>
              </w:rPr>
              <w:t xml:space="preserve">No linked editorial, comment or letter was found in PubMed</w:t>
            </w:r>
          </w:p>
        </w:tc>
      </w:tr>
    </w:tbl>
    <w:p>
      <w:pPr>
        <w:spacing w:after="0" w:line="276"/>
      </w:pPr>
      <w:r>
        <w:rPr>
          <w:color w:val="5A6069"/>
          <w:sz w:val="14"/>
          <w:szCs w:val="14"/>
        </w:rPr>
        <w:t xml:space="preserve">Funding: Funded exclusively by the American Society for Gastrointestinal Endoscopy with no outside funding; nearly every named panel member declares consultancy, speaking, advisory board, research support or travel and food compensation from endoscopy and device manufacturers including Boston Scientific, Olympus, Cook Medical, Pentax, Ambu, Merit Medical, Micro-Tech and Medtronic</w:t>
      </w:r>
    </w:p>
    <w:p>
      <w:pPr>
        <w:keepNext/>
        <w:spacing w:after="50" w:before="260"/>
      </w:pPr>
      <w:r>
        <w:rPr>
          <w:rFonts w:ascii="Cambria" w:cs="Cambria" w:eastAsia="Cambria" w:hAnsi="Cambria"/>
          <w:b/>
          <w:bCs/>
          <w:color w:val="17365D"/>
          <w:sz w:val="20"/>
          <w:szCs w:val="20"/>
        </w:rPr>
        <w:t xml:space="preserve">ASGE hilar</w:t>
      </w:r>
      <w:r>
        <w:rPr>
          <w:b/>
          <w:bCs/>
          <w:color w:val="176A87"/>
          <w:sz w:val="15"/>
          <w:szCs w:val="15"/>
        </w:rPr>
        <w:t xml:space="preserve">   Guideline</w:t>
      </w:r>
      <w:r>
        <w:rPr>
          <w:color w:val="5A6069"/>
          <w:sz w:val="15"/>
          <w:szCs w:val="15"/>
        </w:rPr>
        <w:t xml:space="preserve">   PMID 34023067</w:t>
      </w:r>
    </w:p>
    <w:p>
      <w:pPr>
        <w:spacing w:after="50" w:line="276"/>
      </w:pPr>
      <w:r>
        <w:rPr>
          <w:color w:val="5A6069"/>
          <w:sz w:val="17"/>
          <w:szCs w:val="17"/>
        </w:rPr>
        <w:t xml:space="preserve">ASGE guideline on the role of endoscopy in the management of malignant hilar obstruction</w:t>
      </w:r>
    </w:p>
    <w:p>
      <w:pPr>
        <w:spacing w:after="70"/>
      </w:pPr>
      <w:r>
        <w:rPr>
          <w:b/>
          <w:bCs/>
          <w:color w:val="17365D"/>
          <w:sz w:val="16"/>
          <w:szCs w:val="16"/>
        </w:rPr>
        <w:t xml:space="preserve">Bottom line. </w:t>
      </w:r>
      <w:r>
        <w:rPr>
          <w:sz w:val="16"/>
          <w:szCs w:val="16"/>
        </w:rPr>
        <w:t xml:space="preserve">The ASGE's three conditional recommendations for malignant hilar obstruction are metal or plastic stents for palliation with metal preferred where repeated intervention is to be avoided, bilateral rather than unilateral stenting when the liver is not atrophic, and against routine percutaneous drainage as first-line therapy before resection. Every recommendation rests on low quality evidence, and the bilateral-stent recommendation is made although technical success was significantly lower with bilateral placement and pooled survival, patency, drainage success and adverse events all showed no difference; the case against percutaneous drainage rests on a seeding meta-analysis the panel itself grades very low (7.8% against 17.1%, I-squared 66%). The most actionable number in the document, drain more than 50% of viable liver volume, appears only as ungraded expert opinion, as do all the statements about the transplant candidate.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All three recommendations are conditional and rest on low quality evidence, and the panel closes by listing the trials that would be needed in each area</w:t>
            </w:r>
          </w:p>
          <w:p>
            <w:pPr>
              <w:pStyle w:val="ListParagraph"/>
              <w:numPr>
                <w:ilvl w:val="0"/>
                <w:numId w:val="2"/>
              </w:numPr>
              <w:spacing w:after="45"/>
            </w:pPr>
            <w:r>
              <w:rPr>
                <w:sz w:val="15"/>
                <w:szCs w:val="15"/>
              </w:rPr>
              <w:t xml:space="preserve">The existing randomised trials of metal against plastic stents did not schedule regular plastic stent exchanges but waited for occlusion, which the panel names as the major limitation in answering its first question; future trials should compare metal stents against regularly replaced plastic stents to mirror practice</w:t>
            </w:r>
          </w:p>
          <w:p>
            <w:pPr>
              <w:pStyle w:val="ListParagraph"/>
              <w:numPr>
                <w:ilvl w:val="0"/>
                <w:numId w:val="2"/>
              </w:numPr>
              <w:spacing w:after="45"/>
            </w:pPr>
            <w:r>
              <w:rPr>
                <w:sz w:val="15"/>
                <w:szCs w:val="15"/>
              </w:rPr>
              <w:t xml:space="preserve">Evidence on survival and stent patency was rated down for imprecision because of the assumption of normality when pooling medians, and much of it came from single studies</w:t>
            </w:r>
          </w:p>
          <w:p>
            <w:pPr>
              <w:pStyle w:val="ListParagraph"/>
              <w:numPr>
                <w:ilvl w:val="0"/>
                <w:numId w:val="2"/>
              </w:numPr>
              <w:spacing w:after="45"/>
            </w:pPr>
            <w:r>
              <w:rPr>
                <w:sz w:val="15"/>
                <w:szCs w:val="15"/>
              </w:rPr>
              <w:t xml:space="preserve">The term bilateral stent placement is the wrong frame; future studies should use multisectoral stent placement, meaning right anterior, right posterior and left main duct</w:t>
            </w:r>
          </w:p>
          <w:p>
            <w:pPr>
              <w:pStyle w:val="ListParagraph"/>
              <w:numPr>
                <w:ilvl w:val="0"/>
                <w:numId w:val="2"/>
              </w:numPr>
              <w:spacing w:after="45"/>
            </w:pPr>
            <w:r>
              <w:rPr>
                <w:sz w:val="15"/>
                <w:szCs w:val="15"/>
              </w:rPr>
              <w:t xml:space="preserve">No studies reporting patient values were found for the stent-type question, so the panel relied on discussion with the patient advocate and its own assumption that patients would value survival and fewer reinterventions</w:t>
            </w:r>
          </w:p>
          <w:p>
            <w:pPr>
              <w:pStyle w:val="ListParagraph"/>
              <w:numPr>
                <w:ilvl w:val="0"/>
                <w:numId w:val="2"/>
              </w:numPr>
              <w:spacing w:after="45"/>
            </w:pPr>
            <w:r>
              <w:rPr>
                <w:sz w:val="15"/>
                <w:szCs w:val="15"/>
              </w:rPr>
              <w:t xml:space="preserve">There are no true cost-effectiveness analyses in the United States, and the one cost-effectiveness study of endoscopic against percutaneous drainage comes from Thailand with limited generalisability</w:t>
            </w:r>
          </w:p>
          <w:p>
            <w:pPr>
              <w:pStyle w:val="ListParagraph"/>
              <w:numPr>
                <w:ilvl w:val="0"/>
                <w:numId w:val="2"/>
              </w:numPr>
              <w:spacing w:after="45"/>
            </w:pPr>
            <w:r>
              <w:rPr>
                <w:sz w:val="15"/>
                <w:szCs w:val="15"/>
              </w:rPr>
              <w:t xml:space="preserve">Two of the three randomised trials of endoscopic against percutaneous drainage ended early, the Dutch trial for higher early mortality and the only US trial for prohibitively slow accrual, and the evidence was rated down for risk of bias on that account</w:t>
            </w:r>
          </w:p>
          <w:p>
            <w:pPr>
              <w:pStyle w:val="ListParagraph"/>
              <w:numPr>
                <w:ilvl w:val="0"/>
                <w:numId w:val="2"/>
              </w:numPr>
              <w:spacing w:after="45"/>
            </w:pPr>
            <w:r>
              <w:rPr>
                <w:sz w:val="15"/>
                <w:szCs w:val="15"/>
              </w:rPr>
              <w:t xml:space="preserve">The general concept statements, including those covering the transplant candidate, are expert opinions of the panel for which no systematic review was conducted</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Recommendation 2 favours bilateral stenting although almost every outcome examined was null or ran the other way: technical success was significantly lower for bilateral placement (odds ratio 0.39, 95% CI 0.17-0.91), drainage success did not differ (1.0, 0.36-2.76), early and late adverse events did not differ, late stent occlusion did not differ, pooled survival did not differ (11 days, -12 to 35) and pooled patency did not differ (standardised mean difference 0.38, -0.22 to 0.99, I-squared 78%); the recommendation rests on two adjusted hazard ratios from a single randomised trial</w:t>
            </w:r>
          </w:p>
          <w:p>
            <w:pPr>
              <w:pStyle w:val="ListParagraph"/>
              <w:numPr>
                <w:ilvl w:val="0"/>
                <w:numId w:val="2"/>
              </w:numPr>
              <w:spacing w:after="45"/>
            </w:pPr>
            <w:r>
              <w:rPr>
                <w:sz w:val="15"/>
                <w:szCs w:val="15"/>
              </w:rPr>
              <w:t xml:space="preserve">Pooled survival and patency effects are computed as standardised mean differences from reported medians, patient numbers and P values on an assumption of normality that the panel itself rated the evidence down for, while continuing to use the estimates</w:t>
            </w:r>
          </w:p>
          <w:p>
            <w:pPr>
              <w:pStyle w:val="ListParagraph"/>
              <w:numPr>
                <w:ilvl w:val="0"/>
                <w:numId w:val="2"/>
              </w:numPr>
              <w:spacing w:after="45"/>
            </w:pPr>
            <w:r>
              <w:rPr>
                <w:sz w:val="15"/>
                <w:szCs w:val="15"/>
              </w:rPr>
              <w:t xml:space="preserve">Several reported P values contradict their intervals: pancreatitis after endoscopic against percutaneous drainage is given as odds ratio 3.69 (1.20-11.33, P = .22), and overall adverse events (1.8, 1.03-3.13) and cholangitis (2.04, 1.00-4.14) are described as not reaching significance although their intervals exclude or touch 1; insertion success for metal against plastic stents is 6.38 (0.86-47.45)</w:t>
            </w:r>
          </w:p>
          <w:p>
            <w:pPr>
              <w:pStyle w:val="ListParagraph"/>
              <w:numPr>
                <w:ilvl w:val="0"/>
                <w:numId w:val="2"/>
              </w:numPr>
              <w:spacing w:after="45"/>
            </w:pPr>
            <w:r>
              <w:rPr>
                <w:sz w:val="15"/>
                <w:szCs w:val="15"/>
              </w:rPr>
              <w:t xml:space="preserve">The seeding figure the panel names as the driving factor behind recommendation 3a is the weakest evidence in the document: a meta-analysis of 6 studies giving 7.8% against 17.1% (odds ratio 0.27, 95% CI 0.13-0.56) with I-squared of 66% and very few events, plus one adjusted single-centre cohort (odds ratio 6.9, 1.9-25.7), both graded very low quality by the panel itself</w:t>
            </w:r>
          </w:p>
          <w:p>
            <w:pPr>
              <w:pStyle w:val="ListParagraph"/>
              <w:numPr>
                <w:ilvl w:val="0"/>
                <w:numId w:val="2"/>
              </w:numPr>
              <w:spacing w:after="45"/>
            </w:pPr>
            <w:r>
              <w:rPr>
                <w:sz w:val="15"/>
                <w:szCs w:val="15"/>
              </w:rPr>
              <w:t xml:space="preserve">The outcomes that favoured percutaneous drainage are not reflected in the recommendation: technical success was lower with endoscopic drainage (odds ratio 0.21, 0.05-0.85) and conversion to the other procedure far commoner (18.2, 3.1-105.1), while the mortality advantage for endoscopic drainage was only a trend (risk ratio 0.53, 0.28-1.01, P = .05)</w:t>
            </w:r>
          </w:p>
          <w:p>
            <w:pPr>
              <w:pStyle w:val="ListParagraph"/>
              <w:numPr>
                <w:ilvl w:val="0"/>
                <w:numId w:val="2"/>
              </w:numPr>
              <w:spacing w:after="45"/>
            </w:pPr>
            <w:r>
              <w:rPr>
                <w:sz w:val="15"/>
                <w:szCs w:val="15"/>
              </w:rPr>
              <w:t xml:space="preserve">A mean survival difference of 27 months (95% CI 14-41) favouring endoscopic drainage in resectable patients is pooled from the medians of two retrospective studies, and the accompanying hazard ratio of 2.08 (1.28-3.71) is reported as an increase in survival with endoscopic drainage without stating the reference group</w:t>
            </w:r>
          </w:p>
          <w:p>
            <w:pPr>
              <w:pStyle w:val="ListParagraph"/>
              <w:numPr>
                <w:ilvl w:val="0"/>
                <w:numId w:val="2"/>
              </w:numPr>
              <w:spacing w:after="45"/>
            </w:pPr>
            <w:r>
              <w:rPr>
                <w:sz w:val="15"/>
                <w:szCs w:val="15"/>
              </w:rPr>
              <w:t xml:space="preserve">The evidence base is 25 studies for all three questions, assembled by locating existing systematic reviews and updating them rather than by a de novo search, and includes meeting abstracts from 2018 to 2019</w:t>
            </w:r>
          </w:p>
          <w:p>
            <w:pPr>
              <w:pStyle w:val="ListParagraph"/>
              <w:numPr>
                <w:ilvl w:val="0"/>
                <w:numId w:val="2"/>
              </w:numPr>
              <w:spacing w:after="45"/>
            </w:pPr>
            <w:r>
              <w:rPr>
                <w:sz w:val="15"/>
                <w:szCs w:val="15"/>
              </w:rPr>
              <w:t xml:space="preserve">No voting distribution is published; the text refers to the final vote among panel members without numbers, and the panel deciding between an endoscopic and a radiological procedure comprised one interventional radiologist and one pancreaticobiliary surgeon among a majority of endoscopists</w:t>
            </w:r>
          </w:p>
          <w:p>
            <w:pPr>
              <w:pStyle w:val="ListParagraph"/>
              <w:numPr>
                <w:ilvl w:val="0"/>
                <w:numId w:val="2"/>
              </w:numPr>
              <w:spacing w:after="45"/>
            </w:pPr>
            <w:r>
              <w:rPr>
                <w:sz w:val="15"/>
                <w:szCs w:val="15"/>
              </w:rPr>
              <w:t xml:space="preserve">Patient values were represented by a single advocate from the Cholangiocarcinoma Foundation plus the panel's own assumption of what patients would value, which the panel acknowledges is not a substitute for studying them</w:t>
            </w:r>
          </w:p>
          <w:p>
            <w:pPr>
              <w:pStyle w:val="ListParagraph"/>
              <w:numPr>
                <w:ilvl w:val="0"/>
                <w:numId w:val="2"/>
              </w:numPr>
              <w:spacing w:after="45"/>
            </w:pPr>
            <w:r>
              <w:rPr>
                <w:sz w:val="15"/>
                <w:szCs w:val="15"/>
              </w:rPr>
              <w:t xml:space="preserve">The equity judgement that recommending metal stents raises no issue because they are also available in resource-poor settings is asserted without evidence, in a document that accepts metal stents cost more and that no US cost-effectiveness analysis exists</w:t>
            </w:r>
          </w:p>
          <w:p>
            <w:pPr>
              <w:pStyle w:val="ListParagraph"/>
              <w:numPr>
                <w:ilvl w:val="0"/>
                <w:numId w:val="2"/>
              </w:numPr>
              <w:spacing w:after="45"/>
            </w:pPr>
            <w:r>
              <w:rPr>
                <w:sz w:val="15"/>
                <w:szCs w:val="15"/>
              </w:rPr>
              <w:t xml:space="preserve">The most actionable number in the document, drain more than 50% of the viable non-atrophic liver volume including the future liver remnant in resectable patients, appears only in the general-concepts table and the final comments, with no PICO question, no evidence synthesis and no grading</w:t>
            </w:r>
          </w:p>
          <w:p>
            <w:pPr>
              <w:pStyle w:val="ListParagraph"/>
              <w:numPr>
                <w:ilvl w:val="0"/>
                <w:numId w:val="2"/>
              </w:numPr>
              <w:spacing w:after="45"/>
            </w:pPr>
            <w:r>
              <w:rPr>
                <w:sz w:val="15"/>
                <w:szCs w:val="15"/>
              </w:rPr>
              <w:t xml:space="preserve">The general concepts covering the transplant candidate, avoid EUS with fine-needle aspiration of the lesion, avoid uncovered metal stents that are difficult to remove surgically, and avoid percutaneous drainage, are explicitly ungraded expert opinion, yet they are the statements a transplant programme would act on</w:t>
            </w:r>
          </w:p>
          <w:p>
            <w:pPr>
              <w:pStyle w:val="ListParagraph"/>
              <w:numPr>
                <w:ilvl w:val="0"/>
                <w:numId w:val="2"/>
              </w:numPr>
              <w:spacing w:after="45"/>
            </w:pPr>
            <w:r>
              <w:rPr>
                <w:sz w:val="15"/>
                <w:szCs w:val="15"/>
              </w:rPr>
              <w:t xml:space="preserve">Radiofrequency ablation and photodynamic therapy through metal stents are endorsed for tertiary centres and research settings in the general concepts with no evidence review at all</w:t>
            </w:r>
          </w:p>
          <w:p>
            <w:pPr>
              <w:pStyle w:val="ListParagraph"/>
              <w:numPr>
                <w:ilvl w:val="0"/>
                <w:numId w:val="2"/>
              </w:numPr>
              <w:spacing w:after="45"/>
            </w:pPr>
            <w:r>
              <w:rPr>
                <w:sz w:val="15"/>
                <w:szCs w:val="15"/>
              </w:rPr>
              <w:t xml:space="preserve">The panel met on 7 March 2020 with a literature base ending in 2019 and the guideline appeared in May 2021; the 2024 Asia-Pacific consensus and the 2026 ESGE guideline reach different conclusions on the same questions</w:t>
            </w:r>
          </w:p>
          <w:p>
            <w:pPr>
              <w:pStyle w:val="ListParagraph"/>
              <w:numPr>
                <w:ilvl w:val="0"/>
                <w:numId w:val="2"/>
              </w:numPr>
              <w:spacing w:after="45"/>
            </w:pPr>
            <w:r>
              <w:rPr>
                <w:sz w:val="15"/>
                <w:szCs w:val="15"/>
              </w:rPr>
              <w:t xml:space="preserve">The GRADE evidence profiles are in supplementary tables 1 to 3 and the forest and funnel plots in supplementary figures 1 to 6, none of which were reviewed here, so the pooled estimates cannot be checked against their inputs</w:t>
            </w:r>
          </w:p>
          <w:p>
            <w:pPr>
              <w:pStyle w:val="ListParagraph"/>
              <w:numPr>
                <w:ilvl w:val="0"/>
                <w:numId w:val="2"/>
              </w:numPr>
              <w:spacing w:after="45"/>
            </w:pPr>
            <w:r>
              <w:rPr>
                <w:sz w:val="15"/>
                <w:szCs w:val="15"/>
              </w:rPr>
              <w:t xml:space="preserve">No linked editorial or comment was found in PubMed</w:t>
            </w:r>
          </w:p>
        </w:tc>
      </w:tr>
    </w:tbl>
    <w:p>
      <w:pPr>
        <w:spacing w:after="0" w:line="276"/>
      </w:pPr>
      <w:r>
        <w:rPr>
          <w:color w:val="5A6069"/>
          <w:sz w:val="14"/>
          <w:szCs w:val="14"/>
        </w:rPr>
        <w:t xml:space="preserve">Funding: Funded exclusively by the American Society for Gastrointestinal Endoscopy with no outside funding; many panel members declare consulting, speaking, advisory or research relationships with stent and device manufacturers including Boston Scientific, Cook Medical, Olympus, TaeWoong, Merit Medical, Pentax and STERIS</w:t>
      </w:r>
    </w:p>
    <w:p>
      <w:pPr>
        <w:keepNext/>
        <w:spacing w:after="50" w:before="260"/>
      </w:pPr>
      <w:r>
        <w:rPr>
          <w:rFonts w:ascii="Cambria" w:cs="Cambria" w:eastAsia="Cambria" w:hAnsi="Cambria"/>
          <w:b/>
          <w:bCs/>
          <w:color w:val="17365D"/>
          <w:sz w:val="20"/>
          <w:szCs w:val="20"/>
        </w:rPr>
        <w:t xml:space="preserve">Asia-Pacific 2024</w:t>
      </w:r>
      <w:r>
        <w:rPr>
          <w:b/>
          <w:bCs/>
          <w:color w:val="176A87"/>
          <w:sz w:val="15"/>
          <w:szCs w:val="15"/>
        </w:rPr>
        <w:t xml:space="preserve">   Consensus statement</w:t>
      </w:r>
      <w:r>
        <w:rPr>
          <w:color w:val="5A6069"/>
          <w:sz w:val="15"/>
          <w:szCs w:val="15"/>
        </w:rPr>
        <w:t xml:space="preserve">   PMID 39285860</w:t>
      </w:r>
    </w:p>
    <w:p>
      <w:pPr>
        <w:spacing w:after="50" w:line="276"/>
      </w:pPr>
      <w:r>
        <w:rPr>
          <w:color w:val="5A6069"/>
          <w:sz w:val="17"/>
          <w:szCs w:val="17"/>
        </w:rPr>
        <w:t xml:space="preserve">The updated Asia-Pacific consensus statement on the role of endoscopic management in malignant hilar biliary obstruction</w:t>
      </w:r>
    </w:p>
    <w:p>
      <w:pPr>
        <w:spacing w:after="50"/>
      </w:pPr>
      <w:r>
        <w:rPr>
          <w:b/>
          <w:bCs/>
          <w:color w:val="176A87"/>
          <w:sz w:val="16"/>
          <w:szCs w:val="16"/>
        </w:rPr>
        <w:t xml:space="preserve">Population. </w:t>
      </w:r>
      <w:r>
        <w:rPr>
          <w:sz w:val="16"/>
          <w:szCs w:val="16"/>
        </w:rPr>
        <w:t xml:space="preserve">24 experts in hepatobiliary endoscopy, gastroenterologists and surgeons, from 14 countries in the Asia-Pacific region, voting anonymously in two modified Delphi rounds on statements drafted from a three-database literature search, producing 7 statements and 5 key concepts; there is no patient cohort</w:t>
      </w:r>
    </w:p>
    <w:p>
      <w:pPr>
        <w:spacing w:after="70"/>
      </w:pPr>
      <w:r>
        <w:rPr>
          <w:b/>
          <w:bCs/>
          <w:color w:val="17365D"/>
          <w:sz w:val="16"/>
          <w:szCs w:val="16"/>
        </w:rPr>
        <w:t xml:space="preserve">Bottom line. </w:t>
      </w:r>
      <w:r>
        <w:rPr>
          <w:sz w:val="16"/>
          <w:szCs w:val="16"/>
        </w:rPr>
        <w:t xml:space="preserve">The updated Asia-Pacific consensus gives a workable endoscopic algorithm for malignant hilar obstruction: combine intraductal biopsy and cytology at the index ERCP, drain more than 50% of viable liver with the stent number set by Bismuth type and sector volume, select the segment by guidewire under pre-defined imaging with air or carbon dioxide cholangiography, and use EUS-guided or percutaneous drainage as rescue. The agreement that certifies it is thinner than it appears, since the threshold counts a category the ballot does not contain and only 56% to 57% accepted the drainage and stent statements completely, and the volume rule assumes every sector is 30% of the liver rather than measuring it. Scope is endoscopic only: the algorithm's resectability node carries no criteria and no statement names a preferred route for preoperative drainage.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recommendations may assist physicians in planning treatment but should not replace the decision of a multidisciplinary team in the management of an individual patient</w:t>
            </w:r>
          </w:p>
          <w:p>
            <w:pPr>
              <w:pStyle w:val="ListParagraph"/>
              <w:numPr>
                <w:ilvl w:val="0"/>
                <w:numId w:val="2"/>
              </w:numPr>
              <w:spacing w:after="45"/>
            </w:pPr>
            <w:r>
              <w:rPr>
                <w:sz w:val="15"/>
                <w:szCs w:val="15"/>
              </w:rPr>
              <w:t xml:space="preserve">The availability and cost-effectiveness of cholangioscopy and of molecular diagnostic techniques are major limitations on their use</w:t>
            </w:r>
          </w:p>
          <w:p>
            <w:pPr>
              <w:pStyle w:val="ListParagraph"/>
              <w:numPr>
                <w:ilvl w:val="0"/>
                <w:numId w:val="2"/>
              </w:numPr>
              <w:spacing w:after="45"/>
            </w:pPr>
            <w:r>
              <w:rPr>
                <w:sz w:val="15"/>
                <w:szCs w:val="15"/>
              </w:rPr>
              <w:t xml:space="preserve">Statements 5 and 7, on rescue drainage of undrained segments and on revision of recurrent obstruction, are graded low quality evidence</w:t>
            </w:r>
          </w:p>
          <w:p>
            <w:pPr>
              <w:pStyle w:val="ListParagraph"/>
              <w:numPr>
                <w:ilvl w:val="0"/>
                <w:numId w:val="2"/>
              </w:numPr>
              <w:spacing w:after="45"/>
            </w:pPr>
            <w:r>
              <w:rPr>
                <w:sz w:val="15"/>
                <w:szCs w:val="15"/>
              </w:rPr>
              <w:t xml:space="preserve">A fully covered metal stent, although removable, might occlude segmental bile ducts when placed across the liver hilum, and evidence for placing bilateral fully covered stents is still awaited</w:t>
            </w:r>
          </w:p>
          <w:p>
            <w:pPr>
              <w:pStyle w:val="ListParagraph"/>
              <w:numPr>
                <w:ilvl w:val="0"/>
                <w:numId w:val="2"/>
              </w:numPr>
              <w:spacing w:after="45"/>
            </w:pPr>
            <w:r>
              <w:rPr>
                <w:sz w:val="15"/>
                <w:szCs w:val="15"/>
              </w:rPr>
              <w:t xml:space="preserve">Palliative biliary drainage does not alter survival outcomes or quality of life in patients with poor performance status, so careful patient selection is crucial and requires discussion of risks and benefits among the multidisciplinary team, patient and caregivers</w:t>
            </w:r>
          </w:p>
          <w:p>
            <w:pPr>
              <w:pStyle w:val="ListParagraph"/>
              <w:numPr>
                <w:ilvl w:val="0"/>
                <w:numId w:val="2"/>
              </w:numPr>
              <w:spacing w:after="45"/>
            </w:pPr>
            <w:r>
              <w:rPr>
                <w:sz w:val="15"/>
                <w:szCs w:val="15"/>
              </w:rPr>
              <w:t xml:space="preserve">The published voting distributions record limited agreement on several statements, with 56% and 57% accepting completely for the preoperative drainage and stent statements and 50% for the ablation key concept</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consensus threshold is defined as over 80% voting 'accept completely' or 'accept with minor revision', but the ballot's second option is 'accept with some reservation'; the category used to certify consensus is not one the panel could vote for, and counting it conceals that only 56% and 57% accepted the drainage and stent statements completely</w:t>
            </w:r>
          </w:p>
          <w:p>
            <w:pPr>
              <w:pStyle w:val="ListParagraph"/>
              <w:numPr>
                <w:ilvl w:val="0"/>
                <w:numId w:val="2"/>
              </w:numPr>
              <w:spacing w:after="45"/>
            </w:pPr>
            <w:r>
              <w:rPr>
                <w:sz w:val="15"/>
                <w:szCs w:val="15"/>
              </w:rPr>
              <w:t xml:space="preserve">Statement 1 is graded high quality evidence while the supporting text reports brush cytology sensitivity of 21% to 56% and intraductal biopsy of 43% to 67% from observational studies, and no evidence profile, GRADE table or risk-of-bias assessment appears anywhere in the document to show how any grade was derived</w:t>
            </w:r>
          </w:p>
          <w:p>
            <w:pPr>
              <w:pStyle w:val="ListParagraph"/>
              <w:numPr>
                <w:ilvl w:val="0"/>
                <w:numId w:val="2"/>
              </w:numPr>
              <w:spacing w:after="45"/>
            </w:pPr>
            <w:r>
              <w:rPr>
                <w:sz w:val="15"/>
                <w:szCs w:val="15"/>
              </w:rPr>
              <w:t xml:space="preserve">Only the final voting distribution is published, so movement between the two rounds and the effect of the online discussion session are invisible; the ballot prints option C as 'accept with major reservation n' and provides no outcome for a statement that neither reaches 80% acceptance nor 80% rejection</w:t>
            </w:r>
          </w:p>
          <w:p>
            <w:pPr>
              <w:pStyle w:val="ListParagraph"/>
              <w:numPr>
                <w:ilvl w:val="0"/>
                <w:numId w:val="2"/>
              </w:numPr>
              <w:spacing w:after="45"/>
            </w:pPr>
            <w:r>
              <w:rPr>
                <w:sz w:val="15"/>
                <w:szCs w:val="15"/>
              </w:rPr>
              <w:t xml:space="preserve">The liver-volume rule rests on Vienne's assumption that each of the three sectors is exactly 30% of liver volume with segments I and IV making up the remaining 10%; no patient-specific volumetry is required anywhere, and the two supporting retrospective cohorts set the threshold at 50% and at 80% (hazard ratio 2.46, 95% CI 1.16-5.23)</w:t>
            </w:r>
          </w:p>
          <w:p>
            <w:pPr>
              <w:pStyle w:val="ListParagraph"/>
              <w:numPr>
                <w:ilvl w:val="0"/>
                <w:numId w:val="2"/>
              </w:numPr>
              <w:spacing w:after="45"/>
            </w:pPr>
            <w:r>
              <w:rPr>
                <w:sz w:val="15"/>
                <w:szCs w:val="15"/>
              </w:rPr>
              <w:t xml:space="preserve">Figure 2 gives identical reasoning and the same 60% figure for Bismuth II and Bismuth IIIb, so the sector arithmetic that determines how many stents a patient needs is read off a fixed diagram rather than that patient's liver</w:t>
            </w:r>
          </w:p>
          <w:p>
            <w:pPr>
              <w:pStyle w:val="ListParagraph"/>
              <w:numPr>
                <w:ilvl w:val="0"/>
                <w:numId w:val="2"/>
              </w:numPr>
              <w:spacing w:after="45"/>
            </w:pPr>
            <w:r>
              <w:rPr>
                <w:sz w:val="15"/>
                <w:szCs w:val="15"/>
              </w:rPr>
              <w:t xml:space="preserve">Statement 2 states its preoperative drainage indications (bilirubin 15 mg/dL or more, albumin under 3 g/dL, cholangitis, delayed surgery) only in a figure footnote, and the result offered in support of strict criteria is an odds ratio of 0.51 (95% CI 0.18-1.42), an interval crossing 1, described as showing lower major morbidity</w:t>
            </w:r>
          </w:p>
          <w:p>
            <w:pPr>
              <w:pStyle w:val="ListParagraph"/>
              <w:numPr>
                <w:ilvl w:val="0"/>
                <w:numId w:val="2"/>
              </w:numPr>
              <w:spacing w:after="45"/>
            </w:pPr>
            <w:r>
              <w:rPr>
                <w:sz w:val="15"/>
                <w:szCs w:val="15"/>
              </w:rPr>
              <w:t xml:space="preserve">Statement 5's evidence is a single open-label study with historical controls in which technical success favoured the percutaneous arm (100% against 84%) while clinical success and complications did not differ; the recurrent-obstruction difference that justifies the recommendation, 27% against 88% at three months, comes from that non-randomised comparison</w:t>
            </w:r>
          </w:p>
          <w:p>
            <w:pPr>
              <w:pStyle w:val="ListParagraph"/>
              <w:numPr>
                <w:ilvl w:val="0"/>
                <w:numId w:val="2"/>
              </w:numPr>
              <w:spacing w:after="45"/>
            </w:pPr>
            <w:r>
              <w:rPr>
                <w:sz w:val="15"/>
                <w:szCs w:val="15"/>
              </w:rPr>
              <w:t xml:space="preserve">Statement 6 asks the endoscopist to predict response to systemic therapy before placing the first stent, which cannot be known at the index ERCP, and its supporting studies had adjuvant therapy in only a tenth to a half of patients with one spanning 25 years, so its survival assumptions predate routine first-line chemo-immunotherapy; it attracted the document's only outright rejection</w:t>
            </w:r>
          </w:p>
          <w:p>
            <w:pPr>
              <w:pStyle w:val="ListParagraph"/>
              <w:numPr>
                <w:ilvl w:val="0"/>
                <w:numId w:val="2"/>
              </w:numPr>
              <w:spacing w:after="45"/>
            </w:pPr>
            <w:r>
              <w:rPr>
                <w:sz w:val="15"/>
                <w:szCs w:val="15"/>
              </w:rPr>
              <w:t xml:space="preserve">Statement 7 is graded low quality and rests on series of 13, 31 and 49 patients, the 13-patient comparison being explicitly non-significant</w:t>
            </w:r>
          </w:p>
          <w:p>
            <w:pPr>
              <w:pStyle w:val="ListParagraph"/>
              <w:numPr>
                <w:ilvl w:val="0"/>
                <w:numId w:val="2"/>
              </w:numPr>
              <w:spacing w:after="45"/>
            </w:pPr>
            <w:r>
              <w:rPr>
                <w:sz w:val="15"/>
                <w:szCs w:val="15"/>
              </w:rPr>
              <w:t xml:space="preserve">Scope is purely endoscopic: no statement addresses resectability, the extent of hepatectomy with caudate resection, portal vein embolisation or transplant candidacy, the algorithm's 'Resectable?' decision node carries no criteria at all, and surgery enters only as a multidisciplinary-team caveat</w:t>
            </w:r>
          </w:p>
          <w:p>
            <w:pPr>
              <w:pStyle w:val="ListParagraph"/>
              <w:numPr>
                <w:ilvl w:val="0"/>
                <w:numId w:val="2"/>
              </w:numPr>
              <w:spacing w:after="45"/>
            </w:pPr>
            <w:r>
              <w:rPr>
                <w:sz w:val="15"/>
                <w:szCs w:val="15"/>
              </w:rPr>
              <w:t xml:space="preserve">No statement names a preferred route for preoperative drainage, which the 2013 version did address; the figure routes it to 'ERCP or PTBD' without preference, so the surgeon's question is left unanswered</w:t>
            </w:r>
          </w:p>
          <w:p>
            <w:pPr>
              <w:pStyle w:val="ListParagraph"/>
              <w:numPr>
                <w:ilvl w:val="0"/>
                <w:numId w:val="2"/>
              </w:numPr>
              <w:spacing w:after="45"/>
            </w:pPr>
            <w:r>
              <w:rPr>
                <w:sz w:val="15"/>
                <w:szCs w:val="15"/>
              </w:rPr>
              <w:t xml:space="preserve">The ablation key concept passed with only 50% accepting completely, and the photodynamic therapy meta-analysis hazard ratio of 0.49 (95% CI 0.33-0.73) is quoted without characterising the studies behind it, alongside an 11.11% rate of phototoxic reaction</w:t>
            </w:r>
          </w:p>
          <w:p>
            <w:pPr>
              <w:pStyle w:val="ListParagraph"/>
              <w:numPr>
                <w:ilvl w:val="0"/>
                <w:numId w:val="2"/>
              </w:numPr>
              <w:spacing w:after="45"/>
            </w:pPr>
            <w:r>
              <w:rPr>
                <w:sz w:val="15"/>
                <w:szCs w:val="15"/>
              </w:rPr>
              <w:t xml:space="preserve">Generalisability is confined to high-volume Asia-Pacific referral centres, where hilar obstruction is commoner and more often fluke-related or associated with hepatolithiasis; the 2026 ESGE guideline, on much the same evidence, instead prefers ERCP over primary percutaneous drainage, raises the drainage target to 70% or more, and favours an uncovered metal stent in expert centres</w:t>
            </w:r>
          </w:p>
          <w:p>
            <w:pPr>
              <w:pStyle w:val="ListParagraph"/>
              <w:numPr>
                <w:ilvl w:val="0"/>
                <w:numId w:val="2"/>
              </w:numPr>
              <w:spacing w:after="45"/>
            </w:pPr>
            <w:r>
              <w:rPr>
                <w:sz w:val="15"/>
                <w:szCs w:val="15"/>
              </w:rPr>
              <w:t xml:space="preserve">The statements were finalised after public consultation at one regional meeting, with no record of external review by another society and no statement of what changed from the 2013 version it supersedes</w:t>
            </w:r>
          </w:p>
          <w:p>
            <w:pPr>
              <w:pStyle w:val="ListParagraph"/>
              <w:numPr>
                <w:ilvl w:val="0"/>
                <w:numId w:val="2"/>
              </w:numPr>
              <w:spacing w:after="45"/>
            </w:pPr>
            <w:r>
              <w:rPr>
                <w:sz w:val="15"/>
                <w:szCs w:val="15"/>
              </w:rPr>
              <w:t xml:space="preserve">No linked editorial or comment was found in PubMed</w:t>
            </w:r>
          </w:p>
        </w:tc>
      </w:tr>
    </w:tbl>
    <w:p>
      <w:pPr>
        <w:spacing w:after="0" w:line="276"/>
      </w:pPr>
      <w:r>
        <w:rPr>
          <w:color w:val="5A6069"/>
          <w:sz w:val="14"/>
          <w:szCs w:val="14"/>
        </w:rPr>
        <w:t xml:space="preserve">Funding: No funding statement; the authors declare that they have no conflict of interest</w:t>
      </w:r>
    </w:p>
    <w:p>
      <w:pPr>
        <w:keepNext/>
        <w:spacing w:after="50" w:before="260"/>
      </w:pPr>
      <w:r>
        <w:rPr>
          <w:rFonts w:ascii="Cambria" w:cs="Cambria" w:eastAsia="Cambria" w:hAnsi="Cambria"/>
          <w:b/>
          <w:bCs/>
          <w:color w:val="17365D"/>
          <w:sz w:val="20"/>
          <w:szCs w:val="20"/>
        </w:rPr>
        <w:t xml:space="preserve">Avadhani 2017</w:t>
      </w:r>
      <w:r>
        <w:rPr>
          <w:b/>
          <w:bCs/>
          <w:color w:val="176A87"/>
          <w:sz w:val="15"/>
          <w:szCs w:val="15"/>
        </w:rPr>
        <w:t xml:space="preserve">   Prospective trial</w:t>
      </w:r>
      <w:r>
        <w:rPr>
          <w:color w:val="5A6069"/>
          <w:sz w:val="15"/>
          <w:szCs w:val="15"/>
        </w:rPr>
        <w:t xml:space="preserve">   PMID 28664934</w:t>
      </w:r>
    </w:p>
    <w:p>
      <w:pPr>
        <w:spacing w:after="50" w:line="276"/>
      </w:pPr>
      <w:r>
        <w:rPr>
          <w:color w:val="5A6069"/>
          <w:sz w:val="17"/>
          <w:szCs w:val="17"/>
        </w:rPr>
        <w:t xml:space="preserve">Cytologic predictors of malignancy in bile duct brushings: a multi-reviewer analysis of 60 cases</w:t>
      </w:r>
    </w:p>
    <w:p>
      <w:pPr>
        <w:spacing w:after="50"/>
      </w:pPr>
      <w:r>
        <w:rPr>
          <w:b/>
          <w:bCs/>
          <w:color w:val="176A87"/>
          <w:sz w:val="16"/>
          <w:szCs w:val="16"/>
        </w:rPr>
        <w:t xml:space="preserve">Population. </w:t>
      </w:r>
      <w:r>
        <w:rPr>
          <w:sz w:val="16"/>
          <w:szCs w:val="16"/>
        </w:rPr>
        <w:t xml:space="preserve">60 bile duct brushings, 30 malignant with histological confirmation by biopsy (n=6) or resection (n=24) and 30 benign with at least 18 months of uneventful follow-up (15 with and 15 without a prior stent), selected from 253 eligible among 444 archival brushings at one institution over 2000-2015, each read blind by 7 reviewers for 14 malignant characteristics</w:t>
      </w:r>
    </w:p>
    <w:p>
      <w:pPr>
        <w:spacing w:after="70"/>
      </w:pPr>
      <w:r>
        <w:rPr>
          <w:b/>
          <w:bCs/>
          <w:color w:val="17365D"/>
          <w:sz w:val="16"/>
          <w:szCs w:val="16"/>
        </w:rPr>
        <w:t xml:space="preserve">Bottom line. </w:t>
      </w:r>
      <w:r>
        <w:rPr>
          <w:sz w:val="16"/>
          <w:szCs w:val="16"/>
        </w:rPr>
        <w:t xml:space="preserve">Reading a bile duct brushing for eleven defined malignant features and calling it malignant at three or more gives 70% sensitivity, 97% specificity and 83% accuracy, and general surgical pathologists apply the features about as well as cytopathologists do. Those figures come from a 50:50 archival case-control series of 60 cases at one institution, with the cut point chosen by scanning all ten cut points in the same cases, so they are a fitted operating point rather than a validated threshold and the predictive values do not carry over to clinic. No fixed combination of three features worked, a third of cancers are still missed at the recommended threshold, and neither perihilar strictures nor primary sclerosing cholangitis is identified anywhere in the cohort.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Detachment atypia, described here, is a close mimic of carcinoma in brushings and accounted for the one benign case called malignant on 7 characteristics</w:t>
            </w:r>
          </w:p>
          <w:p>
            <w:pPr>
              <w:pStyle w:val="ListParagraph"/>
              <w:numPr>
                <w:ilvl w:val="0"/>
                <w:numId w:val="2"/>
              </w:numPr>
              <w:spacing w:after="45"/>
            </w:pPr>
            <w:r>
              <w:rPr>
                <w:sz w:val="15"/>
                <w:szCs w:val="15"/>
              </w:rPr>
              <w:t xml:space="preserve">No fixed combination of criteria emerged: requiring chromatin change, nuclear irregularity and pleomorphism together performed worse than any 3 of the 11, and the authors compare this with failed attempts to find criterion combinations in rheumatic fever, Kawasaki disease and papillary thyroid carcinoma</w:t>
            </w:r>
          </w:p>
          <w:p>
            <w:pPr>
              <w:pStyle w:val="ListParagraph"/>
              <w:numPr>
                <w:ilvl w:val="0"/>
                <w:numId w:val="2"/>
              </w:numPr>
              <w:spacing w:after="45"/>
            </w:pPr>
            <w:r>
              <w:rPr>
                <w:sz w:val="15"/>
                <w:szCs w:val="15"/>
              </w:rPr>
              <w:t xml:space="preserve">Sensitivity falls as the number of required characteristics rises, so the minimal gain in specificity above three criteria comes at significant cost to sensitivity and accuracy</w:t>
            </w:r>
          </w:p>
          <w:p>
            <w:pPr>
              <w:pStyle w:val="ListParagraph"/>
              <w:numPr>
                <w:ilvl w:val="0"/>
                <w:numId w:val="2"/>
              </w:numPr>
              <w:spacing w:after="45"/>
            </w:pPr>
            <w:r>
              <w:rPr>
                <w:sz w:val="15"/>
                <w:szCs w:val="15"/>
              </w:rPr>
              <w:t xml:space="preserve">Well-differentiated tumours can be cytologically bland and extremely difficult to distinguish from benign or reactive change, particularly in primary sclerosing cholangitis, inflammation or prior stenting, which the authors say is partly responsible for the test's low sensitivity</w:t>
            </w:r>
          </w:p>
          <w:p>
            <w:pPr>
              <w:pStyle w:val="ListParagraph"/>
              <w:numPr>
                <w:ilvl w:val="0"/>
                <w:numId w:val="2"/>
              </w:numPr>
              <w:spacing w:after="45"/>
            </w:pPr>
            <w:r>
              <w:rPr>
                <w:sz w:val="15"/>
                <w:szCs w:val="15"/>
              </w:rPr>
              <w:t xml:space="preserve">Experience affected performance, with the more experienced reviewers achieving higher specificity and accuracy than the less experienced</w:t>
            </w:r>
          </w:p>
          <w:p>
            <w:pPr>
              <w:pStyle w:val="ListParagraph"/>
              <w:numPr>
                <w:ilvl w:val="0"/>
                <w:numId w:val="2"/>
              </w:numPr>
              <w:spacing w:after="45"/>
            </w:pPr>
            <w:r>
              <w:rPr>
                <w:sz w:val="15"/>
                <w:szCs w:val="15"/>
              </w:rPr>
              <w:t xml:space="preserve">A gold standard had to be constructed from reviewer agreement because no independent measure exists of whether a characteristic is present</w:t>
            </w:r>
          </w:p>
          <w:p>
            <w:pPr>
              <w:pStyle w:val="ListParagraph"/>
              <w:numPr>
                <w:ilvl w:val="0"/>
                <w:numId w:val="2"/>
              </w:numPr>
              <w:spacing w:after="45"/>
            </w:pPr>
            <w:r>
              <w:rPr>
                <w:sz w:val="15"/>
                <w:szCs w:val="15"/>
              </w:rPr>
              <w:t xml:space="preserve">Abnormal mitoses could not be evaluated at all because no two cytopathologists agreed on their presence in any of the 60 brushings</w:t>
            </w:r>
          </w:p>
          <w:p>
            <w:pPr>
              <w:pStyle w:val="ListParagraph"/>
              <w:numPr>
                <w:ilvl w:val="0"/>
                <w:numId w:val="2"/>
              </w:numPr>
              <w:spacing w:after="45"/>
            </w:pPr>
            <w:r>
              <w:rPr>
                <w:sz w:val="15"/>
                <w:szCs w:val="15"/>
              </w:rPr>
              <w:t xml:space="preserve">Features seen infrequently in malignant samples, such as prominent nucleoli at 20% to 28%, are of questionable helpfulness however specific they are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design is an archival case-control enriched to 50% malignant, so the reported predictive values do not transfer to a clinic population and the 97% specificity rests on 30 selected benign cases</w:t>
            </w:r>
          </w:p>
          <w:p>
            <w:pPr>
              <w:pStyle w:val="ListParagraph"/>
              <w:numPr>
                <w:ilvl w:val="0"/>
                <w:numId w:val="2"/>
              </w:numPr>
              <w:spacing w:after="45"/>
            </w:pPr>
            <w:r>
              <w:rPr>
                <w:sz w:val="15"/>
                <w:szCs w:val="15"/>
              </w:rPr>
              <w:t xml:space="preserve">The reference standards are asymmetric: malignancy required histology while benignity required only 18 months of uneventful follow-up; the paper argues against the 6-month standard used elsewhere but gives no justification for 18 months</w:t>
            </w:r>
          </w:p>
          <w:p>
            <w:pPr>
              <w:pStyle w:val="ListParagraph"/>
              <w:numPr>
                <w:ilvl w:val="0"/>
                <w:numId w:val="2"/>
              </w:numPr>
              <w:spacing w:after="45"/>
            </w:pPr>
            <w:r>
              <w:rPr>
                <w:sz w:val="15"/>
                <w:szCs w:val="15"/>
              </w:rPr>
              <w:t xml:space="preserve">The single benign case with 7 malignant characteristics was reclassified after the fact as a new entity, detachment atypia, which absorbs the one observation contradicting the rule being proposed</w:t>
            </w:r>
          </w:p>
          <w:p>
            <w:pPr>
              <w:pStyle w:val="ListParagraph"/>
              <w:numPr>
                <w:ilvl w:val="0"/>
                <w:numId w:val="2"/>
              </w:numPr>
              <w:spacing w:after="45"/>
            </w:pPr>
            <w:r>
              <w:rPr>
                <w:sz w:val="15"/>
                <w:szCs w:val="15"/>
              </w:rPr>
              <w:t xml:space="preserve">The 3-or-more cut point was selected by scanning all ten cut points in the same 60 cases for the best combination of sensitivity, specificity and accuracy, with no separate validation set, so 70%/97%/83% is a fitted operating point</w:t>
            </w:r>
          </w:p>
          <w:p>
            <w:pPr>
              <w:pStyle w:val="ListParagraph"/>
              <w:numPr>
                <w:ilvl w:val="0"/>
                <w:numId w:val="2"/>
              </w:numPr>
              <w:spacing w:after="45"/>
            </w:pPr>
            <w:r>
              <w:rPr>
                <w:sz w:val="15"/>
                <w:szCs w:val="15"/>
              </w:rPr>
              <w:t xml:space="preserve">Three different gold standards were run and the surviving feature list changes with each: at 7 of 7 agreement only 4 of 14 characteristics remain significant, each at exactly P = 0.0384, which indicates a single discordant case driving each</w:t>
            </w:r>
          </w:p>
          <w:p>
            <w:pPr>
              <w:pStyle w:val="ListParagraph"/>
              <w:numPr>
                <w:ilvl w:val="0"/>
                <w:numId w:val="2"/>
              </w:numPr>
              <w:spacing w:after="45"/>
            </w:pPr>
            <w:r>
              <w:rPr>
                <w:sz w:val="15"/>
                <w:szCs w:val="15"/>
              </w:rPr>
              <w:t xml:space="preserve">Necrosis is non-significant under the 2-of-3 cytopathologist standard (P = 0.7188) and significant under the 4-of-7 standard (P = 0.0384); the paper's conclusion that necrosis is unhelpful depends on which standard is chosen</w:t>
            </w:r>
          </w:p>
          <w:p>
            <w:pPr>
              <w:pStyle w:val="ListParagraph"/>
              <w:numPr>
                <w:ilvl w:val="0"/>
                <w:numId w:val="2"/>
              </w:numPr>
              <w:spacing w:after="45"/>
            </w:pPr>
            <w:r>
              <w:rPr>
                <w:sz w:val="15"/>
                <w:szCs w:val="15"/>
              </w:rPr>
              <w:t xml:space="preserve">Five of the 14 characteristics have no calculable odds ratio because a cell is empty, and three of those, hypercellularity, nuclear molding and prominent nucleoli, are nevertheless listed among the recommended 11 while Table 2 files them under less helpful characteristics</w:t>
            </w:r>
          </w:p>
          <w:p>
            <w:pPr>
              <w:pStyle w:val="ListParagraph"/>
              <w:numPr>
                <w:ilvl w:val="0"/>
                <w:numId w:val="2"/>
              </w:numPr>
              <w:spacing w:after="45"/>
            </w:pPr>
            <w:r>
              <w:rPr>
                <w:sz w:val="15"/>
                <w:szCs w:val="15"/>
              </w:rPr>
              <w:t xml:space="preserve">The calculable odds ratios reach 47.46 (95% CI 5.64-399.29) and 50.09 (5.97-420.36), intervals spanning two orders of magnitude on one or zero events in the benign group</w:t>
            </w:r>
          </w:p>
          <w:p>
            <w:pPr>
              <w:pStyle w:val="ListParagraph"/>
              <w:numPr>
                <w:ilvl w:val="0"/>
                <w:numId w:val="2"/>
              </w:numPr>
              <w:spacing w:after="45"/>
            </w:pPr>
            <w:r>
              <w:rPr>
                <w:sz w:val="15"/>
                <w:szCs w:val="15"/>
              </w:rPr>
              <w:t xml:space="preserve">Abstract and Table 1 disagree because they draw on different gold standards: three-dimensional clusters are 63% against 3% in the abstract and 52% against 3% in the 2-of-3 cytopathologist column, and nuclear irregularity 70 against 10 rather than 67 against 13</w:t>
            </w:r>
          </w:p>
          <w:p>
            <w:pPr>
              <w:pStyle w:val="ListParagraph"/>
              <w:numPr>
                <w:ilvl w:val="0"/>
                <w:numId w:val="2"/>
              </w:numPr>
              <w:spacing w:after="45"/>
            </w:pPr>
            <w:r>
              <w:rPr>
                <w:sz w:val="15"/>
                <w:szCs w:val="15"/>
              </w:rPr>
              <w:t xml:space="preserve">The text reports 22 brushings with 3 or more characteristics of which 1 was benign, while the abstract reports 20 with 4 or more of which 1 was benign; both quote the same single false positive</w:t>
            </w:r>
          </w:p>
          <w:p>
            <w:pPr>
              <w:pStyle w:val="ListParagraph"/>
              <w:numPr>
                <w:ilvl w:val="0"/>
                <w:numId w:val="2"/>
              </w:numPr>
              <w:spacing w:after="45"/>
            </w:pPr>
            <w:r>
              <w:rPr>
                <w:sz w:val="15"/>
                <w:szCs w:val="15"/>
              </w:rPr>
              <w:t xml:space="preserve">Six of the seven reviewers are authors of the paper, including the first author, a cytopathology fellow with three months of training who was classed as inexperienced after the results were known, so the interobserver data are not independent of the people who selected the criteria</w:t>
            </w:r>
          </w:p>
          <w:p>
            <w:pPr>
              <w:pStyle w:val="ListParagraph"/>
              <w:numPr>
                <w:ilvl w:val="0"/>
                <w:numId w:val="2"/>
              </w:numPr>
              <w:spacing w:after="45"/>
            </w:pPr>
            <w:r>
              <w:rPr>
                <w:sz w:val="15"/>
                <w:szCs w:val="15"/>
              </w:rPr>
              <w:t xml:space="preserve">Seven of 30 malignant brushings had none of the 11 characteristics at the primary gold standard; on blind re-review by all seven reviewers, 3 or more characteristics were found in all 7 cases, so the gold standard for feature presence is not stable on repeat reading of the same slides</w:t>
            </w:r>
          </w:p>
          <w:p>
            <w:pPr>
              <w:pStyle w:val="ListParagraph"/>
              <w:numPr>
                <w:ilvl w:val="0"/>
                <w:numId w:val="2"/>
              </w:numPr>
              <w:spacing w:after="45"/>
            </w:pPr>
            <w:r>
              <w:rPr>
                <w:sz w:val="15"/>
                <w:szCs w:val="15"/>
              </w:rPr>
              <w:t xml:space="preserve">No confidence interval is given for any sensitivity, specificity or accuracy figure, although the sample size was set to estimate a sensitivity of 80% with an interval of 70% to 90% and the observed sensitivity is 70%</w:t>
            </w:r>
          </w:p>
          <w:p>
            <w:pPr>
              <w:pStyle w:val="ListParagraph"/>
              <w:numPr>
                <w:ilvl w:val="0"/>
                <w:numId w:val="2"/>
              </w:numPr>
              <w:spacing w:after="45"/>
            </w:pPr>
            <w:r>
              <w:rPr>
                <w:sz w:val="15"/>
                <w:szCs w:val="15"/>
              </w:rPr>
              <w:t xml:space="preserve">The malignant cases' primary sites and the strictures' locations are never tabulated, so the proportion that were cholangiocarcinoma rather than pancreatic adenocarcinoma involving the duct, and the proportion that were perihilar, cannot be read; primary sclerosing cholangitis is discussed but no case is identified as such</w:t>
            </w:r>
          </w:p>
          <w:p>
            <w:pPr>
              <w:pStyle w:val="ListParagraph"/>
              <w:numPr>
                <w:ilvl w:val="0"/>
                <w:numId w:val="2"/>
              </w:numPr>
              <w:spacing w:after="45"/>
            </w:pPr>
            <w:r>
              <w:rPr>
                <w:sz w:val="15"/>
                <w:szCs w:val="15"/>
              </w:rPr>
              <w:t xml:space="preserve">Individual reviewer sensitivity ranges from 60% to 83% and specificity from 66% to 93%, a spread as wide as the improvement the rule is said to deliver</w:t>
            </w:r>
          </w:p>
          <w:p>
            <w:pPr>
              <w:pStyle w:val="ListParagraph"/>
              <w:numPr>
                <w:ilvl w:val="0"/>
                <w:numId w:val="2"/>
              </w:numPr>
              <w:spacing w:after="45"/>
            </w:pPr>
            <w:r>
              <w:rPr>
                <w:sz w:val="15"/>
                <w:szCs w:val="15"/>
              </w:rPr>
              <w:t xml:space="preserve">No linked editorial or comment was found in PubMed</w:t>
            </w:r>
          </w:p>
        </w:tc>
      </w:tr>
    </w:tbl>
    <w:p>
      <w:pPr>
        <w:spacing w:after="0" w:line="276"/>
      </w:pPr>
      <w:r>
        <w:rPr>
          <w:color w:val="5A6069"/>
          <w:sz w:val="14"/>
          <w:szCs w:val="14"/>
        </w:rPr>
        <w:t xml:space="preserve">Funding: No funding statement; M. D. Reid received an honorarium from Medtronic for participation in a panel discussion and the remaining authors declare no conflict of interest</w:t>
      </w:r>
    </w:p>
    <w:p>
      <w:pPr>
        <w:keepNext/>
        <w:spacing w:after="50" w:before="260"/>
      </w:pPr>
      <w:r>
        <w:rPr>
          <w:rFonts w:ascii="Cambria" w:cs="Cambria" w:eastAsia="Cambria" w:hAnsi="Cambria"/>
          <w:b/>
          <w:bCs/>
          <w:color w:val="17365D"/>
          <w:sz w:val="20"/>
          <w:szCs w:val="20"/>
        </w:rPr>
        <w:t xml:space="preserve">Bardhi 2025</w:t>
      </w:r>
      <w:r>
        <w:rPr>
          <w:b/>
          <w:bCs/>
          <w:color w:val="176A87"/>
          <w:sz w:val="15"/>
          <w:szCs w:val="15"/>
        </w:rPr>
        <w:t xml:space="preserve">   cohort</w:t>
      </w:r>
      <w:r>
        <w:rPr>
          <w:color w:val="5A6069"/>
          <w:sz w:val="15"/>
          <w:szCs w:val="15"/>
        </w:rPr>
        <w:t xml:space="preserve">   PMID 39716538</w:t>
      </w:r>
    </w:p>
    <w:p>
      <w:pPr>
        <w:spacing w:after="50" w:line="276"/>
      </w:pPr>
      <w:r>
        <w:rPr>
          <w:color w:val="5A6069"/>
          <w:sz w:val="17"/>
          <w:szCs w:val="17"/>
        </w:rPr>
        <w:t xml:space="preserve">Next-generation sequencing improves the detection of malignant biliary strictures and changes management</w:t>
      </w:r>
    </w:p>
    <w:p>
      <w:pPr>
        <w:spacing w:after="50"/>
      </w:pPr>
      <w:r>
        <w:rPr>
          <w:b/>
          <w:bCs/>
          <w:color w:val="176A87"/>
          <w:sz w:val="16"/>
          <w:szCs w:val="16"/>
        </w:rPr>
        <w:t xml:space="preserve">Population. </w:t>
      </w:r>
      <w:r>
        <w:rPr>
          <w:sz w:val="16"/>
          <w:szCs w:val="16"/>
        </w:rPr>
        <w:t xml:space="preserve">77 patients with biliary strictures who had brush cytology, transpapillary biopsy and BiliSeq next-generation sequencing at one ERCP at a single US centre between September 2020 and August 2022: 28 malignant and 49 benign strictures, 24 (31.2%) with primary sclerosing cholangitis and 20 with cholangiocarcinoma</w:t>
      </w:r>
    </w:p>
    <w:p>
      <w:pPr>
        <w:spacing w:after="70"/>
      </w:pPr>
      <w:r>
        <w:rPr>
          <w:b/>
          <w:bCs/>
          <w:color w:val="17365D"/>
          <w:sz w:val="16"/>
          <w:szCs w:val="16"/>
        </w:rPr>
        <w:t xml:space="preserve">Bottom line. </w:t>
      </w:r>
      <w:r>
        <w:rPr>
          <w:sz w:val="16"/>
          <w:szCs w:val="16"/>
        </w:rPr>
        <w:t xml:space="preserve">In 77 patients sampled at a single ERCP, adding the BiliSeq panel to cytology and biopsy raised sensitivity for a malignant stricture from 42.9% to 85.7%, which supports running next-generation sequencing on ERCP material when pathology is negative. The gain is not demonstrated where it is most needed: sensitivity was 20% in the five patients with primary sclerosing cholangitis and cancer, and 70% against 60% for pathology in cholangiocarcinoma (P = 0.72). No hilar subgroup exists in the dataset, the 75% management-change figure counts test positivity rather than an observed change of decision, and the panel's originator is a co-author whose laboratory ran the test.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retrospective single-centre design may have introduced bias and affected the generalisability of the findings</w:t>
            </w:r>
          </w:p>
          <w:p>
            <w:pPr>
              <w:pStyle w:val="ListParagraph"/>
              <w:numPr>
                <w:ilvl w:val="0"/>
                <w:numId w:val="2"/>
              </w:numPr>
              <w:spacing w:after="45"/>
            </w:pPr>
            <w:r>
              <w:rPr>
                <w:sz w:val="15"/>
                <w:szCs w:val="15"/>
              </w:rPr>
              <w:t xml:space="preserve">The cohort size warrants cautious interpretation and further validation across larger populations is essential; with only 28 malignant cases the confidence intervals are wide, BiliSeq sensitivity being 75% (95% CI 55.1%-89.3%)</w:t>
            </w:r>
          </w:p>
          <w:p>
            <w:pPr>
              <w:pStyle w:val="ListParagraph"/>
              <w:numPr>
                <w:ilvl w:val="0"/>
                <w:numId w:val="2"/>
              </w:numPr>
              <w:spacing w:after="45"/>
            </w:pPr>
            <w:r>
              <w:rPr>
                <w:sz w:val="15"/>
                <w:szCs w:val="15"/>
              </w:rPr>
              <w:t xml:space="preserve">BiliSeq performance by sampling method could not be assessed because the panel was run only on brush cytology and bile aspirate, with no data for transpapillary or cholangioscopy-guided biopsies, and combining cholangioscopy-guided biopsy with BiliSeq may raise sensitivity further</w:t>
            </w:r>
          </w:p>
          <w:p>
            <w:pPr>
              <w:pStyle w:val="ListParagraph"/>
              <w:numPr>
                <w:ilvl w:val="0"/>
                <w:numId w:val="2"/>
              </w:numPr>
              <w:spacing w:after="45"/>
            </w:pPr>
            <w:r>
              <w:rPr>
                <w:sz w:val="15"/>
                <w:szCs w:val="15"/>
              </w:rPr>
              <w:t xml:space="preserve">No direct comparison with FISH or methylation markers was possible because neither is part of routine practice at this centre</w:t>
            </w:r>
          </w:p>
          <w:p>
            <w:pPr>
              <w:pStyle w:val="ListParagraph"/>
              <w:numPr>
                <w:ilvl w:val="0"/>
                <w:numId w:val="2"/>
              </w:numPr>
              <w:spacing w:after="45"/>
            </w:pPr>
            <w:r>
              <w:rPr>
                <w:sz w:val="15"/>
                <w:szCs w:val="15"/>
              </w:rPr>
              <w:t xml:space="preserve">BiliSeq sensitivity in primary sclerosing cholangitis was only 20%, against 83% reported by Singhi and 75% by Kamp, which the authors attribute to a lower proportion of malignant cases, reliance on brush and bile aspirate alone, differences in stricture location, and specimen preservation and integrity during transport</w:t>
            </w:r>
          </w:p>
          <w:p>
            <w:pPr>
              <w:pStyle w:val="ListParagraph"/>
              <w:numPr>
                <w:ilvl w:val="0"/>
                <w:numId w:val="2"/>
              </w:numPr>
              <w:spacing w:after="45"/>
            </w:pPr>
            <w:r>
              <w:rPr>
                <w:sz w:val="15"/>
                <w:szCs w:val="15"/>
              </w:rPr>
              <w:t xml:space="preserve">The gain for cholangiocarcinoma was less pronounced than for malignant strictures overall, which the authors attribute to the genetic heterogeneity of cholangiocarcinoma and to mutations outside the BiliSeq panel</w:t>
            </w:r>
          </w:p>
          <w:p>
            <w:pPr>
              <w:pStyle w:val="ListParagraph"/>
              <w:numPr>
                <w:ilvl w:val="0"/>
                <w:numId w:val="2"/>
              </w:numPr>
              <w:spacing w:after="45"/>
            </w:pPr>
            <w:r>
              <w:rPr>
                <w:sz w:val="15"/>
                <w:szCs w:val="15"/>
              </w:rPr>
              <w:t xml:space="preserve">The explanations offered for the 25% false-negative rate are inadequate sampling, low specimen tumour cellularity and malignant alterations not covered by the assay</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A co-author developed the BiliSeq panel and reported the originating study (Singhi, Gut 2020), and the index test was run in his own institution's molecular pathology laboratory, so this real-world validation is not independent of the test's originators</w:t>
            </w:r>
          </w:p>
          <w:p>
            <w:pPr>
              <w:pStyle w:val="ListParagraph"/>
              <w:numPr>
                <w:ilvl w:val="0"/>
                <w:numId w:val="2"/>
              </w:numPr>
              <w:spacing w:after="45"/>
            </w:pPr>
            <w:r>
              <w:rPr>
                <w:sz w:val="15"/>
                <w:szCs w:val="15"/>
              </w:rPr>
              <w:t xml:space="preserve">Specificity and positive predictive value are 100% for cytology and for cytology plus biopsy because the reference standard was assembled by reviewing pathology results, imaging findings and treatments; the pathology index test is therefore part of its own reference standard and cannot generate a false positive</w:t>
            </w:r>
          </w:p>
          <w:p>
            <w:pPr>
              <w:pStyle w:val="ListParagraph"/>
              <w:numPr>
                <w:ilvl w:val="0"/>
                <w:numId w:val="2"/>
              </w:numPr>
              <w:spacing w:after="45"/>
            </w:pPr>
            <w:r>
              <w:rPr>
                <w:sz w:val="15"/>
                <w:szCs w:val="15"/>
              </w:rPr>
              <w:t xml:space="preserve">Benign status rests on a mean follow-up of 327 days with a standard deviation of 321, against a stated minimum of 6 months; one of the two BiliSeq false positives was an intraductal tubulopapillary neoplasm with KRAS and GNAS mutations, that is a genuine neoplasm counted as benign</w:t>
            </w:r>
          </w:p>
          <w:p>
            <w:pPr>
              <w:pStyle w:val="ListParagraph"/>
              <w:numPr>
                <w:ilvl w:val="0"/>
                <w:numId w:val="2"/>
              </w:numPr>
              <w:spacing w:after="45"/>
            </w:pPr>
            <w:r>
              <w:rPr>
                <w:sz w:val="15"/>
                <w:szCs w:val="15"/>
              </w:rPr>
              <w:t xml:space="preserve">The brush cytology row gives sensitivity 40.7% with an interval (22.4%-61.2%) consistent with a denominator of 27 while every other row uses 28, so the tests compared by McNemar are not computed on identical patients</w:t>
            </w:r>
          </w:p>
          <w:p>
            <w:pPr>
              <w:pStyle w:val="ListParagraph"/>
              <w:numPr>
                <w:ilvl w:val="0"/>
                <w:numId w:val="2"/>
              </w:numPr>
              <w:spacing w:after="45"/>
            </w:pPr>
            <w:r>
              <w:rPr>
                <w:sz w:val="15"/>
                <w:szCs w:val="15"/>
              </w:rPr>
              <w:t xml:space="preserve">The management-change endpoint counts test positivity rather than an observed change of decision: it is defined as a malignant stricture with negative pathology in which BiliSeq was positive, and the paper then states that BiliSeq results supported surgical decisions in combination with other diagnostics while chemotherapy regimens followed standard protocols rather than BiliSeq findings alone</w:t>
            </w:r>
          </w:p>
          <w:p>
            <w:pPr>
              <w:pStyle w:val="ListParagraph"/>
              <w:numPr>
                <w:ilvl w:val="0"/>
                <w:numId w:val="2"/>
              </w:numPr>
              <w:spacing w:after="45"/>
            </w:pPr>
            <w:r>
              <w:rPr>
                <w:sz w:val="15"/>
                <w:szCs w:val="15"/>
              </w:rPr>
              <w:t xml:space="preserve">Of the 12 patients behind the 75% figure, 2 went to hospice and 4 had pancreatic or distal disease treated by pancreatoduodenectomy; only 2 had a hilar-relevant outcome, one listed for transplantation who died waiting and one liver resection</w:t>
            </w:r>
          </w:p>
          <w:p>
            <w:pPr>
              <w:pStyle w:val="ListParagraph"/>
              <w:numPr>
                <w:ilvl w:val="0"/>
                <w:numId w:val="2"/>
              </w:numPr>
              <w:spacing w:after="45"/>
            </w:pPr>
            <w:r>
              <w:rPr>
                <w:sz w:val="15"/>
                <w:szCs w:val="15"/>
              </w:rPr>
              <w:t xml:space="preserve">Stricture location is recorded only as intrahepatic, extrahepatic or both, with no hilar category anywhere in the paper, so the perihilar subgroup cannot be identified at all</w:t>
            </w:r>
          </w:p>
          <w:p>
            <w:pPr>
              <w:pStyle w:val="ListParagraph"/>
              <w:numPr>
                <w:ilvl w:val="0"/>
                <w:numId w:val="2"/>
              </w:numPr>
              <w:spacing w:after="45"/>
            </w:pPr>
            <w:r>
              <w:rPr>
                <w:sz w:val="15"/>
                <w:szCs w:val="15"/>
              </w:rPr>
              <w:t xml:space="preserve">No numbered flow of exclusions is given and the exclusion criteria are written as a single disjunction, so the sampling frame behind the 77 patients cannot be audited</w:t>
            </w:r>
          </w:p>
          <w:p>
            <w:pPr>
              <w:pStyle w:val="ListParagraph"/>
              <w:numPr>
                <w:ilvl w:val="0"/>
                <w:numId w:val="2"/>
              </w:numPr>
              <w:spacing w:after="45"/>
            </w:pPr>
            <w:r>
              <w:rPr>
                <w:sz w:val="15"/>
                <w:szCs w:val="15"/>
              </w:rPr>
              <w:t xml:space="preserve">BiliSeq was run on bile aspirate or on brush cytology according to the preference of the performing endoscopist, and the split between the two specimen types is never reported, so the index test is two different tests pooled</w:t>
            </w:r>
          </w:p>
          <w:p>
            <w:pPr>
              <w:pStyle w:val="ListParagraph"/>
              <w:numPr>
                <w:ilvl w:val="0"/>
                <w:numId w:val="2"/>
              </w:numPr>
              <w:spacing w:after="45"/>
            </w:pPr>
            <w:r>
              <w:rPr>
                <w:sz w:val="15"/>
                <w:szCs w:val="15"/>
              </w:rPr>
              <w:t xml:space="preserve">Cholangioscopy-guided biopsy was excluded by design, yet at this centre cholangioscopy is what follows a non-diagnostic first ERCP, so the comparator is weaker than the local standard pathway</w:t>
            </w:r>
          </w:p>
          <w:p>
            <w:pPr>
              <w:pStyle w:val="ListParagraph"/>
              <w:numPr>
                <w:ilvl w:val="0"/>
                <w:numId w:val="2"/>
              </w:numPr>
              <w:spacing w:after="45"/>
            </w:pPr>
            <w:r>
              <w:rPr>
                <w:sz w:val="15"/>
                <w:szCs w:val="15"/>
              </w:rPr>
              <w:t xml:space="preserve">The two clinically decisive subgroups are both null: sensitivity was 20% (95% CI 0.5%-71.6%) in the five patients with primary sclerosing cholangitis and cancer, and 70% against 60% for pathology in cholangiocarcinoma (P = 0.72); only the whole-cohort comparisons reach significance and no adjustment is made across the three analyses</w:t>
            </w:r>
          </w:p>
          <w:p>
            <w:pPr>
              <w:pStyle w:val="ListParagraph"/>
              <w:numPr>
                <w:ilvl w:val="0"/>
                <w:numId w:val="2"/>
              </w:numPr>
              <w:spacing w:after="45"/>
            </w:pPr>
            <w:r>
              <w:rPr>
                <w:sz w:val="15"/>
                <w:szCs w:val="15"/>
              </w:rPr>
              <w:t xml:space="preserve">The BiliSeq ROC area is printed as 0.85 (95% CI, 0.85-0.94), with the lower bound equal to the point estimate</w:t>
            </w:r>
          </w:p>
          <w:p>
            <w:pPr>
              <w:pStyle w:val="ListParagraph"/>
              <w:numPr>
                <w:ilvl w:val="0"/>
                <w:numId w:val="2"/>
              </w:numPr>
              <w:spacing w:after="45"/>
            </w:pPr>
            <w:r>
              <w:rPr>
                <w:sz w:val="15"/>
                <w:szCs w:val="15"/>
              </w:rPr>
              <w:t xml:space="preserve">Table 1 gives cholangiocarcinoma as 20 (67.7%) of 28, which should read 71.4%, and the malignancy-type percentages sum to 96.3%</w:t>
            </w:r>
          </w:p>
          <w:p>
            <w:pPr>
              <w:pStyle w:val="ListParagraph"/>
              <w:numPr>
                <w:ilvl w:val="0"/>
                <w:numId w:val="2"/>
              </w:numPr>
              <w:spacing w:after="45"/>
            </w:pPr>
            <w:r>
              <w:rPr>
                <w:sz w:val="15"/>
                <w:szCs w:val="15"/>
              </w:rPr>
              <w:t xml:space="preserve">Follow-up is reported as not differing between groups with P = 0.5 in Table 1 and P = 0.74 in the text for the same comparison</w:t>
            </w:r>
          </w:p>
          <w:p>
            <w:pPr>
              <w:pStyle w:val="ListParagraph"/>
              <w:numPr>
                <w:ilvl w:val="0"/>
                <w:numId w:val="2"/>
              </w:numPr>
              <w:spacing w:after="45"/>
            </w:pPr>
            <w:r>
              <w:rPr>
                <w:sz w:val="15"/>
                <w:szCs w:val="15"/>
              </w:rPr>
              <w:t xml:space="preserve">Two of the 49 patients classified as benign died during follow-up and the causes are not given</w:t>
            </w:r>
          </w:p>
          <w:p>
            <w:pPr>
              <w:pStyle w:val="ListParagraph"/>
              <w:numPr>
                <w:ilvl w:val="0"/>
                <w:numId w:val="2"/>
              </w:numPr>
              <w:spacing w:after="45"/>
            </w:pPr>
            <w:r>
              <w:rPr>
                <w:sz w:val="15"/>
                <w:szCs w:val="15"/>
              </w:rPr>
              <w:t xml:space="preserve">A linked editorial (Alipour, Gastrointest Endosc 2025;102:64-66, PMID 40518235) was identified in PubMed but could not be obtained, so no point above draws on it</w:t>
            </w:r>
          </w:p>
        </w:tc>
      </w:tr>
    </w:tbl>
    <w:p>
      <w:pPr>
        <w:spacing w:after="0" w:line="276"/>
      </w:pPr>
      <w:r>
        <w:rPr>
          <w:color w:val="5A6069"/>
          <w:sz w:val="14"/>
          <w:szCs w:val="14"/>
        </w:rPr>
        <w:t xml:space="preserve">Funding: No funding statement; A. Singhi declares an honorarium from Foundation Medicine and all other authors declare no financial relationships</w:t>
      </w:r>
    </w:p>
    <w:p>
      <w:pPr>
        <w:keepNext/>
        <w:spacing w:after="50" w:before="260"/>
      </w:pPr>
      <w:r>
        <w:rPr>
          <w:rFonts w:ascii="Cambria" w:cs="Cambria" w:eastAsia="Cambria" w:hAnsi="Cambria"/>
          <w:b/>
          <w:bCs/>
          <w:color w:val="17365D"/>
          <w:sz w:val="20"/>
          <w:szCs w:val="20"/>
        </w:rPr>
        <w:t xml:space="preserve">BCAT</w:t>
      </w:r>
      <w:r>
        <w:rPr>
          <w:b/>
          <w:bCs/>
          <w:color w:val="176A87"/>
          <w:sz w:val="15"/>
          <w:szCs w:val="15"/>
        </w:rPr>
        <w:t xml:space="preserve">   Randomised trial</w:t>
      </w:r>
      <w:r>
        <w:rPr>
          <w:color w:val="5A6069"/>
          <w:sz w:val="15"/>
          <w:szCs w:val="15"/>
        </w:rPr>
        <w:t xml:space="preserve">   PMID 29405274</w:t>
      </w:r>
    </w:p>
    <w:p>
      <w:pPr>
        <w:spacing w:after="50" w:line="276"/>
      </w:pPr>
      <w:r>
        <w:rPr>
          <w:color w:val="5A6069"/>
          <w:sz w:val="17"/>
          <w:szCs w:val="17"/>
        </w:rPr>
        <w:t xml:space="preserve">Randomized clinical trial of adjuvant gemcitabine chemotherapy versus observation in resected bile duct cancer</w:t>
      </w:r>
    </w:p>
    <w:p>
      <w:pPr>
        <w:spacing w:after="50"/>
      </w:pPr>
      <w:r>
        <w:rPr>
          <w:b/>
          <w:bCs/>
          <w:color w:val="176A87"/>
          <w:sz w:val="16"/>
          <w:szCs w:val="16"/>
        </w:rPr>
        <w:t xml:space="preserve">Population. </w:t>
      </w:r>
      <w:r>
        <w:rPr>
          <w:sz w:val="16"/>
          <w:szCs w:val="16"/>
        </w:rPr>
        <w:t xml:space="preserve">225 patients analysed of 226 randomised at 48 Japanese hospitals between 2007 and 2011 after macroscopically curative resection of extrahepatic bile duct cancer, 117 gemcitabine and 108 observation, comprising 102 perihilar and 123 distal tumours; intrahepatic cholangiocarcinoma was not eligible</w:t>
      </w:r>
    </w:p>
    <w:p>
      <w:pPr>
        <w:spacing w:after="70"/>
      </w:pPr>
      <w:r>
        <w:rPr>
          <w:b/>
          <w:bCs/>
          <w:color w:val="17365D"/>
          <w:sz w:val="16"/>
          <w:szCs w:val="16"/>
        </w:rPr>
        <w:t xml:space="preserve">Bottom line. </w:t>
      </w:r>
      <w:r>
        <w:rPr>
          <w:sz w:val="16"/>
          <w:szCs w:val="16"/>
        </w:rPr>
        <w:t xml:space="preserve">BCAT is a clean negative adjuvant trial: gemcitabine after resection of extrahepatic bile duct cancer gave a hazard ratio of 1.01 (0.70-1.45) for survival and 0.93 for relapse-free survival, with no subgroup benefiting and 58% grade 3-4 neutropenia. It says nothing about intrahepatic cholangiocarcinoma, which was ineligible, and nothing about the oral fluoropyrimidines now used. Its control arm did far better than assumed, 51.6% 5-year survival against an assumed 30%, because the enrolment criteria excluded nearly everyone at real risk.</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Recruitment was terminated before the planned 300 patients were reached, which may have led to an underpowered analysis; enrolment slowed after about 2009 because most patients wanted adjuvant chemotherapy</w:t>
            </w:r>
          </w:p>
          <w:p>
            <w:pPr>
              <w:pStyle w:val="ListParagraph"/>
              <w:numPr>
                <w:ilvl w:val="0"/>
                <w:numId w:val="2"/>
              </w:numPr>
              <w:spacing w:after="45"/>
            </w:pPr>
            <w:r>
              <w:rPr>
                <w:sz w:val="15"/>
                <w:szCs w:val="15"/>
              </w:rPr>
              <w:t xml:space="preserve">The authors calculate only a 2.8% probability that the result would have been statistically significant even if the expected 189 deaths had occurred, and conclude increasing to 300 patients would not have changed the result</w:t>
            </w:r>
          </w:p>
          <w:p>
            <w:pPr>
              <w:pStyle w:val="ListParagraph"/>
              <w:numPr>
                <w:ilvl w:val="0"/>
                <w:numId w:val="2"/>
              </w:numPr>
              <w:spacing w:after="45"/>
            </w:pPr>
            <w:r>
              <w:rPr>
                <w:sz w:val="15"/>
                <w:szCs w:val="15"/>
              </w:rPr>
              <w:t xml:space="preserve">They state that adjuvant therapy should not target all patients but should focus on high-risk features after resection</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trial enrolled only perihilar and distal bile duct cancer, with intrahepatic cholangiocarcinoma and gallbladder cancer excluded, so a negative adjuvant result here cannot be carried to resected iCCA, which is how this trial is often cited</w:t>
            </w:r>
          </w:p>
          <w:p>
            <w:pPr>
              <w:pStyle w:val="ListParagraph"/>
              <w:numPr>
                <w:ilvl w:val="0"/>
                <w:numId w:val="2"/>
              </w:numPr>
              <w:spacing w:after="45"/>
            </w:pPr>
            <w:r>
              <w:rPr>
                <w:sz w:val="15"/>
                <w:szCs w:val="15"/>
              </w:rPr>
              <w:t xml:space="preserve">The 2.8% figure the authors use to dismiss underpowering is a conditional calculation made after the observed curves were known; it answers whether this result would have changed, not whether the trial could have detected a true moderate effect</w:t>
            </w:r>
          </w:p>
          <w:p>
            <w:pPr>
              <w:pStyle w:val="ListParagraph"/>
              <w:numPr>
                <w:ilvl w:val="0"/>
                <w:numId w:val="2"/>
              </w:numPr>
              <w:spacing w:after="45"/>
            </w:pPr>
            <w:r>
              <w:rPr>
                <w:sz w:val="15"/>
                <w:szCs w:val="15"/>
              </w:rPr>
              <w:t xml:space="preserve">Observed 5-year survival in the control arm was about 50% against an assumed 30%, because R2 resections, distant metastases, severe surgical complications, in-hospital deaths and gallbladder cancer were all excluded, so the trial tested adjuvant therapy in the patients least likely to need it</w:t>
            </w:r>
          </w:p>
          <w:p>
            <w:pPr>
              <w:pStyle w:val="ListParagraph"/>
              <w:numPr>
                <w:ilvl w:val="0"/>
                <w:numId w:val="2"/>
              </w:numPr>
              <w:spacing w:after="45"/>
            </w:pPr>
            <w:r>
              <w:rPr>
                <w:sz w:val="15"/>
                <w:szCs w:val="15"/>
              </w:rPr>
              <w:t xml:space="preserve">Only 61 of 117 (52.1%) completed protocol therapy and the median relative dose intensity was 82.2%, so the negative result is a test of gemcitabine as delivered to half the arm rather than of the intended regimen</w:t>
            </w:r>
          </w:p>
          <w:p>
            <w:pPr>
              <w:pStyle w:val="ListParagraph"/>
              <w:numPr>
                <w:ilvl w:val="0"/>
                <w:numId w:val="2"/>
              </w:numPr>
              <w:spacing w:after="45"/>
            </w:pPr>
            <w:r>
              <w:rPr>
                <w:sz w:val="15"/>
                <w:szCs w:val="15"/>
              </w:rPr>
              <w:t xml:space="preserve">The trial was open-label with no placebo, and recurrence was ascertained without a described blinded review, in a design where the observation arm had no scheduled treatment contact</w:t>
            </w:r>
          </w:p>
          <w:p>
            <w:pPr>
              <w:pStyle w:val="ListParagraph"/>
              <w:numPr>
                <w:ilvl w:val="0"/>
                <w:numId w:val="2"/>
              </w:numPr>
              <w:spacing w:after="45"/>
            </w:pPr>
            <w:r>
              <w:rPr>
                <w:sz w:val="15"/>
                <w:szCs w:val="15"/>
              </w:rPr>
              <w:t xml:space="preserve">Grade 3 or 4 neutropenia occurred in 58.4% against 3.8% and leucopenia in 29.2% against 1.9%, so the arms were trivially distinguishable to investigators and patients despite the survival curves overlapping</w:t>
            </w:r>
          </w:p>
          <w:p>
            <w:pPr>
              <w:pStyle w:val="ListParagraph"/>
              <w:numPr>
                <w:ilvl w:val="0"/>
                <w:numId w:val="2"/>
              </w:numPr>
              <w:spacing w:after="45"/>
            </w:pPr>
            <w:r>
              <w:rPr>
                <w:sz w:val="15"/>
                <w:szCs w:val="15"/>
              </w:rPr>
              <w:t xml:space="preserve">Subgroup P values are reported for node-positive, node-negative, R0 and R1 strata, each far from significance, and 3-year survival was numerically worse with gemcitabine in node-positive patients, yet the discussion still recommends targeting high-risk features with adjuvant therapy</w:t>
            </w:r>
          </w:p>
          <w:p>
            <w:pPr>
              <w:pStyle w:val="ListParagraph"/>
              <w:numPr>
                <w:ilvl w:val="0"/>
                <w:numId w:val="2"/>
              </w:numPr>
              <w:spacing w:after="45"/>
            </w:pPr>
            <w:r>
              <w:rPr>
                <w:sz w:val="15"/>
                <w:szCs w:val="15"/>
              </w:rPr>
              <w:t xml:space="preserve">Eli Lilly Japan, which markets gemcitabine, part-funded a trial of gemcitabine; the authors declare no conflict of interest, which sits oddly with the funding statement on the same page</w:t>
            </w:r>
          </w:p>
          <w:p>
            <w:pPr>
              <w:pStyle w:val="ListParagraph"/>
              <w:numPr>
                <w:ilvl w:val="0"/>
                <w:numId w:val="2"/>
              </w:numPr>
              <w:spacing w:after="45"/>
            </w:pPr>
            <w:r>
              <w:rPr>
                <w:sz w:val="15"/>
                <w:szCs w:val="15"/>
              </w:rPr>
              <w:t xml:space="preserve">The comparator is observation, not the oral fluoropyrimidine that BILCAP and ASCOT later supported, so the trial cannot inform the choice a surgeon actually faces today</w:t>
            </w:r>
          </w:p>
          <w:p>
            <w:pPr>
              <w:pStyle w:val="ListParagraph"/>
              <w:numPr>
                <w:ilvl w:val="0"/>
                <w:numId w:val="2"/>
              </w:numPr>
              <w:spacing w:after="45"/>
            </w:pPr>
            <w:r>
              <w:rPr>
                <w:sz w:val="15"/>
                <w:szCs w:val="15"/>
              </w:rPr>
              <w:t xml:space="preserve">48.9% of patients had a hepatectomy and 15.5% a portal vein resection, so the cohort mixes two very different operations with different recovery trajectories and no stratification or separate analysis by operation type for the primary endpoint</w:t>
            </w:r>
          </w:p>
          <w:p>
            <w:pPr>
              <w:pStyle w:val="ListParagraph"/>
              <w:numPr>
                <w:ilvl w:val="0"/>
                <w:numId w:val="2"/>
              </w:numPr>
              <w:spacing w:after="45"/>
            </w:pPr>
            <w:r>
              <w:rPr>
                <w:sz w:val="15"/>
                <w:szCs w:val="15"/>
              </w:rPr>
              <w:t xml:space="preserve">No linked editorial or comment was found in PubMed, so no independent published appraisal accompanies the result</w:t>
            </w:r>
          </w:p>
        </w:tc>
      </w:tr>
    </w:tbl>
    <w:p>
      <w:pPr>
        <w:spacing w:after="0" w:line="276"/>
      </w:pPr>
      <w:r>
        <w:rPr>
          <w:color w:val="5A6069"/>
          <w:sz w:val="14"/>
          <w:szCs w:val="14"/>
        </w:rPr>
        <w:t xml:space="preserve">Funding: Supported by the Nagoya Surgery Support Organization and Eli Lilly Japan K.K., stated to have had no role in design, data collection, analysis or interpretation; the authors declare no conflict of interest</w:t>
      </w:r>
    </w:p>
    <w:p>
      <w:pPr>
        <w:keepNext/>
        <w:spacing w:after="50" w:before="260"/>
      </w:pPr>
      <w:r>
        <w:rPr>
          <w:rFonts w:ascii="Cambria" w:cs="Cambria" w:eastAsia="Cambria" w:hAnsi="Cambria"/>
          <w:b/>
          <w:bCs/>
          <w:color w:val="17365D"/>
          <w:sz w:val="20"/>
          <w:szCs w:val="20"/>
        </w:rPr>
        <w:t xml:space="preserve">BILCAP</w:t>
      </w:r>
      <w:r>
        <w:rPr>
          <w:b/>
          <w:bCs/>
          <w:color w:val="176A87"/>
          <w:sz w:val="15"/>
          <w:szCs w:val="15"/>
        </w:rPr>
        <w:t xml:space="preserve">   Randomised trial</w:t>
      </w:r>
      <w:r>
        <w:rPr>
          <w:color w:val="5A6069"/>
          <w:sz w:val="15"/>
          <w:szCs w:val="15"/>
        </w:rPr>
        <w:t xml:space="preserve">   PMID 30922733</w:t>
      </w:r>
    </w:p>
    <w:p>
      <w:pPr>
        <w:spacing w:after="50" w:line="276"/>
      </w:pPr>
      <w:r>
        <w:rPr>
          <w:color w:val="5A6069"/>
          <w:sz w:val="17"/>
          <w:szCs w:val="17"/>
        </w:rPr>
        <w:t xml:space="preserve">Capecitabine compared with observation in resected biliary tract cancer (BILCAP): a randomised, controlled, multicentre, phase 3 study</w:t>
      </w:r>
    </w:p>
    <w:p>
      <w:pPr>
        <w:spacing w:after="50"/>
      </w:pPr>
      <w:r>
        <w:rPr>
          <w:b/>
          <w:bCs/>
          <w:color w:val="176A87"/>
          <w:sz w:val="16"/>
          <w:szCs w:val="16"/>
        </w:rPr>
        <w:t xml:space="preserve">Population. </w:t>
      </w:r>
      <w:r>
        <w:rPr>
          <w:sz w:val="16"/>
          <w:szCs w:val="16"/>
        </w:rPr>
        <w:t xml:space="preserve">447 patients randomised after curative-intent resection of biliary tract cancer at 44 UK specialist centres between March 2006 and December 2014, of whom 84 (19%) had intrahepatic cholangiocarcinoma, 128 hilar, 156 lower common bile duct and 79 muscle-invasive gallbladder cancer; 168 (38%) were R1 and 210 (47%) node-positive</w:t>
      </w:r>
    </w:p>
    <w:p>
      <w:pPr>
        <w:spacing w:after="70"/>
      </w:pPr>
      <w:r>
        <w:rPr>
          <w:b/>
          <w:bCs/>
          <w:color w:val="17365D"/>
          <w:sz w:val="16"/>
          <w:szCs w:val="16"/>
        </w:rPr>
        <w:t xml:space="preserve">Bottom line. </w:t>
      </w:r>
      <w:r>
        <w:rPr>
          <w:sz w:val="16"/>
          <w:szCs w:val="16"/>
        </w:rPr>
        <w:t xml:space="preserve">BILCAP is the largest adjuvant trial in resected biliary tract cancer and is the reason capecitabine is offered after resection, with intention-to-treat median survival of 51.1 against 36.4 months. It did not meet its primary endpoint: HR 0.81 (0.63-1.04), p = 0.097, and the significant results come from a covariate-adjusted sensitivity model and from the per-protocol population of an unblinded trial. Only 19% of patients had intrahepatic disease and no site-specific estimate was reported, so the iCCA-specific benefit remains untested.</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recruitment period ran about ten years, during which trial standards changed, so the 2005 protocol is open to criticism; in particular there was no fully defined statistical analysis plan when the study started</w:t>
            </w:r>
          </w:p>
          <w:p>
            <w:pPr>
              <w:pStyle w:val="ListParagraph"/>
              <w:numPr>
                <w:ilvl w:val="0"/>
                <w:numId w:val="2"/>
              </w:numPr>
              <w:spacing w:after="45"/>
            </w:pPr>
            <w:r>
              <w:rPr>
                <w:sz w:val="15"/>
                <w:szCs w:val="15"/>
              </w:rPr>
              <w:t xml:space="preserve">The heterogeneity of biliary tract cancers, both surgical and biological, makes an overall interpretation of the findings more complex</w:t>
            </w:r>
          </w:p>
          <w:p>
            <w:pPr>
              <w:pStyle w:val="ListParagraph"/>
              <w:numPr>
                <w:ilvl w:val="0"/>
                <w:numId w:val="2"/>
              </w:numPr>
              <w:spacing w:after="45"/>
            </w:pPr>
            <w:r>
              <w:rPr>
                <w:sz w:val="15"/>
                <w:szCs w:val="15"/>
              </w:rPr>
              <w:t xml:space="preserve">The surgical centre was not included in the modelling analyses adjusted for minimisation factors</w:t>
            </w:r>
          </w:p>
          <w:p>
            <w:pPr>
              <w:pStyle w:val="ListParagraph"/>
              <w:numPr>
                <w:ilvl w:val="0"/>
                <w:numId w:val="2"/>
              </w:numPr>
              <w:spacing w:after="45"/>
            </w:pPr>
            <w:r>
              <w:rPr>
                <w:sz w:val="15"/>
                <w:szCs w:val="15"/>
              </w:rPr>
              <w:t xml:space="preserve">The authors concede the trial was negative for the prespecified primary endpoint of overall survival by intention to treat, and argue from the data taken as a whole instead</w:t>
            </w:r>
          </w:p>
          <w:p>
            <w:pPr>
              <w:pStyle w:val="ListParagraph"/>
              <w:numPr>
                <w:ilvl w:val="0"/>
                <w:numId w:val="2"/>
              </w:numPr>
              <w:spacing w:after="45"/>
            </w:pPr>
            <w:r>
              <w:rPr>
                <w:sz w:val="15"/>
                <w:szCs w:val="15"/>
              </w:rPr>
              <w:t xml:space="preserve">There was no recurrence-free survival difference between 24 and 60 months, which the authors read as recurrence deferred rather than prevented</w:t>
            </w:r>
          </w:p>
          <w:p>
            <w:pPr>
              <w:pStyle w:val="ListParagraph"/>
              <w:numPr>
                <w:ilvl w:val="0"/>
                <w:numId w:val="2"/>
              </w:numPr>
              <w:spacing w:after="45"/>
            </w:pPr>
            <w:r>
              <w:rPr>
                <w:sz w:val="15"/>
                <w:szCs w:val="15"/>
              </w:rPr>
              <w:t xml:space="preserve">Quality-of-life differences, although statistically significant in places, were modest and unlikely to be clinically significant, and peripheral neuropathy scores should be read as hand-foot syndrome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primary endpoint failed, HR 0.81 (0.63-1.04), p = 0.097, and every positive number in the paper comes from either a covariate-adjusted sensitivity model or the per-protocol population; in an unblinded trial the per-protocol analysis reintroduces precisely the selection that randomisation existed to remove</w:t>
            </w:r>
          </w:p>
          <w:p>
            <w:pPr>
              <w:pStyle w:val="ListParagraph"/>
              <w:numPr>
                <w:ilvl w:val="0"/>
                <w:numId w:val="2"/>
              </w:numPr>
              <w:spacing w:after="45"/>
            </w:pPr>
            <w:r>
              <w:rPr>
                <w:sz w:val="15"/>
                <w:szCs w:val="15"/>
              </w:rPr>
              <w:t xml:space="preserve">The per-protocol population excluded patients who failed to complete even one cycle of capecitabine, so it is defined by tolerance of treatment, which tracks fitness and therefore survival; the 210 against 220 comparison is not a randomised contrast</w:t>
            </w:r>
          </w:p>
          <w:p>
            <w:pPr>
              <w:pStyle w:val="ListParagraph"/>
              <w:numPr>
                <w:ilvl w:val="0"/>
                <w:numId w:val="2"/>
              </w:numPr>
              <w:spacing w:after="45"/>
            </w:pPr>
            <w:r>
              <w:rPr>
                <w:sz w:val="15"/>
                <w:szCs w:val="15"/>
              </w:rPr>
              <w:t xml:space="preserve">The event target was cut from 270 to 234 by the data monitoring committee in July 2013 because events were accruing more slowly than assumed, which raised the detectable effect from HR 0.71 to 0.69 and left the trial with less power against the effect it was designed to find</w:t>
            </w:r>
          </w:p>
          <w:p>
            <w:pPr>
              <w:pStyle w:val="ListParagraph"/>
              <w:numPr>
                <w:ilvl w:val="0"/>
                <w:numId w:val="2"/>
              </w:numPr>
              <w:spacing w:after="45"/>
            </w:pPr>
            <w:r>
              <w:rPr>
                <w:sz w:val="15"/>
                <w:szCs w:val="15"/>
              </w:rPr>
              <w:t xml:space="preserve">Nodal status is one of the covariates that turns the sensitivity model positive, yet lymphadenectomy was not mandated for intrahepatic cholangiocarcinoma, so the adjustment variable is ascertained less completely in exactly the subgroup to which this result is now applied</w:t>
            </w:r>
          </w:p>
          <w:p>
            <w:pPr>
              <w:pStyle w:val="ListParagraph"/>
              <w:numPr>
                <w:ilvl w:val="0"/>
                <w:numId w:val="2"/>
              </w:numPr>
              <w:spacing w:after="45"/>
            </w:pPr>
            <w:r>
              <w:rPr>
                <w:sz w:val="15"/>
                <w:szCs w:val="15"/>
              </w:rPr>
              <w:t xml:space="preserve">Intrahepatic cholangiocarcinoma is 84 of 447 patients and no site-specific hazard ratio is reported anywhere, so the adjuvant standard for resected iCCA rests on 19% of a trial that was not powered for site</w:t>
            </w:r>
          </w:p>
          <w:p>
            <w:pPr>
              <w:pStyle w:val="ListParagraph"/>
              <w:numPr>
                <w:ilvl w:val="0"/>
                <w:numId w:val="2"/>
              </w:numPr>
              <w:spacing w:after="45"/>
            </w:pPr>
            <w:r>
              <w:rPr>
                <w:sz w:val="15"/>
                <w:szCs w:val="15"/>
              </w:rPr>
              <w:t xml:space="preserve">The recurrence-free survival hazard ratio is 0.75 (0.58-0.98) over the first 24 months and 1.48 (0.80-2.77) afterwards, which is a clear departure from proportional hazards; no test of the proportional hazards assumption is reported for the overall survival model whose single hazard ratio carries the conclusion</w:t>
            </w:r>
          </w:p>
          <w:p>
            <w:pPr>
              <w:pStyle w:val="ListParagraph"/>
              <w:numPr>
                <w:ilvl w:val="0"/>
                <w:numId w:val="2"/>
              </w:numPr>
              <w:spacing w:after="45"/>
            </w:pPr>
            <w:r>
              <w:rPr>
                <w:sz w:val="15"/>
                <w:szCs w:val="15"/>
              </w:rPr>
              <w:t xml:space="preserve">Adverse events for toxicity were not monitored in the observation group at all, so the 21% against 10% serious adverse event comparison is between a monitored arm and an unmonitored one and cannot be read as a between-group difference</w:t>
            </w:r>
          </w:p>
          <w:p>
            <w:pPr>
              <w:pStyle w:val="ListParagraph"/>
              <w:numPr>
                <w:ilvl w:val="0"/>
                <w:numId w:val="2"/>
              </w:numPr>
              <w:spacing w:after="45"/>
            </w:pPr>
            <w:r>
              <w:rPr>
                <w:sz w:val="15"/>
                <w:szCs w:val="15"/>
              </w:rPr>
              <w:t xml:space="preserve">Compliance was poor enough to matter: 55% completed all eight cycles, 46% required dose reduction and 32% stopped for toxicity, so the regimen as delivered differs substantially from the regimen as prescribed</w:t>
            </w:r>
          </w:p>
          <w:p>
            <w:pPr>
              <w:pStyle w:val="ListParagraph"/>
              <w:numPr>
                <w:ilvl w:val="0"/>
                <w:numId w:val="2"/>
              </w:numPr>
              <w:spacing w:after="45"/>
            </w:pPr>
            <w:r>
              <w:rPr>
                <w:sz w:val="15"/>
                <w:szCs w:val="15"/>
              </w:rPr>
              <w:t xml:space="preserve">The cost-effectiveness case is built on a mean QALY gain of 0.035 whose confidence interval (-0.034 to 0.104) includes both zero and net harm, in a trial that missed its primary endpoint</w:t>
            </w:r>
          </w:p>
          <w:p>
            <w:pPr>
              <w:pStyle w:val="ListParagraph"/>
              <w:numPr>
                <w:ilvl w:val="0"/>
                <w:numId w:val="2"/>
              </w:numPr>
              <w:spacing w:after="45"/>
            </w:pPr>
            <w:r>
              <w:rPr>
                <w:sz w:val="15"/>
                <w:szCs w:val="15"/>
              </w:rPr>
              <w:t xml:space="preserve">38% of patients had R1 resections and 47% were node-positive, a considerably higher-risk population than a typical resected iCCA, so the absolute survival difference does not transfer to a margin-negative, node-negative patient</w:t>
            </w:r>
          </w:p>
          <w:p>
            <w:pPr>
              <w:pStyle w:val="ListParagraph"/>
              <w:numPr>
                <w:ilvl w:val="0"/>
                <w:numId w:val="2"/>
              </w:numPr>
              <w:spacing w:after="45"/>
            </w:pPr>
            <w:r>
              <w:rPr>
                <w:sz w:val="15"/>
                <w:szCs w:val="15"/>
              </w:rPr>
              <w:t xml:space="preserve">The subgroup hazard ratios quoted for men, 0.70 (0.50-0.99), and poorly differentiated disease, 0.60 (0.39-0.93), have no significant heterogeneity test behind them and invite over-reading of who benefits</w:t>
            </w:r>
          </w:p>
          <w:p>
            <w:pPr>
              <w:pStyle w:val="ListParagraph"/>
              <w:numPr>
                <w:ilvl w:val="0"/>
                <w:numId w:val="2"/>
              </w:numPr>
              <w:spacing w:after="45"/>
            </w:pPr>
            <w:r>
              <w:rPr>
                <w:sz w:val="15"/>
                <w:szCs w:val="15"/>
              </w:rPr>
              <w:t xml:space="preserve">Roche funded the trial with an advisory role in its design, and Roche markets capecitabine; several authors declare Roche honoraria or research funding, which bears on a conclusion that defines Roche's drug as the standard of care</w:t>
            </w:r>
          </w:p>
          <w:p>
            <w:pPr>
              <w:pStyle w:val="ListParagraph"/>
              <w:numPr>
                <w:ilvl w:val="0"/>
                <w:numId w:val="2"/>
              </w:numPr>
              <w:spacing w:after="45"/>
            </w:pPr>
            <w:r>
              <w:rPr>
                <w:sz w:val="15"/>
                <w:szCs w:val="15"/>
              </w:rPr>
              <w:t xml:space="preserve">The authors state in their own key-messages box that the trial is 'uniquely placed to define the standard of care as capecitabine' and that another surveillance-controlled trial is unlikely to be done, a position that converts a failed primary endpoint into a practice standard by declaring the question closed</w:t>
            </w:r>
          </w:p>
          <w:p>
            <w:pPr>
              <w:pStyle w:val="ListParagraph"/>
              <w:numPr>
                <w:ilvl w:val="0"/>
                <w:numId w:val="2"/>
              </w:numPr>
              <w:spacing w:after="45"/>
            </w:pPr>
            <w:r>
              <w:rPr>
                <w:sz w:val="15"/>
                <w:szCs w:val="15"/>
              </w:rPr>
              <w:t xml:space="preserve">The linked comment by Malka and Edeline (Lancet Oncol 2019, PMID 30922732) asks whether this evidence suffices to define a standard of care; it was identified from the citation record and its arguments are not reproduced here</w:t>
            </w:r>
          </w:p>
        </w:tc>
      </w:tr>
    </w:tbl>
    <w:p>
      <w:pPr>
        <w:spacing w:after="0" w:line="276"/>
      </w:pPr>
      <w:r>
        <w:rPr>
          <w:color w:val="5A6069"/>
          <w:sz w:val="14"/>
          <w:szCs w:val="14"/>
        </w:rPr>
        <w:t xml:space="preserve">Funding: Cancer Research UK and Roche; the funder had an advisory role in study design but no role in running the study, data collection, analysis, interpretation or writing; several authors declare honoraria and research funding from Roche among many other companies, all stated to be outside the submitted work</w:t>
      </w:r>
    </w:p>
    <w:p>
      <w:pPr>
        <w:keepNext/>
        <w:spacing w:after="50" w:before="260"/>
      </w:pPr>
      <w:r>
        <w:rPr>
          <w:rFonts w:ascii="Cambria" w:cs="Cambria" w:eastAsia="Cambria" w:hAnsi="Cambria"/>
          <w:b/>
          <w:bCs/>
          <w:color w:val="17365D"/>
          <w:sz w:val="20"/>
          <w:szCs w:val="20"/>
        </w:rPr>
        <w:t xml:space="preserve">BiliSeq multi-institutional</w:t>
      </w:r>
      <w:r>
        <w:rPr>
          <w:b/>
          <w:bCs/>
          <w:color w:val="176A87"/>
          <w:sz w:val="15"/>
          <w:szCs w:val="15"/>
        </w:rPr>
        <w:t xml:space="preserve">   cohort</w:t>
      </w:r>
      <w:r>
        <w:rPr>
          <w:color w:val="5A6069"/>
          <w:sz w:val="15"/>
          <w:szCs w:val="15"/>
        </w:rPr>
        <w:t xml:space="preserve">   PMID 41905432</w:t>
      </w:r>
    </w:p>
    <w:p>
      <w:pPr>
        <w:spacing w:after="50" w:line="276"/>
      </w:pPr>
      <w:r>
        <w:rPr>
          <w:color w:val="5A6069"/>
          <w:sz w:val="17"/>
          <w:szCs w:val="17"/>
        </w:rPr>
        <w:t xml:space="preserve">DNA/RNA-Based Next-Generation Sequencing Improves the Early Diagnosis and Management of Neoplastic Bile Duct Strictures: A 6-Year, Prospective, Multi-Institutional, Real-Time Study</w:t>
      </w:r>
    </w:p>
    <w:p>
      <w:pPr>
        <w:spacing w:after="50"/>
      </w:pPr>
      <w:r>
        <w:rPr>
          <w:b/>
          <w:bCs/>
          <w:color w:val="176A87"/>
          <w:sz w:val="16"/>
          <w:szCs w:val="16"/>
        </w:rPr>
        <w:t xml:space="preserve">Population. </w:t>
      </w:r>
      <w:r>
        <w:rPr>
          <w:sz w:val="16"/>
          <w:szCs w:val="16"/>
        </w:rPr>
        <w:t xml:space="preserve">2116 patients and 2908 ERCP-obtained brushings, biopsies and bile samples from 28 US institutions between 2018 and 2024, of whom 1979 had follow-up for the accuracy analysis, comprising 1108 neoplastic and 871 benign strictures; 327 patients had primary sclerosing cholangitis and 548 strictures were indeterminate</w:t>
      </w:r>
    </w:p>
    <w:p>
      <w:pPr>
        <w:spacing w:after="70"/>
      </w:pPr>
      <w:r>
        <w:rPr>
          <w:b/>
          <w:bCs/>
          <w:color w:val="17365D"/>
          <w:sz w:val="16"/>
          <w:szCs w:val="16"/>
        </w:rPr>
        <w:t xml:space="preserve">Bottom line. </w:t>
      </w:r>
      <w:r>
        <w:rPr>
          <w:sz w:val="16"/>
          <w:szCs w:val="16"/>
        </w:rPr>
        <w:t xml:space="preserve">Across 2116 patients at 28 institutions, DNA and RNA sequencing of ERCP specimens detected neoplastic strictures with 82% sensitivity and 98% specificity against 44% and 99% for pathology, rising to 88% combined, and for intrahepatic or hilar strictures the gap is 80% against 36%. It is not a head-to-head comparison: the two tests were run on different specimens, FISH and EUS-FNA were never compared, and submission was at endoscopist discretion. Only 2% of the neoplasms were purely dysplastic, so no earlier-stage or survival benefit is shown, and the therapeutic claim rests on 56 patients with stable disease.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Follow-up and diagnostic pathology were unavailable for some patients, with the remainder requiring at least one year of close clinicoradiographic follow-up to establish the cause of the stricture</w:t>
            </w:r>
          </w:p>
          <w:p>
            <w:pPr>
              <w:pStyle w:val="ListParagraph"/>
              <w:numPr>
                <w:ilvl w:val="0"/>
                <w:numId w:val="2"/>
              </w:numPr>
              <w:spacing w:after="45"/>
            </w:pPr>
            <w:r>
              <w:rPr>
                <w:sz w:val="15"/>
                <w:szCs w:val="15"/>
              </w:rPr>
              <w:t xml:space="preserve">Identical specimens were not used for sequencing and pathological assessment, which the authors say may explain the discordant performance but argue cannot account for a 38 percentage point sensitivity gap across more than 2000 specimens</w:t>
            </w:r>
          </w:p>
          <w:p>
            <w:pPr>
              <w:pStyle w:val="ListParagraph"/>
              <w:numPr>
                <w:ilvl w:val="0"/>
                <w:numId w:val="2"/>
              </w:numPr>
              <w:spacing w:after="45"/>
            </w:pPr>
            <w:r>
              <w:rPr>
                <w:sz w:val="15"/>
                <w:szCs w:val="15"/>
              </w:rPr>
              <w:t xml:space="preserve">The study does not address the ideal gene panel or the limit of detection</w:t>
            </w:r>
          </w:p>
          <w:p>
            <w:pPr>
              <w:pStyle w:val="ListParagraph"/>
              <w:numPr>
                <w:ilvl w:val="0"/>
                <w:numId w:val="2"/>
              </w:numPr>
              <w:spacing w:after="45"/>
            </w:pPr>
            <w:r>
              <w:rPr>
                <w:sz w:val="15"/>
                <w:szCs w:val="15"/>
              </w:rPr>
              <w:t xml:space="preserve">Detection of an alteration was less frequent in Hispanic patients, although performance was otherwise similar across backgrounds</w:t>
            </w:r>
          </w:p>
          <w:p>
            <w:pPr>
              <w:pStyle w:val="ListParagraph"/>
              <w:numPr>
                <w:ilvl w:val="0"/>
                <w:numId w:val="2"/>
              </w:numPr>
              <w:spacing w:after="45"/>
            </w:pPr>
            <w:r>
              <w:rPr>
                <w:sz w:val="15"/>
                <w:szCs w:val="15"/>
              </w:rPr>
              <w:t xml:space="preserve">No cost-effectiveness analysis was performed and the benefit of matched therapy requires a randomised trial</w:t>
            </w:r>
          </w:p>
          <w:p>
            <w:pPr>
              <w:pStyle w:val="ListParagraph"/>
              <w:numPr>
                <w:ilvl w:val="0"/>
                <w:numId w:val="2"/>
              </w:numPr>
              <w:spacing w:after="45"/>
            </w:pPr>
            <w:r>
              <w:rPr>
                <w:sz w:val="15"/>
                <w:szCs w:val="15"/>
              </w:rPr>
              <w:t xml:space="preserve">FISH results were not collected across sites, so no direct comparison with FISH was possible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comparison that carries the paper, 82% against 44% sensitivity, is between tests run on different specimens; the authors' defence is the size of the gap and the size of the cohort, which is an argument from magnitude rather than a controlled comparison</w:t>
            </w:r>
          </w:p>
          <w:p>
            <w:pPr>
              <w:pStyle w:val="ListParagraph"/>
              <w:numPr>
                <w:ilvl w:val="0"/>
                <w:numId w:val="2"/>
              </w:numPr>
              <w:spacing w:after="45"/>
            </w:pPr>
            <w:r>
              <w:rPr>
                <w:sz w:val="15"/>
                <w:szCs w:val="15"/>
              </w:rPr>
              <w:t xml:space="preserve">FISH, the adjunct actually used in primary sclerosing cholangitis, was never compared directly because the data were not collected, and the paper instead argues against FISH on the grounds that it does not identify genes or actionable targets, which is not a sensitivity comparison</w:t>
            </w:r>
          </w:p>
          <w:p>
            <w:pPr>
              <w:pStyle w:val="ListParagraph"/>
              <w:numPr>
                <w:ilvl w:val="0"/>
                <w:numId w:val="2"/>
              </w:numPr>
              <w:spacing w:after="45"/>
            </w:pPr>
            <w:r>
              <w:rPr>
                <w:sz w:val="15"/>
                <w:szCs w:val="15"/>
              </w:rPr>
              <w:t xml:space="preserve">EUS-guided fine-needle aspiration, the alternative for distal strictures, was also not compared, so the test is positioned against the weakest available comparator</w:t>
            </w:r>
          </w:p>
          <w:p>
            <w:pPr>
              <w:pStyle w:val="ListParagraph"/>
              <w:numPr>
                <w:ilvl w:val="0"/>
                <w:numId w:val="2"/>
              </w:numPr>
              <w:spacing w:after="45"/>
            </w:pPr>
            <w:r>
              <w:rPr>
                <w:sz w:val="15"/>
                <w:szCs w:val="15"/>
              </w:rPr>
              <w:t xml:space="preserve">A stricture could be classified as neoplastic on imaging plus 12 months of clinical or radiographic progression rather than on tissue, so the reference standard partly incorporates the work-up the positive test triggers, which inflates sensitivity</w:t>
            </w:r>
          </w:p>
          <w:p>
            <w:pPr>
              <w:pStyle w:val="ListParagraph"/>
              <w:numPr>
                <w:ilvl w:val="0"/>
                <w:numId w:val="2"/>
              </w:numPr>
              <w:spacing w:after="45"/>
            </w:pPr>
            <w:r>
              <w:rPr>
                <w:sz w:val="15"/>
                <w:szCs w:val="15"/>
              </w:rPr>
              <w:t xml:space="preserve">Specimens were submitted at the endoscopist's discretion rather than consecutively, so this is not a consecutive series and the prevalence of 56% neoplastic strictures reflects referral and submission behaviour rather than any defined population</w:t>
            </w:r>
          </w:p>
          <w:p>
            <w:pPr>
              <w:pStyle w:val="ListParagraph"/>
              <w:numPr>
                <w:ilvl w:val="0"/>
                <w:numId w:val="2"/>
              </w:numPr>
              <w:spacing w:after="45"/>
            </w:pPr>
            <w:r>
              <w:rPr>
                <w:sz w:val="15"/>
                <w:szCs w:val="15"/>
              </w:rPr>
              <w:t xml:space="preserve">5% of patients had no follow-up and were dropped from the accuracy analysis without characterisation, and these are the patients whose strictures were least likely to be resolved</w:t>
            </w:r>
          </w:p>
          <w:p>
            <w:pPr>
              <w:pStyle w:val="ListParagraph"/>
              <w:numPr>
                <w:ilvl w:val="0"/>
                <w:numId w:val="2"/>
              </w:numPr>
              <w:spacing w:after="45"/>
            </w:pPr>
            <w:r>
              <w:rPr>
                <w:sz w:val="15"/>
                <w:szCs w:val="15"/>
              </w:rPr>
              <w:t xml:space="preserve">Only 2% of neoplastic strictures were purely dysplastic, so outside primary sclerosing cholangitis this is earlier detection of established cancer rather than early detection, and no survival, resectability or stage-shift benefit is demonstrated anywhere in the paper</w:t>
            </w:r>
          </w:p>
          <w:p>
            <w:pPr>
              <w:pStyle w:val="ListParagraph"/>
              <w:numPr>
                <w:ilvl w:val="0"/>
                <w:numId w:val="2"/>
              </w:numPr>
              <w:spacing w:after="45"/>
            </w:pPr>
            <w:r>
              <w:rPr>
                <w:sz w:val="15"/>
                <w:szCs w:val="15"/>
              </w:rPr>
              <w:t xml:space="preserve">The clinical-utility claim rests on 56 patients whose management changed, of whom 37 (66%) had stable disease or a response by RECIST; stable disease as the endpoint in an uncontrolled series cannot distinguish treatment effect from natural history</w:t>
            </w:r>
          </w:p>
          <w:p>
            <w:pPr>
              <w:pStyle w:val="ListParagraph"/>
              <w:numPr>
                <w:ilvl w:val="0"/>
                <w:numId w:val="2"/>
              </w:numPr>
              <w:spacing w:after="45"/>
            </w:pPr>
            <w:r>
              <w:rPr>
                <w:sz w:val="15"/>
                <w:szCs w:val="15"/>
              </w:rPr>
              <w:t xml:space="preserve">All testing was done in the single laboratory that developed the assay despite 28 contributing institutions, so the multi-institutional design applies to specimen collection and not to assay performance</w:t>
            </w:r>
          </w:p>
          <w:p>
            <w:pPr>
              <w:pStyle w:val="ListParagraph"/>
              <w:numPr>
                <w:ilvl w:val="0"/>
                <w:numId w:val="2"/>
              </w:numPr>
              <w:spacing w:after="45"/>
            </w:pPr>
            <w:r>
              <w:rPr>
                <w:sz w:val="15"/>
                <w:szCs w:val="15"/>
              </w:rPr>
              <w:t xml:space="preserve">Two assay versions with very different content, 28 genes and 167 fusions against 161 genes and 763 fusions, are pooled into one sensitivity figure, and the actionable-alteration yield is reported for v3 only, so neither number describes a single test</w:t>
            </w:r>
          </w:p>
          <w:p>
            <w:pPr>
              <w:pStyle w:val="ListParagraph"/>
              <w:numPr>
                <w:ilvl w:val="0"/>
                <w:numId w:val="2"/>
              </w:numPr>
              <w:spacing w:after="45"/>
            </w:pPr>
            <w:r>
              <w:rPr>
                <w:sz w:val="15"/>
                <w:szCs w:val="15"/>
              </w:rPr>
              <w:t xml:space="preserve">Sixteen false positives occurred with variant allele frequencies from 1.5% to 30%, including KRAS, TP53, GNAS and CTNNB1, and at a 1.5% allele frequency the distinction between a false positive and a sampling-limited true positive is not resolvable from the data presented</w:t>
            </w:r>
          </w:p>
          <w:p>
            <w:pPr>
              <w:pStyle w:val="ListParagraph"/>
              <w:numPr>
                <w:ilvl w:val="0"/>
                <w:numId w:val="2"/>
              </w:numPr>
              <w:spacing w:after="45"/>
            </w:pPr>
            <w:r>
              <w:rPr>
                <w:sz w:val="15"/>
                <w:szCs w:val="15"/>
              </w:rPr>
              <w:t xml:space="preserve">The actionable-alteration figure differs between the abstract (20% of v3-positive neoplasms) and the body (23%, 188 of 812), and the discrepancy is not explained</w:t>
            </w:r>
          </w:p>
          <w:p>
            <w:pPr>
              <w:pStyle w:val="ListParagraph"/>
              <w:numPr>
                <w:ilvl w:val="0"/>
                <w:numId w:val="2"/>
              </w:numPr>
              <w:spacing w:after="45"/>
            </w:pPr>
            <w:r>
              <w:rPr>
                <w:sz w:val="15"/>
                <w:szCs w:val="15"/>
              </w:rPr>
              <w:t xml:space="preserve">The senior author declares honoraria from Foundation Medicine and Olympus in a paper recommending routine sequencing of endoscopically obtained biliary specimens</w:t>
            </w:r>
          </w:p>
          <w:p>
            <w:pPr>
              <w:pStyle w:val="ListParagraph"/>
              <w:numPr>
                <w:ilvl w:val="0"/>
                <w:numId w:val="2"/>
              </w:numPr>
              <w:spacing w:after="45"/>
            </w:pPr>
            <w:r>
              <w:rPr>
                <w:sz w:val="15"/>
                <w:szCs w:val="15"/>
              </w:rPr>
              <w:t xml:space="preserve">No linked editorial or comment was found in PubMed, so no independent published appraisal accompanies the accuracy claims</w:t>
            </w:r>
          </w:p>
        </w:tc>
      </w:tr>
    </w:tbl>
    <w:p>
      <w:pPr>
        <w:spacing w:after="0" w:line="276"/>
      </w:pPr>
      <w:r>
        <w:rPr>
          <w:color w:val="5A6069"/>
          <w:sz w:val="14"/>
          <w:szCs w:val="14"/>
        </w:rPr>
        <w:t xml:space="preserve">Funding: Supported in part by the National Institutes of Health (P30DK120531, U01CA200466, P30CA047904), the National Pancreas Foundation Western PA Chapter, the Sky Foundation and the Pancreatic Cancer Action Network; the senior author received honoraria from Foundation Medicine and Olympus Corporation of Americas and the remaining authors disclose no conflicts</w:t>
      </w:r>
    </w:p>
    <w:p>
      <w:pPr>
        <w:keepNext/>
        <w:spacing w:after="50" w:before="260"/>
      </w:pPr>
      <w:r>
        <w:rPr>
          <w:rFonts w:ascii="Cambria" w:cs="Cambria" w:eastAsia="Cambria" w:hAnsi="Cambria"/>
          <w:b/>
          <w:bCs/>
          <w:color w:val="17365D"/>
          <w:sz w:val="20"/>
          <w:szCs w:val="20"/>
        </w:rPr>
        <w:t xml:space="preserve">BiliSeq validation</w:t>
      </w:r>
      <w:r>
        <w:rPr>
          <w:b/>
          <w:bCs/>
          <w:color w:val="176A87"/>
          <w:sz w:val="15"/>
          <w:szCs w:val="15"/>
        </w:rPr>
        <w:t xml:space="preserve">   cohort</w:t>
      </w:r>
      <w:r>
        <w:rPr>
          <w:color w:val="5A6069"/>
          <w:sz w:val="15"/>
          <w:szCs w:val="15"/>
        </w:rPr>
        <w:t xml:space="preserve">   PMID 30971436</w:t>
      </w:r>
    </w:p>
    <w:p>
      <w:pPr>
        <w:spacing w:after="50" w:line="276"/>
      </w:pPr>
      <w:r>
        <w:rPr>
          <w:color w:val="5A6069"/>
          <w:sz w:val="17"/>
          <w:szCs w:val="17"/>
        </w:rPr>
        <w:t xml:space="preserve">Integrating next-generation sequencing to endoscopic retrograde cholangiopancreatography (ERCP)-obtained biliary specimens improves the detection and management of patients with malignant bile duct strictures</w:t>
      </w:r>
    </w:p>
    <w:p>
      <w:pPr>
        <w:spacing w:after="50"/>
      </w:pPr>
      <w:r>
        <w:rPr>
          <w:b/>
          <w:bCs/>
          <w:color w:val="176A87"/>
          <w:sz w:val="16"/>
          <w:szCs w:val="16"/>
        </w:rPr>
        <w:t xml:space="preserve">Population. </w:t>
      </w:r>
      <w:r>
        <w:rPr>
          <w:sz w:val="16"/>
          <w:szCs w:val="16"/>
        </w:rPr>
        <w:t xml:space="preserve">252 patients and 346 biliary specimens obtained at ERCP at a single centre, a 57-patient training cohort from September 2014 to April 2016 followed by a prospective validation cohort of 195 from September 2016 to August 2018; 220 had adequate follow-up for the accuracy analysis, 38 strictures were intrahepatic and 47 hilar, 22 patients had intrahepatic cholangiocarcinoma and 37 had primary sclerosing cholangitis</w:t>
      </w:r>
    </w:p>
    <w:p>
      <w:pPr>
        <w:spacing w:after="70"/>
      </w:pPr>
      <w:r>
        <w:rPr>
          <w:b/>
          <w:bCs/>
          <w:color w:val="17365D"/>
          <w:sz w:val="16"/>
          <w:szCs w:val="16"/>
        </w:rPr>
        <w:t xml:space="preserve">Bottom line. </w:t>
      </w:r>
      <w:r>
        <w:rPr>
          <w:sz w:val="16"/>
          <w:szCs w:val="16"/>
        </w:rPr>
        <w:t xml:space="preserve">This is the study that put targeted sequencing of ERCP specimens into the work-up of an indeterminate biliary stricture, raising sensitivity for high-grade dysplasia or cancer from 48% with pathology to 73% alone and 83% combined, with specificity held at 99%. It does not make a negative test reassuring: a quarter of cancers were missed and the negative predictive value is 63%. Sequencing and pathology were run on different specimens, only 38 of 252 strictures were intrahepatic, and the panel does not detect FGFR2 fusions.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Follow-up diagnostic pathology was available for only 66% of patients, which the authors attribute to most biliary malignancies being unresectable or the patients being poor surgical candidates</w:t>
            </w:r>
          </w:p>
          <w:p>
            <w:pPr>
              <w:pStyle w:val="ListParagraph"/>
              <w:numPr>
                <w:ilvl w:val="0"/>
                <w:numId w:val="2"/>
              </w:numPr>
              <w:spacing w:after="45"/>
            </w:pPr>
            <w:r>
              <w:rPr>
                <w:sz w:val="15"/>
                <w:szCs w:val="15"/>
              </w:rPr>
              <w:t xml:space="preserve">A separate bile duct specimen from the one used for pathological evaluation was used for sequencing in order to ensure sufficient DNA, which the authors say may explain incongruent results between the two modalities</w:t>
            </w:r>
          </w:p>
          <w:p>
            <w:pPr>
              <w:pStyle w:val="ListParagraph"/>
              <w:numPr>
                <w:ilvl w:val="0"/>
                <w:numId w:val="2"/>
              </w:numPr>
              <w:spacing w:after="45"/>
            </w:pPr>
            <w:r>
              <w:rPr>
                <w:sz w:val="15"/>
                <w:szCs w:val="15"/>
              </w:rPr>
              <w:t xml:space="preserve">The study does not address the optimal gene panel or the best approach to integrating sequencing into stricture evaluation</w:t>
            </w:r>
          </w:p>
          <w:p>
            <w:pPr>
              <w:pStyle w:val="ListParagraph"/>
              <w:numPr>
                <w:ilvl w:val="0"/>
                <w:numId w:val="2"/>
              </w:numPr>
              <w:spacing w:after="45"/>
            </w:pPr>
            <w:r>
              <w:rPr>
                <w:sz w:val="15"/>
                <w:szCs w:val="15"/>
              </w:rPr>
              <w:t xml:space="preserve">No single modality or combination reached 95% sensitivity without a loss of specificity</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A negative result does not exclude cancer and the paper does not lead with that: there were 37 false negatives (25%) and the negative predictive value is only 63%, so a clinician who stops at a negative BiliSeq is wrong a third of the time</w:t>
            </w:r>
          </w:p>
          <w:p>
            <w:pPr>
              <w:pStyle w:val="ListParagraph"/>
              <w:numPr>
                <w:ilvl w:val="0"/>
                <w:numId w:val="2"/>
              </w:numPr>
              <w:spacing w:after="45"/>
            </w:pPr>
            <w:r>
              <w:rPr>
                <w:sz w:val="15"/>
                <w:szCs w:val="15"/>
              </w:rPr>
              <w:t xml:space="preserve">In 12 of those false-negative cases the same panel found an alteration in the resected tumour, which means the failure was sampling or tumour cellularity below the 3% allele-frequency limit rather than tumour biology, and that failure mode is not quantifiable prospectively</w:t>
            </w:r>
          </w:p>
          <w:p>
            <w:pPr>
              <w:pStyle w:val="ListParagraph"/>
              <w:numPr>
                <w:ilvl w:val="0"/>
                <w:numId w:val="2"/>
              </w:numPr>
              <w:spacing w:after="45"/>
            </w:pPr>
            <w:r>
              <w:rPr>
                <w:sz w:val="15"/>
                <w:szCs w:val="15"/>
              </w:rPr>
              <w:t xml:space="preserve">Specificity of 100% is computed against a reference standard in which brushing cytology and negative biopsies were disallowed as evidence in either direction, and 34% of patients were adjudicated on clinical and radiographic course rather than tissue, a standard that cannot generate a false positive for a molecular test</w:t>
            </w:r>
          </w:p>
          <w:p>
            <w:pPr>
              <w:pStyle w:val="ListParagraph"/>
              <w:numPr>
                <w:ilvl w:val="0"/>
                <w:numId w:val="2"/>
              </w:numPr>
              <w:spacing w:after="45"/>
            </w:pPr>
            <w:r>
              <w:rPr>
                <w:sz w:val="15"/>
                <w:szCs w:val="15"/>
              </w:rPr>
              <w:t xml:space="preserve">The sequencing and the pathology were done on different specimens, so the central 73% against 48% sensitivity comparison is not a head-to-head test on the same material; the authors concede the specimen difference may explain discordance but still draw the comparison</w:t>
            </w:r>
          </w:p>
          <w:p>
            <w:pPr>
              <w:pStyle w:val="ListParagraph"/>
              <w:numPr>
                <w:ilvl w:val="0"/>
                <w:numId w:val="2"/>
              </w:numPr>
              <w:spacing w:after="45"/>
            </w:pPr>
            <w:r>
              <w:rPr>
                <w:sz w:val="15"/>
                <w:szCs w:val="15"/>
              </w:rPr>
              <w:t xml:space="preserve">The assay was run on a purpose-collected brush or biopsy placed directly into DNA lysis buffer in the laboratory that developed it, so nothing here addresses performance on residual CytoLyt or formalin-fixed material, where other groups report assay failure near 11%</w:t>
            </w:r>
          </w:p>
          <w:p>
            <w:pPr>
              <w:pStyle w:val="ListParagraph"/>
              <w:numPr>
                <w:ilvl w:val="0"/>
                <w:numId w:val="2"/>
              </w:numPr>
              <w:spacing w:after="45"/>
            </w:pPr>
            <w:r>
              <w:rPr>
                <w:sz w:val="15"/>
                <w:szCs w:val="15"/>
              </w:rPr>
              <w:t xml:space="preserve">The 28-gene panel does not detect FGFR2 fusions and omits chromatin remodelling genes such as ARID1A, which together occur in up to 20% of intrahepatic cholangiocarcinomas, so the panel misses the alterations that matter most for iCCA treatment while the paper's therapeutic yield is presented as 13%</w:t>
            </w:r>
          </w:p>
          <w:p>
            <w:pPr>
              <w:pStyle w:val="ListParagraph"/>
              <w:numPr>
                <w:ilvl w:val="0"/>
                <w:numId w:val="2"/>
              </w:numPr>
              <w:spacing w:after="45"/>
            </w:pPr>
            <w:r>
              <w:rPr>
                <w:sz w:val="15"/>
                <w:szCs w:val="15"/>
              </w:rPr>
              <w:t xml:space="preserve">The primary sclerosing cholangitis result, where the gain over cytology is largest at 83% against 8%, rests on 12 malignant cases with a confidence interval of 0.51 to 0.98</w:t>
            </w:r>
          </w:p>
          <w:p>
            <w:pPr>
              <w:pStyle w:val="ListParagraph"/>
              <w:numPr>
                <w:ilvl w:val="0"/>
                <w:numId w:val="2"/>
              </w:numPr>
              <w:spacing w:after="45"/>
            </w:pPr>
            <w:r>
              <w:rPr>
                <w:sz w:val="15"/>
                <w:szCs w:val="15"/>
              </w:rPr>
              <w:t xml:space="preserve">Only 38 of 252 strictures were intrahepatic, so the paper that is cited for molecular diagnosis of iCCA mostly studied extrahepatic and distal disease and reports no intrahepatic-specific sensitivity</w:t>
            </w:r>
          </w:p>
          <w:p>
            <w:pPr>
              <w:pStyle w:val="ListParagraph"/>
              <w:numPr>
                <w:ilvl w:val="0"/>
                <w:numId w:val="2"/>
              </w:numPr>
              <w:spacing w:after="45"/>
            </w:pPr>
            <w:r>
              <w:rPr>
                <w:sz w:val="15"/>
                <w:szCs w:val="15"/>
              </w:rPr>
              <w:t xml:space="preserve">The two trastuzumab responses are single cases treated concurrently with gemcitabine-cisplatin and followed for 8 and 12 months, so the shrinkage cannot be attributed to the targeted agent, yet they carry the paper's clinical-utility claim</w:t>
            </w:r>
          </w:p>
          <w:p>
            <w:pPr>
              <w:pStyle w:val="ListParagraph"/>
              <w:numPr>
                <w:ilvl w:val="0"/>
                <w:numId w:val="2"/>
              </w:numPr>
              <w:spacing w:after="45"/>
            </w:pPr>
            <w:r>
              <w:rPr>
                <w:sz w:val="15"/>
                <w:szCs w:val="15"/>
              </w:rPr>
              <w:t xml:space="preserve">Adding CA19-9 raises sensitivity to 95% at the cost of dropping specificity to 68%, which means roughly a third of benign strictures would be called malignant; that combination is presented alongside the others without stating that it is clinically unusable</w:t>
            </w:r>
          </w:p>
          <w:p>
            <w:pPr>
              <w:pStyle w:val="ListParagraph"/>
              <w:numPr>
                <w:ilvl w:val="0"/>
                <w:numId w:val="2"/>
              </w:numPr>
              <w:spacing w:after="45"/>
            </w:pPr>
            <w:r>
              <w:rPr>
                <w:sz w:val="15"/>
                <w:szCs w:val="15"/>
              </w:rPr>
              <w:t xml:space="preserve">The first author declares an honorarium from Foundation Medicine, a commercial sequencing provider, in a paper advocating routine sequencing of biliary specimens</w:t>
            </w:r>
          </w:p>
          <w:p>
            <w:pPr>
              <w:pStyle w:val="ListParagraph"/>
              <w:numPr>
                <w:ilvl w:val="0"/>
                <w:numId w:val="2"/>
              </w:numPr>
              <w:spacing w:after="45"/>
            </w:pPr>
            <w:r>
              <w:rPr>
                <w:sz w:val="15"/>
                <w:szCs w:val="15"/>
              </w:rPr>
              <w:t xml:space="preserve">No linked editorial or comment was found in PubMed, so no independent published appraisal accompanies the accuracy claims</w:t>
            </w:r>
          </w:p>
        </w:tc>
      </w:tr>
    </w:tbl>
    <w:p>
      <w:pPr>
        <w:spacing w:after="0" w:line="276"/>
      </w:pPr>
      <w:r>
        <w:rPr>
          <w:color w:val="5A6069"/>
          <w:sz w:val="14"/>
          <w:szCs w:val="14"/>
        </w:rPr>
        <w:t xml:space="preserve">Funding: Funded by the University of Pittsburgh Institute of Precision Medicine; the first author has received an honorarium from Foundation Medicine</w:t>
      </w:r>
    </w:p>
    <w:p>
      <w:pPr>
        <w:keepNext/>
        <w:spacing w:after="50" w:before="260"/>
      </w:pPr>
      <w:r>
        <w:rPr>
          <w:rFonts w:ascii="Cambria" w:cs="Cambria" w:eastAsia="Cambria" w:hAnsi="Cambria"/>
          <w:b/>
          <w:bCs/>
          <w:color w:val="17365D"/>
          <w:sz w:val="20"/>
          <w:szCs w:val="20"/>
        </w:rPr>
        <w:t xml:space="preserve">Bismuth-Corlette</w:t>
      </w:r>
      <w:r>
        <w:rPr>
          <w:b/>
          <w:bCs/>
          <w:color w:val="176A87"/>
          <w:sz w:val="15"/>
          <w:szCs w:val="15"/>
        </w:rPr>
        <w:t xml:space="preserve">   Case series</w:t>
      </w:r>
      <w:r>
        <w:rPr>
          <w:color w:val="5A6069"/>
          <w:sz w:val="15"/>
          <w:szCs w:val="15"/>
        </w:rPr>
        <w:t xml:space="preserve">   PMID 1309988</w:t>
      </w:r>
    </w:p>
    <w:p>
      <w:pPr>
        <w:spacing w:after="50" w:line="276"/>
      </w:pPr>
      <w:r>
        <w:rPr>
          <w:color w:val="5A6069"/>
          <w:sz w:val="17"/>
          <w:szCs w:val="17"/>
        </w:rPr>
        <w:t xml:space="preserve">Management strategies in resection for hilar cholangiocarcinoma</w:t>
      </w:r>
    </w:p>
    <w:p>
      <w:pPr>
        <w:spacing w:after="50"/>
      </w:pPr>
      <w:r>
        <w:rPr>
          <w:b/>
          <w:bCs/>
          <w:color w:val="176A87"/>
          <w:sz w:val="16"/>
          <w:szCs w:val="16"/>
        </w:rPr>
        <w:t xml:space="preserve">Population. </w:t>
      </w:r>
      <w:r>
        <w:rPr>
          <w:sz w:val="16"/>
          <w:szCs w:val="16"/>
        </w:rPr>
        <w:t xml:space="preserve">23 resections for hilar cholangiocarcinoma performed between January 1960 and December 1990 at one Paris centre, drawn from 136 consecutive patients of whom 122 were considered suitable for surgical treatment, with 3 further patients treated by total hepatectomy and transplantation excluded from the outcome analysis</w:t>
      </w:r>
    </w:p>
    <w:p>
      <w:pPr>
        <w:spacing w:after="70"/>
      </w:pPr>
      <w:r>
        <w:rPr>
          <w:b/>
          <w:bCs/>
          <w:color w:val="17365D"/>
          <w:sz w:val="16"/>
          <w:szCs w:val="16"/>
        </w:rPr>
        <w:t xml:space="preserve">Bottom line. </w:t>
      </w:r>
      <w:r>
        <w:rPr>
          <w:sz w:val="16"/>
          <w:szCs w:val="16"/>
        </w:rPr>
        <w:t xml:space="preserve">This is the source of the modified Bismuth-Corlette classification and of the type-driven operation: local excision for type I, with caudate resection added for type II, with right or left hepatectomy for type III, and transplantation considered for type IV. It rests on 23 resections over thirty years at one centre, one to four patients per type, no comparison group, no statistical test of any kind, and a classification the paper itself shows is unreliable before operation, four operative type IV lesions becoming nine on histology. What it establishes is that margin clearance rather than nodal status drove outcome in this series and that achieving it requires the hepatectomy the anatomy dictates; the survival figures and the type IV recommendation should not be carried forward.</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No limitations section; the authors concede only that the results depend entirely on obtaining histologically free resection margins, that extensive preoperative and perioperative assessment is needed so that inappropriate extensive resection is avoided, that prospective studies of preoperative biliary drainage in obstructive jaundice have failed to show significant overall benefit although they still use it in selected cases, and that published results of transplantation for this disease have generally been poor with a high incidence of recurrence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Twenty-three resections accumulated over thirty years at one centre, during which imaging, staging and operative technique changed completely; the type-specific operative recommendations rest on one to four patients per tumour type, and the type IV recommendation of transplantation on three patients, one of whom recurred in the hepatic pedicle 8 months after transplantation</w:t>
            </w:r>
          </w:p>
          <w:p>
            <w:pPr>
              <w:pStyle w:val="ListParagraph"/>
              <w:numPr>
                <w:ilvl w:val="0"/>
                <w:numId w:val="2"/>
              </w:numPr>
              <w:spacing w:after="45"/>
            </w:pPr>
            <w:r>
              <w:rPr>
                <w:sz w:val="15"/>
                <w:szCs w:val="15"/>
              </w:rPr>
              <w:t xml:space="preserve">No statistical comparison of any kind appears in the paper: no P value, no log-rank test and no confidence interval, so the claim that group C outcomes exceeded groups A and B is purely descriptive</w:t>
            </w:r>
          </w:p>
          <w:p>
            <w:pPr>
              <w:pStyle w:val="ListParagraph"/>
              <w:numPr>
                <w:ilvl w:val="0"/>
                <w:numId w:val="2"/>
              </w:numPr>
              <w:spacing w:after="45"/>
            </w:pPr>
            <w:r>
              <w:rPr>
                <w:sz w:val="15"/>
                <w:szCs w:val="15"/>
              </w:rPr>
              <w:t xml:space="preserve">Three different counts are given for the same set of potentially curative resections: 7 patients with two type I lesions in the abstract, 8 patients with three type I lesions in the Results and Discussion, and 9 patients in group C in Table 2</w:t>
            </w:r>
          </w:p>
          <w:p>
            <w:pPr>
              <w:pStyle w:val="ListParagraph"/>
              <w:numPr>
                <w:ilvl w:val="0"/>
                <w:numId w:val="2"/>
              </w:numPr>
              <w:spacing w:after="45"/>
            </w:pPr>
            <w:r>
              <w:rPr>
                <w:sz w:val="15"/>
                <w:szCs w:val="15"/>
              </w:rPr>
              <w:t xml:space="preserve">The 70-year-old patient with a papillary tumour who survived 11 years free of recurrence was removed from the survival analysis as atypical after her outcome was known, while remaining the case that supports the abstract's recommendation of local excision for type I disease; she is 71 in Table 1 and 70 in the text</w:t>
            </w:r>
          </w:p>
          <w:p>
            <w:pPr>
              <w:pStyle w:val="ListParagraph"/>
              <w:numPr>
                <w:ilvl w:val="0"/>
                <w:numId w:val="2"/>
              </w:numPr>
              <w:spacing w:after="45"/>
            </w:pPr>
            <w:r>
              <w:rPr>
                <w:sz w:val="15"/>
                <w:szCs w:val="15"/>
              </w:rPr>
              <w:t xml:space="preserve">The claim that local recurrence was never observed when the margin was histologically free is contradicted by the paper's own Table 1 and Results, where two group C patients died of recurrence at 14 and 22 months, one of them with recurrence at the anastomosis and in the hepatic pedicle at 10 months</w:t>
            </w:r>
          </w:p>
          <w:p>
            <w:pPr>
              <w:pStyle w:val="ListParagraph"/>
              <w:numPr>
                <w:ilvl w:val="0"/>
                <w:numId w:val="2"/>
              </w:numPr>
              <w:spacing w:after="45"/>
            </w:pPr>
            <w:r>
              <w:rPr>
                <w:sz w:val="15"/>
                <w:szCs w:val="15"/>
              </w:rPr>
              <w:t xml:space="preserve">Operative mortality is reported as zero with mortality defined as death during or within two months of surgery, a window wider than the conventional 30 or 90 days; zero events in 23 patients carries an upper confidence bound near 15%</w:t>
            </w:r>
          </w:p>
          <w:p>
            <w:pPr>
              <w:pStyle w:val="ListParagraph"/>
              <w:numPr>
                <w:ilvl w:val="0"/>
                <w:numId w:val="2"/>
              </w:numPr>
              <w:spacing w:after="45"/>
            </w:pPr>
            <w:r>
              <w:rPr>
                <w:sz w:val="15"/>
                <w:szCs w:val="15"/>
              </w:rPr>
              <w:t xml:space="preserve">There is no comparison group: patients treated by surgical bypass or transtumoral intubation were never analysed, only 23 of 122 operated patients were resected, and the survival credited to margin-negative resection is uncontrolled and heavily selected</w:t>
            </w:r>
          </w:p>
          <w:p>
            <w:pPr>
              <w:pStyle w:val="ListParagraph"/>
              <w:numPr>
                <w:ilvl w:val="0"/>
                <w:numId w:val="2"/>
              </w:numPr>
              <w:spacing w:after="45"/>
            </w:pPr>
            <w:r>
              <w:rPr>
                <w:sz w:val="15"/>
                <w:szCs w:val="15"/>
              </w:rPr>
              <w:t xml:space="preserve">Group B is defined as microscopic tumour at the resection margin or lymph nodes outside the hepatic pedicle, so margin status and nodal status are mixed in one group and the margin effect is not isolated</w:t>
            </w:r>
          </w:p>
          <w:p>
            <w:pPr>
              <w:pStyle w:val="ListParagraph"/>
              <w:numPr>
                <w:ilvl w:val="0"/>
                <w:numId w:val="2"/>
              </w:numPr>
              <w:spacing w:after="45"/>
            </w:pPr>
            <w:r>
              <w:rPr>
                <w:sz w:val="15"/>
                <w:szCs w:val="15"/>
              </w:rPr>
              <w:t xml:space="preserve">Figure 1, showing operative type IV rising from 4 to 9 on postoperative histology, includes the 3 transplanted patients and so counts 26 cases, while the survival analysis excludes them and counts 23, so classification accuracy and outcome are computed on different denominators</w:t>
            </w:r>
          </w:p>
          <w:p>
            <w:pPr>
              <w:pStyle w:val="ListParagraph"/>
              <w:numPr>
                <w:ilvl w:val="0"/>
                <w:numId w:val="2"/>
              </w:numPr>
              <w:spacing w:after="45"/>
            </w:pPr>
            <w:r>
              <w:rPr>
                <w:sz w:val="15"/>
                <w:szCs w:val="15"/>
              </w:rPr>
              <w:t xml:space="preserve">Follow-up averaged 26 months with a minimum of 6, and 10 patients were still alive at 6 to 48 months, so the 3-year figures of 25% overall survival and 50% in group C rest on almost no patients still at risk, with no numbers at risk given anywhere</w:t>
            </w:r>
          </w:p>
          <w:p>
            <w:pPr>
              <w:pStyle w:val="ListParagraph"/>
              <w:numPr>
                <w:ilvl w:val="0"/>
                <w:numId w:val="2"/>
              </w:numPr>
              <w:spacing w:after="45"/>
            </w:pPr>
            <w:r>
              <w:rPr>
                <w:sz w:val="15"/>
                <w:szCs w:val="15"/>
              </w:rPr>
              <w:t xml:space="preserve">Caudate resection was performed in only 8 of the 13 liver resections, yet the recommendation is that every type II to IV lesion requires it; that recommendation rests on Nimura's anatomical argument rather than on any comparison within this series</w:t>
            </w:r>
          </w:p>
          <w:p>
            <w:pPr>
              <w:pStyle w:val="ListParagraph"/>
              <w:numPr>
                <w:ilvl w:val="0"/>
                <w:numId w:val="2"/>
              </w:numPr>
              <w:spacing w:after="45"/>
            </w:pPr>
            <w:r>
              <w:rPr>
                <w:sz w:val="15"/>
                <w:szCs w:val="15"/>
              </w:rPr>
              <w:t xml:space="preserve">Table 3's assessment of curability excludes the 4 patients with gross residual tumour and 3 with distant nodal disease, leaving 16 patients from whom the entire type-specific operative algorithm is derived</w:t>
            </w:r>
          </w:p>
          <w:p>
            <w:pPr>
              <w:pStyle w:val="ListParagraph"/>
              <w:numPr>
                <w:ilvl w:val="0"/>
                <w:numId w:val="2"/>
              </w:numPr>
              <w:spacing w:after="45"/>
            </w:pPr>
            <w:r>
              <w:rPr>
                <w:sz w:val="15"/>
                <w:szCs w:val="15"/>
              </w:rPr>
              <w:t xml:space="preserve">Ten of the 23 patients (43%) had already undergone surgical drainage or transtumoral intubation elsewhere and all but 5 had been investigated or treated at another institution, so this is a referred, pre-treated population</w:t>
            </w:r>
          </w:p>
          <w:p>
            <w:pPr>
              <w:pStyle w:val="ListParagraph"/>
              <w:numPr>
                <w:ilvl w:val="0"/>
                <w:numId w:val="2"/>
              </w:numPr>
              <w:spacing w:after="45"/>
            </w:pPr>
            <w:r>
              <w:rPr>
                <w:sz w:val="15"/>
                <w:szCs w:val="15"/>
              </w:rPr>
              <w:t xml:space="preserve">Preoperative percutaneous drainage is endorsed for selected cases while the paper itself cites two prospective studies showing no benefit, and only one patient in the series actually received it</w:t>
            </w:r>
          </w:p>
          <w:p>
            <w:pPr>
              <w:pStyle w:val="ListParagraph"/>
              <w:numPr>
                <w:ilvl w:val="0"/>
                <w:numId w:val="2"/>
              </w:numPr>
              <w:spacing w:after="45"/>
            </w:pPr>
            <w:r>
              <w:rPr>
                <w:sz w:val="15"/>
                <w:szCs w:val="15"/>
              </w:rPr>
              <w:t xml:space="preserve">Denominators shift between the 136 consecutive patients, the 122 taken to surgery and the 23 resected, with the 19% resectability rate and the 15.6% and 7.4% curative resection rates all computed on 122</w:t>
            </w:r>
          </w:p>
          <w:p>
            <w:pPr>
              <w:pStyle w:val="ListParagraph"/>
              <w:numPr>
                <w:ilvl w:val="0"/>
                <w:numId w:val="2"/>
              </w:numPr>
              <w:spacing w:after="45"/>
            </w:pPr>
            <w:r>
              <w:rPr>
                <w:sz w:val="15"/>
                <w:szCs w:val="15"/>
              </w:rPr>
              <w:t xml:space="preserve">No chemotherapy, radiotherapy or adjuvant treatment data are reported for any patient, and causes of death are not tabulated</w:t>
            </w:r>
          </w:p>
          <w:p>
            <w:pPr>
              <w:pStyle w:val="ListParagraph"/>
              <w:numPr>
                <w:ilvl w:val="0"/>
                <w:numId w:val="2"/>
              </w:numPr>
              <w:spacing w:after="45"/>
            </w:pPr>
            <w:r>
              <w:rPr>
                <w:sz w:val="15"/>
                <w:szCs w:val="15"/>
              </w:rPr>
              <w:t xml:space="preserve">No linked editorial or comment was found in PubMed</w:t>
            </w:r>
          </w:p>
        </w:tc>
      </w:tr>
    </w:tbl>
    <w:p>
      <w:pPr>
        <w:spacing w:after="0" w:line="276"/>
      </w:pPr>
      <w:r>
        <w:rPr>
          <w:color w:val="5A6069"/>
          <w:sz w:val="14"/>
          <w:szCs w:val="14"/>
        </w:rPr>
        <w:t xml:space="preserve">Funding: No funding statement and no declaration of interests anywhere in the paper</w:t>
      </w:r>
    </w:p>
    <w:p>
      <w:pPr>
        <w:keepNext/>
        <w:spacing w:after="50" w:before="260"/>
      </w:pPr>
      <w:r>
        <w:rPr>
          <w:rFonts w:ascii="Cambria" w:cs="Cambria" w:eastAsia="Cambria" w:hAnsi="Cambria"/>
          <w:b/>
          <w:bCs/>
          <w:color w:val="17365D"/>
          <w:sz w:val="20"/>
          <w:szCs w:val="20"/>
        </w:rPr>
        <w:t xml:space="preserve">BSG 2023</w:t>
      </w:r>
      <w:r>
        <w:rPr>
          <w:b/>
          <w:bCs/>
          <w:color w:val="176A87"/>
          <w:sz w:val="15"/>
          <w:szCs w:val="15"/>
        </w:rPr>
        <w:t xml:space="preserve">   Guideline</w:t>
      </w:r>
      <w:r>
        <w:rPr>
          <w:color w:val="5A6069"/>
          <w:sz w:val="15"/>
          <w:szCs w:val="15"/>
        </w:rPr>
        <w:t xml:space="preserve">   PMID 37770126</w:t>
      </w:r>
    </w:p>
    <w:p>
      <w:pPr>
        <w:spacing w:after="50" w:line="276"/>
      </w:pPr>
      <w:r>
        <w:rPr>
          <w:color w:val="5A6069"/>
          <w:sz w:val="17"/>
          <w:szCs w:val="17"/>
        </w:rPr>
        <w:t xml:space="preserve">British Society of Gastroenterology guidelines for the diagnosis and management of cholangiocarcinoma</w:t>
      </w:r>
    </w:p>
    <w:p>
      <w:pPr>
        <w:spacing w:after="70"/>
      </w:pPr>
      <w:r>
        <w:rPr>
          <w:b/>
          <w:bCs/>
          <w:color w:val="17365D"/>
          <w:sz w:val="16"/>
          <w:szCs w:val="16"/>
        </w:rPr>
        <w:t xml:space="preserve">Bottom line. </w:t>
      </w:r>
      <w:r>
        <w:rPr>
          <w:sz w:val="16"/>
          <w:szCs w:val="16"/>
        </w:rPr>
        <w:t xml:space="preserve">The BSG guidelines are the most operational document in this set for UK practice: 50 GRADE-graded recommendations covering staging imaging, biopsy, high-volume resection, 24 weeks of adjuvant capecitabine, molecular profiling at the earliest opportunity, and iCCA transplantation only inside a national protocol. Its strongest surgical recommendation rests on BILCAP's per-protocol result, it sets no nodal dissection standard while making nodal status decisive, and one recommendation is graded with a category outside the GRADE scheme it declares. The November 2022 search closed before KEYNOTE-966 and the HER2 and futibatinib data.</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authors frame the document as guidance rather than protocol, requiring individual patient-centred decisions</w:t>
            </w:r>
          </w:p>
          <w:p>
            <w:pPr>
              <w:pStyle w:val="ListParagraph"/>
              <w:numPr>
                <w:ilvl w:val="0"/>
                <w:numId w:val="2"/>
              </w:numPr>
              <w:spacing w:after="45"/>
            </w:pPr>
            <w:r>
              <w:rPr>
                <w:sz w:val="15"/>
                <w:szCs w:val="15"/>
              </w:rPr>
              <w:t xml:space="preserve">They state revision will be needed within five years</w:t>
            </w:r>
          </w:p>
          <w:p>
            <w:pPr>
              <w:pStyle w:val="ListParagraph"/>
              <w:numPr>
                <w:ilvl w:val="0"/>
                <w:numId w:val="2"/>
              </w:numPr>
              <w:spacing w:after="45"/>
            </w:pPr>
            <w:r>
              <w:rPr>
                <w:sz w:val="15"/>
                <w:szCs w:val="15"/>
              </w:rPr>
              <w:t xml:space="preserve">They state that the size criteria for transplantation in iCCA need to be monitored and modified to improve recruitment to the national protocol</w:t>
            </w:r>
          </w:p>
          <w:p>
            <w:pPr>
              <w:pStyle w:val="ListParagraph"/>
              <w:numPr>
                <w:ilvl w:val="0"/>
                <w:numId w:val="2"/>
              </w:numPr>
              <w:spacing w:after="45"/>
            </w:pPr>
            <w:r>
              <w:rPr>
                <w:sz w:val="15"/>
                <w:szCs w:val="15"/>
              </w:rPr>
              <w:t xml:space="preserve">Searches were completed in November 2022</w:t>
            </w:r>
          </w:p>
          <w:p>
            <w:pPr>
              <w:pStyle w:val="ListParagraph"/>
              <w:numPr>
                <w:ilvl w:val="0"/>
                <w:numId w:val="2"/>
              </w:numPr>
              <w:spacing w:after="45"/>
            </w:pPr>
            <w:r>
              <w:rPr>
                <w:sz w:val="15"/>
                <w:szCs w:val="15"/>
              </w:rPr>
              <w:t xml:space="preserve">Several recommendations carry an explicit quality of evidence of LOW, including offering surgery when histology cannot exclude malignancy</w:t>
            </w:r>
          </w:p>
          <w:p>
            <w:pPr>
              <w:pStyle w:val="ListParagraph"/>
              <w:numPr>
                <w:ilvl w:val="0"/>
                <w:numId w:val="2"/>
              </w:numPr>
              <w:spacing w:after="45"/>
            </w:pPr>
            <w:r>
              <w:rPr>
                <w:sz w:val="15"/>
                <w:szCs w:val="15"/>
              </w:rPr>
              <w:t xml:space="preserve">Recommendation 46 states that development and funding of clinical trials is key because the pharmacological management of symptoms has not been properly evaluated</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Adjuvant capecitabine is a STRONG recommendation on moderate evidence although BILCAP missed significance on intention-to-treat and showed no benefit in its intrahepatic subgroup, so the document's firmest surgical statement rests on a per-protocol result with ACTICCA-1 still unreported</w:t>
            </w:r>
          </w:p>
          <w:p>
            <w:pPr>
              <w:pStyle w:val="ListParagraph"/>
              <w:numPr>
                <w:ilvl w:val="0"/>
                <w:numId w:val="2"/>
              </w:numPr>
              <w:spacing w:after="45"/>
            </w:pPr>
            <w:r>
              <w:rPr>
                <w:sz w:val="15"/>
                <w:szCs w:val="15"/>
              </w:rPr>
              <w:t xml:space="preserve">Transplantation for iCCA is routed into a national protocol whose size criteria the guideline simultaneously says need modifying to improve recruitment, which concedes the criteria are set too tightly to be tested while offering no alternative threshold</w:t>
            </w:r>
          </w:p>
          <w:p>
            <w:pPr>
              <w:pStyle w:val="ListParagraph"/>
              <w:numPr>
                <w:ilvl w:val="0"/>
                <w:numId w:val="2"/>
              </w:numPr>
              <w:spacing w:after="45"/>
            </w:pPr>
            <w:r>
              <w:rPr>
                <w:sz w:val="15"/>
                <w:szCs w:val="15"/>
              </w:rPr>
              <w:t xml:space="preserve">The two established transplant pathways are left unresolved: neither the very-early cirrhotic tumour nor the locally advanced tumour stable on chemotherapy is given a criterion, so UK practice is directed to a protocol rather than to a decision</w:t>
            </w:r>
          </w:p>
          <w:p>
            <w:pPr>
              <w:pStyle w:val="ListParagraph"/>
              <w:numPr>
                <w:ilvl w:val="0"/>
                <w:numId w:val="2"/>
              </w:numPr>
              <w:spacing w:after="45"/>
            </w:pPr>
            <w:r>
              <w:rPr>
                <w:sz w:val="15"/>
                <w:szCs w:val="15"/>
              </w:rPr>
              <w:t xml:space="preserve">Nothing is said about regional lymphadenectomy or a minimum node yield at resection for iCCA, although nodal status determines both stage and the adjuvant decision Recommendation 37 then makes</w:t>
            </w:r>
          </w:p>
          <w:p>
            <w:pPr>
              <w:pStyle w:val="ListParagraph"/>
              <w:numPr>
                <w:ilvl w:val="0"/>
                <w:numId w:val="2"/>
              </w:numPr>
              <w:spacing w:after="45"/>
            </w:pPr>
            <w:r>
              <w:rPr>
                <w:sz w:val="15"/>
                <w:szCs w:val="15"/>
              </w:rPr>
              <w:t xml:space="preserve">Recommendation 34 is printed with a quality of evidence of STRONG, a category that does not exist in the GRADE scheme the guideline declares it is using, so at least one of 50 graded recommendations cannot be interpreted</w:t>
            </w:r>
          </w:p>
          <w:p>
            <w:pPr>
              <w:pStyle w:val="ListParagraph"/>
              <w:numPr>
                <w:ilvl w:val="0"/>
                <w:numId w:val="2"/>
              </w:numPr>
              <w:spacing w:after="45"/>
            </w:pPr>
            <w:r>
              <w:rPr>
                <w:sz w:val="15"/>
                <w:szCs w:val="15"/>
              </w:rPr>
              <w:t xml:space="preserve">First-line immunotherapy is recommended only conditionally, if approved and available, which makes the central systemic recommendation dependent on local reimbursement rather than on the trial evidence</w:t>
            </w:r>
          </w:p>
          <w:p>
            <w:pPr>
              <w:pStyle w:val="ListParagraph"/>
              <w:numPr>
                <w:ilvl w:val="0"/>
                <w:numId w:val="2"/>
              </w:numPr>
              <w:spacing w:after="45"/>
            </w:pPr>
            <w:r>
              <w:rPr>
                <w:sz w:val="15"/>
                <w:szCs w:val="15"/>
              </w:rPr>
              <w:t xml:space="preserve">The November 2022 search closed before KEYNOTE-966, the HER2 data and futibatinib, so a 50-recommendation document published in 2024 describes a systemic landscape that had already changed</w:t>
            </w:r>
          </w:p>
          <w:p>
            <w:pPr>
              <w:pStyle w:val="ListParagraph"/>
              <w:numPr>
                <w:ilvl w:val="0"/>
                <w:numId w:val="2"/>
              </w:numPr>
              <w:spacing w:after="45"/>
            </w:pPr>
            <w:r>
              <w:rPr>
                <w:sz w:val="15"/>
                <w:szCs w:val="15"/>
              </w:rPr>
              <w:t xml:space="preserve">Molecular profiling at the earliest opportunity is a STRONG recommendation on high evidence, with a companion recommendation to reserve tissue for it before planning immunohistochemistry; no assay failure rate, panel content or turnaround expectation is given, so the recommendation is strong on process and silent on feasibility</w:t>
            </w:r>
          </w:p>
          <w:p>
            <w:pPr>
              <w:pStyle w:val="ListParagraph"/>
              <w:numPr>
                <w:ilvl w:val="0"/>
                <w:numId w:val="2"/>
              </w:numPr>
              <w:spacing w:after="45"/>
            </w:pPr>
            <w:r>
              <w:rPr>
                <w:sz w:val="15"/>
                <w:szCs w:val="15"/>
              </w:rPr>
              <w:t xml:space="preserve">Resection is restricted to high-volume centres with full supporting services as a STRONG recommendation on moderate evidence, with no volume threshold stated, which makes the recommendation unauditable</w:t>
            </w:r>
          </w:p>
          <w:p>
            <w:pPr>
              <w:pStyle w:val="ListParagraph"/>
              <w:numPr>
                <w:ilvl w:val="0"/>
                <w:numId w:val="2"/>
              </w:numPr>
              <w:spacing w:after="45"/>
            </w:pPr>
            <w:r>
              <w:rPr>
                <w:sz w:val="15"/>
                <w:szCs w:val="15"/>
              </w:rPr>
              <w:t xml:space="preserve">FDG-PET/CT is recommended for all nodal and distant staging as STRONG on moderate evidence, with no sensitivity, specificity or change-in-management data supplied in the recommendation text</w:t>
            </w:r>
          </w:p>
          <w:p>
            <w:pPr>
              <w:pStyle w:val="ListParagraph"/>
              <w:numPr>
                <w:ilvl w:val="0"/>
                <w:numId w:val="2"/>
              </w:numPr>
              <w:spacing w:after="45"/>
            </w:pPr>
            <w:r>
              <w:rPr>
                <w:sz w:val="15"/>
                <w:szCs w:val="15"/>
              </w:rPr>
              <w:t xml:space="preserve">Perihilar transplantation under 3 cm is given a MODERATE recommendation on the basis that it gives long-term disease-free survival, a statement of fact about outcomes rather than a comparison with resection, and the 3 cm figure is carried across to the iCCA discussion by proximity rather than by evidence</w:t>
            </w:r>
          </w:p>
          <w:p>
            <w:pPr>
              <w:pStyle w:val="ListParagraph"/>
              <w:numPr>
                <w:ilvl w:val="0"/>
                <w:numId w:val="2"/>
              </w:numPr>
              <w:spacing w:after="45"/>
            </w:pPr>
            <w:r>
              <w:rPr>
                <w:sz w:val="15"/>
                <w:szCs w:val="15"/>
              </w:rPr>
              <w:t xml:space="preserve">No linked editorial or comment was found in PubMed; the only linked item is a 2025 Gut letter naming the Guidelines Development Group (PMID 39160057), so no independent appraisal of the recommendations exists in the citation record</w:t>
            </w:r>
          </w:p>
        </w:tc>
      </w:tr>
    </w:tbl>
    <w:p>
      <w:pPr>
        <w:spacing w:after="0" w:line="276"/>
      </w:pPr>
      <w:r>
        <w:rPr>
          <w:color w:val="5A6069"/>
          <w:sz w:val="14"/>
          <w:szCs w:val="14"/>
        </w:rPr>
        <w:t xml:space="preserve">Funding: The authors declare no specific grant from any public, commercial or not-for-profit funding agency and no competing interests; the guidelines were not commissioned and were externally peer reviewed</w:t>
      </w:r>
    </w:p>
    <w:p>
      <w:pPr>
        <w:keepNext/>
        <w:spacing w:after="50" w:before="260"/>
      </w:pPr>
      <w:r>
        <w:rPr>
          <w:rFonts w:ascii="Cambria" w:cs="Cambria" w:eastAsia="Cambria" w:hAnsi="Cambria"/>
          <w:b/>
          <w:bCs/>
          <w:color w:val="17365D"/>
          <w:sz w:val="20"/>
          <w:szCs w:val="20"/>
        </w:rPr>
        <w:t xml:space="preserve">ClarIDHy</w:t>
      </w:r>
      <w:r>
        <w:rPr>
          <w:b/>
          <w:bCs/>
          <w:color w:val="176A87"/>
          <w:sz w:val="15"/>
          <w:szCs w:val="15"/>
        </w:rPr>
        <w:t xml:space="preserve">   Randomised trial</w:t>
      </w:r>
      <w:r>
        <w:rPr>
          <w:color w:val="5A6069"/>
          <w:sz w:val="15"/>
          <w:szCs w:val="15"/>
        </w:rPr>
        <w:t xml:space="preserve">   PMID 34554208</w:t>
      </w:r>
    </w:p>
    <w:p>
      <w:pPr>
        <w:spacing w:after="50" w:line="276"/>
      </w:pPr>
      <w:r>
        <w:rPr>
          <w:color w:val="5A6069"/>
          <w:sz w:val="17"/>
          <w:szCs w:val="17"/>
        </w:rPr>
        <w:t xml:space="preserve">Final Overall Survival Efficacy Results of Ivosidenib for Patients With Advanced Cholangiocarcinoma With IDH1 Mutation: The Phase 3 Randomized Clinical ClarIDHy Trial</w:t>
      </w:r>
    </w:p>
    <w:p>
      <w:pPr>
        <w:spacing w:after="50"/>
      </w:pPr>
      <w:r>
        <w:rPr>
          <w:b/>
          <w:bCs/>
          <w:color w:val="176A87"/>
          <w:sz w:val="16"/>
          <w:szCs w:val="16"/>
        </w:rPr>
        <w:t xml:space="preserve">Population. </w:t>
      </w:r>
      <w:r>
        <w:rPr>
          <w:sz w:val="16"/>
          <w:szCs w:val="16"/>
        </w:rPr>
        <w:t xml:space="preserve">187 patients with unresectable or metastatic IDH1-mutant cholangiocarcinoma randomised 2:1 at 49 hospitals in six countries between February 2017 and May 2020, 126 ivosidenib and 61 placebo; 171 of 187 (over 90%) had intrahepatic disease, 93% were metastatic, 47% had had two prior lines and 70% carried IDH1 R132C</w:t>
      </w:r>
    </w:p>
    <w:p>
      <w:pPr>
        <w:spacing w:after="70"/>
      </w:pPr>
      <w:r>
        <w:rPr>
          <w:b/>
          <w:bCs/>
          <w:color w:val="17365D"/>
          <w:sz w:val="16"/>
          <w:szCs w:val="16"/>
        </w:rPr>
        <w:t xml:space="preserve">Bottom line. </w:t>
      </w:r>
      <w:r>
        <w:rPr>
          <w:sz w:val="16"/>
          <w:szCs w:val="16"/>
        </w:rPr>
        <w:t xml:space="preserve">This is the final overall survival report of ClarIDHy and the reason ivosidenib is used in IDH1-mutant cholangiocarcinoma: median survival 10.3 against 7.5 months with preserved physical functioning and a tolerable safety profile. The survival endpoint was not met as randomised, HR 0.79 (0.56-1.12), P = .09, and the significant figure requires a crossover-adjustment model in a trial where 70% of controls crossed over. Response was 2%, so nothing here suggests the drug can convert unresectable disease.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treatment effect estimate on the primary overall survival analysis was very likely confounded by the allowance of crossover, which was built in on the advice of patient advocacy groups and clinicians to support accrual in a rare biomarker-selected population</w:t>
            </w:r>
          </w:p>
          <w:p>
            <w:pPr>
              <w:pStyle w:val="ListParagraph"/>
              <w:numPr>
                <w:ilvl w:val="0"/>
                <w:numId w:val="2"/>
              </w:numPr>
              <w:spacing w:after="45"/>
            </w:pPr>
            <w:r>
              <w:rPr>
                <w:sz w:val="15"/>
                <w:szCs w:val="15"/>
              </w:rPr>
              <w:t xml:space="preserve">Quality-of-life analyses were limited by small sample sizes at day 1 of cycle 2 and cycle 3, partly because of rapid progression and withdrawal</w:t>
            </w:r>
          </w:p>
          <w:p>
            <w:pPr>
              <w:pStyle w:val="ListParagraph"/>
              <w:numPr>
                <w:ilvl w:val="0"/>
                <w:numId w:val="2"/>
              </w:numPr>
              <w:spacing w:after="45"/>
            </w:pPr>
            <w:r>
              <w:rPr>
                <w:sz w:val="15"/>
                <w:szCs w:val="15"/>
              </w:rPr>
              <w:t xml:space="preserve">The comutation analysis was limited by the absence of on-study biopsies, so resistance mechanisms are unknown and are being pursued in separate circulating tumour DNA studies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final intention-to-treat overall survival result is negative, HR 0.79 (0.56-1.12), one-sided P = .09 on 150 events, and the positive claim comes entirely from a rank-preserving structural failure time model that assumes the drug's effect is identical whenever it is given</w:t>
            </w:r>
          </w:p>
          <w:p>
            <w:pPr>
              <w:pStyle w:val="ListParagraph"/>
              <w:numPr>
                <w:ilvl w:val="0"/>
                <w:numId w:val="2"/>
              </w:numPr>
              <w:spacing w:after="45"/>
            </w:pPr>
            <w:r>
              <w:rPr>
                <w:sz w:val="15"/>
                <w:szCs w:val="15"/>
              </w:rPr>
              <w:t xml:space="preserve">The model-derived placebo median of 5.1 months is 2.4 months shorter than the 7.5 months actually observed, so the adjusted comparison replaces measured survival in the control arm with an estimate generated under the assumption being tested</w:t>
            </w:r>
          </w:p>
          <w:p>
            <w:pPr>
              <w:pStyle w:val="ListParagraph"/>
              <w:numPr>
                <w:ilvl w:val="0"/>
                <w:numId w:val="2"/>
              </w:numPr>
              <w:spacing w:after="45"/>
            </w:pPr>
            <w:r>
              <w:rPr>
                <w:sz w:val="15"/>
                <w:szCs w:val="15"/>
              </w:rPr>
              <w:t xml:space="preserve">70% of placebo patients, 43 of 61, crossed over; a design that routes the majority of controls onto the experimental drug cannot answer a survival question, and the paper describes this trade-off as supporting accrual rather than as removing the endpoint</w:t>
            </w:r>
          </w:p>
          <w:p>
            <w:pPr>
              <w:pStyle w:val="ListParagraph"/>
              <w:numPr>
                <w:ilvl w:val="0"/>
                <w:numId w:val="2"/>
              </w:numPr>
              <w:spacing w:after="45"/>
            </w:pPr>
            <w:r>
              <w:rPr>
                <w:sz w:val="15"/>
                <w:szCs w:val="15"/>
              </w:rPr>
              <w:t xml:space="preserve">Objective response was 2%, three partial responses, and the clinical signal is 51% against 28% stable disease, a category whose size depends on the scan interval; median treatment duration was 2.8 against 1.6 months</w:t>
            </w:r>
          </w:p>
          <w:p>
            <w:pPr>
              <w:pStyle w:val="ListParagraph"/>
              <w:numPr>
                <w:ilvl w:val="0"/>
                <w:numId w:val="2"/>
              </w:numPr>
              <w:spacing w:after="45"/>
            </w:pPr>
            <w:r>
              <w:rPr>
                <w:sz w:val="15"/>
                <w:szCs w:val="15"/>
              </w:rPr>
              <w:t xml:space="preserve">The comparator is placebo rather than the second-line standard established by ABC-06, so the trial establishes activity against nothing and not benefit against what a patient would otherwise be offered</w:t>
            </w:r>
          </w:p>
          <w:p>
            <w:pPr>
              <w:pStyle w:val="ListParagraph"/>
              <w:numPr>
                <w:ilvl w:val="0"/>
                <w:numId w:val="2"/>
              </w:numPr>
              <w:spacing w:after="45"/>
            </w:pPr>
            <w:r>
              <w:rPr>
                <w:sz w:val="15"/>
                <w:szCs w:val="15"/>
              </w:rPr>
              <w:t xml:space="preserve">Quality-of-life differences of 11.0 and 12.3 points are reported with P values from timepoints where, in the companion primary publication, fewer than half the placebo patients contributed data; the patients who felt worst progressed and left the study, which biases a between-arm comparison of those who remained</w:t>
            </w:r>
          </w:p>
          <w:p>
            <w:pPr>
              <w:pStyle w:val="ListParagraph"/>
              <w:numPr>
                <w:ilvl w:val="0"/>
                <w:numId w:val="2"/>
              </w:numPr>
              <w:spacing w:after="45"/>
            </w:pPr>
            <w:r>
              <w:rPr>
                <w:sz w:val="15"/>
                <w:szCs w:val="15"/>
              </w:rPr>
              <w:t xml:space="preserve">Baseline ascites was present in 27% and 21% of the arms, so the commonest grade 3 or worse event, ascites in 9% against 7%, is largely a disease event and the safety comparison carries almost no information about the drug</w:t>
            </w:r>
          </w:p>
          <w:p>
            <w:pPr>
              <w:pStyle w:val="ListParagraph"/>
              <w:numPr>
                <w:ilvl w:val="0"/>
                <w:numId w:val="2"/>
              </w:numPr>
              <w:spacing w:after="45"/>
            </w:pPr>
            <w:r>
              <w:rPr>
                <w:sz w:val="15"/>
                <w:szCs w:val="15"/>
              </w:rPr>
              <w:t xml:space="preserve">Protocol deviations are visible in the baseline data, with one ivosidenib patient at ECOG performance status 3 and one placebo patient at 2 against a stated requirement of 0 to 1, and these are not addressed in the analysis</w:t>
            </w:r>
          </w:p>
          <w:p>
            <w:pPr>
              <w:pStyle w:val="ListParagraph"/>
              <w:numPr>
                <w:ilvl w:val="0"/>
                <w:numId w:val="2"/>
              </w:numPr>
              <w:spacing w:after="45"/>
            </w:pPr>
            <w:r>
              <w:rPr>
                <w:sz w:val="15"/>
                <w:szCs w:val="15"/>
              </w:rPr>
              <w:t xml:space="preserve">The 10.3-month median survival is said to compare favourably with the published literature on chemotherapy and other targeted agents, a cross-trial comparison made in place of the randomised comparison the trial could not deliver</w:t>
            </w:r>
          </w:p>
          <w:p>
            <w:pPr>
              <w:pStyle w:val="ListParagraph"/>
              <w:numPr>
                <w:ilvl w:val="0"/>
                <w:numId w:val="2"/>
              </w:numPr>
              <w:spacing w:after="45"/>
            </w:pPr>
            <w:r>
              <w:rPr>
                <w:sz w:val="15"/>
                <w:szCs w:val="15"/>
              </w:rPr>
              <w:t xml:space="preserve">Only 15% of patients remained on ivosidenib for a year, so the benefit as experienced by most patients is a few weeks of radiographic stability</w:t>
            </w:r>
          </w:p>
          <w:p>
            <w:pPr>
              <w:pStyle w:val="ListParagraph"/>
              <w:numPr>
                <w:ilvl w:val="0"/>
                <w:numId w:val="2"/>
              </w:numPr>
              <w:spacing w:after="45"/>
            </w:pPr>
            <w:r>
              <w:rPr>
                <w:sz w:val="15"/>
                <w:szCs w:val="15"/>
              </w:rPr>
              <w:t xml:space="preserve">Agios designed the trial and analysed the data for its own drug, with company employees and stockholders as authors and no independent statistical replication described</w:t>
            </w:r>
          </w:p>
          <w:p>
            <w:pPr>
              <w:pStyle w:val="ListParagraph"/>
              <w:numPr>
                <w:ilvl w:val="0"/>
                <w:numId w:val="2"/>
              </w:numPr>
              <w:spacing w:after="45"/>
            </w:pPr>
            <w:r>
              <w:rPr>
                <w:sz w:val="15"/>
                <w:szCs w:val="15"/>
              </w:rPr>
              <w:t xml:space="preserve">The paper describes its own findings as heralding a paradigm shift in the same paragraph that concedes the primary survival analysis was confounded</w:t>
            </w:r>
          </w:p>
          <w:p>
            <w:pPr>
              <w:pStyle w:val="ListParagraph"/>
              <w:numPr>
                <w:ilvl w:val="0"/>
                <w:numId w:val="2"/>
              </w:numPr>
              <w:spacing w:after="45"/>
            </w:pPr>
            <w:r>
              <w:rPr>
                <w:sz w:val="15"/>
                <w:szCs w:val="15"/>
              </w:rPr>
              <w:t xml:space="preserve">Linked commentary and correspondence on the ClarIDHy primary report (de la Fouchardiere, PMID 32416071; Gervaso, Pellicori and Fazio, PMID 32758465) were paywalled and not read; the cost-effectiveness point attributed to them is second-hand and should be treated as provisional</w:t>
            </w:r>
          </w:p>
        </w:tc>
      </w:tr>
    </w:tbl>
    <w:p>
      <w:pPr>
        <w:spacing w:after="0" w:line="276"/>
      </w:pPr>
      <w:r>
        <w:rPr>
          <w:color w:val="5A6069"/>
          <w:sz w:val="14"/>
          <w:szCs w:val="14"/>
        </w:rPr>
        <w:t xml:space="preserve">Funding: Agios Pharmaceuticals, which designed the study and analysed the data and funded the medical writing; several authors were Agios employees or stockholders and the academic authors declare extensive consultancies and research funding across the industry</w:t>
      </w:r>
    </w:p>
    <w:p>
      <w:pPr>
        <w:keepNext/>
        <w:spacing w:after="50" w:before="260"/>
      </w:pPr>
      <w:r>
        <w:rPr>
          <w:rFonts w:ascii="Cambria" w:cs="Cambria" w:eastAsia="Cambria" w:hAnsi="Cambria"/>
          <w:b/>
          <w:bCs/>
          <w:color w:val="17365D"/>
          <w:sz w:val="20"/>
          <w:szCs w:val="20"/>
        </w:rPr>
        <w:t xml:space="preserve">de Vries 2020</w:t>
      </w:r>
      <w:r>
        <w:rPr>
          <w:b/>
          <w:bCs/>
          <w:color w:val="176A87"/>
          <w:sz w:val="15"/>
          <w:szCs w:val="15"/>
        </w:rPr>
        <w:t xml:space="preserve">   cohort</w:t>
      </w:r>
      <w:r>
        <w:rPr>
          <w:color w:val="5A6069"/>
          <w:sz w:val="15"/>
          <w:szCs w:val="15"/>
        </w:rPr>
        <w:t xml:space="preserve">   PMID 31858509</w:t>
      </w:r>
    </w:p>
    <w:p>
      <w:pPr>
        <w:spacing w:after="50" w:line="276"/>
      </w:pPr>
      <w:r>
        <w:rPr>
          <w:color w:val="5A6069"/>
          <w:sz w:val="17"/>
          <w:szCs w:val="17"/>
        </w:rPr>
        <w:t xml:space="preserve">Limited diagnostic accuracy and clinical impact of single-operator peroral cholangioscopy for indeterminate biliary strictures</w:t>
      </w:r>
    </w:p>
    <w:p>
      <w:pPr>
        <w:spacing w:after="50"/>
      </w:pPr>
      <w:r>
        <w:rPr>
          <w:b/>
          <w:bCs/>
          <w:color w:val="176A87"/>
          <w:sz w:val="16"/>
          <w:szCs w:val="16"/>
        </w:rPr>
        <w:t xml:space="preserve">Population. </w:t>
      </w:r>
      <w:r>
        <w:rPr>
          <w:sz w:val="16"/>
          <w:szCs w:val="16"/>
        </w:rPr>
        <w:t xml:space="preserve">80 patients with indeterminate biliary strictures who underwent single-operator peroral cholangioscopy at one Dutch tertiary centre between November 2007 and September 2018, from 185 cholangioscopies and 86 performed for that indication: 32 (40%) with primary sclerosing cholangitis, 36 (45%) with hilar strictures and 22 (28%) with a malignant final diagnosis; targeted biopsies were taken in 57 and brush cytology performed in 58</w:t>
      </w:r>
    </w:p>
    <w:p>
      <w:pPr>
        <w:spacing w:after="70"/>
      </w:pPr>
      <w:r>
        <w:rPr>
          <w:b/>
          <w:bCs/>
          <w:color w:val="17365D"/>
          <w:sz w:val="16"/>
          <w:szCs w:val="16"/>
        </w:rPr>
        <w:t xml:space="preserve">Bottom line. </w:t>
      </w:r>
      <w:r>
        <w:rPr>
          <w:sz w:val="16"/>
          <w:szCs w:val="16"/>
        </w:rPr>
        <w:t xml:space="preserve">In 80 patients with indeterminate strictures, 40% of them with primary sclerosing cholangitis and 45% hilar, single-operator cholangioscopy performed worse than the brush cytology taken at the same procedure: visual impression 64% sensitive and 62% specific, targeted biopsy 15% and 65%, brush cytology 47% and 95%, and the result changed management in 17%. The low biopsy figure is largely specimen failure rather than misreading, since 33% of biopsies were inconclusive on a median of three and excluding them raises specificity to 95.6% while sensitivity reaches only 21.4%, and the three tests were computed on three different overlapping subsets with no paired comparison. It is the strongest published warning that cholangioscopy's reported accuracy, most of it from first-generation devices in cohorts with little primary sclerosing cholangitis, does not transfer to a stented PSC population.</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Data were gathered over an extended period with two generations of cholangioscope, the majority of procedures using the lower-resolution first-generation device, which could have lowered diagnostic accuracy for both visual assessment and targeted biopsies; the authors note that the perceived value of the technique is itself largely based on first-generation studies</w:t>
            </w:r>
          </w:p>
          <w:p>
            <w:pPr>
              <w:pStyle w:val="ListParagraph"/>
              <w:numPr>
                <w:ilvl w:val="0"/>
                <w:numId w:val="2"/>
              </w:numPr>
              <w:spacing w:after="45"/>
            </w:pPr>
            <w:r>
              <w:rPr>
                <w:sz w:val="15"/>
                <w:szCs w:val="15"/>
              </w:rPr>
              <w:t xml:space="preserve">Endoscopists and pathologists were not blinded to previous diagnostic results, which could have influenced their assessment of visual features and tissue samples, although the authors would expect non-blinding to raise rather than lower accuracy</w:t>
            </w:r>
          </w:p>
          <w:p>
            <w:pPr>
              <w:pStyle w:val="ListParagraph"/>
              <w:numPr>
                <w:ilvl w:val="0"/>
                <w:numId w:val="2"/>
              </w:numPr>
              <w:spacing w:after="45"/>
            </w:pPr>
            <w:r>
              <w:rPr>
                <w:sz w:val="15"/>
                <w:szCs w:val="15"/>
              </w:rPr>
              <w:t xml:space="preserve">A plastic stent was removed immediately before cholangioscopy in 55%, a potential confounder for visual impression, targeted biopsies and brush cytology; the authors believe stent friction produces epithelial change and neovascularisation mistaken for neoplasia, and concede that the same manoeuvre or the biopsies may have raised the yield of the brush cytology taken afterwards</w:t>
            </w:r>
          </w:p>
          <w:p>
            <w:pPr>
              <w:pStyle w:val="ListParagraph"/>
              <w:numPr>
                <w:ilvl w:val="0"/>
                <w:numId w:val="2"/>
              </w:numPr>
              <w:spacing w:after="45"/>
            </w:pPr>
            <w:r>
              <w:rPr>
                <w:sz w:val="15"/>
                <w:szCs w:val="15"/>
              </w:rPr>
              <w:t xml:space="preserve">The tertiary referral setting carries a risk of selection bias that could have reduced the apparent accuracy, and the prevalence of primary sclerosing cholangitis at 40% is high, with visual assessment performing worst in that subgroup</w:t>
            </w:r>
          </w:p>
          <w:p>
            <w:pPr>
              <w:pStyle w:val="ListParagraph"/>
              <w:numPr>
                <w:ilvl w:val="0"/>
                <w:numId w:val="2"/>
              </w:numPr>
              <w:spacing w:after="45"/>
            </w:pPr>
            <w:r>
              <w:rPr>
                <w:sz w:val="15"/>
                <w:szCs w:val="15"/>
              </w:rPr>
              <w:t xml:space="preserve">A median of three biopsies with 33% inconclusive is the likely explanation for the low biopsy sensitivity; series reporting under 6% inconclusive took at least four biopsies, so the authors recommend a minimum of four, ideally with a pathologist on site</w:t>
            </w:r>
          </w:p>
          <w:p>
            <w:pPr>
              <w:pStyle w:val="ListParagraph"/>
              <w:numPr>
                <w:ilvl w:val="0"/>
                <w:numId w:val="2"/>
              </w:numPr>
              <w:spacing w:after="45"/>
            </w:pPr>
            <w:r>
              <w:rPr>
                <w:sz w:val="15"/>
                <w:szCs w:val="15"/>
              </w:rPr>
              <w:t xml:space="preserve">The reference standard allowed only 6 months of benign follow-up, which may misclassify indolent cholangiocarcinoma</w:t>
            </w:r>
          </w:p>
          <w:p>
            <w:pPr>
              <w:pStyle w:val="ListParagraph"/>
              <w:numPr>
                <w:ilvl w:val="0"/>
                <w:numId w:val="2"/>
              </w:numPr>
              <w:spacing w:after="45"/>
            </w:pPr>
            <w:r>
              <w:rPr>
                <w:sz w:val="15"/>
                <w:szCs w:val="15"/>
              </w:rPr>
              <w:t xml:space="preserve">No validated criteria for cholangioscopic visual assessment exist, and the criteria for pathological assessment and the processing of targeted biopsies are poorly reported in the comparison literature</w:t>
            </w:r>
          </w:p>
          <w:p>
            <w:pPr>
              <w:pStyle w:val="ListParagraph"/>
              <w:numPr>
                <w:ilvl w:val="0"/>
                <w:numId w:val="2"/>
              </w:numPr>
              <w:spacing w:after="45"/>
            </w:pPr>
            <w:r>
              <w:rPr>
                <w:sz w:val="15"/>
                <w:szCs w:val="15"/>
              </w:rPr>
              <w:t xml:space="preserve">The adverse event rate of 13% sits inside a reported range of 2.8% to 21.4% that reflects differences in definition and registration</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three tests are compared on three different and only partly overlapping subsets, visual impression in 80 patients, targeted biopsies in 57 and brush cytology in 58, with no paired statistical test anywhere, so the headline conclusion that brush cytology is superior rests on an unpaired comparison</w:t>
            </w:r>
          </w:p>
          <w:p>
            <w:pPr>
              <w:pStyle w:val="ListParagraph"/>
              <w:numPr>
                <w:ilvl w:val="0"/>
                <w:numId w:val="2"/>
              </w:numPr>
              <w:spacing w:after="45"/>
            </w:pPr>
            <w:r>
              <w:rPr>
                <w:sz w:val="15"/>
                <w:szCs w:val="15"/>
              </w:rPr>
              <w:t xml:space="preserve">Biopsy sensitivity is 15% with a 95% interval of 0% to 31%, so it is not distinguishable from nil, and the positive predictive value of 75% rests on 3 true positives and 1 false positive</w:t>
            </w:r>
          </w:p>
          <w:p>
            <w:pPr>
              <w:pStyle w:val="ListParagraph"/>
              <w:numPr>
                <w:ilvl w:val="0"/>
                <w:numId w:val="2"/>
              </w:numPr>
              <w:spacing w:after="45"/>
            </w:pPr>
            <w:r>
              <w:rPr>
                <w:sz w:val="15"/>
                <w:szCs w:val="15"/>
              </w:rPr>
              <w:t xml:space="preserve">The intention-to-diagnose analysis counts the 18 inconclusive biopsies (33%) as errors, which is what produces the 65% specificity; excluding them raises specificity to 95.6% while sensitivity reaches only 21.4%, so the headline numbers are driven by specimen failure rather than by misreading, a distinction the conclusion does not preserve</w:t>
            </w:r>
          </w:p>
          <w:p>
            <w:pPr>
              <w:pStyle w:val="ListParagraph"/>
              <w:numPr>
                <w:ilvl w:val="0"/>
                <w:numId w:val="2"/>
              </w:numPr>
              <w:spacing w:after="45"/>
            </w:pPr>
            <w:r>
              <w:rPr>
                <w:sz w:val="15"/>
                <w:szCs w:val="15"/>
              </w:rPr>
              <w:t xml:space="preserve">The number of biopsies was recorded in only 43 of 57 patients, so the median of three on which the sampling explanation rests is itself incomplete, and the recommendation of at least four biopsies comes from other series and from a non-significant trend in the 14 second-generation patients</w:t>
            </w:r>
          </w:p>
          <w:p>
            <w:pPr>
              <w:pStyle w:val="ListParagraph"/>
              <w:numPr>
                <w:ilvl w:val="0"/>
                <w:numId w:val="2"/>
              </w:numPr>
              <w:spacing w:after="45"/>
            </w:pPr>
            <w:r>
              <w:rPr>
                <w:sz w:val="15"/>
                <w:szCs w:val="15"/>
              </w:rPr>
              <w:t xml:space="preserve">Clinical impact was adjudicated retrospectively from the medical records by a single unblinded reviewer, the first author, against three categories he defined, with no second reviewer and no agreement statistic; the resulting 17% is then set against Chen's 64%, which is a comparison of two differently constructed adjudications</w:t>
            </w:r>
          </w:p>
          <w:p>
            <w:pPr>
              <w:pStyle w:val="ListParagraph"/>
              <w:numPr>
                <w:ilvl w:val="0"/>
                <w:numId w:val="2"/>
              </w:numPr>
              <w:spacing w:after="45"/>
            </w:pPr>
            <w:r>
              <w:rPr>
                <w:sz w:val="15"/>
                <w:szCs w:val="15"/>
              </w:rPr>
              <w:t xml:space="preserve">Twenty-six of 80 patients (33%) died during follow-up with no cause given per patient, while benign classification required only 6 months without malignant features, so a patient who died early without resection could be counted benign</w:t>
            </w:r>
          </w:p>
          <w:p>
            <w:pPr>
              <w:pStyle w:val="ListParagraph"/>
              <w:numPr>
                <w:ilvl w:val="0"/>
                <w:numId w:val="2"/>
              </w:numPr>
              <w:spacing w:after="45"/>
            </w:pPr>
            <w:r>
              <w:rPr>
                <w:sz w:val="15"/>
                <w:szCs w:val="15"/>
              </w:rPr>
              <w:t xml:space="preserve">Two patients with suspected cholangiocarcinoma but no definitive pathological diagnosis or resection are counted as malignant, so both arms of the reference standard rest partly on clinical judgement</w:t>
            </w:r>
          </w:p>
          <w:p>
            <w:pPr>
              <w:pStyle w:val="ListParagraph"/>
              <w:numPr>
                <w:ilvl w:val="0"/>
                <w:numId w:val="2"/>
              </w:numPr>
              <w:spacing w:after="45"/>
            </w:pPr>
            <w:r>
              <w:rPr>
                <w:sz w:val="15"/>
                <w:szCs w:val="15"/>
              </w:rPr>
              <w:t xml:space="preserve">Where the 4 premalignant lesions sit in the 2x2 tables is never stated: the tables use 22 malignant and 58 benign while the aetiology table lists 22 malignant plus 4 premalignant</w:t>
            </w:r>
          </w:p>
          <w:p>
            <w:pPr>
              <w:pStyle w:val="ListParagraph"/>
              <w:numPr>
                <w:ilvl w:val="0"/>
                <w:numId w:val="2"/>
              </w:numPr>
              <w:spacing w:after="45"/>
            </w:pPr>
            <w:r>
              <w:rPr>
                <w:sz w:val="15"/>
                <w:szCs w:val="15"/>
              </w:rPr>
              <w:t xml:space="preserve">Neovascularisation, the feature the authors identify as most affected by stents, is reported descriptively (12 of 22 malignant, 16 of 58 benign) with no accuracy calculation and no statistical test of the stent association (20 of 28 patients with neovascularisation had a stent removed, against 24 of 52 without)</w:t>
            </w:r>
          </w:p>
          <w:p>
            <w:pPr>
              <w:pStyle w:val="ListParagraph"/>
              <w:numPr>
                <w:ilvl w:val="0"/>
                <w:numId w:val="2"/>
              </w:numPr>
              <w:spacing w:after="45"/>
            </w:pPr>
            <w:r>
              <w:rPr>
                <w:sz w:val="15"/>
                <w:szCs w:val="15"/>
              </w:rPr>
              <w:t xml:space="preserve">The two explanations the paper offers for its negative result, the primary sclerosing cholangitis subgroup and the second-generation device, are both in supplementary tables, as are the likelihood ratios, so neither can be checked against the published text</w:t>
            </w:r>
          </w:p>
          <w:p>
            <w:pPr>
              <w:pStyle w:val="ListParagraph"/>
              <w:numPr>
                <w:ilvl w:val="0"/>
                <w:numId w:val="2"/>
              </w:numPr>
              <w:spacing w:after="45"/>
            </w:pPr>
            <w:r>
              <w:rPr>
                <w:sz w:val="15"/>
                <w:szCs w:val="15"/>
              </w:rPr>
              <w:t xml:space="preserve">Table 4 sets this study's 64%/62% and 15%/65% against twelve prior series reporting visual sensitivity of 78% to 100% and biopsy sensitivity of 43% to 88%, but several of those series do not state their primary sclerosing cholangitis prevalence and one excluded it, so the comparison that frames this result as an outlier is not matched on the variable the authors blame</w:t>
            </w:r>
          </w:p>
          <w:p>
            <w:pPr>
              <w:pStyle w:val="ListParagraph"/>
              <w:numPr>
                <w:ilvl w:val="0"/>
                <w:numId w:val="2"/>
              </w:numPr>
              <w:spacing w:after="45"/>
            </w:pPr>
            <w:r>
              <w:rPr>
                <w:sz w:val="15"/>
                <w:szCs w:val="15"/>
              </w:rPr>
              <w:t xml:space="preserve">Over 11 years, 86 cholangioscopies for this indication were performed by three endoscopists, roughly eight a year for the whole unit, and no per-operator results are given for a procedure the paper itself says requires expertise</w:t>
            </w:r>
          </w:p>
          <w:p>
            <w:pPr>
              <w:pStyle w:val="ListParagraph"/>
              <w:numPr>
                <w:ilvl w:val="0"/>
                <w:numId w:val="2"/>
              </w:numPr>
              <w:spacing w:after="45"/>
            </w:pPr>
            <w:r>
              <w:rPr>
                <w:sz w:val="15"/>
                <w:szCs w:val="15"/>
              </w:rPr>
              <w:t xml:space="preserve">A cardiac arrest during cholangioscopy followed by a stroke is counted inside the 13% adverse-event total but sits outside the three events labelled serious, so the stated serious-event rate of 4% excludes the most severe event recorded</w:t>
            </w:r>
          </w:p>
          <w:p>
            <w:pPr>
              <w:pStyle w:val="ListParagraph"/>
              <w:numPr>
                <w:ilvl w:val="0"/>
                <w:numId w:val="2"/>
              </w:numPr>
              <w:spacing w:after="45"/>
            </w:pPr>
            <w:r>
              <w:rPr>
                <w:sz w:val="15"/>
                <w:szCs w:val="15"/>
              </w:rPr>
              <w:t xml:space="preserve">Both false-positive brush cytology results occurred in non-PSC patients with a plastic stent removed before the procedure, that is by the same mechanism the authors invoke to explain cholangioscopy's false positives, and the comparator is nonetheless presented as superior</w:t>
            </w:r>
          </w:p>
          <w:p>
            <w:pPr>
              <w:pStyle w:val="ListParagraph"/>
              <w:numPr>
                <w:ilvl w:val="0"/>
                <w:numId w:val="2"/>
              </w:numPr>
              <w:spacing w:after="45"/>
            </w:pPr>
            <w:r>
              <w:rPr>
                <w:sz w:val="15"/>
                <w:szCs w:val="15"/>
              </w:rPr>
              <w:t xml:space="preserve">Cost is quoted at 4680 euros per patient from a single external reference with no local costing and no cost-effectiveness analysis, while the conclusion advises against adopting the technique as standard of care</w:t>
            </w:r>
          </w:p>
          <w:p>
            <w:pPr>
              <w:pStyle w:val="ListParagraph"/>
              <w:numPr>
                <w:ilvl w:val="0"/>
                <w:numId w:val="2"/>
              </w:numPr>
              <w:spacing w:after="45"/>
            </w:pPr>
            <w:r>
              <w:rPr>
                <w:sz w:val="15"/>
                <w:szCs w:val="15"/>
              </w:rPr>
              <w:t xml:space="preserve">No linked editorial or comment was found in PubMed</w:t>
            </w:r>
          </w:p>
        </w:tc>
      </w:tr>
    </w:tbl>
    <w:p>
      <w:pPr>
        <w:spacing w:after="0" w:line="276"/>
      </w:pPr>
      <w:r>
        <w:rPr>
          <w:color w:val="5A6069"/>
          <w:sz w:val="14"/>
          <w:szCs w:val="14"/>
        </w:rPr>
        <w:t xml:space="preserve">Funding: No funding statement; the authors declare that they have no conflict of interest, and no additional institutional review board permission was required because the study was retrospective</w:t>
      </w:r>
    </w:p>
    <w:p>
      <w:pPr>
        <w:keepNext/>
        <w:spacing w:after="50" w:before="260"/>
      </w:pPr>
      <w:r>
        <w:rPr>
          <w:rFonts w:ascii="Cambria" w:cs="Cambria" w:eastAsia="Cambria" w:hAnsi="Cambria"/>
          <w:b/>
          <w:bCs/>
          <w:color w:val="17365D"/>
          <w:sz w:val="20"/>
          <w:szCs w:val="20"/>
        </w:rPr>
        <w:t xml:space="preserve">DRAINAGE</w:t>
      </w:r>
      <w:r>
        <w:rPr>
          <w:b/>
          <w:bCs/>
          <w:color w:val="176A87"/>
          <w:sz w:val="15"/>
          <w:szCs w:val="15"/>
        </w:rPr>
        <w:t xml:space="preserve">   Randomised trial</w:t>
      </w:r>
      <w:r>
        <w:rPr>
          <w:color w:val="5A6069"/>
          <w:sz w:val="15"/>
          <w:szCs w:val="15"/>
        </w:rPr>
        <w:t xml:space="preserve">   PMID 30122355</w:t>
      </w:r>
    </w:p>
    <w:p>
      <w:pPr>
        <w:spacing w:after="50" w:line="276"/>
      </w:pPr>
      <w:r>
        <w:rPr>
          <w:color w:val="5A6069"/>
          <w:sz w:val="17"/>
          <w:szCs w:val="17"/>
        </w:rPr>
        <w:t xml:space="preserve">Endoscopic versus percutaneous biliary drainage in patients with resectable perihilar cholangiocarcinoma: a multicentre, randomised controlled trial</w:t>
      </w:r>
    </w:p>
    <w:p>
      <w:pPr>
        <w:spacing w:after="50"/>
      </w:pPr>
      <w:r>
        <w:rPr>
          <w:b/>
          <w:bCs/>
          <w:color w:val="176A87"/>
          <w:sz w:val="16"/>
          <w:szCs w:val="16"/>
        </w:rPr>
        <w:t xml:space="preserve">Population. </w:t>
      </w:r>
      <w:r>
        <w:rPr>
          <w:sz w:val="16"/>
          <w:szCs w:val="16"/>
        </w:rPr>
        <w:t xml:space="preserve">54 patients with potentially resectable perihilar cholangiocarcinoma requiring major hepatectomy and with biliary obstruction of the future liver remnant (bilirubin above 50 micromol/L), randomised 1:1 to endoscopic or percutaneous transhepatic drainage at four Dutch academic centres between 26 September 2013 and 29 April 2016, out of 261 screened and against a planned 106; 42 reached exploratory laparotomy and 23 resection</w:t>
      </w:r>
    </w:p>
    <w:p>
      <w:pPr>
        <w:spacing w:after="70"/>
      </w:pPr>
      <w:r>
        <w:rPr>
          <w:b/>
          <w:bCs/>
          <w:color w:val="17365D"/>
          <w:sz w:val="16"/>
          <w:szCs w:val="16"/>
        </w:rPr>
        <w:t xml:space="preserve">Bottom line. </w:t>
      </w:r>
      <w:r>
        <w:rPr>
          <w:sz w:val="16"/>
          <w:szCs w:val="16"/>
        </w:rPr>
        <w:t xml:space="preserve">DRAINAGE is the only completed randomised comparison of endoscopic and percutaneous drainage before resection of perihilar cholangiocarcinoma, and it was negative on its primary endpoint: severe drainage-related complications in 67% of the endoscopic and 63% of the percutaneous arm, relative risk 0.94 (95% CI 0.64-1.40). It was stopped at 54 of 106 patients on an all-cause mortality difference of 41% against 11% that its own authors call prone to type I error and for which no mechanism was found, in a cohort whose overall 90-day mortality was 26% against 10% in contemporaneous non-trial patients at the same centres. With 56% crossover from endoscopic to percutaneous drainage, what the trial compares is an endoscopic-first strategy with percutaneous rescue against primary percutaneous drainage, not the two techniques.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Early termination left a relatively small sample that was underpowered for the primary outcome, so the data should be interpreted with caution</w:t>
            </w:r>
          </w:p>
          <w:p>
            <w:pPr>
              <w:pStyle w:val="ListParagraph"/>
              <w:numPr>
                <w:ilvl w:val="0"/>
                <w:numId w:val="2"/>
              </w:numPr>
              <w:spacing w:after="45"/>
            </w:pPr>
            <w:r>
              <w:rPr>
                <w:sz w:val="15"/>
                <w:szCs w:val="15"/>
              </w:rPr>
              <w:t xml:space="preserve">The low patient numbers make the study prone to type I error, which the authors state explicitly of the mortality finding</w:t>
            </w:r>
          </w:p>
          <w:p>
            <w:pPr>
              <w:pStyle w:val="ListParagraph"/>
              <w:numPr>
                <w:ilvl w:val="0"/>
                <w:numId w:val="2"/>
              </w:numPr>
              <w:spacing w:after="45"/>
            </w:pPr>
            <w:r>
              <w:rPr>
                <w:sz w:val="15"/>
                <w:szCs w:val="15"/>
              </w:rPr>
              <w:t xml:space="preserve">A third of patients entered after failed or inadequate stenting elsewhere, which might have selected patients at risk of worse outcome and affected the outcome of subsequent procedures, although a sensitivity analysis excluding them showed no difference</w:t>
            </w:r>
          </w:p>
          <w:p>
            <w:pPr>
              <w:pStyle w:val="ListParagraph"/>
              <w:numPr>
                <w:ilvl w:val="0"/>
                <w:numId w:val="2"/>
              </w:numPr>
              <w:spacing w:after="45"/>
            </w:pPr>
            <w:r>
              <w:rPr>
                <w:sz w:val="15"/>
                <w:szCs w:val="15"/>
              </w:rPr>
              <w:t xml:space="preserve">No causal relation for the excess mortality was identified by the safety monitoring board or the steering committee, and the cause remains unresolved</w:t>
            </w:r>
          </w:p>
          <w:p>
            <w:pPr>
              <w:pStyle w:val="ListParagraph"/>
              <w:numPr>
                <w:ilvl w:val="0"/>
                <w:numId w:val="2"/>
              </w:numPr>
              <w:spacing w:after="45"/>
            </w:pPr>
            <w:r>
              <w:rPr>
                <w:sz w:val="15"/>
                <w:szCs w:val="15"/>
              </w:rPr>
              <w:t xml:space="preserve">Details on bile loss and bile cultures were not collected, reflecting standard care, although they would have been valuable for the hypotheses offered</w:t>
            </w:r>
          </w:p>
          <w:p>
            <w:pPr>
              <w:pStyle w:val="ListParagraph"/>
              <w:numPr>
                <w:ilvl w:val="0"/>
                <w:numId w:val="2"/>
              </w:numPr>
              <w:spacing w:after="45"/>
            </w:pPr>
            <w:r>
              <w:rPr>
                <w:sz w:val="15"/>
                <w:szCs w:val="15"/>
              </w:rPr>
              <w:t xml:space="preserve">13% of randomised patients had advanced tumours or benign disease on additional staging after randomisation, which probably affected survival outcomes</w:t>
            </w:r>
          </w:p>
          <w:p>
            <w:pPr>
              <w:pStyle w:val="ListParagraph"/>
              <w:numPr>
                <w:ilvl w:val="0"/>
                <w:numId w:val="2"/>
              </w:numPr>
              <w:spacing w:after="45"/>
            </w:pPr>
            <w:r>
              <w:rPr>
                <w:sz w:val="15"/>
                <w:szCs w:val="15"/>
              </w:rPr>
              <w:t xml:space="preserve">The 90-day mortality after resection of 30% is remarkably high against 10% in similar patients treated at the same centres but not recruited during the trial period, which the authors attribute to the high number of extended resections with portal vein reconstruction</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trial was designed to show superiority of percutaneous drainage and powered on an assumed complication rate of 50% endoscopic against 25% percutaneous; the observed rates were 67% and 63%, so the hypothesised effect was absent and the trial was stopped for a harm in the arm it was built to favour</w:t>
            </w:r>
          </w:p>
          <w:p>
            <w:pPr>
              <w:pStyle w:val="ListParagraph"/>
              <w:numPr>
                <w:ilvl w:val="0"/>
                <w:numId w:val="2"/>
              </w:numPr>
              <w:spacing w:after="45"/>
            </w:pPr>
            <w:r>
              <w:rPr>
                <w:sz w:val="15"/>
                <w:szCs w:val="15"/>
              </w:rPr>
              <w:t xml:space="preserve">The stopping rule was not prespecified: after the first annual progress report the safety board decided the trial would end if the mortality imbalance increased without a satisfying explanation, with no alpha-spending function and no formal boundary, and the endpoint used was all-cause mortality from randomisation to 90 days after surgery, a window not among the listed secondary outcomes</w:t>
            </w:r>
          </w:p>
          <w:p>
            <w:pPr>
              <w:pStyle w:val="ListParagraph"/>
              <w:numPr>
                <w:ilvl w:val="0"/>
                <w:numId w:val="2"/>
              </w:numPr>
              <w:spacing w:after="45"/>
            </w:pPr>
            <w:r>
              <w:rPr>
                <w:sz w:val="15"/>
                <w:szCs w:val="15"/>
              </w:rPr>
              <w:t xml:space="preserve">The 11 deaths in the percutaneous arm include two myocardial infarctions and one progressive disease in patients found unresectable, and one patient with therapy-resistant cholangitis who requested euthanasia, so the stopping decision rests on all-cause mortality rather than on drainage-attributable death</w:t>
            </w:r>
          </w:p>
          <w:p>
            <w:pPr>
              <w:pStyle w:val="ListParagraph"/>
              <w:numPr>
                <w:ilvl w:val="0"/>
                <w:numId w:val="2"/>
              </w:numPr>
              <w:spacing w:after="45"/>
            </w:pPr>
            <w:r>
              <w:rPr>
                <w:sz w:val="15"/>
                <w:szCs w:val="15"/>
              </w:rPr>
              <w:t xml:space="preserve">The prespecified primary analysis was a Mann-Whitney U test on the number of complications; the paper reports a Jonckheere-Terpstra test instead (p=0.88), a change made after termination because of the small sample</w:t>
            </w:r>
          </w:p>
          <w:p>
            <w:pPr>
              <w:pStyle w:val="ListParagraph"/>
              <w:numPr>
                <w:ilvl w:val="0"/>
                <w:numId w:val="2"/>
              </w:numPr>
              <w:spacing w:after="45"/>
            </w:pPr>
            <w:r>
              <w:rPr>
                <w:sz w:val="15"/>
                <w:szCs w:val="15"/>
              </w:rPr>
              <w:t xml:space="preserve">56% of the endoscopic arm crossed over to percutaneous drainage and crossover was mandatory after two failed endoscopic attempts, so the comparison is of initial strategies and the best-performing arm is in effect endoscopic-first with percutaneous rescue; the post-hoc three-way split gives 9% mortality for endoscopic only, 13% for both routes and 41% for percutaneous only, on 11 to 27 patients per cell</w:t>
            </w:r>
          </w:p>
          <w:p>
            <w:pPr>
              <w:pStyle w:val="ListParagraph"/>
              <w:numPr>
                <w:ilvl w:val="0"/>
                <w:numId w:val="2"/>
              </w:numPr>
              <w:spacing w:after="45"/>
            </w:pPr>
            <w:r>
              <w:rPr>
                <w:sz w:val="15"/>
                <w:szCs w:val="15"/>
              </w:rPr>
              <w:t xml:space="preserve">Percutaneous drainage was better on the process measures: technical success 93% against 74% (p=0.07), therapeutic success 78% against 63%, shorter procedure duration and only one crossover; yet bilirubin at two weeks was lower in the endoscopic arm (49 against 100 micromol/L, p=0.04), which is not reconciled with its lower technical success</w:t>
            </w:r>
          </w:p>
          <w:p>
            <w:pPr>
              <w:pStyle w:val="ListParagraph"/>
              <w:numPr>
                <w:ilvl w:val="0"/>
                <w:numId w:val="2"/>
              </w:numPr>
              <w:spacing w:after="45"/>
            </w:pPr>
            <w:r>
              <w:rPr>
                <w:sz w:val="15"/>
                <w:szCs w:val="15"/>
              </w:rPr>
              <w:t xml:space="preserve">The baseline table declares the groups similar without a single P value, while C-reactive protein was 10 mg/L (6-19) against 21 (15-32), leucocytes 7.8 against 9.4 x10^9/L and total bilirubin 249 against 280 micromol/L, all higher in the percutaneous arm; none of these was a stratification factor and no analysis adjusts for them</w:t>
            </w:r>
          </w:p>
          <w:p>
            <w:pPr>
              <w:pStyle w:val="ListParagraph"/>
              <w:numPr>
                <w:ilvl w:val="0"/>
                <w:numId w:val="2"/>
              </w:numPr>
              <w:spacing w:after="45"/>
            </w:pPr>
            <w:r>
              <w:rPr>
                <w:sz w:val="15"/>
                <w:szCs w:val="15"/>
              </w:rPr>
              <w:t xml:space="preserve">Eastern Cooperative Oncology Group scores were missing for three patients in the endoscopic arm and the printed rows account for only 24 of 27</w:t>
            </w:r>
          </w:p>
          <w:p>
            <w:pPr>
              <w:pStyle w:val="ListParagraph"/>
              <w:numPr>
                <w:ilvl w:val="0"/>
                <w:numId w:val="2"/>
              </w:numPr>
              <w:spacing w:after="45"/>
            </w:pPr>
            <w:r>
              <w:rPr>
                <w:sz w:val="15"/>
                <w:szCs w:val="15"/>
              </w:rPr>
              <w:t xml:space="preserve">Percutaneous drains were left in situ postoperatively as transanastomotic drains in 100% of the percutaneous arm against 50% of the endoscopic arm, a difference in postoperative management rather than in preoperative drainage route, and it is not separated from the mortality signal</w:t>
            </w:r>
          </w:p>
          <w:p>
            <w:pPr>
              <w:pStyle w:val="ListParagraph"/>
              <w:numPr>
                <w:ilvl w:val="0"/>
                <w:numId w:val="2"/>
              </w:numPr>
              <w:spacing w:after="45"/>
            </w:pPr>
            <w:r>
              <w:rPr>
                <w:sz w:val="15"/>
                <w:szCs w:val="15"/>
              </w:rPr>
              <w:t xml:space="preserve">The percutaneous arm waited 16 days longer for surgery (65 against 49 days, p=0.07) and carried drains 18 days longer (65 against 47 days, p=0.01), an exposure difference that could itself produce progression and deconditioning</w:t>
            </w:r>
          </w:p>
          <w:p>
            <w:pPr>
              <w:pStyle w:val="ListParagraph"/>
              <w:numPr>
                <w:ilvl w:val="0"/>
                <w:numId w:val="2"/>
              </w:numPr>
              <w:spacing w:after="45"/>
            </w:pPr>
            <w:r>
              <w:rPr>
                <w:sz w:val="15"/>
                <w:szCs w:val="15"/>
              </w:rPr>
              <w:t xml:space="preserve">Blood loss was 2372 mL in the endoscopic arm against 1450 mL in the percutaneous arm, so the arm with far greater operative blood loss had the lower mortality, and this is not discussed</w:t>
            </w:r>
          </w:p>
          <w:p>
            <w:pPr>
              <w:pStyle w:val="ListParagraph"/>
              <w:numPr>
                <w:ilvl w:val="0"/>
                <w:numId w:val="2"/>
              </w:numPr>
              <w:spacing w:after="45"/>
            </w:pPr>
            <w:r>
              <w:rPr>
                <w:sz w:val="15"/>
                <w:szCs w:val="15"/>
              </w:rPr>
              <w:t xml:space="preserve">The 90-day postoperative mortality comparison is relative risk 2.93 (95% CI 0.91-9.55), an interval including 1, and no sample size or power calculation was ever made for a mortality comparison</w:t>
            </w:r>
          </w:p>
          <w:p>
            <w:pPr>
              <w:pStyle w:val="ListParagraph"/>
              <w:numPr>
                <w:ilvl w:val="0"/>
                <w:numId w:val="2"/>
              </w:numPr>
              <w:spacing w:after="45"/>
            </w:pPr>
            <w:r>
              <w:rPr>
                <w:sz w:val="15"/>
                <w:szCs w:val="15"/>
              </w:rPr>
              <w:t xml:space="preserve">The 10% mortality in 100 contemporaneous non-trial patients that makes the trial's 26% look anomalous appears only in the appendix with no matching for extent of resection, so the comparison framing the result is itself unadjusted</w:t>
            </w:r>
          </w:p>
          <w:p>
            <w:pPr>
              <w:pStyle w:val="ListParagraph"/>
              <w:numPr>
                <w:ilvl w:val="0"/>
                <w:numId w:val="2"/>
              </w:numPr>
              <w:spacing w:after="45"/>
            </w:pPr>
            <w:r>
              <w:rPr>
                <w:sz w:val="15"/>
                <w:szCs w:val="15"/>
              </w:rPr>
              <w:t xml:space="preserve">Three of 23 resection specimens showed benign inflammatory lesions and one further patient was diagnosed with IgG4-related sclerosing cholangitis, so part of the randomised population did not have the disease under study</w:t>
            </w:r>
          </w:p>
          <w:p>
            <w:pPr>
              <w:pStyle w:val="ListParagraph"/>
              <w:numPr>
                <w:ilvl w:val="0"/>
                <w:numId w:val="2"/>
              </w:numPr>
              <w:spacing w:after="45"/>
            </w:pPr>
            <w:r>
              <w:rPr>
                <w:sz w:val="15"/>
                <w:szCs w:val="15"/>
              </w:rPr>
              <w:t xml:space="preserve">Of 261 screened only 54 were randomised, and 54 of the excluded patients were excluded because the future liver remnant was already adequately drained, so the trial does not address the common situation of a patient arriving already stented</w:t>
            </w:r>
          </w:p>
          <w:p>
            <w:pPr>
              <w:pStyle w:val="ListParagraph"/>
              <w:numPr>
                <w:ilvl w:val="0"/>
                <w:numId w:val="2"/>
              </w:numPr>
              <w:spacing w:after="45"/>
            </w:pPr>
            <w:r>
              <w:rPr>
                <w:sz w:val="15"/>
                <w:szCs w:val="15"/>
              </w:rPr>
              <w:t xml:space="preserve">Enrolment ran 31 months across the four centres that treat most Dutch patients to reach 54, roughly 0.4 patients per centre per month, and no screening log by centre is published</w:t>
            </w:r>
          </w:p>
          <w:p>
            <w:pPr>
              <w:pStyle w:val="ListParagraph"/>
              <w:numPr>
                <w:ilvl w:val="0"/>
                <w:numId w:val="2"/>
              </w:numPr>
              <w:spacing w:after="45"/>
            </w:pPr>
            <w:r>
              <w:rPr>
                <w:sz w:val="15"/>
                <w:szCs w:val="15"/>
              </w:rPr>
              <w:t xml:space="preserve">The practical conclusions the authors draw, that drainage should follow resectability assessment at a specialist centre, be selective to the future liver remnant, and may be unnecessary when the remnant exceeds 50% of liver volume, come from Farges and Wiggers and not from anything this trial randomised</w:t>
            </w:r>
          </w:p>
          <w:p>
            <w:pPr>
              <w:pStyle w:val="ListParagraph"/>
              <w:numPr>
                <w:ilvl w:val="0"/>
                <w:numId w:val="2"/>
              </w:numPr>
              <w:spacing w:after="45"/>
            </w:pPr>
            <w:r>
              <w:rPr>
                <w:sz w:val="15"/>
                <w:szCs w:val="15"/>
              </w:rPr>
              <w:t xml:space="preserve">A linked Comment (Bridgewater, Webster and Amin, Lancet Gastroenterol Hepatol 2018;3:657-58, PMID 30122357) was identified in PubMed but could not be obtained, so no point above draws on it</w:t>
            </w:r>
          </w:p>
        </w:tc>
      </w:tr>
    </w:tbl>
    <w:p>
      <w:pPr>
        <w:spacing w:after="0" w:line="276"/>
      </w:pPr>
      <w:r>
        <w:rPr>
          <w:color w:val="5A6069"/>
          <w:sz w:val="14"/>
          <w:szCs w:val="14"/>
        </w:rPr>
        <w:t xml:space="preserve">Funding: Funding for data management from the Dutch Cancer Foundation (grant UVA 2013-5925), with no funder role in design, data collection, analysis, interpretation or writing; P. Fockens declares personal fees from Boston Scientific, Cook Endoscopy, Fujifilm, Olympus and Ethicon Endosurgery and J. E. van Hooft grants from Cook Endoscopy and Medtronic plus personal fees from Boston Scientific and Abbott, all outside the submitted work</w:t>
      </w:r>
    </w:p>
    <w:p>
      <w:pPr>
        <w:keepNext/>
        <w:spacing w:after="50" w:before="260"/>
      </w:pPr>
      <w:r>
        <w:rPr>
          <w:rFonts w:ascii="Cambria" w:cs="Cambria" w:eastAsia="Cambria" w:hAnsi="Cambria"/>
          <w:b/>
          <w:bCs/>
          <w:color w:val="17365D"/>
          <w:sz w:val="20"/>
          <w:szCs w:val="20"/>
        </w:rPr>
        <w:t xml:space="preserve">ERCP vs EUS</w:t>
      </w:r>
      <w:r>
        <w:rPr>
          <w:b/>
          <w:bCs/>
          <w:color w:val="176A87"/>
          <w:sz w:val="15"/>
          <w:szCs w:val="15"/>
        </w:rPr>
        <w:t xml:space="preserve">   Meta-analysis</w:t>
      </w:r>
      <w:r>
        <w:rPr>
          <w:color w:val="5A6069"/>
          <w:sz w:val="15"/>
          <w:szCs w:val="15"/>
        </w:rPr>
        <w:t xml:space="preserve">   PMID 27824027</w:t>
      </w:r>
    </w:p>
    <w:p>
      <w:pPr>
        <w:spacing w:after="50" w:line="276"/>
      </w:pPr>
      <w:r>
        <w:rPr>
          <w:color w:val="5A6069"/>
          <w:sz w:val="17"/>
          <w:szCs w:val="17"/>
        </w:rPr>
        <w:t xml:space="preserve">Endoscopic retrograde cholangiopancreatography versus endoscopic ultrasound for tissue diagnosis of malignant biliary stricture: Systematic review and meta-analysis</w:t>
      </w:r>
    </w:p>
    <w:p>
      <w:pPr>
        <w:spacing w:after="50"/>
      </w:pPr>
      <w:r>
        <w:rPr>
          <w:b/>
          <w:bCs/>
          <w:color w:val="176A87"/>
          <w:sz w:val="16"/>
          <w:szCs w:val="16"/>
        </w:rPr>
        <w:t xml:space="preserve">Population. </w:t>
      </w:r>
      <w:r>
        <w:rPr>
          <w:sz w:val="16"/>
          <w:szCs w:val="16"/>
        </w:rPr>
        <w:t xml:space="preserve">294 patients from 8 studies of ERCP-based brushing and forceps biopsy against EUS-guided fine-needle aspiration for suspected malignant biliary stricture, searched to November 2014; only 3 of the 8 applied both tests to the same patients and the pooled pre-test probability of malignancy was 76.66%</w:t>
      </w:r>
    </w:p>
    <w:p>
      <w:pPr>
        <w:spacing w:after="70"/>
      </w:pPr>
      <w:r>
        <w:rPr>
          <w:b/>
          <w:bCs/>
          <w:color w:val="17365D"/>
          <w:sz w:val="16"/>
          <w:szCs w:val="16"/>
        </w:rPr>
        <w:t xml:space="preserve">Bottom line. </w:t>
      </w:r>
      <w:r>
        <w:rPr>
          <w:sz w:val="16"/>
          <w:szCs w:val="16"/>
        </w:rPr>
        <w:t xml:space="preserve">This review reports EUS-guided fine-needle aspiration as more sensitive than ERCP brushing and forceps biopsy for a malignant biliary stricture, 75% against 49%, with specificity of 100% in every included study. The comparison is largely indirect: only 3 of 8 studies applied both tests to the same patients, the ERCP figure comes from those three alone, the synthesis is an unweighted mean of percentages, and the three proximal-stricture studies enrolled patients only after ERCP sampling had failed. For a perihilar stricture the usable message is the inverse of the headline, that ERCP sampling is roughly 50% sensitive, that transperitoneal EUS sampling is off-limits in a transplant candidate, which this review never mentions, and that a negative result on either test excludes nothing.</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No limitations section beyond two sentences: the authors state that none of the included studies were randomised trials, and then write that 'the negative predictive value is very high, which in the case of a negative test, means that one cannot exclude the disease', which inverts their own finding that the negative predictive value is low</w:t>
            </w:r>
          </w:p>
          <w:p>
            <w:pPr>
              <w:pStyle w:val="ListParagraph"/>
              <w:numPr>
                <w:ilvl w:val="0"/>
                <w:numId w:val="2"/>
              </w:numPr>
              <w:spacing w:after="45"/>
            </w:pPr>
            <w:r>
              <w:rPr>
                <w:sz w:val="15"/>
                <w:szCs w:val="15"/>
              </w:rPr>
              <w:t xml:space="preserve">The authors name the location of the lesion as the greatest source of bias in the review, with three studies selecting proximal lesions, one distal, and four not reporting location</w:t>
            </w:r>
          </w:p>
          <w:p>
            <w:pPr>
              <w:pStyle w:val="ListParagraph"/>
              <w:numPr>
                <w:ilvl w:val="0"/>
                <w:numId w:val="2"/>
              </w:numPr>
              <w:spacing w:after="45"/>
            </w:pPr>
            <w:r>
              <w:rPr>
                <w:sz w:val="15"/>
                <w:szCs w:val="15"/>
              </w:rPr>
              <w:t xml:space="preserve">Differences in lesion size between studies may have facilitated diagnosis and are named as the other main source of bias, the study with the largest mean lesion size reporting the best results</w:t>
            </w:r>
          </w:p>
          <w:p>
            <w:pPr>
              <w:pStyle w:val="ListParagraph"/>
              <w:numPr>
                <w:ilvl w:val="0"/>
                <w:numId w:val="2"/>
              </w:numPr>
              <w:spacing w:after="45"/>
            </w:pPr>
            <w:r>
              <w:rPr>
                <w:sz w:val="15"/>
                <w:szCs w:val="15"/>
              </w:rPr>
              <w:t xml:space="preserve">The authors concede that EUS-guided aspiration does better in distal lesions and ERCP in proximal ones, that lesions under 10 mm and lesions presenting as wall thickening have very low sensitivity by EUS, and that ERCP with cholangioscopy is preferable in those cases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central comparison is not like with like: the ERCP mean sensitivity of 49% (SD 2.64) comes from the three studies that applied both tests, while the EUS mean of 75% (SD 19.87) comes from all eight, so the headline contrast pools two different evidence bases</w:t>
            </w:r>
          </w:p>
          <w:p>
            <w:pPr>
              <w:pStyle w:val="ListParagraph"/>
              <w:numPr>
                <w:ilvl w:val="0"/>
                <w:numId w:val="2"/>
              </w:numPr>
              <w:spacing w:after="45"/>
            </w:pPr>
            <w:r>
              <w:rPr>
                <w:sz w:val="15"/>
                <w:szCs w:val="15"/>
              </w:rPr>
              <w:t xml:space="preserve">The synthesis is an unweighted arithmetic mean of study-level percentages with standard deviations, with no random-effects model, no pooled confidence interval, no I-squared and no bivariate model, although the paper is presented as a meta-analysis performed in RevMan 5.3</w:t>
            </w:r>
          </w:p>
          <w:p>
            <w:pPr>
              <w:pStyle w:val="ListParagraph"/>
              <w:numPr>
                <w:ilvl w:val="0"/>
                <w:numId w:val="2"/>
              </w:numPr>
              <w:spacing w:after="45"/>
            </w:pPr>
            <w:r>
              <w:rPr>
                <w:sz w:val="15"/>
                <w:szCs w:val="15"/>
              </w:rPr>
              <w:t xml:space="preserve">Three mutually inconsistent sets of accuracy figures appear: the per-study tables, the means (79% against 60.66%), and a receiver operating characteristic analysis reporting EUS sensitivity and specificity of 87% and 90% against ERCP's 75% and 81%, figures that appear nowhere else and contradict the 100% specificity reported for EUS in every included study</w:t>
            </w:r>
          </w:p>
          <w:p>
            <w:pPr>
              <w:pStyle w:val="ListParagraph"/>
              <w:numPr>
                <w:ilvl w:val="0"/>
                <w:numId w:val="2"/>
              </w:numPr>
              <w:spacing w:after="45"/>
            </w:pPr>
            <w:r>
              <w:rPr>
                <w:sz w:val="15"/>
                <w:szCs w:val="15"/>
              </w:rPr>
              <w:t xml:space="preserve">A fourth pair of figures is produced with an online calculator cited as a reference, giving positive post-test probability and accuracy of 96.5% and 87.7% for EUS and 92.5% and 74.4% for ERCP</w:t>
            </w:r>
          </w:p>
          <w:p>
            <w:pPr>
              <w:pStyle w:val="ListParagraph"/>
              <w:numPr>
                <w:ilvl w:val="0"/>
                <w:numId w:val="2"/>
              </w:numPr>
              <w:spacing w:after="45"/>
            </w:pPr>
            <w:r>
              <w:rPr>
                <w:sz w:val="15"/>
                <w:szCs w:val="15"/>
              </w:rPr>
              <w:t xml:space="preserve">Specificity and positive predictive value are 100% for EUS-guided aspiration in all eight studies, that is not one false positive in any cohort; the gold standard is described as histopathology from surgery or from the index test, so the index test can serve as its own reference standard and a false positive is structurally impossible</w:t>
            </w:r>
          </w:p>
          <w:p>
            <w:pPr>
              <w:pStyle w:val="ListParagraph"/>
              <w:numPr>
                <w:ilvl w:val="0"/>
                <w:numId w:val="2"/>
              </w:numPr>
              <w:spacing w:after="45"/>
            </w:pPr>
            <w:r>
              <w:rPr>
                <w:sz w:val="15"/>
                <w:szCs w:val="15"/>
              </w:rPr>
              <w:t xml:space="preserve">Rosch 2004 is given identical sensitivity, specificity, positive and negative predictive value and accuracy for both tests (46%, 100%, 100%, 60%, 70%), which is implausible for two different tests and reads as one row copied into both</w:t>
            </w:r>
          </w:p>
          <w:p>
            <w:pPr>
              <w:pStyle w:val="ListParagraph"/>
              <w:numPr>
                <w:ilvl w:val="0"/>
                <w:numId w:val="2"/>
              </w:numPr>
              <w:spacing w:after="45"/>
            </w:pPr>
            <w:r>
              <w:rPr>
                <w:sz w:val="15"/>
                <w:szCs w:val="15"/>
              </w:rPr>
              <w:t xml:space="preserve">The proximal-stricture studies (DeWitt, Fritscher-Ravens, Nayar) enrolled patients only after ERCP sampling had already failed or been non-diagnostic, which fixes a low ERCP sensitivity by design; the review never stratifies by stricture level despite naming location as its greatest bias</w:t>
            </w:r>
          </w:p>
          <w:p>
            <w:pPr>
              <w:pStyle w:val="ListParagraph"/>
              <w:numPr>
                <w:ilvl w:val="0"/>
                <w:numId w:val="2"/>
              </w:numPr>
              <w:spacing w:after="45"/>
            </w:pPr>
            <w:r>
              <w:rPr>
                <w:sz w:val="15"/>
                <w:szCs w:val="15"/>
              </w:rPr>
              <w:t xml:space="preserve">Predictive values are reported at a pooled pre-test probability of 76.66%, with per-study values from 50% to 96%, and are never re-derived at a prevalence a clinician would face</w:t>
            </w:r>
          </w:p>
          <w:p>
            <w:pPr>
              <w:pStyle w:val="ListParagraph"/>
              <w:numPr>
                <w:ilvl w:val="0"/>
                <w:numId w:val="2"/>
              </w:numPr>
              <w:spacing w:after="45"/>
            </w:pPr>
            <w:r>
              <w:rPr>
                <w:sz w:val="15"/>
                <w:szCs w:val="15"/>
              </w:rPr>
              <w:t xml:space="preserve">Publication bias is discussed in the abstract sense but never assessed: no funnel plot, no Egger test, no Deeks test</w:t>
            </w:r>
          </w:p>
          <w:p>
            <w:pPr>
              <w:pStyle w:val="ListParagraph"/>
              <w:numPr>
                <w:ilvl w:val="0"/>
                <w:numId w:val="2"/>
              </w:numPr>
              <w:spacing w:after="45"/>
            </w:pPr>
            <w:r>
              <w:rPr>
                <w:sz w:val="15"/>
                <w:szCs w:val="15"/>
              </w:rPr>
              <w:t xml:space="preserve">QUADAS-2 is reported narratively with the conclusion that most studies did not impose bias, immediately after naming lesion location as the greatest bias, and no domain-level table appears in the text</w:t>
            </w:r>
          </w:p>
          <w:p>
            <w:pPr>
              <w:pStyle w:val="ListParagraph"/>
              <w:numPr>
                <w:ilvl w:val="0"/>
                <w:numId w:val="2"/>
              </w:numPr>
              <w:spacing w:after="45"/>
            </w:pPr>
            <w:r>
              <w:rPr>
                <w:sz w:val="15"/>
                <w:szCs w:val="15"/>
              </w:rPr>
              <w:t xml:space="preserve">The excluded-study list in the PRISMA figure is a free-text block with 50 of 58 full texts excluded, 23 of them labelled review, and includes a citation dated 2985, so the exclusions cannot be audited</w:t>
            </w:r>
          </w:p>
          <w:p>
            <w:pPr>
              <w:pStyle w:val="ListParagraph"/>
              <w:numPr>
                <w:ilvl w:val="0"/>
                <w:numId w:val="2"/>
              </w:numPr>
              <w:spacing w:after="45"/>
            </w:pPr>
            <w:r>
              <w:rPr>
                <w:sz w:val="15"/>
                <w:szCs w:val="15"/>
              </w:rPr>
              <w:t xml:space="preserve">The search ends in November 2014 for a paper published online in 2016 and carrying a 2018 citation, so several years of comparative data are missing by the time it appeared</w:t>
            </w:r>
          </w:p>
          <w:p>
            <w:pPr>
              <w:pStyle w:val="ListParagraph"/>
              <w:numPr>
                <w:ilvl w:val="0"/>
                <w:numId w:val="2"/>
              </w:numPr>
              <w:spacing w:after="45"/>
            </w:pPr>
            <w:r>
              <w:rPr>
                <w:sz w:val="15"/>
                <w:szCs w:val="15"/>
              </w:rPr>
              <w:t xml:space="preserve">Nothing in the review mentions the central constraint for a hilar patient, that transperitoneal EUS-guided aspiration of the primary tumour disqualifies a candidate under the Mayo transplant protocol and carries a reported peritoneal seeding signal, although Klatskin tumour is one of the paper's keywords</w:t>
            </w:r>
          </w:p>
          <w:p>
            <w:pPr>
              <w:pStyle w:val="ListParagraph"/>
              <w:numPr>
                <w:ilvl w:val="0"/>
                <w:numId w:val="2"/>
              </w:numPr>
              <w:spacing w:after="45"/>
            </w:pPr>
            <w:r>
              <w:rPr>
                <w:sz w:val="15"/>
                <w:szCs w:val="15"/>
              </w:rPr>
              <w:t xml:space="preserve">The conclusion recommends EUS-guided aspiration over ERCP for malignant biliary strictures generally, without the location caveat the Discussion itself raises</w:t>
            </w:r>
          </w:p>
          <w:p>
            <w:pPr>
              <w:pStyle w:val="ListParagraph"/>
              <w:numPr>
                <w:ilvl w:val="0"/>
                <w:numId w:val="2"/>
              </w:numPr>
              <w:spacing w:after="45"/>
            </w:pPr>
            <w:r>
              <w:rPr>
                <w:sz w:val="15"/>
                <w:szCs w:val="15"/>
              </w:rPr>
              <w:t xml:space="preserve">No linked editorial or comment was found in PubMed</w:t>
            </w:r>
          </w:p>
        </w:tc>
      </w:tr>
    </w:tbl>
    <w:p>
      <w:pPr>
        <w:spacing w:after="0" w:line="276"/>
      </w:pPr>
      <w:r>
        <w:rPr>
          <w:color w:val="5A6069"/>
          <w:sz w:val="14"/>
          <w:szCs w:val="14"/>
        </w:rPr>
        <w:t xml:space="preserve">Funding: The research received no specific grant from any funding agency in the public, commercial or not-for-profit sectors and the authors declare no conflicts of interest</w:t>
      </w:r>
    </w:p>
    <w:p>
      <w:pPr>
        <w:keepNext/>
        <w:spacing w:after="50" w:before="260"/>
      </w:pPr>
      <w:r>
        <w:rPr>
          <w:rFonts w:ascii="Cambria" w:cs="Cambria" w:eastAsia="Cambria" w:hAnsi="Cambria"/>
          <w:b/>
          <w:bCs/>
          <w:color w:val="17365D"/>
          <w:sz w:val="20"/>
          <w:szCs w:val="20"/>
        </w:rPr>
        <w:t xml:space="preserve">ESGE 2025</w:t>
      </w:r>
      <w:r>
        <w:rPr>
          <w:b/>
          <w:bCs/>
          <w:color w:val="176A87"/>
          <w:sz w:val="15"/>
          <w:szCs w:val="15"/>
        </w:rPr>
        <w:t xml:space="preserve">   Guideline</w:t>
      </w:r>
      <w:r>
        <w:rPr>
          <w:color w:val="5A6069"/>
          <w:sz w:val="15"/>
          <w:szCs w:val="15"/>
        </w:rPr>
        <w:t xml:space="preserve">   PMID 39689874</w:t>
      </w:r>
    </w:p>
    <w:p>
      <w:pPr>
        <w:spacing w:after="50" w:line="276"/>
      </w:pPr>
      <w:r>
        <w:rPr>
          <w:color w:val="5A6069"/>
          <w:sz w:val="17"/>
          <w:szCs w:val="17"/>
        </w:rPr>
        <w:t xml:space="preserve">Diagnostic work-up of bile duct strictures: European Society of Gastrointestinal Endoscopy (ESGE) Guideline</w:t>
      </w:r>
    </w:p>
    <w:p>
      <w:pPr>
        <w:spacing w:after="70"/>
      </w:pPr>
      <w:r>
        <w:rPr>
          <w:b/>
          <w:bCs/>
          <w:color w:val="17365D"/>
          <w:sz w:val="16"/>
          <w:szCs w:val="16"/>
        </w:rPr>
        <w:t xml:space="preserve">Bottom line. </w:t>
      </w:r>
      <w:r>
        <w:rPr>
          <w:sz w:val="16"/>
          <w:szCs w:val="16"/>
        </w:rPr>
        <w:t xml:space="preserve">ESGE's 2025 document sets out what endoscopic sampling can achieve in a bile duct stricture and, for perihilar disease, recommends adding fluoroscopy-guided biopsy to brush cytology and reserving EUS-guided sampling for patients in whom curative resection is not feasible. Seven of its eight recommendations are conditional on low or very low quality evidence, the perihilar recommendation pools two retrospective cohorts totalling 101 patients, and no voting record or agreement threshold is published for any statement. Its scope stops at tissue diagnosis, it offers nothing for the patient with primary sclerosing cholangitis in whom cytology fails, and the restriction it places on EUS in hilar disease is not supported by the seeding data printed in the same section.</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Most of the available literature concerns diagnostic techniques for pancreatic masses, and isolated data on biliary strictures are scarce and frequently based on subgroup analyses of other studies</w:t>
            </w:r>
          </w:p>
          <w:p>
            <w:pPr>
              <w:pStyle w:val="ListParagraph"/>
              <w:numPr>
                <w:ilvl w:val="0"/>
                <w:numId w:val="2"/>
              </w:numPr>
              <w:spacing w:after="45"/>
            </w:pPr>
            <w:r>
              <w:rPr>
                <w:sz w:val="15"/>
                <w:szCs w:val="15"/>
              </w:rPr>
              <w:t xml:space="preserve">The majority of the recommendations rest on low quality evidence because randomised trials on these topics are lacking, which the panel says points to a pressing need for prospective studies and randomised trials</w:t>
            </w:r>
          </w:p>
          <w:p>
            <w:pPr>
              <w:pStyle w:val="ListParagraph"/>
              <w:numPr>
                <w:ilvl w:val="0"/>
                <w:numId w:val="2"/>
              </w:numPr>
              <w:spacing w:after="45"/>
            </w:pPr>
            <w:r>
              <w:rPr>
                <w:sz w:val="15"/>
                <w:szCs w:val="15"/>
              </w:rPr>
              <w:t xml:space="preserve">Specific gaps named for perihilar strictures are the absence of data comparing EUS-guided fine-needle biopsy with cholangioscopy-guided biopsy, and for distal strictures the absence of data on third-generation end-cutting needles</w:t>
            </w:r>
          </w:p>
          <w:p>
            <w:pPr>
              <w:pStyle w:val="ListParagraph"/>
              <w:numPr>
                <w:ilvl w:val="0"/>
                <w:numId w:val="2"/>
              </w:numPr>
              <w:spacing w:after="45"/>
            </w:pPr>
            <w:r>
              <w:rPr>
                <w:sz w:val="15"/>
                <w:szCs w:val="15"/>
              </w:rPr>
              <w:t xml:space="preserve">FISH, next-generation sequencing, methylation markers, liquid biopsy, portal vein circulating cells and artificial intelligence are all placed in the unmet-needs section without any recommendation</w:t>
            </w:r>
          </w:p>
          <w:p>
            <w:pPr>
              <w:pStyle w:val="ListParagraph"/>
              <w:numPr>
                <w:ilvl w:val="0"/>
                <w:numId w:val="2"/>
              </w:numPr>
              <w:spacing w:after="45"/>
            </w:pPr>
            <w:r>
              <w:rPr>
                <w:sz w:val="15"/>
                <w:szCs w:val="15"/>
              </w:rPr>
              <w:t xml:space="preserve">More data are needed on the handling of cytopathology specimens after tissue sampling, and the environmental impact of imaging and endoscopic equipment is an uncovered area</w:t>
            </w:r>
          </w:p>
          <w:p>
            <w:pPr>
              <w:pStyle w:val="ListParagraph"/>
              <w:numPr>
                <w:ilvl w:val="0"/>
                <w:numId w:val="2"/>
              </w:numPr>
              <w:spacing w:after="45"/>
            </w:pPr>
            <w:r>
              <w:rPr>
                <w:sz w:val="15"/>
                <w:szCs w:val="15"/>
              </w:rPr>
              <w:t xml:space="preserve">Peritoneal seeding and iatrogenic upstaging after EUS-guided tissue acquisition are described as theoretical yet clinically significant, with the clear majority of published cases limited to pancreatic adenocarcinoma rather than cholangiocarcinoma, and the panel notes the risk appears higher after a percutaneous than an endoscopic ultrasound approach</w:t>
            </w:r>
          </w:p>
          <w:p>
            <w:pPr>
              <w:pStyle w:val="ListParagraph"/>
              <w:numPr>
                <w:ilvl w:val="0"/>
                <w:numId w:val="2"/>
              </w:numPr>
              <w:spacing w:after="45"/>
            </w:pPr>
            <w:r>
              <w:rPr>
                <w:sz w:val="15"/>
                <w:szCs w:val="15"/>
              </w:rPr>
              <w:t xml:space="preserve">Intraductal ultrasound and confocal laser endomicroscopy are costly, require considerable skill and have an anticipated low level of interobserver agreement, so no concrete role in clinical practice is established and artificial intelligence cannot yet be recommended</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No voting is described anywhere: no Delphi rounds, no consensus threshold and no agreement percentage for any of the eight recommendations, so a reader cannot tell which positions were contested</w:t>
            </w:r>
          </w:p>
          <w:p>
            <w:pPr>
              <w:pStyle w:val="ListParagraph"/>
              <w:numPr>
                <w:ilvl w:val="0"/>
                <w:numId w:val="2"/>
              </w:numPr>
              <w:spacing w:after="45"/>
            </w:pPr>
            <w:r>
              <w:rPr>
                <w:sz w:val="15"/>
                <w:szCs w:val="15"/>
              </w:rPr>
              <w:t xml:space="preserve">Conflicts of interest are said to have been addressed according to ESGE policies without stating how, and no recusal from any decision is recorded, in a document whose recommendations expand the use of needles, forceps and cholangioscopes made by the companies named in those disclosures</w:t>
            </w:r>
          </w:p>
          <w:p>
            <w:pPr>
              <w:pStyle w:val="ListParagraph"/>
              <w:numPr>
                <w:ilvl w:val="0"/>
                <w:numId w:val="2"/>
              </w:numPr>
              <w:spacing w:after="45"/>
            </w:pPr>
            <w:r>
              <w:rPr>
                <w:sz w:val="15"/>
                <w:szCs w:val="15"/>
              </w:rPr>
              <w:t xml:space="preserve">Seven of the eight recommendations are conditional on low or very low quality evidence, and the task forces' supporting meta-analyses are de novo, unregistered, restricted to English-language publications to December 2023, and presented without a PRISMA flow diagram in the main text</w:t>
            </w:r>
          </w:p>
          <w:p>
            <w:pPr>
              <w:pStyle w:val="ListParagraph"/>
              <w:numPr>
                <w:ilvl w:val="0"/>
                <w:numId w:val="2"/>
              </w:numPr>
              <w:spacing w:after="45"/>
            </w:pPr>
            <w:r>
              <w:rPr>
                <w:sz w:val="15"/>
                <w:szCs w:val="15"/>
              </w:rPr>
              <w:t xml:space="preserve">The perihilar brushing-plus-biopsy recommendation pools two retrospective cohorts of 58 and 43 patients, reports I-squared of 0% from two studies, and the second of those used a double-balloon enteroscopy forceps advanced through a plastic pusher after guidewire removal, a technique most units do not have</w:t>
            </w:r>
          </w:p>
          <w:p>
            <w:pPr>
              <w:pStyle w:val="ListParagraph"/>
              <w:numPr>
                <w:ilvl w:val="0"/>
                <w:numId w:val="2"/>
              </w:numPr>
              <w:spacing w:after="45"/>
            </w:pPr>
            <w:r>
              <w:rPr>
                <w:sz w:val="15"/>
                <w:szCs w:val="15"/>
              </w:rPr>
              <w:t xml:space="preserve">The incremental yield quoted changes between sections: 20% (95%CI 9%-31%) from the 21-study meta-analysis of mixed proximal and distal strictures in the preamble, and 25% (11%-38%) from the two hilar-only studies in the recommendation itself</w:t>
            </w:r>
          </w:p>
          <w:p>
            <w:pPr>
              <w:pStyle w:val="ListParagraph"/>
              <w:numPr>
                <w:ilvl w:val="0"/>
                <w:numId w:val="2"/>
              </w:numPr>
              <w:spacing w:after="45"/>
            </w:pPr>
            <w:r>
              <w:rPr>
                <w:sz w:val="15"/>
                <w:szCs w:val="15"/>
              </w:rPr>
              <w:t xml:space="preserve">The biopsy-number advice of three to four sits between two incompatible datasets, a retrospective study claiming 100% sensitivity after three biopsies and the most recent meta-analysis of 13 studies showing no difference between fewer than four and four or more (69% against 70%)</w:t>
            </w:r>
          </w:p>
          <w:p>
            <w:pPr>
              <w:pStyle w:val="ListParagraph"/>
              <w:numPr>
                <w:ilvl w:val="0"/>
                <w:numId w:val="2"/>
              </w:numPr>
              <w:spacing w:after="45"/>
            </w:pPr>
            <w:r>
              <w:rPr>
                <w:sz w:val="15"/>
                <w:szCs w:val="15"/>
              </w:rPr>
              <w:t xml:space="preserve">The strongest evidence in the perihilar section, a multicentre randomised trial of more than 400 patients in which cytology sensitivity rose from 38% to 47% to 57% with 10, 20 and 30 brush passes, appears only in the discussion text and is not made a recommendation</w:t>
            </w:r>
          </w:p>
          <w:p>
            <w:pPr>
              <w:pStyle w:val="ListParagraph"/>
              <w:numPr>
                <w:ilvl w:val="0"/>
                <w:numId w:val="2"/>
              </w:numPr>
              <w:spacing w:after="45"/>
            </w:pPr>
            <w:r>
              <w:rPr>
                <w:sz w:val="15"/>
                <w:szCs w:val="15"/>
              </w:rPr>
              <w:t xml:space="preserve">Recommendation 7 restricts EUS-guided tissue acquisition in perihilar strictures to patients in whom curative resection is not feasible, while the same section's data put needle-tract seeding after EUS of pancreatic lesions at a pooled 0.3% (0.2%-0.4%) with no difference in metachronous peritoneal dissemination against non-sampled patients (OR 1.0, 0.7-1.5); the hilar-specific evidence is one retrospective series of 150 patients showing no effect of needle passes on survival and one comparative study with six exposed patients</w:t>
            </w:r>
          </w:p>
          <w:p>
            <w:pPr>
              <w:pStyle w:val="ListParagraph"/>
              <w:numPr>
                <w:ilvl w:val="0"/>
                <w:numId w:val="2"/>
              </w:numPr>
              <w:spacing w:after="45"/>
            </w:pPr>
            <w:r>
              <w:rPr>
                <w:sz w:val="15"/>
                <w:szCs w:val="15"/>
              </w:rPr>
              <w:t xml:space="preserve">The figure that matters most for a stented hilar patient is left out of the recommendation: in the one prospective study with a hilar subgroup, EUS sensitivity was 56% and negative predictive value 33% in stented perihilar lesions against 95% and 93% for unstented distal lesions, and the pooled perihilar sensitivity of 78% carries I-squared of 76%</w:t>
            </w:r>
          </w:p>
          <w:p>
            <w:pPr>
              <w:pStyle w:val="ListParagraph"/>
              <w:numPr>
                <w:ilvl w:val="0"/>
                <w:numId w:val="2"/>
              </w:numPr>
              <w:spacing w:after="45"/>
            </w:pPr>
            <w:r>
              <w:rPr>
                <w:sz w:val="15"/>
                <w:szCs w:val="15"/>
              </w:rPr>
              <w:t xml:space="preserve">Recommendation 5 suggests EUS for suspected stricture or unexplained bile duct dilatation even with normal laboratory tests, although the section's own pooled malignancy rate is under 0.1% and its environmental paragraph calls the justification for a resource-intensive procedure easily debatable</w:t>
            </w:r>
          </w:p>
          <w:p>
            <w:pPr>
              <w:pStyle w:val="ListParagraph"/>
              <w:numPr>
                <w:ilvl w:val="0"/>
                <w:numId w:val="2"/>
              </w:numPr>
              <w:spacing w:after="45"/>
            </w:pPr>
            <w:r>
              <w:rPr>
                <w:sz w:val="15"/>
                <w:szCs w:val="15"/>
              </w:rPr>
              <w:t xml:space="preserve">Figures in the supporting text are internally impossible: the cited meta-analysis's malignant yield is printed as 5% (95%CI 0%-3%), a point estimate outside its own interval, and the cholangioscopy comparison reports sensitivity 74% against 50% with an odds ratio of 1.1 (1.0-1.3), whose lower bound sits on 1</w:t>
            </w:r>
          </w:p>
          <w:p>
            <w:pPr>
              <w:pStyle w:val="ListParagraph"/>
              <w:numPr>
                <w:ilvl w:val="0"/>
                <w:numId w:val="2"/>
              </w:numPr>
              <w:spacing w:after="45"/>
            </w:pPr>
            <w:r>
              <w:rPr>
                <w:sz w:val="15"/>
                <w:szCs w:val="15"/>
              </w:rPr>
              <w:t xml:space="preserve">Cost-effectiveness is quoted from single studies in unnamed health systems in both dollars and euros and applied across European practice with no sensitivity analysis</w:t>
            </w:r>
          </w:p>
          <w:p>
            <w:pPr>
              <w:pStyle w:val="ListParagraph"/>
              <w:numPr>
                <w:ilvl w:val="0"/>
                <w:numId w:val="2"/>
              </w:numPr>
              <w:spacing w:after="45"/>
            </w:pPr>
            <w:r>
              <w:rPr>
                <w:sz w:val="15"/>
                <w:szCs w:val="15"/>
              </w:rPr>
              <w:t xml:space="preserve">The algorithm in Figure 1 routes a resectable perihilar stricture to a multidisciplinary team to decide whether to obtain tissue at all and by which route, which is precisely the decision a surgeon must make, and no recommendation addresses it</w:t>
            </w:r>
          </w:p>
          <w:p>
            <w:pPr>
              <w:pStyle w:val="ListParagraph"/>
              <w:numPr>
                <w:ilvl w:val="0"/>
                <w:numId w:val="2"/>
              </w:numPr>
              <w:spacing w:after="45"/>
            </w:pPr>
            <w:r>
              <w:rPr>
                <w:sz w:val="15"/>
                <w:szCs w:val="15"/>
              </w:rPr>
              <w:t xml:space="preserve">Primary sclerosing cholangitis and the dominant stricture are not covered by any recommendation, and the guideline explicitly excludes strictures associated with a pancreatic or abdominal mass while drawing much of its evidence from pancreatic cohorts</w:t>
            </w:r>
          </w:p>
          <w:p>
            <w:pPr>
              <w:pStyle w:val="ListParagraph"/>
              <w:numPr>
                <w:ilvl w:val="0"/>
                <w:numId w:val="2"/>
              </w:numPr>
              <w:spacing w:after="45"/>
            </w:pPr>
            <w:r>
              <w:rPr>
                <w:sz w:val="15"/>
                <w:szCs w:val="15"/>
              </w:rPr>
              <w:t xml:space="preserve">Where this document overlaps the ASGE guideline (Fujii-Lau 2023) the two agree on adding fluoroscopic biopsy and on cholangioscopy for non-distal strictures and rest on the same 21-study meta-analysis with the same 20% incremental yield, so they are not independent corroboration; ESGE is the more restrictive of the two about EUS in hilar disease, tying it to unresectability, whereas ASGE permits EUS while forbidding puncture of the biliary mass itself</w:t>
            </w:r>
          </w:p>
          <w:p>
            <w:pPr>
              <w:pStyle w:val="ListParagraph"/>
              <w:numPr>
                <w:ilvl w:val="0"/>
                <w:numId w:val="2"/>
              </w:numPr>
              <w:spacing w:after="45"/>
            </w:pPr>
            <w:r>
              <w:rPr>
                <w:sz w:val="15"/>
                <w:szCs w:val="15"/>
              </w:rPr>
              <w:t xml:space="preserve">No linked editorial, comment or letter was found in PubMed</w:t>
            </w:r>
          </w:p>
        </w:tc>
      </w:tr>
    </w:tbl>
    <w:p>
      <w:pPr>
        <w:spacing w:after="0" w:line="276"/>
      </w:pPr>
      <w:r>
        <w:rPr>
          <w:color w:val="5A6069"/>
          <w:sz w:val="14"/>
          <w:szCs w:val="14"/>
        </w:rPr>
        <w:t xml:space="preserve">Funding: No funding statement; the document is an official statement of the European Society of Gastrointestinal Endoscopy. Nine of the 21 panel members declare ongoing consultancy, lecture, training or departmental research support from endoscopy device manufacturers including Boston Scientific, Olympus, MicroTech and Cook, and twelve declare none</w:t>
      </w:r>
    </w:p>
    <w:p>
      <w:pPr>
        <w:keepNext/>
        <w:spacing w:after="50" w:before="260"/>
      </w:pPr>
      <w:r>
        <w:rPr>
          <w:rFonts w:ascii="Cambria" w:cs="Cambria" w:eastAsia="Cambria" w:hAnsi="Cambria"/>
          <w:b/>
          <w:bCs/>
          <w:color w:val="17365D"/>
          <w:sz w:val="20"/>
          <w:szCs w:val="20"/>
        </w:rPr>
        <w:t xml:space="preserve">ESGE 2026</w:t>
      </w:r>
      <w:r>
        <w:rPr>
          <w:b/>
          <w:bCs/>
          <w:color w:val="176A87"/>
          <w:sz w:val="15"/>
          <w:szCs w:val="15"/>
        </w:rPr>
        <w:t xml:space="preserve">   Guideline</w:t>
      </w:r>
      <w:r>
        <w:rPr>
          <w:color w:val="5A6069"/>
          <w:sz w:val="15"/>
          <w:szCs w:val="15"/>
        </w:rPr>
        <w:t xml:space="preserve">   PMID 42692059</w:t>
      </w:r>
    </w:p>
    <w:p>
      <w:pPr>
        <w:spacing w:after="50" w:line="276"/>
      </w:pPr>
      <w:r>
        <w:rPr>
          <w:color w:val="5A6069"/>
          <w:sz w:val="17"/>
          <w:szCs w:val="17"/>
        </w:rPr>
        <w:t xml:space="preserve">Biliary stricture management: European Society of Gastrointestinal Endoscopy (ESGE) Guideline</w:t>
      </w:r>
    </w:p>
    <w:p>
      <w:pPr>
        <w:spacing w:after="70"/>
      </w:pPr>
      <w:r>
        <w:rPr>
          <w:b/>
          <w:bCs/>
          <w:color w:val="17365D"/>
          <w:sz w:val="16"/>
          <w:szCs w:val="16"/>
        </w:rPr>
        <w:t xml:space="preserve">Bottom line. </w:t>
      </w:r>
      <w:r>
        <w:rPr>
          <w:sz w:val="16"/>
          <w:szCs w:val="16"/>
        </w:rPr>
        <w:t xml:space="preserve">The 2026 ESGE guideline moves endoscopic drainage ahead of percutaneous drainage for hilar malignant obstruction in both the preoperative and the palliative setting, and raises the drainage target to more than 50% and ideally 70% or more of viable non-atrophic liver volume. The preoperative preference is a strong recommendation built on one prematurely terminated 54-patient trial whose primary endpoint was negative, while the same section prints a meta-analysis giving percutaneous drainage higher therapeutic success (OR 3.5, 95%CI 2.1-6.0), and the volume target has never been tested against survival, its supporting cohorts placing it at 50% and at 80%. Nothing in the document addresses resectability, extent of hepatectomy, portal vein embolisation or transplant candidacy, so it cannot tell a surgeon when to defer or redirect drainage.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Most of the recommendations in the guideline are based on low quality evidence, and the panel calls for high quality prospective studies and randomised trials given the constant technical evolution of therapeutic endoscopy</w:t>
            </w:r>
          </w:p>
          <w:p>
            <w:pPr>
              <w:pStyle w:val="ListParagraph"/>
              <w:numPr>
                <w:ilvl w:val="0"/>
                <w:numId w:val="2"/>
              </w:numPr>
              <w:spacing w:after="45"/>
            </w:pPr>
            <w:r>
              <w:rPr>
                <w:sz w:val="15"/>
                <w:szCs w:val="15"/>
              </w:rPr>
              <w:t xml:space="preserve">The quality of evidence for endoscopic against percutaneous preoperative drainage was downgraded to moderate because the risk of inconsistency could not be assessed, the evidence being a single randomised trial</w:t>
            </w:r>
          </w:p>
          <w:p>
            <w:pPr>
              <w:pStyle w:val="ListParagraph"/>
              <w:numPr>
                <w:ilvl w:val="0"/>
                <w:numId w:val="2"/>
              </w:numPr>
              <w:spacing w:after="45"/>
            </w:pPr>
            <w:r>
              <w:rPr>
                <w:sz w:val="15"/>
                <w:szCs w:val="15"/>
              </w:rPr>
              <w:t xml:space="preserve">For palliative hilar drainage the quality of evidence was downgraded to very low for high risk of bias in the literature, imprecision and publication bias</w:t>
            </w:r>
          </w:p>
          <w:p>
            <w:pPr>
              <w:pStyle w:val="ListParagraph"/>
              <w:numPr>
                <w:ilvl w:val="0"/>
                <w:numId w:val="2"/>
              </w:numPr>
              <w:spacing w:after="45"/>
            </w:pPr>
            <w:r>
              <w:rPr>
                <w:sz w:val="15"/>
                <w:szCs w:val="15"/>
              </w:rPr>
              <w:t xml:space="preserve">The evidence that percutaneous drainage carries greater morbidity than endoscopic drainage comes from trials dedicated to the preoperative setting and not to palliation, which the authors name as the central limitation when applying it to palliative drainage</w:t>
            </w:r>
          </w:p>
          <w:p>
            <w:pPr>
              <w:pStyle w:val="ListParagraph"/>
              <w:numPr>
                <w:ilvl w:val="0"/>
                <w:numId w:val="2"/>
              </w:numPr>
              <w:spacing w:after="45"/>
            </w:pPr>
            <w:r>
              <w:rPr>
                <w:sz w:val="15"/>
                <w:szCs w:val="15"/>
              </w:rPr>
              <w:t xml:space="preserve">Prospective extended experience in maximum biliary drainage and prospective evaluation of liver volumetry for palliative hilar obstruction, with survival and access to chemotherapy as the main outcomes, are listed as unmet needs</w:t>
            </w:r>
          </w:p>
          <w:p>
            <w:pPr>
              <w:pStyle w:val="ListParagraph"/>
              <w:numPr>
                <w:ilvl w:val="0"/>
                <w:numId w:val="2"/>
              </w:numPr>
              <w:spacing w:after="45"/>
            </w:pPr>
            <w:r>
              <w:rPr>
                <w:sz w:val="15"/>
                <w:szCs w:val="15"/>
              </w:rPr>
              <w:t xml:space="preserve">The number of endoscopic or EUS procedures required to achieve clinical success, and their associated cost and environmental impact, are named as a major gap in the literature when comparing procedures</w:t>
            </w:r>
          </w:p>
          <w:p>
            <w:pPr>
              <w:pStyle w:val="ListParagraph"/>
              <w:numPr>
                <w:ilvl w:val="0"/>
                <w:numId w:val="2"/>
              </w:numPr>
              <w:spacing w:after="45"/>
            </w:pPr>
            <w:r>
              <w:rPr>
                <w:sz w:val="15"/>
                <w:szCs w:val="15"/>
              </w:rPr>
              <w:t xml:space="preserve">The meta-analysis favouring percutaneous therapeutic success is limited by the fact that only one of its eleven studies was randomised, that 74% of the lesions were Bismuth III-IV, and that only 30% of the cohort received bilateral drainage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A strong recommendation for endoscopic over percutaneous preoperative drainage in hilar obstruction is issued on a single randomised trial of 54 patients stopped at half its planned accrual, whose own authors call the mortality finding prone to type I error and whose primary endpoint was negative (severe complications 67% against 63%, relative risk 0.94, 0.64-1.40); the evidence is downgraded only to moderate</w:t>
            </w:r>
          </w:p>
          <w:p>
            <w:pPr>
              <w:pStyle w:val="ListParagraph"/>
              <w:numPr>
                <w:ilvl w:val="0"/>
                <w:numId w:val="2"/>
              </w:numPr>
              <w:spacing w:after="45"/>
            </w:pPr>
            <w:r>
              <w:rPr>
                <w:sz w:val="15"/>
                <w:szCs w:val="15"/>
              </w:rPr>
              <w:t xml:space="preserve">The guideline's own best comparative data run the other way: the meta-analysis cited in the same section gives percutaneous drainage higher therapeutic success (OR 3.5, 95%CI 2.1-6.0) with 11.5-fold more reintervention after endoscopic drainage (OR 11.5, 3.5-37.7), and the preference for endoscopic drainage is nonetheless stated in that section</w:t>
            </w:r>
          </w:p>
          <w:p>
            <w:pPr>
              <w:pStyle w:val="ListParagraph"/>
              <w:numPr>
                <w:ilvl w:val="0"/>
                <w:numId w:val="2"/>
              </w:numPr>
              <w:spacing w:after="45"/>
            </w:pPr>
            <w:r>
              <w:rPr>
                <w:sz w:val="15"/>
                <w:szCs w:val="15"/>
              </w:rPr>
              <w:t xml:space="preserve">The implantation-metastasis meta-analysis is quoted as confirming a higher risk with percutaneous drainage while the printed effect is OR 0.35 (95%CI 0.23 to 0.53), an odds ratio below 1, so the direction of the stated conclusion does not match the reported estimate</w:t>
            </w:r>
          </w:p>
          <w:p>
            <w:pPr>
              <w:pStyle w:val="ListParagraph"/>
              <w:numPr>
                <w:ilvl w:val="0"/>
                <w:numId w:val="2"/>
              </w:numPr>
              <w:spacing w:after="45"/>
            </w:pPr>
            <w:r>
              <w:rPr>
                <w:sz w:val="15"/>
                <w:szCs w:val="15"/>
              </w:rPr>
              <w:t xml:space="preserve">Two recommendations in the same subsection point in opposite directions for the same patient: endoscopic drainage is strongly recommended over percutaneous drainage for preoperative drainage in hilar malignant obstruction, and routine preoperative drainage is conditionally recommended against</w:t>
            </w:r>
          </w:p>
          <w:p>
            <w:pPr>
              <w:pStyle w:val="ListParagraph"/>
              <w:numPr>
                <w:ilvl w:val="0"/>
                <w:numId w:val="2"/>
              </w:numPr>
              <w:spacing w:after="45"/>
            </w:pPr>
            <w:r>
              <w:rPr>
                <w:sz w:val="15"/>
                <w:szCs w:val="15"/>
              </w:rPr>
              <w:t xml:space="preserve">No voting, agreement threshold or record of dissent appears anywhere; adaptations to recommendations and to their evidence grades were agreed by consensus among involved authors at an on-site meeting during ESGE Days 2025</w:t>
            </w:r>
          </w:p>
          <w:p>
            <w:pPr>
              <w:pStyle w:val="ListParagraph"/>
              <w:numPr>
                <w:ilvl w:val="0"/>
                <w:numId w:val="2"/>
              </w:numPr>
              <w:spacing w:after="45"/>
            </w:pPr>
            <w:r>
              <w:rPr>
                <w:sz w:val="15"/>
                <w:szCs w:val="15"/>
              </w:rPr>
              <w:t xml:space="preserve">The liver-volume target is raised from more than 50% to ideally 70% or more on low quality evidence, while the supporting cohorts place it at 50% and at 80% and no meta-analysis or comparative trial has ever tested a percentage threshold; the authors list prospective volumetry as an unmet need in the same document</w:t>
            </w:r>
          </w:p>
          <w:p>
            <w:pPr>
              <w:pStyle w:val="ListParagraph"/>
              <w:numPr>
                <w:ilvl w:val="0"/>
                <w:numId w:val="2"/>
              </w:numPr>
              <w:spacing w:after="45"/>
            </w:pPr>
            <w:r>
              <w:rPr>
                <w:sz w:val="15"/>
                <w:szCs w:val="15"/>
              </w:rPr>
              <w:t xml:space="preserve">The preference for EUS-guided drainage over percutaneous drainage in Bismuth III-IV rests on case series of 20, 34, 41 and 88 patients and on one propensity-matched comparison reporting a 58% adverse-event rate in the percutaneous arm, far above the 24% to 35% rates in the document's own other citations</w:t>
            </w:r>
          </w:p>
          <w:p>
            <w:pPr>
              <w:pStyle w:val="ListParagraph"/>
              <w:numPr>
                <w:ilvl w:val="0"/>
                <w:numId w:val="2"/>
              </w:numPr>
              <w:spacing w:after="45"/>
            </w:pPr>
            <w:r>
              <w:rPr>
                <w:sz w:val="15"/>
                <w:szCs w:val="15"/>
              </w:rPr>
              <w:t xml:space="preserve">The literature search ran only from 2017 to August 2024 as an update of the 2018 guideline, restricted to English, with further manual searches to 2025 performed by the authors at final editing and therefore outside the systematic process</w:t>
            </w:r>
          </w:p>
          <w:p>
            <w:pPr>
              <w:pStyle w:val="ListParagraph"/>
              <w:numPr>
                <w:ilvl w:val="0"/>
                <w:numId w:val="2"/>
              </w:numPr>
              <w:spacing w:after="45"/>
            </w:pPr>
            <w:r>
              <w:rPr>
                <w:sz w:val="15"/>
                <w:szCs w:val="15"/>
              </w:rPr>
              <w:t xml:space="preserve">This reverses the 2018 ESGE position, which allowed percutaneous drainage or combined endoscopic and percutaneous drainage for Bismuth III-IV, without new randomised evidence: the only post-2017 study in the supporting meta-analysis is the same prematurely terminated trial</w:t>
            </w:r>
          </w:p>
          <w:p>
            <w:pPr>
              <w:pStyle w:val="ListParagraph"/>
              <w:numPr>
                <w:ilvl w:val="0"/>
                <w:numId w:val="2"/>
              </w:numPr>
              <w:spacing w:after="45"/>
            </w:pPr>
            <w:r>
              <w:rPr>
                <w:sz w:val="15"/>
                <w:szCs w:val="15"/>
              </w:rPr>
              <w:t xml:space="preserve">The palliative hilar recommendation is graded very low quality and still states an order of preference, endoscopic drainage, then endoscopic plus EUS-guided drainage, over primary percutaneous drainage, which is a stronger claim than very low quality evidence supports</w:t>
            </w:r>
          </w:p>
          <w:p>
            <w:pPr>
              <w:pStyle w:val="ListParagraph"/>
              <w:numPr>
                <w:ilvl w:val="0"/>
                <w:numId w:val="2"/>
              </w:numPr>
              <w:spacing w:after="45"/>
            </w:pPr>
            <w:r>
              <w:rPr>
                <w:sz w:val="15"/>
                <w:szCs w:val="15"/>
              </w:rPr>
              <w:t xml:space="preserve">Scope is endoscopic only: nothing addresses resectability, the extent of hepatectomy with caudate resection, portal vein embolisation or transplant candidacy, so a surgeon cannot read off when drainage should be deferred or routed to protect a planned operation</w:t>
            </w:r>
          </w:p>
          <w:p>
            <w:pPr>
              <w:pStyle w:val="ListParagraph"/>
              <w:numPr>
                <w:ilvl w:val="0"/>
                <w:numId w:val="2"/>
              </w:numPr>
              <w:spacing w:after="45"/>
            </w:pPr>
            <w:r>
              <w:rPr>
                <w:sz w:val="15"/>
                <w:szCs w:val="15"/>
              </w:rPr>
              <w:t xml:space="preserve">Five authors declare consultancy, advisory or lecture relationships with the manufacturers of the stents and delivery systems whose use the recommendations expand, and the document does not record how those interests were managed</w:t>
            </w:r>
          </w:p>
          <w:p>
            <w:pPr>
              <w:pStyle w:val="ListParagraph"/>
              <w:numPr>
                <w:ilvl w:val="0"/>
                <w:numId w:val="2"/>
              </w:numPr>
              <w:spacing w:after="45"/>
            </w:pPr>
            <w:r>
              <w:rPr>
                <w:sz w:val="15"/>
                <w:szCs w:val="15"/>
              </w:rPr>
              <w:t xml:space="preserve">The bilateral-stent evidence cuts both ways in the same manner: in the cited randomised trial and in a 236-patient series, technical success was higher with unilateral stenting (98.8% against 82.5%) while clinical success favoured bilateral stenting, and the recommendation follows clinical success</w:t>
            </w:r>
          </w:p>
          <w:p>
            <w:pPr>
              <w:pStyle w:val="ListParagraph"/>
              <w:numPr>
                <w:ilvl w:val="0"/>
                <w:numId w:val="2"/>
              </w:numPr>
              <w:spacing w:after="45"/>
            </w:pPr>
            <w:r>
              <w:rPr>
                <w:sz w:val="15"/>
                <w:szCs w:val="15"/>
              </w:rPr>
              <w:t xml:space="preserve">Compare the 2024 Asia-Pacific consensus (PMID 39285860), which on much the same evidence sets the drainage target at more than 50% and favours multiple plastic stents in likely chemotherapy responders; the two documents disagree on route, target and stent choice</w:t>
            </w:r>
          </w:p>
          <w:p>
            <w:pPr>
              <w:pStyle w:val="ListParagraph"/>
              <w:numPr>
                <w:ilvl w:val="0"/>
                <w:numId w:val="2"/>
              </w:numPr>
              <w:spacing w:after="45"/>
            </w:pPr>
            <w:r>
              <w:rPr>
                <w:sz w:val="15"/>
                <w:szCs w:val="15"/>
              </w:rPr>
              <w:t xml:space="preserve">No linked editorial or comment was found in PubMed, the guideline having been published online 3 September 2026</w:t>
            </w:r>
          </w:p>
        </w:tc>
      </w:tr>
    </w:tbl>
    <w:p>
      <w:pPr>
        <w:spacing w:after="0" w:line="276"/>
      </w:pPr>
      <w:r>
        <w:rPr>
          <w:color w:val="5A6069"/>
          <w:sz w:val="14"/>
          <w:szCs w:val="14"/>
        </w:rPr>
        <w:t xml:space="preserve">Funding: Internally funded by the European Society of Gastrointestinal Endoscopy; five of the seventeen authors declare industry relationships (Arvanitakis lecture fees from Boston Scientific, Johnson advisory board and educational consultancy for Boston Scientific and advisory board of Olympus, Perez-Cuadrado Robles and Vanella consultancy to Boston Scientific, van Hooft consultancy fees from Olympus and lecture fees from Fujifilm and Cook Medical) and twelve declare none</w:t>
      </w:r>
    </w:p>
    <w:p>
      <w:pPr>
        <w:keepNext/>
        <w:spacing w:after="50" w:before="260"/>
      </w:pPr>
      <w:r>
        <w:rPr>
          <w:rFonts w:ascii="Cambria" w:cs="Cambria" w:eastAsia="Cambria" w:hAnsi="Cambria"/>
          <w:b/>
          <w:bCs/>
          <w:color w:val="17365D"/>
          <w:sz w:val="20"/>
          <w:szCs w:val="20"/>
        </w:rPr>
        <w:t xml:space="preserve">ESMO 2023</w:t>
      </w:r>
      <w:r>
        <w:rPr>
          <w:b/>
          <w:bCs/>
          <w:color w:val="176A87"/>
          <w:sz w:val="15"/>
          <w:szCs w:val="15"/>
        </w:rPr>
        <w:t xml:space="preserve">   Guideline</w:t>
      </w:r>
      <w:r>
        <w:rPr>
          <w:color w:val="5A6069"/>
          <w:sz w:val="15"/>
          <w:szCs w:val="15"/>
        </w:rPr>
        <w:t xml:space="preserve">   PMID 36372281</w:t>
      </w:r>
    </w:p>
    <w:p>
      <w:pPr>
        <w:spacing w:after="50" w:line="276"/>
      </w:pPr>
      <w:r>
        <w:rPr>
          <w:color w:val="5A6069"/>
          <w:sz w:val="17"/>
          <w:szCs w:val="17"/>
        </w:rPr>
        <w:t xml:space="preserve">Biliary tract cancer: ESMO Clinical Practice Guideline for diagnosis, treatment and follow-up</w:t>
      </w:r>
    </w:p>
    <w:p>
      <w:pPr>
        <w:spacing w:after="70"/>
      </w:pPr>
      <w:r>
        <w:rPr>
          <w:b/>
          <w:bCs/>
          <w:color w:val="17365D"/>
          <w:sz w:val="16"/>
          <w:szCs w:val="16"/>
        </w:rPr>
        <w:t xml:space="preserve">Bottom line. </w:t>
      </w:r>
      <w:r>
        <w:rPr>
          <w:sz w:val="16"/>
          <w:szCs w:val="16"/>
        </w:rPr>
        <w:t xml:space="preserve">The ESMO guideline is the reference document for systemic management of biliary tract cancer, and it sets the positions clinicians quote: core biopsy and molecular profiling, resection with lymphadenectomy as the only curative option, adjuvant capecitabine, gemcitabine-cisplatin with durvalumab first line, FOLFOX second line, and graded targeted options by alteration. For iCCA surgery it offers very little: most surgical recommendations are level III to V, technique is not addressed, and transplantation for iCCA is not mentioned at all. Its adjuvant recommendation is built on BILCAP's per-protocol rather than intention-to-treat result.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No limitations section; the guideline records its uncertainty through evidence grades, with most surgical recommendations at level III to V, that is non-randomised or expert-opinion evidence</w:t>
            </w:r>
          </w:p>
          <w:p>
            <w:pPr>
              <w:pStyle w:val="ListParagraph"/>
              <w:numPr>
                <w:ilvl w:val="0"/>
                <w:numId w:val="2"/>
              </w:numPr>
              <w:spacing w:after="45"/>
            </w:pPr>
            <w:r>
              <w:rPr>
                <w:sz w:val="15"/>
                <w:szCs w:val="15"/>
              </w:rPr>
              <w:t xml:space="preserve">Ampullary cancer and mixed hepatocellular-cholangiocarcinoma are explicitly stated to be outside the scope</w:t>
            </w:r>
          </w:p>
          <w:p>
            <w:pPr>
              <w:pStyle w:val="ListParagraph"/>
              <w:numPr>
                <w:ilvl w:val="0"/>
                <w:numId w:val="2"/>
              </w:numPr>
              <w:spacing w:after="45"/>
            </w:pPr>
            <w:r>
              <w:rPr>
                <w:sz w:val="15"/>
                <w:szCs w:val="15"/>
              </w:rPr>
              <w:t xml:space="preserve">External beam radiotherapy or chemoradiotherapy as definitive treatment of locally advanced disease is graded II, D, that is recommended against outside trials, and liver transplantation for perihilar disease III, D</w:t>
            </w:r>
          </w:p>
          <w:p>
            <w:pPr>
              <w:pStyle w:val="ListParagraph"/>
              <w:numPr>
                <w:ilvl w:val="0"/>
                <w:numId w:val="2"/>
              </w:numPr>
              <w:spacing w:after="45"/>
            </w:pPr>
            <w:r>
              <w:rPr>
                <w:sz w:val="15"/>
                <w:szCs w:val="15"/>
              </w:rPr>
              <w:t xml:space="preserve">Several liver-directed recommendations are graded C, meaning insufficient evidence for efficacy or benefit not outweighing risk, including stereotactic radiotherapy and intra-arterial therapy</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guideline makes no recommendation at all on liver transplantation for intrahepatic cholangiocarcinoma; transplantation appears only as a III, D statement about perihilar disease, so the question a transplant surgeon is asked most often is simply absent</w:t>
            </w:r>
          </w:p>
          <w:p>
            <w:pPr>
              <w:pStyle w:val="ListParagraph"/>
              <w:numPr>
                <w:ilvl w:val="0"/>
                <w:numId w:val="2"/>
              </w:numPr>
              <w:spacing w:after="45"/>
            </w:pPr>
            <w:r>
              <w:rPr>
                <w:sz w:val="15"/>
                <w:szCs w:val="15"/>
              </w:rPr>
              <w:t xml:space="preserve">Adjuvant capecitabine is recommended at II, A on BILCAP's per-protocol median of 53 against 36 months and the adjusted per-protocol hazard ratio of 0.75 (0.58-0.97); the intention-to-treat result that the trial actually prespecified, HR 0.81 (0.63-1.04), p = 0.097, is not quoted beside it</w:t>
            </w:r>
          </w:p>
          <w:p>
            <w:pPr>
              <w:pStyle w:val="ListParagraph"/>
              <w:numPr>
                <w:ilvl w:val="0"/>
                <w:numId w:val="2"/>
              </w:numPr>
              <w:spacing w:after="45"/>
            </w:pPr>
            <w:r>
              <w:rPr>
                <w:sz w:val="15"/>
                <w:szCs w:val="15"/>
              </w:rPr>
              <w:t xml:space="preserve">Four anatomically and biologically distinct diseases are managed under one algorithm, with no stratification by subsite for most recommendations and none by aetiology such as liver fluke, hepatolithiasis, primary sclerosing cholangitis or viral hepatitis</w:t>
            </w:r>
          </w:p>
          <w:p>
            <w:pPr>
              <w:pStyle w:val="ListParagraph"/>
              <w:numPr>
                <w:ilvl w:val="0"/>
                <w:numId w:val="2"/>
              </w:numPr>
              <w:spacing w:after="45"/>
            </w:pPr>
            <w:r>
              <w:rPr>
                <w:sz w:val="15"/>
                <w:szCs w:val="15"/>
              </w:rPr>
              <w:t xml:space="preserve">Core biopsy before any non-surgical treatment is recommended at III, A with no guidance on what to do when the biopsy is inconclusive, which in this disease is common, and no acknowledgement that biopsy is constrained in prospective transplant candidates by seeding concerns</w:t>
            </w:r>
          </w:p>
          <w:p>
            <w:pPr>
              <w:pStyle w:val="ListParagraph"/>
              <w:numPr>
                <w:ilvl w:val="0"/>
                <w:numId w:val="2"/>
              </w:numPr>
              <w:spacing w:after="45"/>
            </w:pPr>
            <w:r>
              <w:rPr>
                <w:sz w:val="15"/>
                <w:szCs w:val="15"/>
              </w:rPr>
              <w:t xml:space="preserve">Surgical technique is not addressed anywhere: there is no recommendation on minimally invasive against open resection despite rapidly growing laparoscopic and robotic practice</w:t>
            </w:r>
          </w:p>
          <w:p>
            <w:pPr>
              <w:pStyle w:val="ListParagraph"/>
              <w:numPr>
                <w:ilvl w:val="0"/>
                <w:numId w:val="2"/>
              </w:numPr>
              <w:spacing w:after="45"/>
            </w:pPr>
            <w:r>
              <w:rPr>
                <w:sz w:val="15"/>
                <w:szCs w:val="15"/>
              </w:rPr>
              <w:t xml:space="preserve">The IV, C recommendation to resect laparoscopic port sites at gallbladder cancer re-resection conflicts with published data showing port-site metastases mark peritoneal disease without resection improving survival or recurrence, and the guideline does not engage that evidence</w:t>
            </w:r>
          </w:p>
          <w:p>
            <w:pPr>
              <w:pStyle w:val="ListParagraph"/>
              <w:numPr>
                <w:ilvl w:val="0"/>
                <w:numId w:val="2"/>
              </w:numPr>
              <w:spacing w:after="45"/>
            </w:pPr>
            <w:r>
              <w:rPr>
                <w:sz w:val="15"/>
                <w:szCs w:val="15"/>
              </w:rPr>
              <w:t xml:space="preserve">Hepatic arterial infusion is graded III, C although the phase II data it cites report 39% to 56% response rates against roughly 21% with gemcitabine-cisplatin in the ABC trials, so the grade reflects trial design rather than the effect size the guideline itself reports</w:t>
            </w:r>
          </w:p>
          <w:p>
            <w:pPr>
              <w:pStyle w:val="ListParagraph"/>
              <w:numPr>
                <w:ilvl w:val="0"/>
                <w:numId w:val="2"/>
              </w:numPr>
              <w:spacing w:after="45"/>
            </w:pPr>
            <w:r>
              <w:rPr>
                <w:sz w:val="15"/>
                <w:szCs w:val="15"/>
              </w:rPr>
              <w:t xml:space="preserve">Durvalumab is recommended at I, A with an ESMO-MCBS score of 4 on a TOPAZ-1 hazard ratio of 0.76, while the absolute median survival gain in that trial was 1.3 months at an interim analysis with proportional hazards violated; the magnitude-of-benefit score is not reconciled with the absolute difference</w:t>
            </w:r>
          </w:p>
          <w:p>
            <w:pPr>
              <w:pStyle w:val="ListParagraph"/>
              <w:numPr>
                <w:ilvl w:val="0"/>
                <w:numId w:val="2"/>
              </w:numPr>
              <w:spacing w:after="45"/>
            </w:pPr>
            <w:r>
              <w:rPr>
                <w:sz w:val="15"/>
                <w:szCs w:val="15"/>
              </w:rPr>
              <w:t xml:space="preserve">FGFR inhibitors, pembrolizumab for MSI-high disease and dabrafenib-trametinib are all graded III, A, that is strong recommendations on single-arm evidence, and their response rates of 20-40%, 40.9% and 51% come from trials with no comparator</w:t>
            </w:r>
          </w:p>
          <w:p>
            <w:pPr>
              <w:pStyle w:val="ListParagraph"/>
              <w:numPr>
                <w:ilvl w:val="0"/>
                <w:numId w:val="2"/>
              </w:numPr>
              <w:spacing w:after="45"/>
            </w:pPr>
            <w:r>
              <w:rPr>
                <w:sz w:val="15"/>
                <w:szCs w:val="15"/>
              </w:rPr>
              <w:t xml:space="preserve">Routine hepatoduodenal lymphadenectomy for iCCA is recommended at IV, A, a strong recommendation on the weakest evidence level, with no stated number of nodes, no survival estimate and no acknowledgement that the adjuvant trials on which the guideline relies did not mandate it</w:t>
            </w:r>
          </w:p>
          <w:p>
            <w:pPr>
              <w:pStyle w:val="ListParagraph"/>
              <w:numPr>
                <w:ilvl w:val="0"/>
                <w:numId w:val="2"/>
              </w:numPr>
              <w:spacing w:after="45"/>
            </w:pPr>
            <w:r>
              <w:rPr>
                <w:sz w:val="15"/>
                <w:szCs w:val="15"/>
              </w:rPr>
              <w:t xml:space="preserve">The lead author declares relationships with more than twenty companies including the manufacturers of durvalumab, pemigatinib, ivosidenib and the microsphere and infusion products discussed, while ESMO reports no external funding for the guideline itself</w:t>
            </w:r>
          </w:p>
          <w:p>
            <w:pPr>
              <w:pStyle w:val="ListParagraph"/>
              <w:numPr>
                <w:ilvl w:val="0"/>
                <w:numId w:val="2"/>
              </w:numPr>
              <w:spacing w:after="45"/>
            </w:pPr>
            <w:r>
              <w:rPr>
                <w:sz w:val="15"/>
                <w:szCs w:val="15"/>
              </w:rPr>
              <w:t xml:space="preserve">The guideline was approved for publication in October 2022 and so predates the full ASCOT publication and the HER2 and FGFR approvals that followed, while remaining the parent document for the 2025 interim update</w:t>
            </w:r>
          </w:p>
          <w:p>
            <w:pPr>
              <w:pStyle w:val="ListParagraph"/>
              <w:numPr>
                <w:ilvl w:val="0"/>
                <w:numId w:val="2"/>
              </w:numPr>
              <w:spacing w:after="45"/>
            </w:pPr>
            <w:r>
              <w:rPr>
                <w:sz w:val="15"/>
                <w:szCs w:val="15"/>
              </w:rPr>
              <w:t xml:space="preserve">A surgical-oncology commentary by Maker (Hepatobiliary Surg Nutr 2024;13:516-519, PMID 38911219) discusses these guidelines; it was identified from the citation record and not read here</w:t>
            </w:r>
          </w:p>
        </w:tc>
      </w:tr>
    </w:tbl>
    <w:p>
      <w:pPr>
        <w:spacing w:after="0" w:line="276"/>
      </w:pPr>
      <w:r>
        <w:rPr>
          <w:color w:val="5A6069"/>
          <w:sz w:val="14"/>
          <w:szCs w:val="14"/>
        </w:rPr>
        <w:t xml:space="preserve">Funding: No external funding; production costs covered by ESMO central funds, with editorial and ESMO-MCBS support funded by ESMO; the lead author declares speaker, consultancy and advisory fees from more than twenty companies including AstraZeneca, BTG, Incyte, Roche, Servier, Sirtex, Taiho and Terumo, and research funding from Incyte and Servier</w:t>
      </w:r>
    </w:p>
    <w:p>
      <w:pPr>
        <w:keepNext/>
        <w:spacing w:after="50" w:before="260"/>
      </w:pPr>
      <w:r>
        <w:rPr>
          <w:rFonts w:ascii="Cambria" w:cs="Cambria" w:eastAsia="Cambria" w:hAnsi="Cambria"/>
          <w:b/>
          <w:bCs/>
          <w:color w:val="17365D"/>
          <w:sz w:val="20"/>
          <w:szCs w:val="20"/>
        </w:rPr>
        <w:t xml:space="preserve">ESMO 2024 interim</w:t>
      </w:r>
      <w:r>
        <w:rPr>
          <w:b/>
          <w:bCs/>
          <w:color w:val="176A87"/>
          <w:sz w:val="15"/>
          <w:szCs w:val="15"/>
        </w:rPr>
        <w:t xml:space="preserve">   Guideline</w:t>
      </w:r>
      <w:r>
        <w:rPr>
          <w:color w:val="5A6069"/>
          <w:sz w:val="15"/>
          <w:szCs w:val="15"/>
        </w:rPr>
        <w:t xml:space="preserve">   PMID 39864891</w:t>
      </w:r>
    </w:p>
    <w:p>
      <w:pPr>
        <w:spacing w:after="50" w:line="276"/>
      </w:pPr>
      <w:r>
        <w:rPr>
          <w:color w:val="5A6069"/>
          <w:sz w:val="17"/>
          <w:szCs w:val="17"/>
        </w:rPr>
        <w:t xml:space="preserve">ESMO Clinical Practice Guideline interim update on the management of biliary tract cancer</w:t>
      </w:r>
    </w:p>
    <w:p>
      <w:pPr>
        <w:spacing w:after="70"/>
      </w:pPr>
      <w:r>
        <w:rPr>
          <w:b/>
          <w:bCs/>
          <w:color w:val="17365D"/>
          <w:sz w:val="16"/>
          <w:szCs w:val="16"/>
        </w:rPr>
        <w:t xml:space="preserve">Bottom line. </w:t>
      </w:r>
      <w:r>
        <w:rPr>
          <w:sz w:val="16"/>
          <w:szCs w:val="16"/>
        </w:rPr>
        <w:t xml:space="preserve">This interim update brings the ESMO biliary tract cancer guideline up to date on molecular diagnostics and advanced disease: profile at the start of first-line treatment, add either durvalumab or pembrolizumab to gemcitabine-cisplatin, avoid triplets, and use futibatinib, pemigatinib, HER2-directed agents, NTRK and RET inhibitors by alteration. Nearly all of it is level III evidence graded A, so strong recommendations rest on single-arm and basket-trial data, and the two HER2 recommendations depend on an assay the same document says cannot be specified. It is silent on surgery, adjuvant therapy, staging and transplantation.</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No limitations section; the authors concede there are no standardised criteria for assessing HER2 status in biliary tract cancer and that no specific test can be recommended, with gastric cancer immunohistochemistry criteria suggested as the best available</w:t>
            </w:r>
          </w:p>
          <w:p>
            <w:pPr>
              <w:pStyle w:val="ListParagraph"/>
              <w:numPr>
                <w:ilvl w:val="0"/>
                <w:numId w:val="2"/>
              </w:numPr>
              <w:spacing w:after="45"/>
            </w:pPr>
            <w:r>
              <w:rPr>
                <w:sz w:val="15"/>
                <w:szCs w:val="15"/>
              </w:rPr>
              <w:t xml:space="preserve">They state that no clinical, biochemical or molecular biomarker favours one checkpoint inhibitor over the other</w:t>
            </w:r>
          </w:p>
          <w:p>
            <w:pPr>
              <w:pStyle w:val="ListParagraph"/>
              <w:numPr>
                <w:ilvl w:val="0"/>
                <w:numId w:val="2"/>
              </w:numPr>
              <w:spacing w:after="45"/>
            </w:pPr>
            <w:r>
              <w:rPr>
                <w:sz w:val="15"/>
                <w:szCs w:val="15"/>
              </w:rPr>
              <w:t xml:space="preserve">They note that several recommended agents are approved by the FDA but not the EMA, and that repotrectinib is approved by neither</w:t>
            </w:r>
          </w:p>
          <w:p>
            <w:pPr>
              <w:pStyle w:val="ListParagraph"/>
              <w:numPr>
                <w:ilvl w:val="0"/>
                <w:numId w:val="2"/>
              </w:numPr>
              <w:spacing w:after="45"/>
            </w:pPr>
            <w:r>
              <w:rPr>
                <w:sz w:val="15"/>
                <w:szCs w:val="15"/>
              </w:rPr>
              <w:t xml:space="preserve">The literature was selected by the two expert authors rather than by systematic review</w:t>
            </w:r>
          </w:p>
          <w:p>
            <w:pPr>
              <w:pStyle w:val="ListParagraph"/>
              <w:numPr>
                <w:ilvl w:val="0"/>
                <w:numId w:val="2"/>
              </w:numPr>
              <w:spacing w:after="45"/>
            </w:pPr>
            <w:r>
              <w:rPr>
                <w:sz w:val="15"/>
                <w:szCs w:val="15"/>
              </w:rPr>
              <w:t xml:space="preserve">NTRK and RET fusions are acknowledged to be rare and to have been tested only in basket trials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Almost every recommendation added here is level III, grade A, which means a strong recommendation on single-arm phase II or basket-trial data with no randomised comparator; the grade and the evidence level point in opposite directions throughout</w:t>
            </w:r>
          </w:p>
          <w:p>
            <w:pPr>
              <w:pStyle w:val="ListParagraph"/>
              <w:numPr>
                <w:ilvl w:val="0"/>
                <w:numId w:val="2"/>
              </w:numPr>
              <w:spacing w:after="45"/>
            </w:pPr>
            <w:r>
              <w:rPr>
                <w:sz w:val="15"/>
                <w:szCs w:val="15"/>
              </w:rPr>
              <w:t xml:space="preserve">Two HER2-directed treatments are recommended while the same document states that no HER2 assay can be recommended in this disease, so the recommendations cannot be executed as written and borrowing gastric cancer criteria is offered without validation data in biliary tumours</w:t>
            </w:r>
          </w:p>
          <w:p>
            <w:pPr>
              <w:pStyle w:val="ListParagraph"/>
              <w:numPr>
                <w:ilvl w:val="0"/>
                <w:numId w:val="2"/>
              </w:numPr>
              <w:spacing w:after="45"/>
            </w:pPr>
            <w:r>
              <w:rPr>
                <w:sz w:val="15"/>
                <w:szCs w:val="15"/>
              </w:rPr>
              <w:t xml:space="preserve">Durvalumab and pembrolizumab are declared interchangeable on an indirect comparison of TOPAZ-1 and KEYNOTE-966, which differ in chemotherapy duration (eight cycles capped against treatment to progression), in geography and in population; no randomised comparison exists and the document does not state the limits of that inference</w:t>
            </w:r>
          </w:p>
          <w:p>
            <w:pPr>
              <w:pStyle w:val="ListParagraph"/>
              <w:numPr>
                <w:ilvl w:val="0"/>
                <w:numId w:val="2"/>
              </w:numPr>
              <w:spacing w:after="45"/>
            </w:pPr>
            <w:r>
              <w:rPr>
                <w:sz w:val="15"/>
                <w:szCs w:val="15"/>
              </w:rPr>
              <w:t xml:space="preserve">The whole document was written by two authors with ESMO committee review, so the evidence selection rests on two readers and no search strategy, date range or inclusion criteria are reported</w:t>
            </w:r>
          </w:p>
          <w:p>
            <w:pPr>
              <w:pStyle w:val="ListParagraph"/>
              <w:numPr>
                <w:ilvl w:val="0"/>
                <w:numId w:val="2"/>
              </w:numPr>
              <w:spacing w:after="45"/>
            </w:pPr>
            <w:r>
              <w:rPr>
                <w:sz w:val="15"/>
                <w:szCs w:val="15"/>
              </w:rPr>
              <w:t xml:space="preserve">Molecular profiling is recommended at level I, grade A at the start of first-line therapy for a panel of eight gene targets, without any statement of the expected yield, the assay failure rate or what to do when profiling fails, which in biliary specimens is common</w:t>
            </w:r>
          </w:p>
          <w:p>
            <w:pPr>
              <w:pStyle w:val="ListParagraph"/>
              <w:numPr>
                <w:ilvl w:val="0"/>
                <w:numId w:val="2"/>
              </w:numPr>
              <w:spacing w:after="45"/>
            </w:pPr>
            <w:r>
              <w:rPr>
                <w:sz w:val="15"/>
                <w:szCs w:val="15"/>
              </w:rPr>
              <w:t xml:space="preserve">The futibatinib and pemigatinib recommendations carry ESMO-MCBS scores of 3 and 2 from single-arm trials where the magnitude-of-benefit scale has no comparator to score against</w:t>
            </w:r>
          </w:p>
          <w:p>
            <w:pPr>
              <w:pStyle w:val="ListParagraph"/>
              <w:numPr>
                <w:ilvl w:val="0"/>
                <w:numId w:val="2"/>
              </w:numPr>
              <w:spacing w:after="45"/>
            </w:pPr>
            <w:r>
              <w:rPr>
                <w:sz w:val="15"/>
                <w:szCs w:val="15"/>
              </w:rPr>
              <w:t xml:space="preserve">Hepatic arterial infusion and selective internal radiotherapy are relegated to supplementary material with no graded recommendation, so the liver-directed options that matter most in liver-confined iCCA are effectively removed from the update</w:t>
            </w:r>
          </w:p>
          <w:p>
            <w:pPr>
              <w:pStyle w:val="ListParagraph"/>
              <w:numPr>
                <w:ilvl w:val="0"/>
                <w:numId w:val="2"/>
              </w:numPr>
              <w:spacing w:after="45"/>
            </w:pPr>
            <w:r>
              <w:rPr>
                <w:sz w:val="15"/>
                <w:szCs w:val="15"/>
              </w:rPr>
              <w:t xml:space="preserve">Nothing is added on resection, adjuvant therapy, nodal staging or transplantation, so the update modernises only the systemic half of the parent guideline while being cited as the current ESMO position overall</w:t>
            </w:r>
          </w:p>
          <w:p>
            <w:pPr>
              <w:pStyle w:val="ListParagraph"/>
              <w:numPr>
                <w:ilvl w:val="0"/>
                <w:numId w:val="2"/>
              </w:numPr>
              <w:spacing w:after="45"/>
            </w:pPr>
            <w:r>
              <w:rPr>
                <w:sz w:val="15"/>
                <w:szCs w:val="15"/>
              </w:rPr>
              <w:t xml:space="preserve">The DESTINY-PanTumor02 response rate of 56.3% quoted for trastuzumab deruxtecan comes from an immunohistochemistry 3+ subgroup of a pan-tumour basket trial, and the number of biliary patients behind it is not given in the update</w:t>
            </w:r>
          </w:p>
          <w:p>
            <w:pPr>
              <w:pStyle w:val="ListParagraph"/>
              <w:numPr>
                <w:ilvl w:val="0"/>
                <w:numId w:val="2"/>
              </w:numPr>
              <w:spacing w:after="45"/>
            </w:pPr>
            <w:r>
              <w:rPr>
                <w:sz w:val="15"/>
                <w:szCs w:val="15"/>
              </w:rPr>
              <w:t xml:space="preserve">Triplet chemotherapy is rejected on two negative randomised trials while the one positive Japanese triplet is reported without a recommendation either way, leaving the reader with a geographically split evidence base and no guidance</w:t>
            </w:r>
          </w:p>
          <w:p>
            <w:pPr>
              <w:pStyle w:val="ListParagraph"/>
              <w:numPr>
                <w:ilvl w:val="0"/>
                <w:numId w:val="2"/>
              </w:numPr>
              <w:spacing w:after="45"/>
            </w:pPr>
            <w:r>
              <w:rPr>
                <w:sz w:val="15"/>
                <w:szCs w:val="15"/>
              </w:rPr>
              <w:t xml:space="preserve">Both authors declare advisory and speaker relationships with the manufacturers of the recommended agents, in a document whose entire content is which drug to give</w:t>
            </w:r>
          </w:p>
          <w:p>
            <w:pPr>
              <w:pStyle w:val="ListParagraph"/>
              <w:numPr>
                <w:ilvl w:val="0"/>
                <w:numId w:val="2"/>
              </w:numPr>
              <w:spacing w:after="45"/>
            </w:pPr>
            <w:r>
              <w:rPr>
                <w:sz w:val="15"/>
                <w:szCs w:val="15"/>
              </w:rPr>
              <w:t xml:space="preserve">Small duct intrahepatic cholangiocarcinoma is singled out as enriched for actionable targets, but no recommendation is conditioned on that subtype and no prevalence figures by subtype are given</w:t>
            </w:r>
          </w:p>
          <w:p>
            <w:pPr>
              <w:pStyle w:val="ListParagraph"/>
              <w:numPr>
                <w:ilvl w:val="0"/>
                <w:numId w:val="2"/>
              </w:numPr>
              <w:spacing w:after="45"/>
            </w:pPr>
            <w:r>
              <w:rPr>
                <w:sz w:val="15"/>
                <w:szCs w:val="15"/>
              </w:rPr>
              <w:t xml:space="preserve">No linked editorial or comment was found in PubMed, so no independent published appraisal accompanies the update</w:t>
            </w:r>
          </w:p>
        </w:tc>
      </w:tr>
    </w:tbl>
    <w:p>
      <w:pPr>
        <w:spacing w:after="0" w:line="276"/>
      </w:pPr>
      <w:r>
        <w:rPr>
          <w:color w:val="5A6069"/>
          <w:sz w:val="14"/>
          <w:szCs w:val="14"/>
        </w:rPr>
        <w:t xml:space="preserve">Funding: No external funding; production costs covered by ESMO central funds with editorial support from a medical communications agency funded by ESMO; both authors declare extensive advisory board, speaker and steering-committee fees, including from AbbVie, Amgen, AstraZeneca, Eisai, Incyte, Ipsen, MSD, Roche, Servier, Taiho and Tyra</w:t>
      </w:r>
    </w:p>
    <w:p>
      <w:pPr>
        <w:keepNext/>
        <w:spacing w:after="50" w:before="260"/>
      </w:pPr>
      <w:r>
        <w:rPr>
          <w:rFonts w:ascii="Cambria" w:cs="Cambria" w:eastAsia="Cambria" w:hAnsi="Cambria"/>
          <w:b/>
          <w:bCs/>
          <w:color w:val="17365D"/>
          <w:sz w:val="20"/>
          <w:szCs w:val="20"/>
        </w:rPr>
        <w:t xml:space="preserve">FIGHT-202</w:t>
      </w:r>
      <w:r>
        <w:rPr>
          <w:b/>
          <w:bCs/>
          <w:color w:val="176A87"/>
          <w:sz w:val="15"/>
          <w:szCs w:val="15"/>
        </w:rPr>
        <w:t xml:space="preserve">   Prospective trial</w:t>
      </w:r>
      <w:r>
        <w:rPr>
          <w:color w:val="5A6069"/>
          <w:sz w:val="15"/>
          <w:szCs w:val="15"/>
        </w:rPr>
        <w:t xml:space="preserve">   PMID 38838500</w:t>
      </w:r>
    </w:p>
    <w:p>
      <w:pPr>
        <w:spacing w:after="50" w:line="276"/>
      </w:pPr>
      <w:r>
        <w:rPr>
          <w:color w:val="5A6069"/>
          <w:sz w:val="17"/>
          <w:szCs w:val="17"/>
        </w:rPr>
        <w:t xml:space="preserve">An open-label study of pemigatinib in cholangiocarcinoma: final results from FIGHT-202</w:t>
      </w:r>
    </w:p>
    <w:p>
      <w:pPr>
        <w:spacing w:after="50"/>
      </w:pPr>
      <w:r>
        <w:rPr>
          <w:b/>
          <w:bCs/>
          <w:color w:val="176A87"/>
          <w:sz w:val="16"/>
          <w:szCs w:val="16"/>
        </w:rPr>
        <w:t xml:space="preserve">Population. </w:t>
      </w:r>
      <w:r>
        <w:rPr>
          <w:sz w:val="16"/>
          <w:szCs w:val="16"/>
        </w:rPr>
        <w:t xml:space="preserve">147 patients with previously treated advanced or metastatic cholangiocarcinoma at 146 sites in 12 countries, assigned by central FGF/FGFR status to cohort A with FGFR2 fusions or rearrangements (108), cohort B with other alterations (20) and cohort C with none (17); 90% had intrahepatic disease and 107 of 108 in cohort A were intrahepatic, with median follow-up of 42.9 months in cohort A</w:t>
      </w:r>
    </w:p>
    <w:p>
      <w:pPr>
        <w:spacing w:after="70"/>
      </w:pPr>
      <w:r>
        <w:rPr>
          <w:b/>
          <w:bCs/>
          <w:color w:val="17365D"/>
          <w:sz w:val="16"/>
          <w:szCs w:val="16"/>
        </w:rPr>
        <w:t xml:space="preserve">Bottom line. </w:t>
      </w:r>
      <w:r>
        <w:rPr>
          <w:sz w:val="16"/>
          <w:szCs w:val="16"/>
        </w:rPr>
        <w:t xml:space="preserve">The final FIGHT-202 analysis confirms pemigatinib's activity in FGFR2-fusion cholangiocarcinoma at 42.9 months of follow-up: 37.0% response, 9.1-month median duration of response, 7.0 months progression-free survival and 17.5 months overall survival, with no responses at all outside the FGFR2-fusion cohort. It cannot quantify benefit, being single-arm in a molecular subgroup with a known more favourable natural history, and its durability case rests on comparing responders with non-responders. Two-thirds progressed within a year, every patient had an adverse event and 68.7% had one of grade 3 or worse.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study design included no active comparator treatment arm</w:t>
            </w:r>
          </w:p>
          <w:p>
            <w:pPr>
              <w:pStyle w:val="ListParagraph"/>
              <w:numPr>
                <w:ilvl w:val="0"/>
                <w:numId w:val="2"/>
              </w:numPr>
              <w:spacing w:after="45"/>
            </w:pPr>
            <w:r>
              <w:rPr>
                <w:sz w:val="15"/>
                <w:szCs w:val="15"/>
              </w:rPr>
              <w:t xml:space="preserve">Small numbers in the patient subgroups limit interpretation of efficacy by demographic and disease characteristics</w:t>
            </w:r>
          </w:p>
          <w:p>
            <w:pPr>
              <w:pStyle w:val="ListParagraph"/>
              <w:numPr>
                <w:ilvl w:val="0"/>
                <w:numId w:val="2"/>
              </w:numPr>
              <w:spacing w:after="45"/>
            </w:pPr>
            <w:r>
              <w:rPr>
                <w:sz w:val="15"/>
                <w:szCs w:val="15"/>
              </w:rPr>
              <w:t xml:space="preserve">The authors refer the reader to the earlier primary report for the trial's other limitations rather than restating them</w:t>
            </w:r>
          </w:p>
          <w:p>
            <w:pPr>
              <w:pStyle w:val="ListParagraph"/>
              <w:numPr>
                <w:ilvl w:val="0"/>
                <w:numId w:val="2"/>
              </w:numPr>
              <w:spacing w:after="45"/>
            </w:pPr>
            <w:r>
              <w:rPr>
                <w:sz w:val="15"/>
                <w:szCs w:val="15"/>
              </w:rPr>
              <w:t xml:space="preserve">They note that routine comprehensive genomic profiling is needed to find patients who might benefit, and that the first-line role of FGFR inhibition remains for FIGHT-302 to establish</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With no comparator, a 37.0% response rate and 17.5-month median survival cannot be separated from the biology of FGFR2-fusion disease, which the paper itself states carries longer survival from diagnosis than FGFR2-wild-type cholangiocarcinoma</w:t>
            </w:r>
          </w:p>
          <w:p>
            <w:pPr>
              <w:pStyle w:val="ListParagraph"/>
              <w:numPr>
                <w:ilvl w:val="0"/>
                <w:numId w:val="2"/>
              </w:numPr>
              <w:spacing w:after="45"/>
            </w:pPr>
            <w:r>
              <w:rPr>
                <w:sz w:val="15"/>
                <w:szCs w:val="15"/>
              </w:rPr>
              <w:t xml:space="preserve">The headline response rate fell from 35.5% in the 2020 primary report to 37.0% here on a differently sized cohort (108 against 107), and the two figures are quoted interchangeably in the literature without noting that the denominator changed</w:t>
            </w:r>
          </w:p>
          <w:p>
            <w:pPr>
              <w:pStyle w:val="ListParagraph"/>
              <w:numPr>
                <w:ilvl w:val="0"/>
                <w:numId w:val="2"/>
              </w:numPr>
              <w:spacing w:after="45"/>
            </w:pPr>
            <w:r>
              <w:rPr>
                <w:sz w:val="15"/>
                <w:szCs w:val="15"/>
              </w:rPr>
              <w:t xml:space="preserve">The 46.1-month median survival in responders against 13.7 months in non-responders is the central durability claim and is a comparison of patients defined by their outcome; responder analyses of this kind cannot establish benefit</w:t>
            </w:r>
          </w:p>
          <w:p>
            <w:pPr>
              <w:pStyle w:val="ListParagraph"/>
              <w:numPr>
                <w:ilvl w:val="0"/>
                <w:numId w:val="2"/>
              </w:numPr>
              <w:spacing w:after="45"/>
            </w:pPr>
            <w:r>
              <w:rPr>
                <w:sz w:val="15"/>
                <w:szCs w:val="15"/>
              </w:rPr>
              <w:t xml:space="preserve">Cohorts B and C are 20 and 17 patients with zero responses, so the clean negative result the paper relies on to define the biomarker is a weak negative that cannot exclude a response rate of 10% or more</w:t>
            </w:r>
          </w:p>
          <w:p>
            <w:pPr>
              <w:pStyle w:val="ListParagraph"/>
              <w:numPr>
                <w:ilvl w:val="0"/>
                <w:numId w:val="2"/>
              </w:numPr>
              <w:spacing w:after="45"/>
            </w:pPr>
            <w:r>
              <w:rPr>
                <w:sz w:val="15"/>
                <w:szCs w:val="15"/>
              </w:rPr>
              <w:t xml:space="preserve">Only 12 of 40 responders (30.0%) responded for 12 months or longer and 12-month progression-free survival was 32.3%, so two-thirds of patients had progressed within a year</w:t>
            </w:r>
          </w:p>
          <w:p>
            <w:pPr>
              <w:pStyle w:val="ListParagraph"/>
              <w:numPr>
                <w:ilvl w:val="0"/>
                <w:numId w:val="2"/>
              </w:numPr>
              <w:spacing w:after="45"/>
            </w:pPr>
            <w:r>
              <w:rPr>
                <w:sz w:val="15"/>
                <w:szCs w:val="15"/>
              </w:rPr>
              <w:t xml:space="preserve">Every patient had a treatment-emergent adverse event, 68.7% grade 3 or worse and 46.3% serious, with dose interruption in 42.2% and discontinuation in 10.2%; this is a demanding drug and the abstract characterises the events as manageable</w:t>
            </w:r>
          </w:p>
          <w:p>
            <w:pPr>
              <w:pStyle w:val="ListParagraph"/>
              <w:numPr>
                <w:ilvl w:val="0"/>
                <w:numId w:val="2"/>
              </w:numPr>
              <w:spacing w:after="45"/>
            </w:pPr>
            <w:r>
              <w:rPr>
                <w:sz w:val="15"/>
                <w:szCs w:val="15"/>
              </w:rPr>
              <w:t xml:space="preserve">Six fatal events (4.1%) occurred, none judged treatment related, with the attribution made by investigators and no independent adjudication described</w:t>
            </w:r>
          </w:p>
          <w:p>
            <w:pPr>
              <w:pStyle w:val="ListParagraph"/>
              <w:numPr>
                <w:ilvl w:val="0"/>
                <w:numId w:val="2"/>
              </w:numPr>
              <w:spacing w:after="45"/>
            </w:pPr>
            <w:r>
              <w:rPr>
                <w:sz w:val="15"/>
                <w:szCs w:val="15"/>
              </w:rPr>
              <w:t xml:space="preserve">The TP53 hazard ratio of 3.33 (1.48-7.52) and PBRM1 hazard ratio of 2.46 (1.24-4.87) are exploratory co-alteration analyses in a 108-patient cohort with no multiplicity adjustment, offered as prognostic findings</w:t>
            </w:r>
          </w:p>
          <w:p>
            <w:pPr>
              <w:pStyle w:val="ListParagraph"/>
              <w:numPr>
                <w:ilvl w:val="0"/>
                <w:numId w:val="2"/>
              </w:numPr>
              <w:spacing w:after="45"/>
            </w:pPr>
            <w:r>
              <w:rPr>
                <w:sz w:val="15"/>
                <w:szCs w:val="15"/>
              </w:rPr>
              <w:t xml:space="preserve">Acquired kinase-domain resistance mutations arose in all patients who responded and then progressed, which means the benefit is intrinsically time-limited, and the paper's conclusion emphasises durability</w:t>
            </w:r>
          </w:p>
          <w:p>
            <w:pPr>
              <w:pStyle w:val="ListParagraph"/>
              <w:numPr>
                <w:ilvl w:val="0"/>
                <w:numId w:val="2"/>
              </w:numPr>
              <w:spacing w:after="45"/>
            </w:pPr>
            <w:r>
              <w:rPr>
                <w:sz w:val="15"/>
                <w:szCs w:val="15"/>
              </w:rPr>
              <w:t xml:space="preserve">Incyte funded the trial, paid for the writing and employs three authors who hold shares, and the paper's own conclusion is that the results further support the regulatory approvals of Incyte's drug based on this single-arm study</w:t>
            </w:r>
          </w:p>
          <w:p>
            <w:pPr>
              <w:pStyle w:val="ListParagraph"/>
              <w:numPr>
                <w:ilvl w:val="0"/>
                <w:numId w:val="2"/>
              </w:numPr>
              <w:spacing w:after="45"/>
            </w:pPr>
            <w:r>
              <w:rPr>
                <w:sz w:val="15"/>
                <w:szCs w:val="15"/>
              </w:rPr>
              <w:t xml:space="preserve">107 of 108 cohort A patients had intrahepatic disease, so despite being titled a cholangiocarcinoma study the result applies to iCCA only, and the second-line-or-later setting means nothing here speaks to perioperative or conversion use</w:t>
            </w:r>
          </w:p>
          <w:p>
            <w:pPr>
              <w:pStyle w:val="ListParagraph"/>
              <w:numPr>
                <w:ilvl w:val="0"/>
                <w:numId w:val="2"/>
              </w:numPr>
              <w:spacing w:after="45"/>
            </w:pPr>
            <w:r>
              <w:rPr>
                <w:sz w:val="15"/>
                <w:szCs w:val="15"/>
              </w:rPr>
              <w:t xml:space="preserve">No linked editorial or comment was found in PubMed for this final analysis, so the only critical reading available is internal to the text</w:t>
            </w:r>
          </w:p>
        </w:tc>
      </w:tr>
    </w:tbl>
    <w:p>
      <w:pPr>
        <w:spacing w:after="0" w:line="276"/>
      </w:pPr>
      <w:r>
        <w:rPr>
          <w:color w:val="5A6069"/>
          <w:sz w:val="14"/>
          <w:szCs w:val="14"/>
        </w:rPr>
        <w:t xml:space="preserve">Funding: Supported by Incyte with no grant number; medical writing was paid for by Incyte and three authors are Incyte employees and shareholders, with the academic authors declaring personal fees and institutional grants across the industry</w:t>
      </w:r>
    </w:p>
    <w:p>
      <w:pPr>
        <w:keepNext/>
        <w:spacing w:after="50" w:before="260"/>
      </w:pPr>
      <w:r>
        <w:rPr>
          <w:rFonts w:ascii="Cambria" w:cs="Cambria" w:eastAsia="Cambria" w:hAnsi="Cambria"/>
          <w:b/>
          <w:bCs/>
          <w:color w:val="17365D"/>
          <w:sz w:val="20"/>
          <w:szCs w:val="20"/>
        </w:rPr>
        <w:t xml:space="preserve">FISH meta-analysis</w:t>
      </w:r>
      <w:r>
        <w:rPr>
          <w:b/>
          <w:bCs/>
          <w:color w:val="176A87"/>
          <w:sz w:val="15"/>
          <w:szCs w:val="15"/>
        </w:rPr>
        <w:t xml:space="preserve">   Meta-analysis</w:t>
      </w:r>
      <w:r>
        <w:rPr>
          <w:color w:val="5A6069"/>
          <w:sz w:val="15"/>
          <w:szCs w:val="15"/>
        </w:rPr>
        <w:t xml:space="preserve">   PMID 24360654</w:t>
      </w:r>
    </w:p>
    <w:p>
      <w:pPr>
        <w:spacing w:after="50" w:line="276"/>
      </w:pPr>
      <w:r>
        <w:rPr>
          <w:color w:val="5A6069"/>
          <w:sz w:val="17"/>
          <w:szCs w:val="17"/>
        </w:rPr>
        <w:t xml:space="preserve">Fluorescence in situ hybridization for diagnosis of cholangiocarcinoma in primary sclerosing cholangitis: a systematic review and meta-analysis</w:t>
      </w:r>
    </w:p>
    <w:p>
      <w:pPr>
        <w:spacing w:after="50"/>
      </w:pPr>
      <w:r>
        <w:rPr>
          <w:b/>
          <w:bCs/>
          <w:color w:val="176A87"/>
          <w:sz w:val="16"/>
          <w:szCs w:val="16"/>
        </w:rPr>
        <w:t xml:space="preserve">Population. </w:t>
      </w:r>
      <w:r>
        <w:rPr>
          <w:sz w:val="16"/>
          <w:szCs w:val="16"/>
        </w:rPr>
        <w:t xml:space="preserve">828 patients with primary sclerosing cholangitis who underwent bile duct brushing with FISH, pooled from 8 full-text studies published to June 2013 and all from a single centre with overlapping recruitment windows; 690 patients in 6 studies contributed polysomy data and 629 in 4 studies contributed trisomy or tetrasomy data</w:t>
      </w:r>
    </w:p>
    <w:p>
      <w:pPr>
        <w:spacing w:after="70"/>
      </w:pPr>
      <w:r>
        <w:rPr>
          <w:b/>
          <w:bCs/>
          <w:color w:val="17365D"/>
          <w:sz w:val="16"/>
          <w:szCs w:val="16"/>
        </w:rPr>
        <w:t xml:space="preserve">Bottom line. </w:t>
      </w:r>
      <w:r>
        <w:rPr>
          <w:sz w:val="16"/>
          <w:szCs w:val="16"/>
        </w:rPr>
        <w:t xml:space="preserve">Pooling eight studies of bile duct brushings in primary sclerosing cholangitis, FISH polysomy is 51% sensitive and 93% specific while any positive FISH is 68% and 70%, which places FISH as an adjunct after a non-diagnostic brushing rather than as a screening test at every ERCP. All eight studies come from one centre with overlapping recruitment, so the same patients are probably counted more than once and this is one institution's experience rather than external validation; the 'any positive FISH' pool also mixes four definitions of a positive result, and trisomy or tetrasomy carries no diagnostic information at all (odds ratio 1.28, 95% CI 0.55-2.99). For a tumour board the decisive number is the false-positive rate, since polysomy alone can qualify a patient for neoadjuvant chemoradiation and transplantation.</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Primary sclerosing cholangitis is relatively rare so only a few high-quality studies were available, and low-quality studies were included</w:t>
            </w:r>
          </w:p>
          <w:p>
            <w:pPr>
              <w:pStyle w:val="ListParagraph"/>
              <w:numPr>
                <w:ilvl w:val="0"/>
                <w:numId w:val="2"/>
              </w:numPr>
              <w:spacing w:after="45"/>
            </w:pPr>
            <w:r>
              <w:rPr>
                <w:sz w:val="15"/>
                <w:szCs w:val="15"/>
              </w:rPr>
              <w:t xml:space="preserve">All the included studies came from a single centre, the Mayo Clinic, which the authors describe as both a weakness and a strength because it limits generalisability while reducing variation in the characteristics of included patients</w:t>
            </w:r>
          </w:p>
          <w:p>
            <w:pPr>
              <w:pStyle w:val="ListParagraph"/>
              <w:numPr>
                <w:ilvl w:val="0"/>
                <w:numId w:val="2"/>
              </w:numPr>
              <w:spacing w:after="45"/>
            </w:pPr>
            <w:r>
              <w:rPr>
                <w:sz w:val="15"/>
                <w:szCs w:val="15"/>
              </w:rPr>
              <w:t xml:space="preserve">Some of the same patients are likely to be included in more than one study because all were done at the same centre and the recruitment windows overlap</w:t>
            </w:r>
          </w:p>
          <w:p>
            <w:pPr>
              <w:pStyle w:val="ListParagraph"/>
              <w:numPr>
                <w:ilvl w:val="0"/>
                <w:numId w:val="2"/>
              </w:numPr>
              <w:spacing w:after="45"/>
            </w:pPr>
            <w:r>
              <w:rPr>
                <w:sz w:val="15"/>
                <w:szCs w:val="15"/>
              </w:rPr>
              <w:t xml:space="preserve">There is no consensus or criteria for evaluating the quality of diagnostic studies without a control arm, and the studies were classified as high quality on only 10 of the 14 QUADAS items</w:t>
            </w:r>
          </w:p>
          <w:p>
            <w:pPr>
              <w:pStyle w:val="ListParagraph"/>
              <w:numPr>
                <w:ilvl w:val="0"/>
                <w:numId w:val="2"/>
              </w:numPr>
              <w:spacing w:after="45"/>
            </w:pPr>
            <w:r>
              <w:rPr>
                <w:sz w:val="15"/>
                <w:szCs w:val="15"/>
              </w:rPr>
              <w:t xml:space="preserve">FISH as a stand-alone test cannot be used either to diagnose cholangiocarcinoma or to exclude a benign stricture, since the positive likelihood ratio for polysomy is 6.81 and the negative 0.56, neither crossing the thresholds of 10 and 0.1</w:t>
            </w:r>
          </w:p>
          <w:p>
            <w:pPr>
              <w:pStyle w:val="ListParagraph"/>
              <w:numPr>
                <w:ilvl w:val="0"/>
                <w:numId w:val="2"/>
              </w:numPr>
              <w:spacing w:after="45"/>
            </w:pPr>
            <w:r>
              <w:rPr>
                <w:sz w:val="15"/>
                <w:szCs w:val="15"/>
              </w:rPr>
              <w:t xml:space="preserve">A specificity of 70% for any positive FISH is poor, and a false-positive diagnosis may result in unnecessary treatments and adverse events</w:t>
            </w:r>
          </w:p>
          <w:p>
            <w:pPr>
              <w:pStyle w:val="ListParagraph"/>
              <w:numPr>
                <w:ilvl w:val="0"/>
                <w:numId w:val="2"/>
              </w:numPr>
              <w:spacing w:after="45"/>
            </w:pPr>
            <w:r>
              <w:rPr>
                <w:sz w:val="15"/>
                <w:szCs w:val="15"/>
              </w:rPr>
              <w:t xml:space="preserve">FISH increases sensitivity only modestly in primary sclerosing cholangitis, is costly and is not universally available, so its role is confined to cases where brushings are non-diagnostic</w:t>
            </w:r>
          </w:p>
          <w:p>
            <w:pPr>
              <w:pStyle w:val="ListParagraph"/>
              <w:numPr>
                <w:ilvl w:val="0"/>
                <w:numId w:val="2"/>
              </w:numPr>
              <w:spacing w:after="45"/>
            </w:pPr>
            <w:r>
              <w:rPr>
                <w:sz w:val="15"/>
                <w:szCs w:val="15"/>
              </w:rPr>
              <w:t xml:space="preserve">Studies from centres other than the one contributing all eight had insufficient patient numbers and were excluded from the analysis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'any positive FISH' pool mixes four definitions of a positive test: polysomy alone in two studies, polysomy or trisomy 3 or 7 in three, polysomy plus trisomy or tetrasomy in two, and serial polysomy in one; the table's own footnotes show those same studies yield 47% sensitivity and 100% specificity when only polysomy counts, so the headline 68% and 70% describe no single test</w:t>
            </w:r>
          </w:p>
          <w:p>
            <w:pPr>
              <w:pStyle w:val="ListParagraph"/>
              <w:numPr>
                <w:ilvl w:val="0"/>
                <w:numId w:val="2"/>
              </w:numPr>
              <w:spacing w:after="45"/>
            </w:pPr>
            <w:r>
              <w:rPr>
                <w:sz w:val="15"/>
                <w:szCs w:val="15"/>
              </w:rPr>
              <w:t xml:space="preserve">Trisomy and tetrasomy carry a pooled diagnostic odds ratio of 1.28 (95% CI 0.55-2.99) and a positive likelihood ratio of 1.19 (0.65-2.21), that is no diagnostic information at all, and those results sit inside the pool producing the headline figures</w:t>
            </w:r>
          </w:p>
          <w:p>
            <w:pPr>
              <w:pStyle w:val="ListParagraph"/>
              <w:numPr>
                <w:ilvl w:val="0"/>
                <w:numId w:val="2"/>
              </w:numPr>
              <w:spacing w:after="45"/>
            </w:pPr>
            <w:r>
              <w:rPr>
                <w:sz w:val="15"/>
                <w:szCs w:val="15"/>
              </w:rPr>
              <w:t xml:space="preserve">Per-study specificity for any positive FISH runs from 52% to 100% in Table 1, with the two largest studies at 73% and 57%, so the pooled 70% conceals the entire usable range</w:t>
            </w:r>
          </w:p>
          <w:p>
            <w:pPr>
              <w:pStyle w:val="ListParagraph"/>
              <w:numPr>
                <w:ilvl w:val="0"/>
                <w:numId w:val="2"/>
              </w:numPr>
              <w:spacing w:after="45"/>
            </w:pPr>
            <w:r>
              <w:rPr>
                <w:sz w:val="15"/>
                <w:szCs w:val="15"/>
              </w:rPr>
              <w:t xml:space="preserve">Table 2 shows that specificity differs significantly by population, 0.57 in studies restricted to equivocal cytology against 0.72 in all-indeterminate studies (P less than 0.05), which is a spectrum or threshold effect that argues against pooling them at all</w:t>
            </w:r>
          </w:p>
          <w:p>
            <w:pPr>
              <w:pStyle w:val="ListParagraph"/>
              <w:numPr>
                <w:ilvl w:val="0"/>
                <w:numId w:val="2"/>
              </w:numPr>
              <w:spacing w:after="45"/>
            </w:pPr>
            <w:r>
              <w:rPr>
                <w:sz w:val="15"/>
                <w:szCs w:val="15"/>
              </w:rPr>
              <w:t xml:space="preserve">Pooling is by Der Simonian-Laird on sensitivity and specificity separately with a Moses-Shapiro-Littenberg summary curve, which ignores the correlation between the two and the threshold variation dominating this literature; no bivariate or hierarchical model is fitted</w:t>
            </w:r>
          </w:p>
          <w:p>
            <w:pPr>
              <w:pStyle w:val="ListParagraph"/>
              <w:numPr>
                <w:ilvl w:val="0"/>
                <w:numId w:val="2"/>
              </w:numPr>
              <w:spacing w:after="45"/>
            </w:pPr>
            <w:r>
              <w:rPr>
                <w:sz w:val="15"/>
                <w:szCs w:val="15"/>
              </w:rPr>
              <w:t xml:space="preserve">The diagnostic odds ratio of 7.24 is interpreted in the Discussion as meaning that with a positive FISH result 'the patient has a 7 times higher chance of having a true pathologic diagnosis', which reads a diagnostic odds ratio as a post-test probability multiplier</w:t>
            </w:r>
          </w:p>
          <w:p>
            <w:pPr>
              <w:pStyle w:val="ListParagraph"/>
              <w:numPr>
                <w:ilvl w:val="0"/>
                <w:numId w:val="2"/>
              </w:numPr>
              <w:spacing w:after="45"/>
            </w:pPr>
            <w:r>
              <w:rPr>
                <w:sz w:val="15"/>
                <w:szCs w:val="15"/>
              </w:rPr>
              <w:t xml:space="preserve">Patient-level double counting is conceded but never quantified; the 828 are ERCP episodes at one centre over overlapping periods, so the effective sample size is unknown and the printed confidence intervals are too narrow</w:t>
            </w:r>
          </w:p>
          <w:p>
            <w:pPr>
              <w:pStyle w:val="ListParagraph"/>
              <w:numPr>
                <w:ilvl w:val="0"/>
                <w:numId w:val="2"/>
              </w:numPr>
              <w:spacing w:after="45"/>
            </w:pPr>
            <w:r>
              <w:rPr>
                <w:sz w:val="15"/>
                <w:szCs w:val="15"/>
              </w:rPr>
              <w:t xml:space="preserve">Publication bias is declared absent although the Begg-Mazumdar test returned a P value of 0.05, and both bias indicators are uninformative with eight studies</w:t>
            </w:r>
          </w:p>
          <w:p>
            <w:pPr>
              <w:pStyle w:val="ListParagraph"/>
              <w:numPr>
                <w:ilvl w:val="0"/>
                <w:numId w:val="2"/>
              </w:numPr>
              <w:spacing w:after="45"/>
            </w:pPr>
            <w:r>
              <w:rPr>
                <w:sz w:val="15"/>
                <w:szCs w:val="15"/>
              </w:rPr>
              <w:t xml:space="preserve">The sensitivity analysis reports the effect of dropping each study on the diagnostic odds ratio and the area under the curve only, not on sensitivity or specificity</w:t>
            </w:r>
          </w:p>
          <w:p>
            <w:pPr>
              <w:pStyle w:val="ListParagraph"/>
              <w:numPr>
                <w:ilvl w:val="0"/>
                <w:numId w:val="2"/>
              </w:numPr>
              <w:spacing w:after="45"/>
            </w:pPr>
            <w:r>
              <w:rPr>
                <w:sz w:val="15"/>
                <w:szCs w:val="15"/>
              </w:rPr>
              <w:t xml:space="preserve">Verification bias runs one way: the reference standard is histopathology, and a patient with a positive FISH is more likely to be taken to resection, staging laparotomy or transplantation and so to be classified at all; one included study enrolled patients with a polysomy result and no definitive imaging or pathological evidence of malignancy at the time, so its reference standard is partly later events</w:t>
            </w:r>
          </w:p>
          <w:p>
            <w:pPr>
              <w:pStyle w:val="ListParagraph"/>
              <w:numPr>
                <w:ilvl w:val="0"/>
                <w:numId w:val="2"/>
              </w:numPr>
              <w:spacing w:after="45"/>
            </w:pPr>
            <w:r>
              <w:rPr>
                <w:sz w:val="15"/>
                <w:szCs w:val="15"/>
              </w:rPr>
              <w:t xml:space="preserve">The comparator that carries the paper's conclusion, brush cytology at 43% sensitivity and 97% specificity, is quoted from other literature, one source being the same group's concurrent meta-analysis, rather than pooled within this analysis, so the claim that FISH adds little is an indirect comparison</w:t>
            </w:r>
          </w:p>
          <w:p>
            <w:pPr>
              <w:pStyle w:val="ListParagraph"/>
              <w:numPr>
                <w:ilvl w:val="0"/>
                <w:numId w:val="2"/>
              </w:numPr>
              <w:spacing w:after="45"/>
            </w:pPr>
            <w:r>
              <w:rPr>
                <w:sz w:val="15"/>
                <w:szCs w:val="15"/>
              </w:rPr>
              <w:t xml:space="preserve">Predictive values are reported at the prevalence of these referral cohorts, a pooled positive predictive value of 42% for any positive FISH and 68% for polysomy, and are never re-derived at the much lower prevalence of a surveillance population, although the paper opens by quoting a 20% lifetime risk</w:t>
            </w:r>
          </w:p>
          <w:p>
            <w:pPr>
              <w:pStyle w:val="ListParagraph"/>
              <w:numPr>
                <w:ilvl w:val="0"/>
                <w:numId w:val="2"/>
              </w:numPr>
              <w:spacing w:after="45"/>
            </w:pPr>
            <w:r>
              <w:rPr>
                <w:sz w:val="15"/>
                <w:szCs w:val="15"/>
              </w:rPr>
              <w:t xml:space="preserve">A specificity of 93% for polysomy still means roughly one in fourteen benign primary sclerosing cholangitis strictures tests positive, and polysomy alone can qualify a patient for neoadjuvant chemoradiation and transplantation, so the false-positive rate rather than the sensitivity is the decisive number for a tumour board</w:t>
            </w:r>
          </w:p>
          <w:p>
            <w:pPr>
              <w:pStyle w:val="ListParagraph"/>
              <w:numPr>
                <w:ilvl w:val="0"/>
                <w:numId w:val="2"/>
              </w:numPr>
              <w:spacing w:after="45"/>
            </w:pPr>
            <w:r>
              <w:rPr>
                <w:sz w:val="15"/>
                <w:szCs w:val="15"/>
              </w:rPr>
              <w:t xml:space="preserve">The practical advice offered is not supported by this analysis: the three-negative-brushings rule placing the probability of malignancy below 6% comes from a 1990 study of 65 patients with bile duct strictures rather than a primary sclerosing cholangitis cohort, and the recommendation against EUS-guided aspiration after negative brushings is justified by the Mayo transplant protocol's exclusion rule, cited to a review</w:t>
            </w:r>
          </w:p>
          <w:p>
            <w:pPr>
              <w:pStyle w:val="ListParagraph"/>
              <w:numPr>
                <w:ilvl w:val="0"/>
                <w:numId w:val="2"/>
              </w:numPr>
              <w:spacing w:after="45"/>
            </w:pPr>
            <w:r>
              <w:rPr>
                <w:sz w:val="15"/>
                <w:szCs w:val="15"/>
              </w:rPr>
              <w:t xml:space="preserve">Which 4 of the 14 QUADAS items failed across all studies is shown only in a figure and never stated in the text</w:t>
            </w:r>
          </w:p>
          <w:p>
            <w:pPr>
              <w:pStyle w:val="ListParagraph"/>
              <w:numPr>
                <w:ilvl w:val="0"/>
                <w:numId w:val="2"/>
              </w:numPr>
              <w:spacing w:after="45"/>
            </w:pPr>
            <w:r>
              <w:rPr>
                <w:sz w:val="15"/>
                <w:szCs w:val="15"/>
              </w:rPr>
              <w:t xml:space="preserve">No linked editorial or comment was found in PubMed</w:t>
            </w:r>
          </w:p>
        </w:tc>
      </w:tr>
    </w:tbl>
    <w:p>
      <w:pPr>
        <w:spacing w:after="0" w:line="276"/>
      </w:pPr>
      <w:r>
        <w:rPr>
          <w:color w:val="5A6069"/>
          <w:sz w:val="14"/>
          <w:szCs w:val="14"/>
        </w:rPr>
        <w:t xml:space="preserve">Funding: U. Navaneethan received a research grant from the American College of Gastroenterology; all other authors disclosed no financial relationships relevant to the publication</w:t>
      </w:r>
    </w:p>
    <w:p>
      <w:pPr>
        <w:keepNext/>
        <w:spacing w:after="50" w:before="260"/>
      </w:pPr>
      <w:r>
        <w:rPr>
          <w:rFonts w:ascii="Cambria" w:cs="Cambria" w:eastAsia="Cambria" w:hAnsi="Cambria"/>
          <w:b/>
          <w:bCs/>
          <w:color w:val="17365D"/>
          <w:sz w:val="20"/>
          <w:szCs w:val="20"/>
        </w:rPr>
        <w:t xml:space="preserve">FOENIX-CCA2</w:t>
      </w:r>
      <w:r>
        <w:rPr>
          <w:b/>
          <w:bCs/>
          <w:color w:val="176A87"/>
          <w:sz w:val="15"/>
          <w:szCs w:val="15"/>
        </w:rPr>
        <w:t xml:space="preserve">   Prospective trial</w:t>
      </w:r>
      <w:r>
        <w:rPr>
          <w:color w:val="5A6069"/>
          <w:sz w:val="15"/>
          <w:szCs w:val="15"/>
        </w:rPr>
        <w:t xml:space="preserve">   PMID 36652354</w:t>
      </w:r>
    </w:p>
    <w:p>
      <w:pPr>
        <w:spacing w:after="50" w:line="276"/>
      </w:pPr>
      <w:r>
        <w:rPr>
          <w:color w:val="5A6069"/>
          <w:sz w:val="17"/>
          <w:szCs w:val="17"/>
        </w:rPr>
        <w:t xml:space="preserve">Futibatinib for FGFR2-Rearranged Intrahepatic Cholangiocarcinoma</w:t>
      </w:r>
    </w:p>
    <w:p>
      <w:pPr>
        <w:spacing w:after="50"/>
      </w:pPr>
      <w:r>
        <w:rPr>
          <w:b/>
          <w:bCs/>
          <w:color w:val="176A87"/>
          <w:sz w:val="16"/>
          <w:szCs w:val="16"/>
        </w:rPr>
        <w:t xml:space="preserve">Population. </w:t>
      </w:r>
      <w:r>
        <w:rPr>
          <w:sz w:val="16"/>
          <w:szCs w:val="16"/>
        </w:rPr>
        <w:t xml:space="preserve">103 patients with unresectable or metastatic FGFR2 fusion-positive or rearrangement-positive intrahepatic cholangiocarcinoma, enrolled from 783 screened at 47 sites in 13 countries between April 2018 and November 2019, all previously treated with at least one systemic line including gemcitabine-platinum and 53% with two or more prior lines</w:t>
      </w:r>
    </w:p>
    <w:p>
      <w:pPr>
        <w:spacing w:after="70"/>
      </w:pPr>
      <w:r>
        <w:rPr>
          <w:b/>
          <w:bCs/>
          <w:color w:val="17365D"/>
          <w:sz w:val="16"/>
          <w:szCs w:val="16"/>
        </w:rPr>
        <w:t xml:space="preserve">Bottom line. </w:t>
      </w:r>
      <w:r>
        <w:rPr>
          <w:sz w:val="16"/>
          <w:szCs w:val="16"/>
        </w:rPr>
        <w:t xml:space="preserve">FOENIX-CCA2 established futibatinib as active in FGFR2-rearranged intrahepatic cholangiocarcinoma, with a centrally reviewed response rate of 42%, median progression-free survival of 9.0 months and tolerable toxicity dominated by manageable hyperphosphataemia. It cannot size the benefit, having no comparator, and its 21.7-month median survival is estimated from a 17.1-month median follow-up. Only 14% of responders were still responding at a year, 783 patients were screened to enrol 103, and nothing in the trial speaks to perioperative or conversion use.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Single-group design and relatively small sample size</w:t>
            </w:r>
          </w:p>
          <w:p>
            <w:pPr>
              <w:pStyle w:val="ListParagraph"/>
              <w:numPr>
                <w:ilvl w:val="0"/>
                <w:numId w:val="2"/>
              </w:numPr>
              <w:spacing w:after="45"/>
            </w:pPr>
            <w:r>
              <w:rPr>
                <w:sz w:val="15"/>
                <w:szCs w:val="15"/>
              </w:rPr>
              <w:t xml:space="preserve">The lack of a comparator group precluded accurate quantification of the treatment effect, because estimates of the natural history of FGFR fusion-positive disease are variable</w:t>
            </w:r>
          </w:p>
          <w:p>
            <w:pPr>
              <w:pStyle w:val="ListParagraph"/>
              <w:numPr>
                <w:ilvl w:val="0"/>
                <w:numId w:val="2"/>
              </w:numPr>
              <w:spacing w:after="45"/>
            </w:pPr>
            <w:r>
              <w:rPr>
                <w:sz w:val="15"/>
                <w:szCs w:val="15"/>
              </w:rPr>
              <w:t xml:space="preserve">The effect of FGFR inhibition on overall survival is still under investigation in three randomised first-line trials, which were enrolling slowly at the time of writing</w:t>
            </w:r>
          </w:p>
          <w:p>
            <w:pPr>
              <w:pStyle w:val="ListParagraph"/>
              <w:numPr>
                <w:ilvl w:val="0"/>
                <w:numId w:val="2"/>
              </w:numPr>
              <w:spacing w:after="45"/>
            </w:pPr>
            <w:r>
              <w:rPr>
                <w:sz w:val="15"/>
                <w:szCs w:val="15"/>
              </w:rPr>
              <w:t xml:space="preserve">Conditional regulatory and reimbursement approval was granted on the basis of single-group data because the cancer is uncommon</w:t>
            </w:r>
          </w:p>
          <w:p>
            <w:pPr>
              <w:pStyle w:val="ListParagraph"/>
              <w:numPr>
                <w:ilvl w:val="0"/>
                <w:numId w:val="2"/>
              </w:numPr>
              <w:spacing w:after="45"/>
            </w:pPr>
            <w:r>
              <w:rPr>
                <w:sz w:val="15"/>
                <w:szCs w:val="15"/>
              </w:rPr>
              <w:t xml:space="preserve">All biomarker and subgroup analyses were exploratory</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No comparator means the 42% response rate cannot be converted into a benefit estimate, and the comparisons the paper offers, 35.5% for pemigatinib and 23.1% for infigratinib, are cross-trial with different eligibility and different central review processes</w:t>
            </w:r>
          </w:p>
          <w:p>
            <w:pPr>
              <w:pStyle w:val="ListParagraph"/>
              <w:numPr>
                <w:ilvl w:val="0"/>
                <w:numId w:val="2"/>
              </w:numPr>
              <w:spacing w:after="45"/>
            </w:pPr>
            <w:r>
              <w:rPr>
                <w:sz w:val="15"/>
                <w:szCs w:val="15"/>
              </w:rPr>
              <w:t xml:space="preserve">Median overall survival of 21.7 months has an upper bound of not reached at a median follow-up of 17.1 months, so the figure most often quoted from this trial is estimated from a follow-up shorter than the median it reports</w:t>
            </w:r>
          </w:p>
          <w:p>
            <w:pPr>
              <w:pStyle w:val="ListParagraph"/>
              <w:numPr>
                <w:ilvl w:val="0"/>
                <w:numId w:val="2"/>
              </w:numPr>
              <w:spacing w:after="45"/>
            </w:pPr>
            <w:r>
              <w:rPr>
                <w:sz w:val="15"/>
                <w:szCs w:val="15"/>
              </w:rPr>
              <w:t xml:space="preserve">Only 6 of 43 responders (14%) responded for 12 months or more, while 72% responded for at least 6 months; the durability claim therefore rests on a 6-month landmark, and the 12-month picture is much weaker than the headline suggests</w:t>
            </w:r>
          </w:p>
          <w:p>
            <w:pPr>
              <w:pStyle w:val="ListParagraph"/>
              <w:numPr>
                <w:ilvl w:val="0"/>
                <w:numId w:val="2"/>
              </w:numPr>
              <w:spacing w:after="45"/>
            </w:pPr>
            <w:r>
              <w:rPr>
                <w:sz w:val="15"/>
                <w:szCs w:val="15"/>
              </w:rPr>
              <w:t xml:space="preserve">Hyperphosphataemia affected 85% of patients with grade 3 in 30%, and dose interruptions occurred in 50% and reductions in 54%, so more than half of patients were not taking 20 mg daily; the response rate is attributed to a dose most patients did not maintain</w:t>
            </w:r>
          </w:p>
          <w:p>
            <w:pPr>
              <w:pStyle w:val="ListParagraph"/>
              <w:numPr>
                <w:ilvl w:val="0"/>
                <w:numId w:val="2"/>
              </w:numPr>
              <w:spacing w:after="45"/>
            </w:pPr>
            <w:r>
              <w:rPr>
                <w:sz w:val="15"/>
                <w:szCs w:val="15"/>
              </w:rPr>
              <w:t xml:space="preserve">The CDKN2A and CDKN2B progression-free survival differences, 4.9 against 9.7 and 4.8 against 11.0 months, are exploratory subgroup comparisons with unadjusted intervals, yet they are the paper's main prognostic claim</w:t>
            </w:r>
          </w:p>
          <w:p>
            <w:pPr>
              <w:pStyle w:val="ListParagraph"/>
              <w:numPr>
                <w:ilvl w:val="0"/>
                <w:numId w:val="2"/>
              </w:numPr>
              <w:spacing w:after="45"/>
            </w:pPr>
            <w:r>
              <w:rPr>
                <w:sz w:val="15"/>
                <w:szCs w:val="15"/>
              </w:rPr>
              <w:t xml:space="preserve">783 patients were screened for 103 enrolled, and the paper notes tissue profiling failure in biliary cancer reaching 26.8%, so eligibility depends on an assay pipeline whose performance determines whether the result is reachable at all</w:t>
            </w:r>
          </w:p>
          <w:p>
            <w:pPr>
              <w:pStyle w:val="ListParagraph"/>
              <w:numPr>
                <w:ilvl w:val="0"/>
                <w:numId w:val="2"/>
              </w:numPr>
              <w:spacing w:after="45"/>
            </w:pPr>
            <w:r>
              <w:rPr>
                <w:sz w:val="15"/>
                <w:szCs w:val="15"/>
              </w:rPr>
              <w:t xml:space="preserve">Circulating tumour DNA detected the alteration in 83 of 95 tested (87%), which is presented as supporting ctDNA profiling although 12 of 95 known-positive patients were missed, a 13% false-negative rate in patients already known to carry the fusion</w:t>
            </w:r>
          </w:p>
          <w:p>
            <w:pPr>
              <w:pStyle w:val="ListParagraph"/>
              <w:numPr>
                <w:ilvl w:val="0"/>
                <w:numId w:val="2"/>
              </w:numPr>
              <w:spacing w:after="45"/>
            </w:pPr>
            <w:r>
              <w:rPr>
                <w:sz w:val="15"/>
                <w:szCs w:val="15"/>
              </w:rPr>
              <w:t xml:space="preserve">The sponsors designed the trial, employ co-authors, funded the writing and hold confidentiality agreements with the authors, and the drug received accelerated approval on exactly these single-arm data</w:t>
            </w:r>
          </w:p>
          <w:p>
            <w:pPr>
              <w:pStyle w:val="ListParagraph"/>
              <w:numPr>
                <w:ilvl w:val="0"/>
                <w:numId w:val="2"/>
              </w:numPr>
              <w:spacing w:after="45"/>
            </w:pPr>
            <w:r>
              <w:rPr>
                <w:sz w:val="15"/>
                <w:szCs w:val="15"/>
              </w:rPr>
              <w:t xml:space="preserve">This is a second-line-or-later population with unresectable or metastatic disease, so the trial provides no evidence for neoadjuvant FGFR inhibition, conversion to resection or any perioperative use, which is where surgeons are now asked about it</w:t>
            </w:r>
          </w:p>
          <w:p>
            <w:pPr>
              <w:pStyle w:val="ListParagraph"/>
              <w:numPr>
                <w:ilvl w:val="0"/>
                <w:numId w:val="2"/>
              </w:numPr>
              <w:spacing w:after="45"/>
            </w:pPr>
            <w:r>
              <w:rPr>
                <w:sz w:val="15"/>
                <w:szCs w:val="15"/>
              </w:rPr>
              <w:t xml:space="preserve">Quality of life is reported as maintained from EORTC QLQ-C30 scores across 9.0 months in a single-arm trial, where stability can equally reflect who remained on study long enough to complete questionnaires</w:t>
            </w:r>
          </w:p>
          <w:p>
            <w:pPr>
              <w:pStyle w:val="ListParagraph"/>
              <w:numPr>
                <w:ilvl w:val="0"/>
                <w:numId w:val="2"/>
              </w:numPr>
              <w:spacing w:after="45"/>
            </w:pPr>
            <w:r>
              <w:rPr>
                <w:sz w:val="15"/>
                <w:szCs w:val="15"/>
              </w:rPr>
              <w:t xml:space="preserve">No linked editorial or comment was found in PubMed, so no independent published appraisal accompanies the approval-supporting data</w:t>
            </w:r>
          </w:p>
        </w:tc>
      </w:tr>
    </w:tbl>
    <w:p>
      <w:pPr>
        <w:spacing w:after="0" w:line="276"/>
      </w:pPr>
      <w:r>
        <w:rPr>
          <w:color w:val="5A6069"/>
          <w:sz w:val="14"/>
          <w:szCs w:val="14"/>
        </w:rPr>
        <w:t xml:space="preserve">Funding: Taiho Oncology and Taiho Pharmaceutical, which designed the study, with sponsor employees as co-authors, sponsor-funded medical writing and editorial assistance, and author confidentiality agreements; one author was part-funded by the NIHR UCLH-UCL Biomedical Research Centre</w:t>
      </w:r>
    </w:p>
    <w:p>
      <w:pPr>
        <w:keepNext/>
        <w:spacing w:after="50" w:before="260"/>
      </w:pPr>
      <w:r>
        <w:rPr>
          <w:rFonts w:ascii="Cambria" w:cs="Cambria" w:eastAsia="Cambria" w:hAnsi="Cambria"/>
          <w:b/>
          <w:bCs/>
          <w:color w:val="17365D"/>
          <w:sz w:val="20"/>
          <w:szCs w:val="20"/>
        </w:rPr>
        <w:t xml:space="preserve">Gillmeister 2026</w:t>
      </w:r>
      <w:r>
        <w:rPr>
          <w:b/>
          <w:bCs/>
          <w:color w:val="176A87"/>
          <w:sz w:val="15"/>
          <w:szCs w:val="15"/>
        </w:rPr>
        <w:t xml:space="preserve">   cohort</w:t>
      </w:r>
      <w:r>
        <w:rPr>
          <w:color w:val="5A6069"/>
          <w:sz w:val="15"/>
          <w:szCs w:val="15"/>
        </w:rPr>
        <w:t xml:space="preserve">   PMID 42698384</w:t>
      </w:r>
    </w:p>
    <w:p>
      <w:pPr>
        <w:spacing w:after="50" w:line="276"/>
      </w:pPr>
      <w:r>
        <w:rPr>
          <w:color w:val="5A6069"/>
          <w:sz w:val="17"/>
          <w:szCs w:val="17"/>
        </w:rPr>
        <w:t xml:space="preserve">Next Generation Sequencing for the Differentiation of Benign and Malignant Biliary Strictures</w:t>
      </w:r>
    </w:p>
    <w:p>
      <w:pPr>
        <w:spacing w:after="50"/>
      </w:pPr>
      <w:r>
        <w:rPr>
          <w:b/>
          <w:bCs/>
          <w:color w:val="176A87"/>
          <w:sz w:val="16"/>
          <w:szCs w:val="16"/>
        </w:rPr>
        <w:t xml:space="preserve">Population. </w:t>
      </w:r>
      <w:r>
        <w:rPr>
          <w:sz w:val="16"/>
          <w:szCs w:val="16"/>
        </w:rPr>
        <w:t xml:space="preserve">47 ERCP-obtained biliary forceps biopsies from patients with biliary strictures of unknown aetiology in routine care at one German centre, with imaging available for 37 and CA 19-9 for 33, against a power calculation of 32 patients assuming a 50% malignancy rate; the Results section is missing from the published text obtained, so the number of patients, the malignancy prevalence and the size of the primary sclerosing cholangitis subgroup could not be read</w:t>
      </w:r>
    </w:p>
    <w:p>
      <w:pPr>
        <w:spacing w:after="70"/>
      </w:pPr>
      <w:r>
        <w:rPr>
          <w:b/>
          <w:bCs/>
          <w:color w:val="17365D"/>
          <w:sz w:val="16"/>
          <w:szCs w:val="16"/>
        </w:rPr>
        <w:t xml:space="preserve">Bottom line. </w:t>
      </w:r>
      <w:r>
        <w:rPr>
          <w:sz w:val="16"/>
          <w:szCs w:val="16"/>
        </w:rPr>
        <w:t xml:space="preserve">This German brief report is real-world confirmation that sequencing cancer-associated genes in ERCP biopsies adds sensitivity to histopathology in an indeterminate stricture: 65% against 52% alone and 78% combined, at specificity around 96%. It is 47 biopsies read at two allele-frequency thresholds with no limit-of-detection validation, no confidence interval on any figure, benign status assigned on 6 months of imaging follow-up, and the Results section missing from the published text obtained, so the cohort itself cannot be inspected. The panels used are locally assembled gene lists rather than BiliSeq, and no stricture is identified as perihilar, so it does not fix the operating characteristics for a hilar stricture.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relatively small cohort size may affect the precision of the diagnostic accuracy estimates and limits subgroup analyses, particularly in patients with primary sclerosing cholangitis</w:t>
            </w:r>
          </w:p>
          <w:p>
            <w:pPr>
              <w:pStyle w:val="ListParagraph"/>
              <w:numPr>
                <w:ilvl w:val="0"/>
                <w:numId w:val="2"/>
              </w:numPr>
              <w:spacing w:after="45"/>
            </w:pPr>
            <w:r>
              <w:rPr>
                <w:sz w:val="15"/>
                <w:szCs w:val="15"/>
              </w:rPr>
              <w:t xml:space="preserve">The follow-up period used to exclude malignancy in patients without histological confirmation was relatively short; although a minimum of 6 months has been applied in previous studies, longer surveillance may be required to detect slowly progressive malignancy, particularly indolent cholangiocarcinoma or PSC-associated cancer, so misclassification of benign cases cannot be excluded and may have influenced the reported performance</w:t>
            </w:r>
          </w:p>
          <w:p>
            <w:pPr>
              <w:pStyle w:val="ListParagraph"/>
              <w:numPr>
                <w:ilvl w:val="0"/>
                <w:numId w:val="2"/>
              </w:numPr>
              <w:spacing w:after="45"/>
            </w:pPr>
            <w:r>
              <w:rPr>
                <w:sz w:val="15"/>
                <w:szCs w:val="15"/>
              </w:rPr>
              <w:t xml:space="preserve">Reported diagnostic performance of next-generation sequencing varies widely across cohorts, likely reflecting differences in patient selection, prevalence of malignancy, representation of primary sclerosing cholangitis, sampling and analysis strategies, so independent well-characterised cohorts remain important for validation</w:t>
            </w:r>
          </w:p>
          <w:p>
            <w:pPr>
              <w:pStyle w:val="ListParagraph"/>
              <w:numPr>
                <w:ilvl w:val="0"/>
                <w:numId w:val="2"/>
              </w:numPr>
              <w:spacing w:after="45"/>
            </w:pPr>
            <w:r>
              <w:rPr>
                <w:sz w:val="15"/>
                <w:szCs w:val="15"/>
              </w:rPr>
              <w:t xml:space="preserve">Most previous studies of next-generation sequencing in indeterminate biliary strictures have been retrospective or single-centre with relatively small cohorts</w:t>
            </w:r>
          </w:p>
          <w:p>
            <w:pPr>
              <w:pStyle w:val="ListParagraph"/>
              <w:numPr>
                <w:ilvl w:val="0"/>
                <w:numId w:val="2"/>
              </w:numPr>
              <w:spacing w:after="45"/>
            </w:pPr>
            <w:r>
              <w:rPr>
                <w:sz w:val="15"/>
                <w:szCs w:val="15"/>
              </w:rPr>
              <w:t xml:space="preserve">No formal limit-of-detection validation study was performed for the assay</w:t>
            </w:r>
          </w:p>
          <w:p>
            <w:pPr>
              <w:pStyle w:val="ListParagraph"/>
              <w:numPr>
                <w:ilvl w:val="0"/>
                <w:numId w:val="2"/>
              </w:numPr>
              <w:spacing w:after="45"/>
            </w:pPr>
            <w:r>
              <w:rPr>
                <w:sz w:val="15"/>
                <w:szCs w:val="15"/>
              </w:rPr>
              <w:t xml:space="preserve">The specific molecular alterations detected were not further characterised with respect to their therapeutic actionability</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Table 1 reports everything per biopsy rather than per patient, with denominators that change by parameter (47 for sequencing and histopathology, 37 for imaging, 33 for CA 19-9), so the McNemar comparisons are made across different subsets and the number of patients behind the 47 biopsies is never stated</w:t>
            </w:r>
          </w:p>
          <w:p>
            <w:pPr>
              <w:pStyle w:val="ListParagraph"/>
              <w:numPr>
                <w:ilvl w:val="0"/>
                <w:numId w:val="2"/>
              </w:numPr>
              <w:spacing w:after="45"/>
            </w:pPr>
            <w:r>
              <w:rPr>
                <w:sz w:val="15"/>
                <w:szCs w:val="15"/>
              </w:rPr>
              <w:t xml:space="preserve">The study was powered to detect a 30 percentage point difference in 32 patients, while the observed difference between histopathology alone (52%) and the combination (78%) is 26 points, and the single reported P value of 0.03 is one McNemar test among the eight comparisons laid out in Table 1 with no adjustment</w:t>
            </w:r>
          </w:p>
          <w:p>
            <w:pPr>
              <w:pStyle w:val="ListParagraph"/>
              <w:numPr>
                <w:ilvl w:val="0"/>
                <w:numId w:val="2"/>
              </w:numPr>
              <w:spacing w:after="45"/>
            </w:pPr>
            <w:r>
              <w:rPr>
                <w:sz w:val="15"/>
                <w:szCs w:val="15"/>
              </w:rPr>
              <w:t xml:space="preserve">The panel is not BiliSeq: two in-house gene lists were used, a 21-gene nNGM panel and a 6-gene 'Bili Panel', described only as similar to the approach reported by Singhi, and which samples went through which panel is not stated, so this validates a locally assembled gene set rather than the assay whose figures it is compared against</w:t>
            </w:r>
          </w:p>
          <w:p>
            <w:pPr>
              <w:pStyle w:val="ListParagraph"/>
              <w:numPr>
                <w:ilvl w:val="0"/>
                <w:numId w:val="2"/>
              </w:numPr>
              <w:spacing w:after="45"/>
            </w:pPr>
            <w:r>
              <w:rPr>
                <w:sz w:val="15"/>
                <w:szCs w:val="15"/>
              </w:rPr>
              <w:t xml:space="preserve">Variants were called at a 5% allele frequency threshold for non-hotspot regions and as low as 1% for selected hotspots, with no limit-of-detection validation and no list of which variants were treated as hotspots, so the same cohort is read at two different analytical sensitivities</w:t>
            </w:r>
          </w:p>
          <w:p>
            <w:pPr>
              <w:pStyle w:val="ListParagraph"/>
              <w:numPr>
                <w:ilvl w:val="0"/>
                <w:numId w:val="2"/>
              </w:numPr>
              <w:spacing w:after="45"/>
            </w:pPr>
            <w:r>
              <w:rPr>
                <w:sz w:val="15"/>
                <w:szCs w:val="15"/>
              </w:rPr>
              <w:t xml:space="preserve">The alternative analysis calling variants of unknown significance pathogenic is printed in parentheses throughout Table 1 with no stated primary analysis rule; it raises sensitivity to 83% while dropping specificity to 71% and positive predictive value to 73%, and the abstract, Key Points and Lay Summary quote only the favourable column</w:t>
            </w:r>
          </w:p>
          <w:p>
            <w:pPr>
              <w:pStyle w:val="ListParagraph"/>
              <w:numPr>
                <w:ilvl w:val="0"/>
                <w:numId w:val="2"/>
              </w:numPr>
              <w:spacing w:after="45"/>
            </w:pPr>
            <w:r>
              <w:rPr>
                <w:sz w:val="15"/>
                <w:szCs w:val="15"/>
              </w:rPr>
              <w:t xml:space="preserve">Histopathology is credited with 100% specificity and 100% positive predictive value while benign status was assigned by the absence of histological malignancy together with radiological follow-up, so both histopathology and imaging are tested against reference standards that contain them</w:t>
            </w:r>
          </w:p>
          <w:p>
            <w:pPr>
              <w:pStyle w:val="ListParagraph"/>
              <w:numPr>
                <w:ilvl w:val="0"/>
                <w:numId w:val="2"/>
              </w:numPr>
              <w:spacing w:after="45"/>
            </w:pPr>
            <w:r>
              <w:rPr>
                <w:sz w:val="15"/>
                <w:szCs w:val="15"/>
              </w:rPr>
              <w:t xml:space="preserve">The combination rows count a positive result on either test as positive, which cannot lower sensitivity and cannot raise specificity, so reporting that the combination preserved specificity at 96% is arithmetically forced once histopathology has no false positives</w:t>
            </w:r>
          </w:p>
          <w:p>
            <w:pPr>
              <w:pStyle w:val="ListParagraph"/>
              <w:numPr>
                <w:ilvl w:val="0"/>
                <w:numId w:val="2"/>
              </w:numPr>
              <w:spacing w:after="45"/>
            </w:pPr>
            <w:r>
              <w:rPr>
                <w:sz w:val="15"/>
                <w:szCs w:val="15"/>
              </w:rPr>
              <w:t xml:space="preserve">CA 19-9 thresholds of 44 U/mL, and above 129 U/mL in primary sclerosing cholangitis, were imported from Singhi rather than derived locally, and applied to a cohort whose PSC proportion is never reported</w:t>
            </w:r>
          </w:p>
          <w:p>
            <w:pPr>
              <w:pStyle w:val="ListParagraph"/>
              <w:numPr>
                <w:ilvl w:val="0"/>
                <w:numId w:val="2"/>
              </w:numPr>
              <w:spacing w:after="45"/>
            </w:pPr>
            <w:r>
              <w:rPr>
                <w:sz w:val="15"/>
                <w:szCs w:val="15"/>
              </w:rPr>
              <w:t xml:space="preserve">Not one of the accuracy figures in Table 1 carries a confidence interval, and the report contains no patient flow diagram, no baseline table, no stricture locations, no PSC count and no malignancy prevalence</w:t>
            </w:r>
          </w:p>
          <w:p>
            <w:pPr>
              <w:pStyle w:val="ListParagraph"/>
              <w:numPr>
                <w:ilvl w:val="0"/>
                <w:numId w:val="2"/>
              </w:numPr>
              <w:spacing w:after="45"/>
            </w:pPr>
            <w:r>
              <w:rPr>
                <w:sz w:val="15"/>
                <w:szCs w:val="15"/>
              </w:rPr>
              <w:t xml:space="preserve">Nothing distinguishes perihilar from distal or intrahepatic strictures anywhere in the report, so it does not speak to hilar disease specifically</w:t>
            </w:r>
          </w:p>
          <w:p>
            <w:pPr>
              <w:pStyle w:val="ListParagraph"/>
              <w:numPr>
                <w:ilvl w:val="0"/>
                <w:numId w:val="2"/>
              </w:numPr>
              <w:spacing w:after="45"/>
            </w:pPr>
            <w:r>
              <w:rPr>
                <w:sz w:val="15"/>
                <w:szCs w:val="15"/>
              </w:rPr>
              <w:t xml:space="preserve">A sensitivity of 65%, or 78% combined with histopathology, still misses roughly a quarter of malignant strictures, and a negative predictive value of 74% to 82% is not high enough to stand down a resection decision on a negative test</w:t>
            </w:r>
          </w:p>
          <w:p>
            <w:pPr>
              <w:pStyle w:val="ListParagraph"/>
              <w:numPr>
                <w:ilvl w:val="0"/>
                <w:numId w:val="2"/>
              </w:numPr>
              <w:spacing w:after="45"/>
            </w:pPr>
            <w:r>
              <w:rPr>
                <w:sz w:val="15"/>
                <w:szCs w:val="15"/>
              </w:rPr>
              <w:t xml:space="preserve">The therapeutic-relevance claim lists KRAS, ERBB2, FGFR1, FGFR2 and MAP2K alterations with no counts and no actionability assessment, and names the last gene as MAP2K without its number</w:t>
            </w:r>
          </w:p>
          <w:p>
            <w:pPr>
              <w:pStyle w:val="ListParagraph"/>
              <w:numPr>
                <w:ilvl w:val="0"/>
                <w:numId w:val="2"/>
              </w:numPr>
              <w:spacing w:after="45"/>
            </w:pPr>
            <w:r>
              <w:rPr>
                <w:sz w:val="15"/>
                <w:szCs w:val="15"/>
              </w:rPr>
              <w:t xml:space="preserve">Section 3, the Results, did not survive text extraction from the published brief report, so every figure available here comes from the abstract, Table 1 and the Discussion, and the cohort itself cannot be inspected</w:t>
            </w:r>
          </w:p>
          <w:p>
            <w:pPr>
              <w:pStyle w:val="ListParagraph"/>
              <w:numPr>
                <w:ilvl w:val="0"/>
                <w:numId w:val="2"/>
              </w:numPr>
              <w:spacing w:after="45"/>
            </w:pPr>
            <w:r>
              <w:rPr>
                <w:sz w:val="15"/>
                <w:szCs w:val="15"/>
              </w:rPr>
              <w:t xml:space="preserve">No linked editorial or comment was found in PubMed</w:t>
            </w:r>
          </w:p>
        </w:tc>
      </w:tr>
    </w:tbl>
    <w:p>
      <w:pPr>
        <w:spacing w:after="0" w:line="276"/>
      </w:pPr>
      <w:r>
        <w:rPr>
          <w:color w:val="5A6069"/>
          <w:sz w:val="14"/>
          <w:szCs w:val="14"/>
        </w:rPr>
        <w:t xml:space="preserve">Funding: The authors report nothing for funding; open access funding was enabled and organised by Projekt DEAL and the authors declare no conflicts of interest</w:t>
      </w:r>
    </w:p>
    <w:p>
      <w:pPr>
        <w:keepNext/>
        <w:spacing w:after="50" w:before="260"/>
      </w:pPr>
      <w:r>
        <w:rPr>
          <w:rFonts w:ascii="Cambria" w:cs="Cambria" w:eastAsia="Cambria" w:hAnsi="Cambria"/>
          <w:b/>
          <w:bCs/>
          <w:color w:val="17365D"/>
          <w:sz w:val="20"/>
          <w:szCs w:val="20"/>
        </w:rPr>
        <w:t xml:space="preserve">Heimbach 2011</w:t>
      </w:r>
      <w:r>
        <w:rPr>
          <w:b/>
          <w:bCs/>
          <w:color w:val="176A87"/>
          <w:sz w:val="15"/>
          <w:szCs w:val="15"/>
        </w:rPr>
        <w:t xml:space="preserve">   cohort</w:t>
      </w:r>
      <w:r>
        <w:rPr>
          <w:color w:val="5A6069"/>
          <w:sz w:val="15"/>
          <w:szCs w:val="15"/>
        </w:rPr>
        <w:t xml:space="preserve">   PMID 21492336</w:t>
      </w:r>
    </w:p>
    <w:p>
      <w:pPr>
        <w:spacing w:after="50" w:line="276"/>
      </w:pPr>
      <w:r>
        <w:rPr>
          <w:color w:val="5A6069"/>
          <w:sz w:val="17"/>
          <w:szCs w:val="17"/>
        </w:rPr>
        <w:t xml:space="preserve">Trans-peritoneal fine needle aspiration biopsy of hilar cholangiocarcinoma is associated with disease dissemination</w:t>
      </w:r>
    </w:p>
    <w:p>
      <w:pPr>
        <w:spacing w:after="50"/>
      </w:pPr>
      <w:r>
        <w:rPr>
          <w:b/>
          <w:bCs/>
          <w:color w:val="176A87"/>
          <w:sz w:val="16"/>
          <w:szCs w:val="16"/>
        </w:rPr>
        <w:t xml:space="preserve">Population. </w:t>
      </w:r>
      <w:r>
        <w:rPr>
          <w:sz w:val="16"/>
          <w:szCs w:val="16"/>
        </w:rPr>
        <w:t xml:space="preserve">191 patients with localised unresectable hilar cholangiocarcinoma enrolled in the Mayo neoadjuvant chemoradiotherapy and liver transplant protocol between 1 October 1992 and 1 January 2010, of whom 16 had undergone transperitoneal fine-needle aspiration of the primary tumour at an outside facility (13 percutaneous, 3 EUS-guided) and 125 reached transplantation</w:t>
      </w:r>
    </w:p>
    <w:p>
      <w:pPr>
        <w:spacing w:after="70"/>
      </w:pPr>
      <w:r>
        <w:rPr>
          <w:b/>
          <w:bCs/>
          <w:color w:val="17365D"/>
          <w:sz w:val="16"/>
          <w:szCs w:val="16"/>
        </w:rPr>
        <w:t xml:space="preserve">Bottom line. </w:t>
      </w:r>
      <w:r>
        <w:rPr>
          <w:sz w:val="16"/>
          <w:szCs w:val="16"/>
        </w:rPr>
        <w:t xml:space="preserve">This is the paper behind the rule that a hilar mass must not be sampled transperitoneally in anyone who might be a transplant candidate: 5 of 6 protocol patients with a positive outside fine-needle aspiration had peritoneal metastases at operative staging, against 8% of the 175 who had no aspiration. The exposed group is six patients and five events, the comparison is retrospective and unmatched on the histological features that predict peritoneal spread, and a needle that yields adenocarcinoma marks a tumour bulky enough to hit, so reverse causation is not excluded. It also records the Mayo protocol's eligibility rules more explicitly than any other paper in this set, including that pathological confirmation is not required to proceed.</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A primary weakness is that the groups were not randomised, although the authors state there were no remarkable demographic differences between them</w:t>
            </w:r>
          </w:p>
          <w:p>
            <w:pPr>
              <w:pStyle w:val="ListParagraph"/>
              <w:numPr>
                <w:ilvl w:val="0"/>
                <w:numId w:val="2"/>
              </w:numPr>
              <w:spacing w:after="45"/>
            </w:pPr>
            <w:r>
              <w:rPr>
                <w:sz w:val="15"/>
                <w:szCs w:val="15"/>
              </w:rPr>
              <w:t xml:space="preserve">The study is limited by its retrospective nature, and the authors judge that a prospective randomised trial comparing transperitoneal fine-needle aspiration with other diagnostic methods is unlikely to be feasible because the diagnosis is infrequent and patients ineligible for curative therapy may die before peritoneal seeding becomes clinically evident</w:t>
            </w:r>
          </w:p>
          <w:p>
            <w:pPr>
              <w:pStyle w:val="ListParagraph"/>
              <w:numPr>
                <w:ilvl w:val="0"/>
                <w:numId w:val="2"/>
              </w:numPr>
              <w:spacing w:after="45"/>
            </w:pPr>
            <w:r>
              <w:rPr>
                <w:sz w:val="15"/>
                <w:szCs w:val="15"/>
              </w:rPr>
              <w:t xml:space="preserve">The overall number of patients undergoing transperitoneal fine-needle aspiration is small, with six in the biopsy-positive group</w:t>
            </w:r>
          </w:p>
          <w:p>
            <w:pPr>
              <w:pStyle w:val="ListParagraph"/>
              <w:numPr>
                <w:ilvl w:val="0"/>
                <w:numId w:val="2"/>
              </w:numPr>
              <w:spacing w:after="45"/>
            </w:pPr>
            <w:r>
              <w:rPr>
                <w:sz w:val="15"/>
                <w:szCs w:val="15"/>
              </w:rPr>
              <w:t xml:space="preserve">Information such as tumour differentiation or perineural invasion was not known at enrolment given the limited amount of diagnostic tissue, so the groups could not be matched on the histological features that predict peritoneal spread</w:t>
            </w:r>
          </w:p>
          <w:p>
            <w:pPr>
              <w:pStyle w:val="ListParagraph"/>
              <w:numPr>
                <w:ilvl w:val="0"/>
                <w:numId w:val="2"/>
              </w:numPr>
              <w:spacing w:after="45"/>
            </w:pPr>
            <w:r>
              <w:rPr>
                <w:sz w:val="15"/>
                <w:szCs w:val="15"/>
              </w:rPr>
              <w:t xml:space="preserve">The reason the incidence of peritoneal seeding here exceeds that reported after percutaneous cholangiography and after fine-needle aspiration for hepatocellular carcinoma is unknown; the explanations offered, greater peritoneal exposure and relative immunosuppression after chemoradiotherapy, are hypotheses, and the authors note the second is unlikely because the biopsies preceded neoadjuvant therapy by weeks to months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exposed group is six patients and the 83% figure rests on five events, so no precise risk estimate is possible; the interval around 5 of 6 runs from roughly a third to 100%</w:t>
            </w:r>
          </w:p>
          <w:p>
            <w:pPr>
              <w:pStyle w:val="ListParagraph"/>
              <w:numPr>
                <w:ilvl w:val="0"/>
                <w:numId w:val="2"/>
              </w:numPr>
              <w:spacing w:after="45"/>
            </w:pPr>
            <w:r>
              <w:rPr>
                <w:sz w:val="15"/>
                <w:szCs w:val="15"/>
              </w:rPr>
              <w:t xml:space="preserve">Reverse causation is not excluded. A transperitoneal aspiration that yields adenocarcinoma marks a tumour bulky and cell-rich enough to hit with a needle, and the finding that none of the nine aspiration-negative patients had peritoneal disease fits tumour biology at least as well as needle seeding</w:t>
            </w:r>
          </w:p>
          <w:p>
            <w:pPr>
              <w:pStyle w:val="ListParagraph"/>
              <w:numPr>
                <w:ilvl w:val="0"/>
                <w:numId w:val="2"/>
              </w:numPr>
              <w:spacing w:after="45"/>
            </w:pPr>
            <w:r>
              <w:rPr>
                <w:sz w:val="15"/>
                <w:szCs w:val="15"/>
              </w:rPr>
              <w:t xml:space="preserve">The patient with an equivocal biopsy showing glandular cells, who also had peritoneal metastasis demonstrated at staging, was set aside from the aspiration-positive group; with him the rate is 6 of 7, and the decision to exclude him is an adjudication made with the outcome already known</w:t>
            </w:r>
          </w:p>
          <w:p>
            <w:pPr>
              <w:pStyle w:val="ListParagraph"/>
              <w:numPr>
                <w:ilvl w:val="0"/>
                <w:numId w:val="2"/>
              </w:numPr>
              <w:spacing w:after="45"/>
            </w:pPr>
            <w:r>
              <w:rPr>
                <w:sz w:val="15"/>
                <w:szCs w:val="15"/>
              </w:rPr>
              <w:t xml:space="preserve">Table 2's footnote gives P = 0.0001 for the same comparison the abstract and Results report as P = 0.0097</w:t>
            </w:r>
          </w:p>
          <w:p>
            <w:pPr>
              <w:pStyle w:val="ListParagraph"/>
              <w:numPr>
                <w:ilvl w:val="0"/>
                <w:numId w:val="2"/>
              </w:numPr>
              <w:spacing w:after="45"/>
            </w:pPr>
            <w:r>
              <w:rPr>
                <w:sz w:val="15"/>
                <w:szCs w:val="15"/>
              </w:rPr>
              <w:t xml:space="preserve">The Discussion gives the no-biopsy group's metastasis rate as 20% overall with 11% peritoneal, where the Results and Table 2 give 8% (14 of 175); five-year survival is 73% in the text and figure and 74% in the abstract</w:t>
            </w:r>
          </w:p>
          <w:p>
            <w:pPr>
              <w:pStyle w:val="ListParagraph"/>
              <w:numPr>
                <w:ilvl w:val="0"/>
                <w:numId w:val="2"/>
              </w:numPr>
              <w:spacing w:after="45"/>
            </w:pPr>
            <w:r>
              <w:rPr>
                <w:sz w:val="15"/>
                <w:szCs w:val="15"/>
              </w:rPr>
              <w:t xml:space="preserve">Table 2's denominators of 175, 6 and 9 sum to 190, not the 191 enrolled</w:t>
            </w:r>
          </w:p>
          <w:p>
            <w:pPr>
              <w:pStyle w:val="ListParagraph"/>
              <w:numPr>
                <w:ilvl w:val="0"/>
                <w:numId w:val="2"/>
              </w:numPr>
              <w:spacing w:after="45"/>
            </w:pPr>
            <w:r>
              <w:rPr>
                <w:sz w:val="15"/>
                <w:szCs w:val="15"/>
              </w:rPr>
              <w:t xml:space="preserve">The groups are declared similar with P = NS on 6 and 9 patients against 175, where no test could detect a difference; a mass was present in 16% of the aspiration-positive, 36% of the no-biopsy and 66% of the aspiration-negative patients, mean mass size was 3.9 against 2.9 cm, mean age 57 against 50 years, and primary sclerosing cholangitis 17% against 40%</w:t>
            </w:r>
          </w:p>
          <w:p>
            <w:pPr>
              <w:pStyle w:val="ListParagraph"/>
              <w:numPr>
                <w:ilvl w:val="0"/>
                <w:numId w:val="2"/>
              </w:numPr>
              <w:spacing w:after="45"/>
            </w:pPr>
            <w:r>
              <w:rPr>
                <w:sz w:val="15"/>
                <w:szCs w:val="15"/>
              </w:rPr>
              <w:t xml:space="preserve">Brush cytology was not performed at all in the aspiration-positive group, so the comparison is between patients diagnosed by needle and patients diagnosed endoscopically, that is between two diagnostic pathways rather than two exposures</w:t>
            </w:r>
          </w:p>
          <w:p>
            <w:pPr>
              <w:pStyle w:val="ListParagraph"/>
              <w:numPr>
                <w:ilvl w:val="0"/>
                <w:numId w:val="2"/>
              </w:numPr>
              <w:spacing w:after="45"/>
            </w:pPr>
            <w:r>
              <w:rPr>
                <w:sz w:val="15"/>
                <w:szCs w:val="15"/>
              </w:rPr>
              <w:t xml:space="preserve">Every aspiration was performed at an outside facility, so needle gauge, number of passes, operator and technique are uncontrolled, and 13 percutaneous and 3 EUS-guided procedures are pooled despite differing peritoneal exposure; how many of the three EUS procedures were positive is never stated</w:t>
            </w:r>
          </w:p>
          <w:p>
            <w:pPr>
              <w:pStyle w:val="ListParagraph"/>
              <w:numPr>
                <w:ilvl w:val="0"/>
                <w:numId w:val="2"/>
              </w:numPr>
              <w:spacing w:after="45"/>
            </w:pPr>
            <w:r>
              <w:rPr>
                <w:sz w:val="15"/>
                <w:szCs w:val="15"/>
              </w:rPr>
              <w:t xml:space="preserve">Only patients already accepted onto the transplant protocol are counted, so anyone whose outside aspiration took them out of transplant consideration never enters the denominator, and the result cannot be extended to patients being worked up for resection</w:t>
            </w:r>
          </w:p>
          <w:p>
            <w:pPr>
              <w:pStyle w:val="ListParagraph"/>
              <w:numPr>
                <w:ilvl w:val="0"/>
                <w:numId w:val="2"/>
              </w:numPr>
              <w:spacing w:after="45"/>
            </w:pPr>
            <w:r>
              <w:rPr>
                <w:sz w:val="15"/>
                <w:szCs w:val="15"/>
              </w:rPr>
              <w:t xml:space="preserve">The interval from aspiration to staging is never reported, only the interval from enrolment to staging, and two patients were staged before enrolment, noted only in a table footnote</w:t>
            </w:r>
          </w:p>
          <w:p>
            <w:pPr>
              <w:pStyle w:val="ListParagraph"/>
              <w:numPr>
                <w:ilvl w:val="0"/>
                <w:numId w:val="2"/>
              </w:numPr>
              <w:spacing w:after="45"/>
            </w:pPr>
            <w:r>
              <w:rPr>
                <w:sz w:val="15"/>
                <w:szCs w:val="15"/>
              </w:rPr>
              <w:t xml:space="preserve">No time-to-event analysis and no adjustment for calendar era is attempted across an 18-year span in which protocol criteria, cross-sectional imaging and EUS availability all changed</w:t>
            </w:r>
          </w:p>
          <w:p>
            <w:pPr>
              <w:pStyle w:val="ListParagraph"/>
              <w:numPr>
                <w:ilvl w:val="0"/>
                <w:numId w:val="2"/>
              </w:numPr>
              <w:spacing w:after="45"/>
            </w:pPr>
            <w:r>
              <w:rPr>
                <w:sz w:val="15"/>
                <w:szCs w:val="15"/>
              </w:rPr>
              <w:t xml:space="preserve">The 73% five-year survival is reported for the 125 transplanted patients with numbers at risk falling to 33 by five years, and no intention-to-treat figure is given for the 191 enrolled, 66 of whom never reached transplantation</w:t>
            </w:r>
          </w:p>
          <w:p>
            <w:pPr>
              <w:pStyle w:val="ListParagraph"/>
              <w:numPr>
                <w:ilvl w:val="0"/>
                <w:numId w:val="2"/>
              </w:numPr>
              <w:spacing w:after="45"/>
            </w:pPr>
            <w:r>
              <w:rPr>
                <w:sz w:val="15"/>
                <w:szCs w:val="15"/>
              </w:rPr>
              <w:t xml:space="preserve">The benchmark used for comparison, a 2.7% needle-track seeding rate after biopsy of hepatocellular carcinoma, is a different endpoint from peritoneal carcinomatosis found at staging laparotomy</w:t>
            </w:r>
          </w:p>
          <w:p>
            <w:pPr>
              <w:pStyle w:val="ListParagraph"/>
              <w:numPr>
                <w:ilvl w:val="0"/>
                <w:numId w:val="2"/>
              </w:numPr>
              <w:spacing w:after="45"/>
            </w:pPr>
            <w:r>
              <w:rPr>
                <w:sz w:val="15"/>
                <w:szCs w:val="15"/>
              </w:rPr>
              <w:t xml:space="preserve">No linked editorial or comment was found in PubMed</w:t>
            </w:r>
          </w:p>
        </w:tc>
      </w:tr>
    </w:tbl>
    <w:p>
      <w:pPr>
        <w:spacing w:after="0" w:line="276"/>
      </w:pPr>
      <w:r>
        <w:rPr>
          <w:color w:val="5A6069"/>
          <w:sz w:val="14"/>
          <w:szCs w:val="14"/>
        </w:rPr>
        <w:t xml:space="preserve">Funding: No funding statement; conflict of interests declared as none</w:t>
      </w:r>
    </w:p>
    <w:p>
      <w:pPr>
        <w:keepNext/>
        <w:spacing w:after="50" w:before="260"/>
      </w:pPr>
      <w:r>
        <w:rPr>
          <w:rFonts w:ascii="Cambria" w:cs="Cambria" w:eastAsia="Cambria" w:hAnsi="Cambria"/>
          <w:b/>
          <w:bCs/>
          <w:color w:val="17365D"/>
          <w:sz w:val="20"/>
          <w:szCs w:val="20"/>
        </w:rPr>
        <w:t xml:space="preserve">HERIZON-BTC-01</w:t>
      </w:r>
      <w:r>
        <w:rPr>
          <w:b/>
          <w:bCs/>
          <w:color w:val="176A87"/>
          <w:sz w:val="15"/>
          <w:szCs w:val="15"/>
        </w:rPr>
        <w:t xml:space="preserve">   Prospective trial</w:t>
      </w:r>
      <w:r>
        <w:rPr>
          <w:color w:val="5A6069"/>
          <w:sz w:val="15"/>
          <w:szCs w:val="15"/>
        </w:rPr>
        <w:t xml:space="preserve">   PMID 41264278</w:t>
      </w:r>
    </w:p>
    <w:p>
      <w:pPr>
        <w:spacing w:after="50" w:line="276"/>
      </w:pPr>
      <w:r>
        <w:rPr>
          <w:color w:val="5A6069"/>
          <w:sz w:val="17"/>
          <w:szCs w:val="17"/>
        </w:rPr>
        <w:t xml:space="preserve">Zanidatamab in HER2-Positive Metastatic Biliary Tract Cancer: Final Results From HERIZON-BTC-01</w:t>
      </w:r>
    </w:p>
    <w:p>
      <w:pPr>
        <w:spacing w:after="50"/>
      </w:pPr>
      <w:r>
        <w:rPr>
          <w:b/>
          <w:bCs/>
          <w:color w:val="176A87"/>
          <w:sz w:val="16"/>
          <w:szCs w:val="16"/>
        </w:rPr>
        <w:t xml:space="preserve">Population. </w:t>
      </w:r>
      <w:r>
        <w:rPr>
          <w:sz w:val="16"/>
          <w:szCs w:val="16"/>
        </w:rPr>
        <w:t xml:space="preserve">80 patients with ERBB2-amplified locally advanced or metastatic biliary tract cancer previously treated with gemcitabine-based chemotherapy, enrolled between September 2020 and March 2022, 62 with immunohistochemistry 3+ and 18 with 2+ tumours, followed for a median of 33.4 months</w:t>
      </w:r>
    </w:p>
    <w:p>
      <w:pPr>
        <w:spacing w:after="70"/>
      </w:pPr>
      <w:r>
        <w:rPr>
          <w:b/>
          <w:bCs/>
          <w:color w:val="17365D"/>
          <w:sz w:val="16"/>
          <w:szCs w:val="16"/>
        </w:rPr>
        <w:t xml:space="preserve">Bottom line. </w:t>
      </w:r>
      <w:r>
        <w:rPr>
          <w:sz w:val="16"/>
          <w:szCs w:val="16"/>
        </w:rPr>
        <w:t xml:space="preserve">The final HERIZON-BTC-01 analysis shows zanidatamab produces confirmed responses in 41% of HER2-positive biliary tract cancers after chemotherapy, with 52% in immunohistochemistry 3+ disease, a 14.9-month median duration of response and 18.1 months median survival in 3+ patients. Being single-arm with 44% of patients going on to further therapy, it cannot size the survival contribution, and the 2+ cohort of 18 patients shows essentially no activity. No results are reported by anatomical subsite, so the effect in iCCA is unknown.</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subset analyses were post hoc</w:t>
            </w:r>
          </w:p>
          <w:p>
            <w:pPr>
              <w:pStyle w:val="ListParagraph"/>
              <w:numPr>
                <w:ilvl w:val="0"/>
                <w:numId w:val="2"/>
              </w:numPr>
              <w:spacing w:after="45"/>
            </w:pPr>
            <w:r>
              <w:rPr>
                <w:sz w:val="15"/>
                <w:szCs w:val="15"/>
              </w:rPr>
              <w:t xml:space="preserve">Pain scores carry the potential of non-random missing data, with only 59 of 80 patients (74%) completing the item at both time points</w:t>
            </w:r>
          </w:p>
          <w:p>
            <w:pPr>
              <w:pStyle w:val="ListParagraph"/>
              <w:numPr>
                <w:ilvl w:val="0"/>
                <w:numId w:val="2"/>
              </w:numPr>
              <w:spacing w:after="45"/>
            </w:pPr>
            <w:r>
              <w:rPr>
                <w:sz w:val="15"/>
                <w:szCs w:val="15"/>
              </w:rPr>
              <w:t xml:space="preserve">The authors note that full eligibility criteria are in the primary report, this being published as a research letter</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A single-arm trial with no comparator cannot attribute a 15.5-month median survival to the drug, and 35 of 80 patients (44%) received further anticancer therapy after stopping zanidatamab, so the survival curve includes the effect of whatever came next</w:t>
            </w:r>
          </w:p>
          <w:p>
            <w:pPr>
              <w:pStyle w:val="ListParagraph"/>
              <w:numPr>
                <w:ilvl w:val="0"/>
                <w:numId w:val="2"/>
              </w:numPr>
              <w:spacing w:after="45"/>
            </w:pPr>
            <w:r>
              <w:rPr>
                <w:sz w:val="15"/>
                <w:szCs w:val="15"/>
              </w:rPr>
              <w:t xml:space="preserve">The immunohistochemistry 2+ cohort of 18 patients produced one response, 6% (1-27), with median survival of 5.2 months and progression-free survival of 1.7 months; the trial therefore shows the drug does not work in 2+ disease, which is how the ongoing phase 3 nevertheless defines part of its population</w:t>
            </w:r>
          </w:p>
          <w:p>
            <w:pPr>
              <w:pStyle w:val="ListParagraph"/>
              <w:numPr>
                <w:ilvl w:val="0"/>
                <w:numId w:val="2"/>
              </w:numPr>
              <w:spacing w:after="45"/>
            </w:pPr>
            <w:r>
              <w:rPr>
                <w:sz w:val="15"/>
                <w:szCs w:val="15"/>
              </w:rPr>
              <w:t xml:space="preserve">The 52% response rate quoted in practice is a post hoc subgroup confined to 3+ tumours, and the overall confirmed response rate on which approval rests is 41%</w:t>
            </w:r>
          </w:p>
          <w:p>
            <w:pPr>
              <w:pStyle w:val="ListParagraph"/>
              <w:numPr>
                <w:ilvl w:val="0"/>
                <w:numId w:val="2"/>
              </w:numPr>
              <w:spacing w:after="45"/>
            </w:pPr>
            <w:r>
              <w:rPr>
                <w:sz w:val="15"/>
                <w:szCs w:val="15"/>
              </w:rPr>
              <w:t xml:space="preserve">No breakdown by anatomical subsite is reported anywhere, so the effect in intrahepatic cholangiocarcinoma specifically is unknown even though HER2 testing is now done on iCCA</w:t>
            </w:r>
          </w:p>
          <w:p>
            <w:pPr>
              <w:pStyle w:val="ListParagraph"/>
              <w:numPr>
                <w:ilvl w:val="0"/>
                <w:numId w:val="2"/>
              </w:numPr>
              <w:spacing w:after="45"/>
            </w:pPr>
            <w:r>
              <w:rPr>
                <w:sz w:val="15"/>
                <w:szCs w:val="15"/>
              </w:rPr>
              <w:t xml:space="preserve">Pain is the only patient-reported outcome, measured at two time points on a single Brief Pain Inventory item, and the comparison is between responders and progressors rather than between treatments, so it describes what responding to treatment feels like and not what the drug does</w:t>
            </w:r>
          </w:p>
          <w:p>
            <w:pPr>
              <w:pStyle w:val="ListParagraph"/>
              <w:numPr>
                <w:ilvl w:val="0"/>
                <w:numId w:val="2"/>
              </w:numPr>
              <w:spacing w:after="45"/>
            </w:pPr>
            <w:r>
              <w:rPr>
                <w:sz w:val="15"/>
                <w:szCs w:val="15"/>
              </w:rPr>
              <w:t xml:space="preserve">Decreased ejection fraction occurred in 3 of 80 patients (3.8%) at grade 3 on a HER2-directed antibody, with no routine cardiac monitoring protocol or cumulative cardiac follow-up reported in this letter</w:t>
            </w:r>
          </w:p>
          <w:p>
            <w:pPr>
              <w:pStyle w:val="ListParagraph"/>
              <w:numPr>
                <w:ilvl w:val="0"/>
                <w:numId w:val="2"/>
              </w:numPr>
              <w:spacing w:after="45"/>
            </w:pPr>
            <w:r>
              <w:rPr>
                <w:sz w:val="15"/>
                <w:szCs w:val="15"/>
              </w:rPr>
              <w:t xml:space="preserve">The report is a research letter with eligibility given only in outline, so the enrolment criteria behind the final survival figures cannot be checked against this publication</w:t>
            </w:r>
          </w:p>
          <w:p>
            <w:pPr>
              <w:pStyle w:val="ListParagraph"/>
              <w:numPr>
                <w:ilvl w:val="0"/>
                <w:numId w:val="2"/>
              </w:numPr>
              <w:spacing w:after="45"/>
            </w:pPr>
            <w:r>
              <w:rPr>
                <w:sz w:val="15"/>
                <w:szCs w:val="15"/>
              </w:rPr>
              <w:t xml:space="preserve">Three companies funded the trial and were involved in its design, conduct, analysis and manuscript approval, with company employees as authors, and the drug has accelerated US approval on exactly these single-arm data</w:t>
            </w:r>
          </w:p>
          <w:p>
            <w:pPr>
              <w:pStyle w:val="ListParagraph"/>
              <w:numPr>
                <w:ilvl w:val="0"/>
                <w:numId w:val="2"/>
              </w:numPr>
              <w:spacing w:after="45"/>
            </w:pPr>
            <w:r>
              <w:rPr>
                <w:sz w:val="15"/>
                <w:szCs w:val="15"/>
              </w:rPr>
              <w:t xml:space="preserve">The median duration of response of 14.9 months has a confidence interval of 7.4 to 24.0 months in 33 responders, so the durability claim is imprecise at the scale that matters clinically</w:t>
            </w:r>
          </w:p>
          <w:p>
            <w:pPr>
              <w:pStyle w:val="ListParagraph"/>
              <w:numPr>
                <w:ilvl w:val="0"/>
                <w:numId w:val="2"/>
              </w:numPr>
              <w:spacing w:after="45"/>
            </w:pPr>
            <w:r>
              <w:rPr>
                <w:sz w:val="15"/>
                <w:szCs w:val="15"/>
              </w:rPr>
              <w:t xml:space="preserve">ERBB2 amplification was the entry criterion but response tracked immunohistochemistry, not amplification, and the paper does not report how many 2+ patients were amplified, so the selection assay that should be used is left unresolved</w:t>
            </w:r>
          </w:p>
          <w:p>
            <w:pPr>
              <w:pStyle w:val="ListParagraph"/>
              <w:numPr>
                <w:ilvl w:val="0"/>
                <w:numId w:val="2"/>
              </w:numPr>
              <w:spacing w:after="45"/>
            </w:pPr>
            <w:r>
              <w:rPr>
                <w:sz w:val="15"/>
                <w:szCs w:val="15"/>
              </w:rPr>
              <w:t xml:space="preserve">No linked editorial or comment was found in PubMed, so no independent published appraisal accompanies the final analysis</w:t>
            </w:r>
          </w:p>
        </w:tc>
      </w:tr>
    </w:tbl>
    <w:p>
      <w:pPr>
        <w:spacing w:after="0" w:line="276"/>
      </w:pPr>
      <w:r>
        <w:rPr>
          <w:color w:val="5A6069"/>
          <w:sz w:val="14"/>
          <w:szCs w:val="14"/>
        </w:rPr>
        <w:t xml:space="preserve">Funding: Supported by BeOne Medicines, Jazz Pharmaceuticals and Zymeworks; Zymeworks and BeOne were involved in the design and conduct, all three in the collection, management, analysis and interpretation of the data and in the preparation, review and approval of the manuscript, with company employees among the authors</w:t>
      </w:r>
    </w:p>
    <w:p>
      <w:pPr>
        <w:keepNext/>
        <w:spacing w:after="50" w:before="260"/>
      </w:pPr>
      <w:r>
        <w:rPr>
          <w:rFonts w:ascii="Cambria" w:cs="Cambria" w:eastAsia="Cambria" w:hAnsi="Cambria"/>
          <w:b/>
          <w:bCs/>
          <w:color w:val="17365D"/>
          <w:sz w:val="20"/>
          <w:szCs w:val="20"/>
        </w:rPr>
        <w:t xml:space="preserve">KEYNOTE-966</w:t>
      </w:r>
      <w:r>
        <w:rPr>
          <w:b/>
          <w:bCs/>
          <w:color w:val="176A87"/>
          <w:sz w:val="15"/>
          <w:szCs w:val="15"/>
        </w:rPr>
        <w:t xml:space="preserve">   Randomised trial</w:t>
      </w:r>
      <w:r>
        <w:rPr>
          <w:color w:val="5A6069"/>
          <w:sz w:val="15"/>
          <w:szCs w:val="15"/>
        </w:rPr>
        <w:t xml:space="preserve">   PMID 37075781</w:t>
      </w:r>
    </w:p>
    <w:p>
      <w:pPr>
        <w:spacing w:after="50" w:line="276"/>
      </w:pPr>
      <w:r>
        <w:rPr>
          <w:color w:val="5A6069"/>
          <w:sz w:val="17"/>
          <w:szCs w:val="17"/>
        </w:rPr>
        <w:t xml:space="preserve">Pembrolizumab in combination with gemcitabine and cisplatin compared with gemcitabine and cisplatin alone for patients with advanced biliary tract cancer (KEYNOTE-966): a randomised, double-blind, placebo-controlled, phase 3 trial</w:t>
      </w:r>
    </w:p>
    <w:p>
      <w:pPr>
        <w:spacing w:after="50"/>
      </w:pPr>
      <w:r>
        <w:rPr>
          <w:b/>
          <w:bCs/>
          <w:color w:val="176A87"/>
          <w:sz w:val="16"/>
          <w:szCs w:val="16"/>
        </w:rPr>
        <w:t xml:space="preserve">Population. </w:t>
      </w:r>
      <w:r>
        <w:rPr>
          <w:sz w:val="16"/>
          <w:szCs w:val="16"/>
        </w:rPr>
        <w:t xml:space="preserve">1069 patients randomised from 1564 screened at 175 centres between October 2019 and June 2021 with previously untreated unresectable locally advanced or metastatic biliary tract cancer; 633 (59%) were intrahepatic and 943 (88%) metastatic</w:t>
      </w:r>
    </w:p>
    <w:p>
      <w:pPr>
        <w:spacing w:after="70"/>
      </w:pPr>
      <w:r>
        <w:rPr>
          <w:b/>
          <w:bCs/>
          <w:color w:val="17365D"/>
          <w:sz w:val="16"/>
          <w:szCs w:val="16"/>
        </w:rPr>
        <w:t xml:space="preserve">Bottom line. </w:t>
      </w:r>
      <w:r>
        <w:rPr>
          <w:sz w:val="16"/>
          <w:szCs w:val="16"/>
        </w:rPr>
        <w:t xml:space="preserve">KEYNOTE-966 met its primary endpoint, adding pembrolizumab to gemcitabine-cisplatin for a median survival of 12.7 against 10.9 months, HR 0.83 (0.72-0.95), and it is the larger and longer-followed of the two first-line immunotherapy trials. It does not show tumour-level activity: response rates were identical at 29%, progression-free survival missed its boundary, and quality of life was unchanged. With 88% metastatic disease, a mandatory-biopsy entry criterion that over-selected intrahepatic tumours, and no predictive biomarker, it cannot be read as an iCCA-specific or a liver-confined-disease result.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Participants with intrahepatic tumours were enrolled disproportionately relative to population frequencies, leaving smaller samples for extrahepatic cholangiocarcinoma and gallbladder cancer and affecting those subgroup analyses</w:t>
            </w:r>
          </w:p>
          <w:p>
            <w:pPr>
              <w:pStyle w:val="ListParagraph"/>
              <w:numPr>
                <w:ilvl w:val="0"/>
                <w:numId w:val="2"/>
              </w:numPr>
              <w:spacing w:after="45"/>
            </w:pPr>
            <w:r>
              <w:rPr>
                <w:sz w:val="15"/>
                <w:szCs w:val="15"/>
              </w:rPr>
              <w:t xml:space="preserve">The requirement for tumour tissue at entry may have contributed to a selection bias towards intrahepatic tumours because they are more accessible for sampling</w:t>
            </w:r>
          </w:p>
          <w:p>
            <w:pPr>
              <w:pStyle w:val="ListParagraph"/>
              <w:numPr>
                <w:ilvl w:val="0"/>
                <w:numId w:val="2"/>
              </w:numPr>
              <w:spacing w:after="45"/>
            </w:pPr>
            <w:r>
              <w:rPr>
                <w:sz w:val="15"/>
                <w:szCs w:val="15"/>
              </w:rPr>
              <w:t xml:space="preserve">Outcomes could not be assessed by microsatellite instability status because only ten participants with known MSI-high tumours were enrolled</w:t>
            </w:r>
          </w:p>
          <w:p>
            <w:pPr>
              <w:pStyle w:val="ListParagraph"/>
              <w:numPr>
                <w:ilvl w:val="0"/>
                <w:numId w:val="2"/>
              </w:numPr>
              <w:spacing w:after="45"/>
            </w:pPr>
            <w:r>
              <w:rPr>
                <w:sz w:val="15"/>
                <w:szCs w:val="15"/>
              </w:rPr>
              <w:t xml:space="preserve">Translational biomarker analyses are still ongoing and a dedicated analysis of the complete patient-reported outcome data is deferred to a future report</w:t>
            </w:r>
          </w:p>
          <w:p>
            <w:pPr>
              <w:pStyle w:val="ListParagraph"/>
              <w:numPr>
                <w:ilvl w:val="0"/>
                <w:numId w:val="2"/>
              </w:numPr>
              <w:spacing w:after="45"/>
            </w:pPr>
            <w:r>
              <w:rPr>
                <w:sz w:val="15"/>
                <w:szCs w:val="15"/>
              </w:rPr>
              <w:t xml:space="preserve">The authors acknowledge the same enrolment bias towards intrahepatic tumours was seen in TOPAZ-1</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absolute gain is 1.8 months of median survival and both supporting efficacy endpoints failed their prespecified boundaries: progression-free survival at HR 0.86 (0.75-1.00), p = 0.023 against a boundary of 0.0125, and objective response at 29% against 29%, p = 0.47</w:t>
            </w:r>
          </w:p>
          <w:p>
            <w:pPr>
              <w:pStyle w:val="ListParagraph"/>
              <w:numPr>
                <w:ilvl w:val="0"/>
                <w:numId w:val="2"/>
              </w:numPr>
              <w:spacing w:after="45"/>
            </w:pPr>
            <w:r>
              <w:rPr>
                <w:sz w:val="15"/>
                <w:szCs w:val="15"/>
              </w:rPr>
              <w:t xml:space="preserve">Identical response rates with a survival difference means the drug is not shrinking tumours; the mechanism offered, longer duration of response in the minority who respond, is an observation in a non-randomised subset of responders</w:t>
            </w:r>
          </w:p>
          <w:p>
            <w:pPr>
              <w:pStyle w:val="ListParagraph"/>
              <w:numPr>
                <w:ilvl w:val="0"/>
                <w:numId w:val="2"/>
              </w:numPr>
              <w:spacing w:after="45"/>
            </w:pPr>
            <w:r>
              <w:rPr>
                <w:sz w:val="15"/>
                <w:szCs w:val="15"/>
              </w:rPr>
              <w:t xml:space="preserve">The progression-free survival confidence interval ends exactly at 1.00 and the endpoint is declared not met, yet the overall survival claim is presented without the caveat that no intermediate endpoint supports it</w:t>
            </w:r>
          </w:p>
          <w:p>
            <w:pPr>
              <w:pStyle w:val="ListParagraph"/>
              <w:numPr>
                <w:ilvl w:val="0"/>
                <w:numId w:val="2"/>
              </w:numPr>
              <w:spacing w:after="45"/>
            </w:pPr>
            <w:r>
              <w:rPr>
                <w:sz w:val="15"/>
                <w:szCs w:val="15"/>
              </w:rPr>
              <w:t xml:space="preserve">The intrahepatic subgroup hazard ratio of 0.76 (0.64-0.91) is the number clinicians quote, but extrahepatic (0.99, 0.73-1.35) and gallbladder (0.96, 0.73-1.26) both cross 1; the trial reports no interaction test and the authors attribute the pattern to underpowering rather than to a site effect, so the subgroup cannot be treated as an iCCA-specific result</w:t>
            </w:r>
          </w:p>
          <w:p>
            <w:pPr>
              <w:pStyle w:val="ListParagraph"/>
              <w:numPr>
                <w:ilvl w:val="0"/>
                <w:numId w:val="2"/>
              </w:numPr>
              <w:spacing w:after="45"/>
            </w:pPr>
            <w:r>
              <w:rPr>
                <w:sz w:val="15"/>
                <w:szCs w:val="15"/>
              </w:rPr>
              <w:t xml:space="preserve">Mandatory tumour tissue at entry selected for accessible, biopsiable tumours, which skews the population towards larger intrahepatic masses and away from the patients whose disease is hardest to sample</w:t>
            </w:r>
          </w:p>
          <w:p>
            <w:pPr>
              <w:pStyle w:val="ListParagraph"/>
              <w:numPr>
                <w:ilvl w:val="0"/>
                <w:numId w:val="2"/>
              </w:numPr>
              <w:spacing w:after="45"/>
            </w:pPr>
            <w:r>
              <w:rPr>
                <w:sz w:val="15"/>
                <w:szCs w:val="15"/>
              </w:rPr>
              <w:t xml:space="preserve">PD-L1 gave no signal at all, HR 0.84 below a combined positive score of 1 and 0.85 at 1 or more, and with only 10 MSI-high patients there is no biomarker to select on, so 22% of patients incur immune-mediated events for a benefit that cannot be predicted</w:t>
            </w:r>
          </w:p>
          <w:p>
            <w:pPr>
              <w:pStyle w:val="ListParagraph"/>
              <w:numPr>
                <w:ilvl w:val="0"/>
                <w:numId w:val="2"/>
              </w:numPr>
              <w:spacing w:after="45"/>
            </w:pPr>
            <w:r>
              <w:rPr>
                <w:sz w:val="15"/>
                <w:szCs w:val="15"/>
              </w:rPr>
              <w:t xml:space="preserve">Treatment-related deaths were higher with pembrolizumab, 8 (2%) against 3 (1%), while all-cause adverse-event deaths were lower, 31 (6%) against 49 (9%); the paper leads with the latter comparison and the attribution of deaths in an unblinded-to-causality assessment is investigator-determined</w:t>
            </w:r>
          </w:p>
          <w:p>
            <w:pPr>
              <w:pStyle w:val="ListParagraph"/>
              <w:numPr>
                <w:ilvl w:val="0"/>
                <w:numId w:val="2"/>
              </w:numPr>
              <w:spacing w:after="45"/>
            </w:pPr>
            <w:r>
              <w:rPr>
                <w:sz w:val="15"/>
                <w:szCs w:val="15"/>
              </w:rPr>
              <w:t xml:space="preserve">Quality of life did not improve: the change in EORTC QLQ-C30 global health status to week 18 was -2.5 in both arms, difference 0.0 (-2.5 to 2.6), so the 1.8-month survival gain comes with no measurable improvement in how patients feel</w:t>
            </w:r>
          </w:p>
          <w:p>
            <w:pPr>
              <w:pStyle w:val="ListParagraph"/>
              <w:numPr>
                <w:ilvl w:val="0"/>
                <w:numId w:val="2"/>
              </w:numPr>
              <w:spacing w:after="45"/>
            </w:pPr>
            <w:r>
              <w:rPr>
                <w:sz w:val="15"/>
                <w:szCs w:val="15"/>
              </w:rPr>
              <w:t xml:space="preserve">Gemcitabine was continued to progression with no cycle cap, unlike TOPAZ-1, so the two immunotherapy trials are not comparable on chemotherapy exposure and the cross-trial equivalence frequently asserted between them is not supported</w:t>
            </w:r>
          </w:p>
          <w:p>
            <w:pPr>
              <w:pStyle w:val="ListParagraph"/>
              <w:numPr>
                <w:ilvl w:val="0"/>
                <w:numId w:val="2"/>
              </w:numPr>
              <w:spacing w:after="45"/>
            </w:pPr>
            <w:r>
              <w:rPr>
                <w:sz w:val="15"/>
                <w:szCs w:val="15"/>
              </w:rPr>
              <w:t xml:space="preserve">495 of 1564 screened patients were not randomised and the reasons are not characterised in the report, so the trial population is a selected 68% of those assessed</w:t>
            </w:r>
          </w:p>
          <w:p>
            <w:pPr>
              <w:pStyle w:val="ListParagraph"/>
              <w:numPr>
                <w:ilvl w:val="0"/>
                <w:numId w:val="2"/>
              </w:numPr>
              <w:spacing w:after="45"/>
            </w:pPr>
            <w:r>
              <w:rPr>
                <w:sz w:val="15"/>
                <w:szCs w:val="15"/>
              </w:rPr>
              <w:t xml:space="preserve">The sponsor's employees are co-authors, the sponsor performed the statistical analysis and held the database, and the sponsor funded medical writing; no independent statistical replication is described</w:t>
            </w:r>
          </w:p>
          <w:p>
            <w:pPr>
              <w:pStyle w:val="ListParagraph"/>
              <w:numPr>
                <w:ilvl w:val="0"/>
                <w:numId w:val="2"/>
              </w:numPr>
              <w:spacing w:after="45"/>
            </w:pPr>
            <w:r>
              <w:rPr>
                <w:sz w:val="15"/>
                <w:szCs w:val="15"/>
              </w:rPr>
              <w:t xml:space="preserve">Crossover was not permitted and post-progression immunotherapy in the control arm is not accounted for, so the overall survival comparison embeds whatever second-line treatment each region happened to provide</w:t>
            </w:r>
          </w:p>
          <w:p>
            <w:pPr>
              <w:pStyle w:val="ListParagraph"/>
              <w:numPr>
                <w:ilvl w:val="0"/>
                <w:numId w:val="2"/>
              </w:numPr>
              <w:spacing w:after="45"/>
            </w:pPr>
            <w:r>
              <w:rPr>
                <w:sz w:val="15"/>
                <w:szCs w:val="15"/>
              </w:rPr>
              <w:t xml:space="preserve">88% of patients had metastatic disease and the trial excluded resectable disease, so it provides no evidence for neoadjuvant, conversion or peri-transplant use of this regimen in liver-confined iCCA</w:t>
            </w:r>
          </w:p>
          <w:p>
            <w:pPr>
              <w:pStyle w:val="ListParagraph"/>
              <w:numPr>
                <w:ilvl w:val="0"/>
                <w:numId w:val="2"/>
              </w:numPr>
              <w:spacing w:after="45"/>
            </w:pPr>
            <w:r>
              <w:rPr>
                <w:sz w:val="15"/>
                <w:szCs w:val="15"/>
              </w:rPr>
              <w:t xml:space="preserve">The linked comment by Slater and Cunningham (Lancet 2023;401:1826-1827, PMID 37075782) is listed as the paper's commentary; its full text was not available, so none of its arguments are represented here</w:t>
            </w:r>
          </w:p>
        </w:tc>
      </w:tr>
    </w:tbl>
    <w:p>
      <w:pPr>
        <w:spacing w:after="0" w:line="276"/>
      </w:pPr>
      <w:r>
        <w:rPr>
          <w:color w:val="5A6069"/>
          <w:sz w:val="14"/>
          <w:szCs w:val="14"/>
        </w:rPr>
        <w:t xml:space="preserve">Funding: Merck Sharp and Dohme, a subsidiary of Merck and Co; authors employed by the funder contributed to design, data analysis, interpretation and writing, and the funder maintained the study database</w:t>
      </w:r>
    </w:p>
    <w:p>
      <w:pPr>
        <w:keepNext/>
        <w:spacing w:after="50" w:before="260"/>
      </w:pPr>
      <w:r>
        <w:rPr>
          <w:rFonts w:ascii="Cambria" w:cs="Cambria" w:eastAsia="Cambria" w:hAnsi="Cambria"/>
          <w:b/>
          <w:bCs/>
          <w:color w:val="17365D"/>
          <w:sz w:val="20"/>
          <w:szCs w:val="20"/>
        </w:rPr>
        <w:t xml:space="preserve">Milan consensus</w:t>
      </w:r>
      <w:r>
        <w:rPr>
          <w:b/>
          <w:bCs/>
          <w:color w:val="176A87"/>
          <w:sz w:val="15"/>
          <w:szCs w:val="15"/>
        </w:rPr>
        <w:t xml:space="preserve">   Consensus statement</w:t>
      </w:r>
      <w:r>
        <w:rPr>
          <w:color w:val="5A6069"/>
          <w:sz w:val="15"/>
          <w:szCs w:val="15"/>
        </w:rPr>
        <w:t xml:space="preserve">   PMID 40478744</w:t>
      </w:r>
    </w:p>
    <w:p>
      <w:pPr>
        <w:spacing w:after="50" w:line="276"/>
      </w:pPr>
      <w:r>
        <w:rPr>
          <w:color w:val="5A6069"/>
          <w:sz w:val="17"/>
          <w:szCs w:val="17"/>
        </w:rPr>
        <w:t xml:space="preserve">Recommendations on Perihilar Cholangiocarcinoma. The Milan Jury-Based Consensus</w:t>
      </w:r>
    </w:p>
    <w:p>
      <w:pPr>
        <w:spacing w:after="50"/>
      </w:pPr>
      <w:r>
        <w:rPr>
          <w:b/>
          <w:bCs/>
          <w:color w:val="176A87"/>
          <w:sz w:val="16"/>
          <w:szCs w:val="16"/>
        </w:rPr>
        <w:t xml:space="preserve">Population. </w:t>
      </w:r>
      <w:r>
        <w:rPr>
          <w:sz w:val="16"/>
          <w:szCs w:val="16"/>
        </w:rPr>
        <w:t xml:space="preserve">71 international experts in eight panels considering 570 studies published January 2000 to March 2024, with a ten-member jury of hepatologists, non-hepato-pancreato-biliary surgeons, epidemiologists and bioethicists, none directly involved in the care of or research into perihilar cholangiocarcinoma, at a two-day consensus meeting in Milan on 5-6 December 2024 with 226 on-site attendees; there is no patient cohort</w:t>
      </w:r>
    </w:p>
    <w:p>
      <w:pPr>
        <w:spacing w:after="70"/>
      </w:pPr>
      <w:r>
        <w:rPr>
          <w:b/>
          <w:bCs/>
          <w:color w:val="17365D"/>
          <w:sz w:val="16"/>
          <w:szCs w:val="16"/>
        </w:rPr>
        <w:t xml:space="preserve">Bottom line. </w:t>
      </w:r>
      <w:r>
        <w:rPr>
          <w:sz w:val="16"/>
          <w:szCs w:val="16"/>
        </w:rPr>
        <w:t xml:space="preserve">The Milan jury-based consensus is the most comprehensive current statement on perihilar cholangiocarcinoma, covering definition, staging, drainage, liver augmentation, the operation, systemic therapy, transplantation and outcome metrics, and it is candid that 84% of its 570 studies are observational and that most surgical recommendations sit at level of evidence 4. Its two central positions are unresolved by its own evidence: the resectability criteria it adopts are expert opinion awaiting validation while it declines to endorse any staging system for predicting resectability, and it extends transplantation to node-negative patients independent of resectability on a benchmark study and mixed retrospective comparisons after TRANSPHIL failed to recruit. Industry covered 55% of the conference's costs, no individual author conflict statement is printed, and no voting record exists for any recommendation.</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systematic review revealed substantial heterogeneity in the level of evidence in most aspects of the disease, so several consensus discussions were guided primarily by expert opinion rather than empirical evidence</w:t>
            </w:r>
          </w:p>
          <w:p>
            <w:pPr>
              <w:pStyle w:val="ListParagraph"/>
              <w:numPr>
                <w:ilvl w:val="0"/>
                <w:numId w:val="2"/>
              </w:numPr>
              <w:spacing w:after="45"/>
            </w:pPr>
            <w:r>
              <w:rPr>
                <w:sz w:val="15"/>
                <w:szCs w:val="15"/>
              </w:rPr>
              <w:t xml:space="preserve">Of 570 studies, 479 (84%) were observational and 476 (83.5%) were deemed only of acceptable quality; major hepatectomy, the established curative approach, is supported by observational studies with very few multicentre reports, at level of evidence 4</w:t>
            </w:r>
          </w:p>
          <w:p>
            <w:pPr>
              <w:pStyle w:val="ListParagraph"/>
              <w:numPr>
                <w:ilvl w:val="0"/>
                <w:numId w:val="2"/>
              </w:numPr>
              <w:spacing w:after="45"/>
            </w:pPr>
            <w:r>
              <w:rPr>
                <w:sz w:val="15"/>
                <w:szCs w:val="15"/>
              </w:rPr>
              <w:t xml:space="preserve">Experience with complex scenarios such as vascular resection varies considerably across institutions globally and lacks generalisability</w:t>
            </w:r>
          </w:p>
          <w:p>
            <w:pPr>
              <w:pStyle w:val="ListParagraph"/>
              <w:numPr>
                <w:ilvl w:val="0"/>
                <w:numId w:val="2"/>
              </w:numPr>
              <w:spacing w:after="45"/>
            </w:pPr>
            <w:r>
              <w:rPr>
                <w:sz w:val="15"/>
                <w:szCs w:val="15"/>
              </w:rPr>
              <w:t xml:space="preserve">Liver transplantation relies mainly on the experience of a few centres, with many considering such an approach futile, and only 32 of the 570 studies (5.6%) concerned it</w:t>
            </w:r>
          </w:p>
          <w:p>
            <w:pPr>
              <w:pStyle w:val="ListParagraph"/>
              <w:numPr>
                <w:ilvl w:val="0"/>
                <w:numId w:val="2"/>
              </w:numPr>
              <w:spacing w:after="45"/>
            </w:pPr>
            <w:r>
              <w:rPr>
                <w:sz w:val="15"/>
                <w:szCs w:val="15"/>
              </w:rPr>
              <w:t xml:space="preserve">Systemic therapy evidence comes from multicentre randomised trials of pooled biliary tract cancer cohorts rather than perihilar disease specifically, which the authors call a shortcoming because emerging genetic data indicate that intrahepatic and extrahepatic subtypes are distinct entities</w:t>
            </w:r>
          </w:p>
          <w:p>
            <w:pPr>
              <w:pStyle w:val="ListParagraph"/>
              <w:numPr>
                <w:ilvl w:val="0"/>
                <w:numId w:val="2"/>
              </w:numPr>
              <w:spacing w:after="45"/>
            </w:pPr>
            <w:r>
              <w:rPr>
                <w:sz w:val="15"/>
                <w:szCs w:val="15"/>
              </w:rPr>
              <w:t xml:space="preserve">The resectability criteria the jury adopted are expert-opinion-based and require further validation</w:t>
            </w:r>
          </w:p>
          <w:p>
            <w:pPr>
              <w:pStyle w:val="ListParagraph"/>
              <w:numPr>
                <w:ilvl w:val="0"/>
                <w:numId w:val="2"/>
              </w:numPr>
              <w:spacing w:after="45"/>
            </w:pPr>
            <w:r>
              <w:rPr>
                <w:sz w:val="15"/>
                <w:szCs w:val="15"/>
              </w:rPr>
              <w:t xml:space="preserve">None of the available classifications, Bismuth-Corlette and Memorial Sloan-Kettering included, was developed primarily to determine resectability, their evaluation for that purpose rests on retrospective analyses only, and none can be recommended to predict it accurately</w:t>
            </w:r>
          </w:p>
          <w:p>
            <w:pPr>
              <w:pStyle w:val="ListParagraph"/>
              <w:numPr>
                <w:ilvl w:val="0"/>
                <w:numId w:val="2"/>
              </w:numPr>
              <w:spacing w:after="45"/>
            </w:pPr>
            <w:r>
              <w:rPr>
                <w:sz w:val="15"/>
                <w:szCs w:val="15"/>
              </w:rPr>
              <w:t xml:space="preserve">Both randomised trials of drainage route were prematurely closed, the optimal post-drainage bilirubin threshold is still debated, and percutaneous drainage remains the preferred approach in the majority of centres surveyed</w:t>
            </w:r>
          </w:p>
          <w:p>
            <w:pPr>
              <w:pStyle w:val="ListParagraph"/>
              <w:numPr>
                <w:ilvl w:val="0"/>
                <w:numId w:val="2"/>
              </w:numPr>
              <w:spacing w:after="45"/>
            </w:pPr>
            <w:r>
              <w:rPr>
                <w:sz w:val="15"/>
                <w:szCs w:val="15"/>
              </w:rPr>
              <w:t xml:space="preserve">Current surveillance recommendations depend on expert opinion and protocols published by surgical series, with no evidence so far indicating a survival benefit from more aggressive surveillance</w:t>
            </w:r>
          </w:p>
          <w:p>
            <w:pPr>
              <w:pStyle w:val="ListParagraph"/>
              <w:numPr>
                <w:ilvl w:val="0"/>
                <w:numId w:val="2"/>
              </w:numPr>
              <w:spacing w:after="45"/>
            </w:pPr>
            <w:r>
              <w:rPr>
                <w:sz w:val="15"/>
                <w:szCs w:val="15"/>
              </w:rPr>
              <w:t xml:space="preserve">The TRANSPHIL randomised trial comparing resection with transplantation failed in recruitment, and laparoscopic and robotic approaches have long-term results that are lacking</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Industry covered 55% of the conference's costs. The funding statement asserts that no industry representatives sat on any committee, panel or jury, but names no company, discloses no amounts, and the document carries no individual author conflict-of-interest statement at all</w:t>
            </w:r>
          </w:p>
          <w:p>
            <w:pPr>
              <w:pStyle w:val="ListParagraph"/>
              <w:numPr>
                <w:ilvl w:val="0"/>
                <w:numId w:val="2"/>
              </w:numPr>
              <w:spacing w:after="45"/>
            </w:pPr>
            <w:r>
              <w:rPr>
                <w:sz w:val="15"/>
                <w:szCs w:val="15"/>
              </w:rPr>
              <w:t xml:space="preserve">The jury was deliberately composed of ten members with no clinical or research involvement in the disease, which buys impartiality at the price of subject expertise: recommendations on operative extent, drainage route and transplantation were adopted in closed session by a jury that does not treat perihilar cholangiocarcinoma, after a two-day meeting</w:t>
            </w:r>
          </w:p>
          <w:p>
            <w:pPr>
              <w:pStyle w:val="ListParagraph"/>
              <w:numPr>
                <w:ilvl w:val="0"/>
                <w:numId w:val="2"/>
              </w:numPr>
              <w:spacing w:after="45"/>
            </w:pPr>
            <w:r>
              <w:rPr>
                <w:sz w:val="15"/>
                <w:szCs w:val="15"/>
              </w:rPr>
              <w:t xml:space="preserve">No voting record, agreement percentage or record of dissent is published for any recommendation; the deliberations were closed sessions and the document reports only the adopted wording, with the GRADE level and the STRONG or WEAK label confined to Table 2</w:t>
            </w:r>
          </w:p>
          <w:p>
            <w:pPr>
              <w:pStyle w:val="ListParagraph"/>
              <w:numPr>
                <w:ilvl w:val="0"/>
                <w:numId w:val="2"/>
              </w:numPr>
              <w:spacing w:after="45"/>
            </w:pPr>
            <w:r>
              <w:rPr>
                <w:sz w:val="15"/>
                <w:szCs w:val="15"/>
              </w:rPr>
              <w:t xml:space="preserve">Quality appraisal used an in-house four-level scale (high, acceptable, low, unacceptable) rather than a validated instrument, applied by 17 surgical and research fellows described in the Discussion as a group of young academic surgeons, with low-quality studies admitted whenever nothing better existed</w:t>
            </w:r>
          </w:p>
          <w:p>
            <w:pPr>
              <w:pStyle w:val="ListParagraph"/>
              <w:numPr>
                <w:ilvl w:val="0"/>
                <w:numId w:val="2"/>
              </w:numPr>
              <w:spacing w:after="45"/>
            </w:pPr>
            <w:r>
              <w:rPr>
                <w:sz w:val="15"/>
                <w:szCs w:val="15"/>
              </w:rPr>
              <w:t xml:space="preserve">The systematic search ended in March 2024 and was then expanded by the panel experts to November 2024, so the most recent evidence entered through unblinded expert selection outside the two-reviewer blinded screening and appraisal process</w:t>
            </w:r>
          </w:p>
          <w:p>
            <w:pPr>
              <w:pStyle w:val="ListParagraph"/>
              <w:numPr>
                <w:ilvl w:val="0"/>
                <w:numId w:val="2"/>
              </w:numPr>
              <w:spacing w:after="45"/>
            </w:pPr>
            <w:r>
              <w:rPr>
                <w:sz w:val="15"/>
                <w:szCs w:val="15"/>
              </w:rPr>
              <w:t xml:space="preserve">The transplantation section states in one sentence that the superiority of transplantation over resection is clearly established by a recent 17-centre benchmark study and in the next that the available overall survival data remain imprecise, with one adjusted analysis showing an advantage in the transplant group and another no difference; a benchmark study describes best achievable outcomes and is not a comparative trial</w:t>
            </w:r>
          </w:p>
          <w:p>
            <w:pPr>
              <w:pStyle w:val="ListParagraph"/>
              <w:numPr>
                <w:ilvl w:val="0"/>
                <w:numId w:val="2"/>
              </w:numPr>
              <w:spacing w:after="45"/>
            </w:pPr>
            <w:r>
              <w:rPr>
                <w:sz w:val="15"/>
                <w:szCs w:val="15"/>
              </w:rPr>
              <w:t xml:space="preserve">The Mayo criteria are said to have been convincingly validated in a large multicentre cohort of 214; 214 is the number transplanted in that report and not the 287 enrolled, so the validation is quoted on the post-transplant denominator</w:t>
            </w:r>
          </w:p>
          <w:p>
            <w:pPr>
              <w:pStyle w:val="ListParagraph"/>
              <w:numPr>
                <w:ilvl w:val="0"/>
                <w:numId w:val="2"/>
              </w:numPr>
              <w:spacing w:after="45"/>
            </w:pPr>
            <w:r>
              <w:rPr>
                <w:sz w:val="15"/>
                <w:szCs w:val="15"/>
              </w:rPr>
              <w:t xml:space="preserve">The living-donor recommendation imports a threshold from other oncological indications, an anticipated post-transplant survival benefit above 50% at five years, and declares it de facto established in perihilar disease by quoting 5-year overall survival of 53%; that figure is the intention-to-treat survival of the whole enrolled multicentre cohort, not a post-transplant or living-donor estimate</w:t>
            </w:r>
          </w:p>
          <w:p>
            <w:pPr>
              <w:pStyle w:val="ListParagraph"/>
              <w:numPr>
                <w:ilvl w:val="0"/>
                <w:numId w:val="2"/>
              </w:numPr>
              <w:spacing w:after="45"/>
            </w:pPr>
            <w:r>
              <w:rPr>
                <w:sz w:val="15"/>
                <w:szCs w:val="15"/>
              </w:rPr>
              <w:t xml:space="preserve">The requirement for neoadjuvant therapy before transplantation rests partly on a subgroup of 27 patients in the benchmark study who did not receive it, and the regimen described, 4500 cGy external beam with a 1500 cGy brachytherapy boost and capecitabine for at least 3 to 6 months, differs in brachytherapy dose from both the Mayo and the AHPBA descriptions, with several centres omitting brachytherapy entirely</w:t>
            </w:r>
          </w:p>
          <w:p>
            <w:pPr>
              <w:pStyle w:val="ListParagraph"/>
              <w:numPr>
                <w:ilvl w:val="0"/>
                <w:numId w:val="2"/>
              </w:numPr>
              <w:spacing w:after="45"/>
            </w:pPr>
            <w:r>
              <w:rPr>
                <w:sz w:val="15"/>
                <w:szCs w:val="15"/>
              </w:rPr>
              <w:t xml:space="preserve">The resectability criteria the jury adopted appear only in a supplemental table and figure and are conceded to need validation, while the jury simultaneously declines to endorse any staging system for predicting resectability, so the central operative decision is left to an unvalidated proposal</w:t>
            </w:r>
          </w:p>
          <w:p>
            <w:pPr>
              <w:pStyle w:val="ListParagraph"/>
              <w:numPr>
                <w:ilvl w:val="0"/>
                <w:numId w:val="2"/>
              </w:numPr>
              <w:spacing w:after="45"/>
            </w:pPr>
            <w:r>
              <w:rPr>
                <w:sz w:val="15"/>
                <w:szCs w:val="15"/>
              </w:rPr>
              <w:t xml:space="preserve">The drainage-route recommendation names endoscopic drainage as preferred where tumour anatomy allows, records that percutaneous drainage remains what most surveyed centres actually do, and then defers to individual circumstances, so it cannot be acted on in either direction</w:t>
            </w:r>
          </w:p>
          <w:p>
            <w:pPr>
              <w:pStyle w:val="ListParagraph"/>
              <w:numPr>
                <w:ilvl w:val="0"/>
                <w:numId w:val="2"/>
              </w:numPr>
              <w:spacing w:after="45"/>
            </w:pPr>
            <w:r>
              <w:rPr>
                <w:sz w:val="15"/>
                <w:szCs w:val="15"/>
              </w:rPr>
              <w:t xml:space="preserve">Panel representation is uneven: 40 of 71 experts (56.3%) are European, 17 (23.9%) North American, 12 (16.9%) Asian and 2 (2.8%) South American with none African, and the audience whose discussion fed the jury was 226 self-selected conference attendees</w:t>
            </w:r>
          </w:p>
          <w:p>
            <w:pPr>
              <w:pStyle w:val="ListParagraph"/>
              <w:numPr>
                <w:ilvl w:val="0"/>
                <w:numId w:val="2"/>
              </w:numPr>
              <w:spacing w:after="45"/>
            </w:pPr>
            <w:r>
              <w:rPr>
                <w:sz w:val="15"/>
                <w:szCs w:val="15"/>
              </w:rPr>
              <w:t xml:space="preserve">Adjuvant capecitabine is endorsed although the pooled biliary tract cancer trials the recommendation draws on showed no benefit in the perihilar subgroup, in a document that insists elsewhere that intrahepatic and extrahepatic disease are distinct entities and that those trials are underpowered for perihilar disease</w:t>
            </w:r>
          </w:p>
          <w:p>
            <w:pPr>
              <w:pStyle w:val="ListParagraph"/>
              <w:numPr>
                <w:ilvl w:val="0"/>
                <w:numId w:val="2"/>
              </w:numPr>
              <w:spacing w:after="45"/>
            </w:pPr>
            <w:r>
              <w:rPr>
                <w:sz w:val="15"/>
                <w:szCs w:val="15"/>
              </w:rPr>
              <w:t xml:space="preserve">The surveillance protocol of three-monthly CT in the first year then six-monthly for five years with CEA and CA 19-9 is adopted on the stated grounds that it best reflects current standard of care, with no evidence of benefit, no cost consideration and no account of cumulative radiation exposure</w:t>
            </w:r>
          </w:p>
          <w:p>
            <w:pPr>
              <w:pStyle w:val="ListParagraph"/>
              <w:numPr>
                <w:ilvl w:val="0"/>
                <w:numId w:val="2"/>
              </w:numPr>
              <w:spacing w:after="45"/>
            </w:pPr>
            <w:r>
              <w:rPr>
                <w:sz w:val="15"/>
                <w:szCs w:val="15"/>
              </w:rPr>
              <w:t xml:space="preserve">Median overall survival of 53 months and recurrence-free survival of 26 months, offered as the metrics against which centres should compare themselves, come from pooled phase III biliary tract cancer trials, that is from populations selected for fitness, rather than from a real-world perihilar cohort; the benchmark context the document itself cites is 5-year survival not exceeding 40% at expert centres, severe complications reaching 70%, 90-day mortality reaching 13%, re-laparotomy in one in five, and a negative margin in only two-thirds</w:t>
            </w:r>
          </w:p>
          <w:p>
            <w:pPr>
              <w:pStyle w:val="ListParagraph"/>
              <w:numPr>
                <w:ilvl w:val="0"/>
                <w:numId w:val="2"/>
              </w:numPr>
              <w:spacing w:after="45"/>
            </w:pPr>
            <w:r>
              <w:rPr>
                <w:sz w:val="15"/>
                <w:szCs w:val="15"/>
              </w:rPr>
              <w:t xml:space="preserve">Only 32 of the 570 studies concerned transplantation and 32 concerned systemic and locoregional therapy, against 299 on resection, yet all three panels issued recommendations of the same form and apparent authority</w:t>
            </w:r>
          </w:p>
          <w:p>
            <w:pPr>
              <w:pStyle w:val="ListParagraph"/>
              <w:numPr>
                <w:ilvl w:val="0"/>
                <w:numId w:val="2"/>
              </w:numPr>
              <w:spacing w:after="45"/>
            </w:pPr>
            <w:r>
              <w:rPr>
                <w:sz w:val="15"/>
                <w:szCs w:val="15"/>
              </w:rPr>
              <w:t xml:space="preserve">No linked editorial or comment was found in PubMed; the article was published ahead of print with no volume or page numbers</w:t>
            </w:r>
          </w:p>
        </w:tc>
      </w:tr>
    </w:tbl>
    <w:p>
      <w:pPr>
        <w:spacing w:after="0" w:line="276"/>
      </w:pPr>
      <w:r>
        <w:rPr>
          <w:color w:val="5A6069"/>
          <w:sz w:val="14"/>
          <w:szCs w:val="14"/>
        </w:rPr>
        <w:t xml:space="preserve">Funding: Industry covered 55% of the conference costs with the remaining 45% from registration fees and other sponsors including foundations and patient donation; no industry representatives were involved in committees, expert panels or the jury, and neither jury members nor experts received financial compensation. Support is acknowledged from the Liver and Gastrointestinal Disease Foundation, the Yvonne Jacob Foundation and the FZ-Healthcare Foundation. No individual author conflict-of-interest statement is printed</w:t>
      </w:r>
    </w:p>
    <w:p>
      <w:pPr>
        <w:keepNext/>
        <w:spacing w:after="50" w:before="260"/>
      </w:pPr>
      <w:r>
        <w:rPr>
          <w:rFonts w:ascii="Cambria" w:cs="Cambria" w:eastAsia="Cambria" w:hAnsi="Cambria"/>
          <w:b/>
          <w:bCs/>
          <w:color w:val="17365D"/>
          <w:sz w:val="20"/>
          <w:szCs w:val="20"/>
        </w:rPr>
        <w:t xml:space="preserve">Njei 2016</w:t>
      </w:r>
      <w:r>
        <w:rPr>
          <w:b/>
          <w:bCs/>
          <w:color w:val="176A87"/>
          <w:sz w:val="15"/>
          <w:szCs w:val="15"/>
        </w:rPr>
        <w:t xml:space="preserve">   Meta-analysis</w:t>
      </w:r>
      <w:r>
        <w:rPr>
          <w:color w:val="5A6069"/>
          <w:sz w:val="15"/>
          <w:szCs w:val="15"/>
        </w:rPr>
        <w:t xml:space="preserve">   PMID 27696456</w:t>
      </w:r>
    </w:p>
    <w:p>
      <w:pPr>
        <w:spacing w:after="50" w:line="276"/>
      </w:pPr>
      <w:r>
        <w:rPr>
          <w:color w:val="5A6069"/>
          <w:sz w:val="17"/>
          <w:szCs w:val="17"/>
        </w:rPr>
        <w:t xml:space="preserve">Systematic review with meta-analysis: endoscopic retrograde cholangiopancreatography-based modalities for the diagnosis of cholangiocarcinoma in primary sclerosing cholangitis</w:t>
      </w:r>
    </w:p>
    <w:p>
      <w:pPr>
        <w:spacing w:after="50"/>
      </w:pPr>
      <w:r>
        <w:rPr>
          <w:b/>
          <w:bCs/>
          <w:color w:val="176A87"/>
          <w:sz w:val="16"/>
          <w:szCs w:val="16"/>
        </w:rPr>
        <w:t xml:space="preserve">Population. </w:t>
      </w:r>
      <w:r>
        <w:rPr>
          <w:sz w:val="16"/>
          <w:szCs w:val="16"/>
        </w:rPr>
        <w:t xml:space="preserve">21 studies of ERCP-based tests for cholangiocarcinoma in primary sclerosing cholangitis published to December 2015: 13 of bile duct brushing for cytology (809 patients), 7 of FISH polysomy (701), 4 of FISH trisomy (629), 2 of probe-based confocal laser endomicroscopy (66) and 4 of single-operator cholangioscopy with targeted biopsies (128), with several cohorts contributing to more than one modality</w:t>
      </w:r>
    </w:p>
    <w:p>
      <w:pPr>
        <w:spacing w:after="70"/>
      </w:pPr>
      <w:r>
        <w:rPr>
          <w:b/>
          <w:bCs/>
          <w:color w:val="17365D"/>
          <w:sz w:val="16"/>
          <w:szCs w:val="16"/>
        </w:rPr>
        <w:t xml:space="preserve">Bottom line. </w:t>
      </w:r>
      <w:r>
        <w:rPr>
          <w:sz w:val="16"/>
          <w:szCs w:val="16"/>
        </w:rPr>
        <w:t xml:space="preserve">Across 21 studies of ERCP-based tests in primary sclerosing cholangitis, cholangioscopy with targeted biopsy came out with the highest accuracy at 96%, and this is the strongest published case for putting it into the work-up of a dominant stricture. That accuracy is driven by true negatives in low-prevalence cohorts: cholangioscopy's pooled sensitivity is 65% (95% CI 35-87%) on 4 studies and 128 patients, no better than brush cytology's 52%, and the authors' own meta-regression found study quality drove its heterogeneity. The combination estimates, including the claim that combining tests is worse than cholangioscopy alone, are imputed from a regression model rather than taken from patients who had both tests, and the procedure fails in 15% of PSC ducts with 11% post-procedure cholangitis.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study possessed a large degree of heterogeneity, most importantly regarding the index test, which was defined in a variety of ways; positive cytology was not defined in a standard manner across studies</w:t>
            </w:r>
          </w:p>
          <w:p>
            <w:pPr>
              <w:pStyle w:val="ListParagraph"/>
              <w:numPr>
                <w:ilvl w:val="0"/>
                <w:numId w:val="2"/>
              </w:numPr>
              <w:spacing w:after="45"/>
            </w:pPr>
            <w:r>
              <w:rPr>
                <w:sz w:val="15"/>
                <w:szCs w:val="15"/>
              </w:rPr>
              <w:t xml:space="preserve">Samples were not uniformly reviewed by blinded reviewers, and in Tischendorf the pathologists were not blinded to the clinical scenario, giving that study a high risk of bias</w:t>
            </w:r>
          </w:p>
          <w:p>
            <w:pPr>
              <w:pStyle w:val="ListParagraph"/>
              <w:numPr>
                <w:ilvl w:val="0"/>
                <w:numId w:val="2"/>
              </w:numPr>
              <w:spacing w:after="45"/>
            </w:pPr>
            <w:r>
              <w:rPr>
                <w:sz w:val="15"/>
                <w:szCs w:val="15"/>
              </w:rPr>
              <w:t xml:space="preserve">Only few of the included studies were truly comparative, most evaluating a single modality, so institutional differences in experience and technical expertise limit applicability to smaller or less experienced centres</w:t>
            </w:r>
          </w:p>
          <w:p>
            <w:pPr>
              <w:pStyle w:val="ListParagraph"/>
              <w:numPr>
                <w:ilvl w:val="0"/>
                <w:numId w:val="2"/>
              </w:numPr>
              <w:spacing w:after="45"/>
            </w:pPr>
            <w:r>
              <w:rPr>
                <w:sz w:val="15"/>
                <w:szCs w:val="15"/>
              </w:rPr>
              <w:t xml:space="preserve">There is an overall paucity of data: single-operator cholangioscopy, the modality that comes out best, rests on 4 studies and 128 patients</w:t>
            </w:r>
          </w:p>
          <w:p>
            <w:pPr>
              <w:pStyle w:val="ListParagraph"/>
              <w:numPr>
                <w:ilvl w:val="0"/>
                <w:numId w:val="2"/>
              </w:numPr>
              <w:spacing w:after="45"/>
            </w:pPr>
            <w:r>
              <w:rPr>
                <w:sz w:val="15"/>
                <w:szCs w:val="15"/>
              </w:rPr>
              <w:t xml:space="preserve">Probe-based confocal laser endomicroscopy rests on two studies, one of them a published abstract; publication bias could not be assessed for it, it cannot yield a tissue diagnosis, and the lack of a homogeneous diagnostic standard precludes translating its results into clinical practice</w:t>
            </w:r>
          </w:p>
          <w:p>
            <w:pPr>
              <w:pStyle w:val="ListParagraph"/>
              <w:numPr>
                <w:ilvl w:val="0"/>
                <w:numId w:val="2"/>
              </w:numPr>
              <w:spacing w:after="45"/>
            </w:pPr>
            <w:r>
              <w:rPr>
                <w:sz w:val="15"/>
                <w:szCs w:val="15"/>
              </w:rPr>
              <w:t xml:space="preserve">Univariate meta-regression showed that study quality contributed significantly to the heterogeneity of the cholangioscopy estimate</w:t>
            </w:r>
          </w:p>
          <w:p>
            <w:pPr>
              <w:pStyle w:val="ListParagraph"/>
              <w:numPr>
                <w:ilvl w:val="0"/>
                <w:numId w:val="2"/>
              </w:numPr>
              <w:spacing w:after="45"/>
            </w:pPr>
            <w:r>
              <w:rPr>
                <w:sz w:val="15"/>
                <w:szCs w:val="15"/>
              </w:rPr>
              <w:t xml:space="preserve">Spectrum bias is possible: in Tischendorf only 8% of patients diagnosed with cholangiocarcinoma were alive at the end of follow-up, so cholangioscopy may be more accurate for later-stage disease than for the earlier lesion</w:t>
            </w:r>
          </w:p>
          <w:p>
            <w:pPr>
              <w:pStyle w:val="ListParagraph"/>
              <w:numPr>
                <w:ilvl w:val="0"/>
                <w:numId w:val="2"/>
              </w:numPr>
              <w:spacing w:after="45"/>
            </w:pPr>
            <w:r>
              <w:rPr>
                <w:sz w:val="15"/>
                <w:szCs w:val="15"/>
              </w:rPr>
              <w:t xml:space="preserve">Passage of the cholangioscope may be difficult in the narrow strictured ducts of primary sclerosing cholangitis, with 15% procedural failure against 2% in non-PSC controls and 11% post-procedure cholangitis in one included study, and ductal dilation to pass a stricture may cause mucosal trauma that precludes adequate macroscopic evaluation</w:t>
            </w:r>
          </w:p>
          <w:p>
            <w:pPr>
              <w:pStyle w:val="ListParagraph"/>
              <w:numPr>
                <w:ilvl w:val="0"/>
                <w:numId w:val="2"/>
              </w:numPr>
              <w:spacing w:after="45"/>
            </w:pPr>
            <w:r>
              <w:rPr>
                <w:sz w:val="15"/>
                <w:szCs w:val="15"/>
              </w:rPr>
              <w:t xml:space="preserve">EUS-guided fine-needle aspiration was excluded because of the tumour-seeding concern and the Mayo transplant protocol's exclusion rule, and because lesion location was not clearly reported in most studies</w:t>
            </w:r>
          </w:p>
          <w:p>
            <w:pPr>
              <w:pStyle w:val="ListParagraph"/>
              <w:numPr>
                <w:ilvl w:val="0"/>
                <w:numId w:val="2"/>
              </w:numPr>
              <w:spacing w:after="45"/>
            </w:pPr>
            <w:r>
              <w:rPr>
                <w:sz w:val="15"/>
                <w:szCs w:val="15"/>
              </w:rPr>
              <w:t xml:space="preserve">No cost data were available, and cost-effectiveness analysis is required before a preferred modality can be determined</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headline that cholangioscopy is the most accurate modality at 96% (94-97%) is an accuracy figure, not a measure of discrimination: its pooled sensitivity is 65% (35-87%), indistinguishable from brush cytology's 52% (34-69%) or confocal endomicroscopy's 78% (40-97%), and accuracy in these low-prevalence cohorts is dominated by true negatives, so the ranking is largely a function of prevalence</w:t>
            </w:r>
          </w:p>
          <w:p>
            <w:pPr>
              <w:pStyle w:val="ListParagraph"/>
              <w:numPr>
                <w:ilvl w:val="0"/>
                <w:numId w:val="2"/>
              </w:numPr>
              <w:spacing w:after="45"/>
            </w:pPr>
            <w:r>
              <w:rPr>
                <w:sz w:val="15"/>
                <w:szCs w:val="15"/>
              </w:rPr>
              <w:t xml:space="preserve">The accuracy column is internally inconsistent with its own sensitivity and specificity pairs: FISH polysomy at 0.50 and 0.96 is given accuracy 0.69 while brush cytology at 0.52 and 0.99 is given 0.87, and brush cytology's accuracy interval is printed as (0.84-90)</w:t>
            </w:r>
          </w:p>
          <w:p>
            <w:pPr>
              <w:pStyle w:val="ListParagraph"/>
              <w:numPr>
                <w:ilvl w:val="0"/>
                <w:numId w:val="2"/>
              </w:numPr>
              <w:spacing w:after="45"/>
            </w:pPr>
            <w:r>
              <w:rPr>
                <w:sz w:val="15"/>
                <w:szCs w:val="15"/>
              </w:rPr>
              <w:t xml:space="preserve">Several intervals in Table 2 do not contain their point estimates: the positive likelihood ratio for brushing plus FISH polysomy is 23.60 (48.30-67.30) and the odds ratio for confocal endomicroscopy plus FISH polysomy is 16 (76-42); FISH trisomy's odds ratio is printed as 1 (1-3)</w:t>
            </w:r>
          </w:p>
          <w:p>
            <w:pPr>
              <w:pStyle w:val="ListParagraph"/>
              <w:numPr>
                <w:ilvl w:val="0"/>
                <w:numId w:val="2"/>
              </w:numPr>
              <w:spacing w:after="45"/>
            </w:pPr>
            <w:r>
              <w:rPr>
                <w:sz w:val="15"/>
                <w:szCs w:val="15"/>
              </w:rPr>
              <w:t xml:space="preserve">The abstract gives cholangioscopy's pooled diagnostic odds ratio as 59 (95% CI 10-341) and prints the interval label as '05% CI' in the Results, while Table 2 gives 95 (14-643) for the same comparison</w:t>
            </w:r>
          </w:p>
          <w:p>
            <w:pPr>
              <w:pStyle w:val="ListParagraph"/>
              <w:numPr>
                <w:ilvl w:val="0"/>
                <w:numId w:val="2"/>
              </w:numPr>
              <w:spacing w:after="45"/>
            </w:pPr>
            <w:r>
              <w:rPr>
                <w:sz w:val="15"/>
                <w:szCs w:val="15"/>
              </w:rPr>
              <w:t xml:space="preserve">Every combination row, including the conclusion that combining modalities does not improve accuracy over cholangioscopy alone, is imputed from a logistic regression model rather than taken from studies in which both tests were applied to the same patients; that model output is then listed among the paper's strengths</w:t>
            </w:r>
          </w:p>
          <w:p>
            <w:pPr>
              <w:pStyle w:val="ListParagraph"/>
              <w:numPr>
                <w:ilvl w:val="0"/>
                <w:numId w:val="2"/>
              </w:numPr>
              <w:spacing w:after="45"/>
            </w:pPr>
            <w:r>
              <w:rPr>
                <w:sz w:val="15"/>
                <w:szCs w:val="15"/>
              </w:rPr>
              <w:t xml:space="preserve">The abstract counts 7 studies on FISH while the Results split them into 7 polysomy and 4 trisomy studies, and the forest plot shows both sets</w:t>
            </w:r>
          </w:p>
          <w:p>
            <w:pPr>
              <w:pStyle w:val="ListParagraph"/>
              <w:numPr>
                <w:ilvl w:val="0"/>
                <w:numId w:val="2"/>
              </w:numPr>
              <w:spacing w:after="45"/>
            </w:pPr>
            <w:r>
              <w:rPr>
                <w:sz w:val="15"/>
                <w:szCs w:val="15"/>
              </w:rPr>
              <w:t xml:space="preserve">Cohorts overlap across modalities: Heif 2013 (n=15) contributes to all four, and Charatcharoenwitthaya (n=230), Moreno Luna (n=86) and Shah 2013 to two or three each, so the modality-specific denominators cannot be added and the modalities are partly being compared within the same patients</w:t>
            </w:r>
          </w:p>
          <w:p>
            <w:pPr>
              <w:pStyle w:val="ListParagraph"/>
              <w:numPr>
                <w:ilvl w:val="0"/>
                <w:numId w:val="2"/>
              </w:numPr>
              <w:spacing w:after="45"/>
            </w:pPr>
            <w:r>
              <w:rPr>
                <w:sz w:val="15"/>
                <w:szCs w:val="15"/>
              </w:rPr>
              <w:t xml:space="preserve">Eleven of the 21 studies come from one US centre's publication stream, so the cytology and FISH estimates largely recapitulate one institution's experience, as the same authors conceded of their own 2014 FISH meta-analysis</w:t>
            </w:r>
          </w:p>
          <w:p>
            <w:pPr>
              <w:pStyle w:val="ListParagraph"/>
              <w:numPr>
                <w:ilvl w:val="0"/>
                <w:numId w:val="2"/>
              </w:numPr>
              <w:spacing w:after="45"/>
            </w:pPr>
            <w:r>
              <w:rPr>
                <w:sz w:val="15"/>
                <w:szCs w:val="15"/>
              </w:rPr>
              <w:t xml:space="preserve">Per-study brush cytology sensitivity in the forest plot runs from 0.07 to 1.00, including two studies at 0.07 and 0.08 and three with a point estimate of 1.00 on one or two true positives; the pooled 0.52 has no clinical referent and the bivariate model's between-study variance is never reported</w:t>
            </w:r>
          </w:p>
          <w:p>
            <w:pPr>
              <w:pStyle w:val="ListParagraph"/>
              <w:numPr>
                <w:ilvl w:val="0"/>
                <w:numId w:val="2"/>
              </w:numPr>
              <w:spacing w:after="45"/>
            </w:pPr>
            <w:r>
              <w:rPr>
                <w:sz w:val="15"/>
                <w:szCs w:val="15"/>
              </w:rPr>
              <w:t xml:space="preserve">The Fagan nomogram is run at a pre-test probability of 20%, which is the lifetime risk of cholangiocarcinoma in primary sclerosing cholangitis rather than the probability at a single ERCP for a dominant stricture, so the quoted 90% post-positive and 9% post-negative probabilities are both overstated for the clinical question</w:t>
            </w:r>
          </w:p>
          <w:p>
            <w:pPr>
              <w:pStyle w:val="ListParagraph"/>
              <w:numPr>
                <w:ilvl w:val="0"/>
                <w:numId w:val="2"/>
              </w:numPr>
              <w:spacing w:after="45"/>
            </w:pPr>
            <w:r>
              <w:rPr>
                <w:sz w:val="15"/>
                <w:szCs w:val="15"/>
              </w:rPr>
              <w:t xml:space="preserve">The Discussion concludes that even at low to moderate pre-test probability cholangioscopy should be the recommended confirmatory test, which is a stronger claim than a sensitivity interval of 35% to 87% supports and stronger than the authors' own finding that study quality drove that estimate's heterogeneity</w:t>
            </w:r>
          </w:p>
          <w:p>
            <w:pPr>
              <w:pStyle w:val="ListParagraph"/>
              <w:numPr>
                <w:ilvl w:val="0"/>
                <w:numId w:val="2"/>
              </w:numPr>
              <w:spacing w:after="45"/>
            </w:pPr>
            <w:r>
              <w:rPr>
                <w:sz w:val="15"/>
                <w:szCs w:val="15"/>
              </w:rPr>
              <w:t xml:space="preserve">QUADAS-2 is presented only as a grid of symbols with no per-domain tabulation in the text, while the Discussion states that a high risk of bias for the index test was present in a large proportion of studies</w:t>
            </w:r>
          </w:p>
          <w:p>
            <w:pPr>
              <w:pStyle w:val="ListParagraph"/>
              <w:numPr>
                <w:ilvl w:val="0"/>
                <w:numId w:val="2"/>
              </w:numPr>
              <w:spacing w:after="45"/>
            </w:pPr>
            <w:r>
              <w:rPr>
                <w:sz w:val="15"/>
                <w:szCs w:val="15"/>
              </w:rPr>
              <w:t xml:space="preserve">The modality the paper recommends is a single-use proprietary platform made by a company for which two of the authors consult, and no cost data were collected</w:t>
            </w:r>
          </w:p>
          <w:p>
            <w:pPr>
              <w:pStyle w:val="ListParagraph"/>
              <w:numPr>
                <w:ilvl w:val="0"/>
                <w:numId w:val="2"/>
              </w:numPr>
              <w:spacing w:after="45"/>
            </w:pPr>
            <w:r>
              <w:rPr>
                <w:sz w:val="15"/>
                <w:szCs w:val="15"/>
              </w:rPr>
              <w:t xml:space="preserve">Intraductal biopsy under fluoroscopic guidance, which both the ASGE and ESGE later recommend adding to brushing, was not evaluated, so the comparative-effectiveness claim does not cover the comparator those guidelines favour</w:t>
            </w:r>
          </w:p>
          <w:p>
            <w:pPr>
              <w:pStyle w:val="ListParagraph"/>
              <w:numPr>
                <w:ilvl w:val="0"/>
                <w:numId w:val="2"/>
              </w:numPr>
              <w:spacing w:after="45"/>
            </w:pPr>
            <w:r>
              <w:rPr>
                <w:sz w:val="15"/>
                <w:szCs w:val="15"/>
              </w:rPr>
              <w:t xml:space="preserve">No formal organisational guideline existed at the time and no screening strategy is recommended, which the paper notes without resolving</w:t>
            </w:r>
          </w:p>
          <w:p>
            <w:pPr>
              <w:pStyle w:val="ListParagraph"/>
              <w:numPr>
                <w:ilvl w:val="0"/>
                <w:numId w:val="2"/>
              </w:numPr>
              <w:spacing w:after="45"/>
            </w:pPr>
            <w:r>
              <w:rPr>
                <w:sz w:val="15"/>
                <w:szCs w:val="15"/>
              </w:rPr>
              <w:t xml:space="preserve">No linked editorial or comment was found in PubMed</w:t>
            </w:r>
          </w:p>
        </w:tc>
      </w:tr>
    </w:tbl>
    <w:p>
      <w:pPr>
        <w:spacing w:after="0" w:line="276"/>
      </w:pPr>
      <w:r>
        <w:rPr>
          <w:color w:val="5A6069"/>
          <w:sz w:val="14"/>
          <w:szCs w:val="14"/>
        </w:rPr>
        <w:t xml:space="preserve">Funding: B. Njei supported by NIH 5 T32 DK 7356-37; U. Navaneethan is a consultant for Janssen, AbbVie and Takeda and S. Varadarajulu for Boston Scientific and Olympus, the manufacturers of the cholangioscopy platforms that come out best, and the other authors declare no financial conflict</w:t>
      </w:r>
    </w:p>
    <w:p>
      <w:pPr>
        <w:keepNext/>
        <w:spacing w:after="50" w:before="260"/>
      </w:pPr>
      <w:r>
        <w:rPr>
          <w:rFonts w:ascii="Cambria" w:cs="Cambria" w:eastAsia="Cambria" w:hAnsi="Cambria"/>
          <w:b/>
          <w:bCs/>
          <w:color w:val="17365D"/>
          <w:sz w:val="20"/>
          <w:szCs w:val="20"/>
        </w:rPr>
        <w:t xml:space="preserve">PRODIGE-12</w:t>
      </w:r>
      <w:r>
        <w:rPr>
          <w:b/>
          <w:bCs/>
          <w:color w:val="176A87"/>
          <w:sz w:val="15"/>
          <w:szCs w:val="15"/>
        </w:rPr>
        <w:t xml:space="preserve">   Randomised trial</w:t>
      </w:r>
      <w:r>
        <w:rPr>
          <w:color w:val="5A6069"/>
          <w:sz w:val="15"/>
          <w:szCs w:val="15"/>
        </w:rPr>
        <w:t xml:space="preserve">   PMID 30707660</w:t>
      </w:r>
    </w:p>
    <w:p>
      <w:pPr>
        <w:spacing w:after="50" w:line="276"/>
      </w:pPr>
      <w:r>
        <w:rPr>
          <w:color w:val="5A6069"/>
          <w:sz w:val="17"/>
          <w:szCs w:val="17"/>
        </w:rPr>
        <w:t xml:space="preserve">Gemcitabine and Oxaliplatin Chemotherapy or Surveillance in Resected Biliary Tract Cancer (PRODIGE 12-ACCORD 18-UNICANCER GI): A Randomized Phase III Study</w:t>
      </w:r>
    </w:p>
    <w:p>
      <w:pPr>
        <w:spacing w:after="50"/>
      </w:pPr>
      <w:r>
        <w:rPr>
          <w:b/>
          <w:bCs/>
          <w:color w:val="176A87"/>
          <w:sz w:val="16"/>
          <w:szCs w:val="16"/>
        </w:rPr>
        <w:t xml:space="preserve">Population. </w:t>
      </w:r>
      <w:r>
        <w:rPr>
          <w:sz w:val="16"/>
          <w:szCs w:val="16"/>
        </w:rPr>
        <w:t xml:space="preserve">196 patients randomised at 33 French centres within 3 months of R0 or R1 resection of biliary tract cancer, 194 analysed by intention to treat after two consent withdrawals; 86 of 194 (44%) were intrahepatic cholangiocarcinoma, 28% distal, 8% perihilar and 20% gallbladder, with 13% R1 and 38% node-positive</w:t>
      </w:r>
    </w:p>
    <w:p>
      <w:pPr>
        <w:spacing w:after="70"/>
      </w:pPr>
      <w:r>
        <w:rPr>
          <w:b/>
          <w:bCs/>
          <w:color w:val="17365D"/>
          <w:sz w:val="16"/>
          <w:szCs w:val="16"/>
        </w:rPr>
        <w:t xml:space="preserve">Bottom line. </w:t>
      </w:r>
      <w:r>
        <w:rPr>
          <w:sz w:val="16"/>
          <w:szCs w:val="16"/>
        </w:rPr>
        <w:t xml:space="preserve">PRODIGE 12 is the negative adjuvant trial that removed gemcitabine-oxaliplatin from consideration after biliary resection: relapse-free survival HR 0.88 (0.62-1.25) with no quality-of-life benefit and overall survival numerically favouring surveillance. It does not establish that adjuvant therapy is useless, because it was powered for an HR of 0.60 in a low-risk population and the survival comparison is confounded by salvage chemotherapy given to 98% of surveillance relapses against 27% after GEMOX. Its 86 intrahepatic patients make it the most iCCA-weighted adjuvant trial available, with a subgroup interval of 0.431 to 1.196 that settles nothing.</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planned hazard ratio of 0.60 was ambitious and the trial may have been underpowered, with only 126 relapse-free survival events</w:t>
            </w:r>
          </w:p>
          <w:p>
            <w:pPr>
              <w:pStyle w:val="ListParagraph"/>
              <w:numPr>
                <w:ilvl w:val="0"/>
                <w:numId w:val="2"/>
              </w:numPr>
              <w:spacing w:after="45"/>
            </w:pPr>
            <w:r>
              <w:rPr>
                <w:sz w:val="15"/>
                <w:szCs w:val="15"/>
              </w:rPr>
              <w:t xml:space="preserve">The median relapse-free survival fell on a plateau where the curves separate most, so the median is less representative of the true difference than the hazard ratio</w:t>
            </w:r>
          </w:p>
          <w:p>
            <w:pPr>
              <w:pStyle w:val="ListParagraph"/>
              <w:numPr>
                <w:ilvl w:val="0"/>
                <w:numId w:val="2"/>
              </w:numPr>
              <w:spacing w:after="45"/>
            </w:pPr>
            <w:r>
              <w:rPr>
                <w:sz w:val="15"/>
                <w:szCs w:val="15"/>
              </w:rPr>
              <w:t xml:space="preserve">No trend toward an overall survival benefit was seen, with a hazard ratio above 1, and the overall survival medians are likewise unrepresentative because of a plateau at the median</w:t>
            </w:r>
          </w:p>
          <w:p>
            <w:pPr>
              <w:pStyle w:val="ListParagraph"/>
              <w:numPr>
                <w:ilvl w:val="0"/>
                <w:numId w:val="2"/>
              </w:numPr>
              <w:spacing w:after="45"/>
            </w:pPr>
            <w:r>
              <w:rPr>
                <w:sz w:val="15"/>
                <w:szCs w:val="15"/>
              </w:rPr>
              <w:t xml:space="preserve">Chemotherapy given after relapse differed between the arms and may partly explain the discrepancy between a relapse-free survival trend and no overall survival benefit, supported by the trend toward lower post-relapse survival in the GEMOX arm</w:t>
            </w:r>
          </w:p>
          <w:p>
            <w:pPr>
              <w:pStyle w:val="ListParagraph"/>
              <w:numPr>
                <w:ilvl w:val="0"/>
                <w:numId w:val="2"/>
              </w:numPr>
              <w:spacing w:after="45"/>
            </w:pPr>
            <w:r>
              <w:rPr>
                <w:sz w:val="15"/>
                <w:szCs w:val="15"/>
              </w:rPr>
              <w:t xml:space="preserve">Other unknown factors might also explain the absence of an overall survival benefit</w:t>
            </w:r>
          </w:p>
          <w:p>
            <w:pPr>
              <w:pStyle w:val="ListParagraph"/>
              <w:numPr>
                <w:ilvl w:val="0"/>
                <w:numId w:val="2"/>
              </w:numPr>
              <w:spacing w:after="45"/>
            </w:pPr>
            <w:r>
              <w:rPr>
                <w:sz w:val="15"/>
                <w:szCs w:val="15"/>
              </w:rPr>
              <w:t xml:space="preserve">The authors treat the apparent harm in the gallbladder subgroup as a possible chance finding in a small group</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This is a negative trial on both co-primary endpoints: relapse-free survival HR 0.88 (0.62-1.25), P = .48, and time to definitive quality-of-life deterioration HR 1.28 (0.73-2.26), P = .39, and overall survival pointed the wrong way at HR 1.08 (0.70-1.66)</w:t>
            </w:r>
          </w:p>
          <w:p>
            <w:pPr>
              <w:pStyle w:val="ListParagraph"/>
              <w:numPr>
                <w:ilvl w:val="0"/>
                <w:numId w:val="2"/>
              </w:numPr>
              <w:spacing w:after="45"/>
            </w:pPr>
            <w:r>
              <w:rPr>
                <w:sz w:val="15"/>
                <w:szCs w:val="15"/>
              </w:rPr>
              <w:t xml:space="preserve">Post-relapse chemotherapy was grossly unbalanced, with 40 of 41 surveillance relapses receiving gemcitabine-based salvage against 9 of 33 after adjuvant GEMOX, so the overall survival comparison is between a group that got effective salvage and a group that largely did not; this is a design consequence of using the same drug class in the adjuvant arm</w:t>
            </w:r>
          </w:p>
          <w:p>
            <w:pPr>
              <w:pStyle w:val="ListParagraph"/>
              <w:numPr>
                <w:ilvl w:val="0"/>
                <w:numId w:val="2"/>
              </w:numPr>
              <w:spacing w:after="45"/>
            </w:pPr>
            <w:r>
              <w:rPr>
                <w:sz w:val="15"/>
                <w:szCs w:val="15"/>
              </w:rPr>
              <w:t xml:space="preserve">The iCCA subgroup of 86 patients, the largest primary site and the one this record is used for, has a relapse-free survival hazard ratio of 0.718 (0.431-1.196) and no overall survival estimate highlighted; the interval is wide enough to contain both a worthwhile benefit and harm</w:t>
            </w:r>
          </w:p>
          <w:p>
            <w:pPr>
              <w:pStyle w:val="ListParagraph"/>
              <w:numPr>
                <w:ilvl w:val="0"/>
                <w:numId w:val="2"/>
              </w:numPr>
              <w:spacing w:after="45"/>
            </w:pPr>
            <w:r>
              <w:rPr>
                <w:sz w:val="15"/>
                <w:szCs w:val="15"/>
              </w:rPr>
              <w:t xml:space="preserve">The gallbladder subgroup of 38 patients shows significant harm on both endpoints, relapse-free HR 2.559 (1.037-6.318) and overall survival HR 3.390 (1.169-9.830), reported without multiplicity adjustment across four primary sites, so it is as likely to be noise as the favourable iCCA point estimate is</w:t>
            </w:r>
          </w:p>
          <w:p>
            <w:pPr>
              <w:pStyle w:val="ListParagraph"/>
              <w:numPr>
                <w:ilvl w:val="0"/>
                <w:numId w:val="2"/>
              </w:numPr>
              <w:spacing w:after="45"/>
            </w:pPr>
            <w:r>
              <w:rPr>
                <w:sz w:val="15"/>
                <w:szCs w:val="15"/>
              </w:rPr>
              <w:t xml:space="preserve">The population is substantially lower risk than BILCAP's, 13% against 38% R1 and 38% against 47% node-positive, so the trial was a test of adjuvant therapy in patients with less residual disease to treat</w:t>
            </w:r>
          </w:p>
          <w:p>
            <w:pPr>
              <w:pStyle w:val="ListParagraph"/>
              <w:numPr>
                <w:ilvl w:val="0"/>
                <w:numId w:val="2"/>
              </w:numPr>
              <w:spacing w:after="45"/>
            </w:pPr>
            <w:r>
              <w:rPr>
                <w:sz w:val="15"/>
                <w:szCs w:val="15"/>
              </w:rPr>
              <w:t xml:space="preserve">Toxicity was severe and asymmetric, grade 3 events in 62% against 18% and grade 3 sensory neuropathy in 18%, with no benefit on either co-primary endpoint, so the trial delivered measurable harm for no measurable gain</w:t>
            </w:r>
          </w:p>
          <w:p>
            <w:pPr>
              <w:pStyle w:val="ListParagraph"/>
              <w:numPr>
                <w:ilvl w:val="0"/>
                <w:numId w:val="2"/>
              </w:numPr>
              <w:spacing w:after="45"/>
            </w:pPr>
            <w:r>
              <w:rPr>
                <w:sz w:val="15"/>
                <w:szCs w:val="15"/>
              </w:rPr>
              <w:t xml:space="preserve">The trial was open-label with surveillance as the comparator, and the quality-of-life co-primary endpoint was collected by questionnaire from unblinded patients who knew whether they were receiving chemotherapy</w:t>
            </w:r>
          </w:p>
          <w:p>
            <w:pPr>
              <w:pStyle w:val="ListParagraph"/>
              <w:numPr>
                <w:ilvl w:val="0"/>
                <w:numId w:val="2"/>
              </w:numPr>
              <w:spacing w:after="45"/>
            </w:pPr>
            <w:r>
              <w:rPr>
                <w:sz w:val="15"/>
                <w:szCs w:val="15"/>
              </w:rPr>
              <w:t xml:space="preserve">Four primary sites with different biology were pooled for feasibility and the trial was minimised but not powered by site, so neither the negative overall result nor any subgroup can be attributed to a particular tumour type</w:t>
            </w:r>
          </w:p>
          <w:p>
            <w:pPr>
              <w:pStyle w:val="ListParagraph"/>
              <w:numPr>
                <w:ilvl w:val="0"/>
                <w:numId w:val="2"/>
              </w:numPr>
              <w:spacing w:after="45"/>
            </w:pPr>
            <w:r>
              <w:rPr>
                <w:sz w:val="15"/>
                <w:szCs w:val="15"/>
              </w:rPr>
              <w:t xml:space="preserve">Multivariable predictors of relapse (R1, node-positive, microvascular invasion, CA 19-9 of 37 U/mL or more) are reported from the trial population as if prognostic findings, with no adjustment for the treatment arm interaction and no validation</w:t>
            </w:r>
          </w:p>
          <w:p>
            <w:pPr>
              <w:pStyle w:val="ListParagraph"/>
              <w:numPr>
                <w:ilvl w:val="0"/>
                <w:numId w:val="2"/>
              </w:numPr>
              <w:spacing w:after="45"/>
            </w:pPr>
            <w:r>
              <w:rPr>
                <w:sz w:val="15"/>
                <w:szCs w:val="15"/>
              </w:rPr>
              <w:t xml:space="preserve">No formal non-inferiority or futility boundary was prespecified, so a trial that cannot exclude an HR of 0.62 is reported as showing no benefit; the correct reading is that the question remains open for GEMOX at smaller effect sizes</w:t>
            </w:r>
          </w:p>
          <w:p>
            <w:pPr>
              <w:pStyle w:val="ListParagraph"/>
              <w:numPr>
                <w:ilvl w:val="0"/>
                <w:numId w:val="2"/>
              </w:numPr>
              <w:spacing w:after="45"/>
            </w:pPr>
            <w:r>
              <w:rPr>
                <w:sz w:val="15"/>
                <w:szCs w:val="15"/>
              </w:rPr>
              <w:t xml:space="preserve">No linked editorial or comment was found in PubMed, and the author disclosures are available only in a separate file at the DOI rather than printed with the paper</w:t>
            </w:r>
          </w:p>
        </w:tc>
      </w:tr>
    </w:tbl>
    <w:p>
      <w:pPr>
        <w:spacing w:after="0" w:line="276"/>
      </w:pPr>
      <w:r>
        <w:rPr>
          <w:color w:val="5A6069"/>
          <w:sz w:val="14"/>
          <w:szCs w:val="14"/>
        </w:rPr>
        <w:t xml:space="preserve">Funding: Supported by Programme Hospitalier de Recherche Clinique (PHRC 2009) and the Ligue Nationale Contre le Cancer, with no industry funding; most authors declare pharmaceutical consultancies in the separately posted disclosure file</w:t>
      </w:r>
    </w:p>
    <w:p>
      <w:pPr>
        <w:keepNext/>
        <w:spacing w:after="50" w:before="260"/>
      </w:pPr>
      <w:r>
        <w:rPr>
          <w:rFonts w:ascii="Cambria" w:cs="Cambria" w:eastAsia="Cambria" w:hAnsi="Cambria"/>
          <w:b/>
          <w:bCs/>
          <w:color w:val="17365D"/>
          <w:sz w:val="20"/>
          <w:szCs w:val="20"/>
        </w:rPr>
        <w:t xml:space="preserve">Rea 2005</w:t>
      </w:r>
      <w:r>
        <w:rPr>
          <w:b/>
          <w:bCs/>
          <w:color w:val="176A87"/>
          <w:sz w:val="15"/>
          <w:szCs w:val="15"/>
        </w:rPr>
        <w:t xml:space="preserve">   cohort</w:t>
      </w:r>
      <w:r>
        <w:rPr>
          <w:color w:val="5A6069"/>
          <w:sz w:val="15"/>
          <w:szCs w:val="15"/>
        </w:rPr>
        <w:t xml:space="preserve">   PMID 16135931</w:t>
      </w:r>
    </w:p>
    <w:p>
      <w:pPr>
        <w:spacing w:after="50" w:line="276"/>
      </w:pPr>
      <w:r>
        <w:rPr>
          <w:color w:val="5A6069"/>
          <w:sz w:val="17"/>
          <w:szCs w:val="17"/>
        </w:rPr>
        <w:t xml:space="preserve">Liver transplantation with neoadjuvant chemoradiation is more effective than resection for hilar cholangiocarcinoma</w:t>
      </w:r>
    </w:p>
    <w:p>
      <w:pPr>
        <w:spacing w:after="50"/>
      </w:pPr>
      <w:r>
        <w:rPr>
          <w:b/>
          <w:bCs/>
          <w:color w:val="176A87"/>
          <w:sz w:val="16"/>
          <w:szCs w:val="16"/>
        </w:rPr>
        <w:t xml:space="preserve">Population. </w:t>
      </w:r>
      <w:r>
        <w:rPr>
          <w:sz w:val="16"/>
          <w:szCs w:val="16"/>
        </w:rPr>
        <w:t xml:space="preserve">71 patients with unresectable hilar cholangiocarcinoma or cholangiocarcinoma arising in primary sclerosing cholangitis enrolled in the Mayo neoadjuvant chemoradiation and transplant protocol between January 1993 and August 2004, of whom 38 were transplanted, compared with 54 patients explored for potentially curative resection over the same period, of whom 26 were resected</w:t>
      </w:r>
    </w:p>
    <w:p>
      <w:pPr>
        <w:spacing w:after="70"/>
      </w:pPr>
      <w:r>
        <w:rPr>
          <w:b/>
          <w:bCs/>
          <w:color w:val="17365D"/>
          <w:sz w:val="16"/>
          <w:szCs w:val="16"/>
        </w:rPr>
        <w:t xml:space="preserve">Bottom line. </w:t>
      </w:r>
      <w:r>
        <w:rPr>
          <w:sz w:val="16"/>
          <w:szCs w:val="16"/>
        </w:rPr>
        <w:t xml:space="preserve">This is the Mayo single-centre report that put neoadjuvant chemoradiation followed by transplantation on the map, with 82% 5-year survival after transplantation against 21% after resection. The two figures are not comparable: by protocol no transplant patient was resectable and every recipient was proved node-negative at staging laparotomy, while 31% of resections were node-positive and 12% margin-positive, and the transplant curve starts at transplantation although 33 of 71 enrolled patients never got there, so from the start of treatment the comparison is 58% against about 21%. The defensible claim is what the protocol achieves in a selected, node-negative, mostly PSC population, in which 16 of 38 explants held no residual tumour and 8 recipients had no tissue proof of cancer.</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No limitations section; the authors state 'We acknowledge difficulties in comparing results between the resection and transplant groups' and then set out the selection asymmetry: the transplant group was significantly younger with higher rates of primary sclerosing cholangitis and inflammatory bowel disease, by protocol design no transplant recipient had regional nodal metastases, medical selection criteria were more stringent for transplantation while tumour selection criteria were less stringent, and none of the transplant patients was a candidate for resection</w:t>
            </w:r>
          </w:p>
          <w:p>
            <w:pPr>
              <w:pStyle w:val="ListParagraph"/>
              <w:numPr>
                <w:ilvl w:val="0"/>
                <w:numId w:val="2"/>
              </w:numPr>
              <w:spacing w:after="45"/>
            </w:pPr>
            <w:r>
              <w:rPr>
                <w:sz w:val="15"/>
                <w:szCs w:val="15"/>
              </w:rPr>
              <w:t xml:space="preserve">Rosen concedes in the published discussion that the age difference between the groups is difficult to correct for, and that removing the patients with sclerosing cholangitis only partly corrects for it</w:t>
            </w:r>
          </w:p>
          <w:p>
            <w:pPr>
              <w:pStyle w:val="ListParagraph"/>
              <w:numPr>
                <w:ilvl w:val="0"/>
                <w:numId w:val="2"/>
              </w:numPr>
              <w:spacing w:after="45"/>
            </w:pPr>
            <w:r>
              <w:rPr>
                <w:sz w:val="15"/>
                <w:szCs w:val="15"/>
              </w:rPr>
              <w:t xml:space="preserve">Eight of the 38 recipients had no histological or cytological confirmation of carcinoma before neoadjuvant therapy; the authors note that one might be sceptical of those diagnoses and report that omitting them changes 5-year survival from 82% to 80%</w:t>
            </w:r>
          </w:p>
          <w:p>
            <w:pPr>
              <w:pStyle w:val="ListParagraph"/>
              <w:numPr>
                <w:ilvl w:val="0"/>
                <w:numId w:val="2"/>
              </w:numPr>
              <w:spacing w:after="45"/>
            </w:pPr>
            <w:r>
              <w:rPr>
                <w:sz w:val="15"/>
                <w:szCs w:val="15"/>
              </w:rPr>
              <w:t xml:space="preserve">The change in the timing of staging laparotomy in 2002, from near the time of transplantation to immediately after brachytherapy, may lower the yield of staging and allow disease progression to go undetected, leading to more recurrence after transplantation, which the authors state as an explicit concern</w:t>
            </w:r>
          </w:p>
          <w:p>
            <w:pPr>
              <w:pStyle w:val="ListParagraph"/>
              <w:numPr>
                <w:ilvl w:val="0"/>
                <w:numId w:val="2"/>
              </w:numPr>
              <w:spacing w:after="45"/>
            </w:pPr>
            <w:r>
              <w:rPr>
                <w:sz w:val="15"/>
                <w:szCs w:val="15"/>
              </w:rPr>
              <w:t xml:space="preserve">The most serious disadvantage of the protocol is the limitation of donor organ availability</w:t>
            </w:r>
          </w:p>
          <w:p>
            <w:pPr>
              <w:pStyle w:val="ListParagraph"/>
              <w:numPr>
                <w:ilvl w:val="0"/>
                <w:numId w:val="2"/>
              </w:numPr>
              <w:spacing w:after="45"/>
            </w:pPr>
            <w:r>
              <w:rPr>
                <w:sz w:val="15"/>
                <w:szCs w:val="15"/>
              </w:rPr>
              <w:t xml:space="preserve">The appealed MELD score of 20 was, in Rosen's own words in the discussion, an arbitrary decision agreed locally with the only other liver programme in the organ procurement organisation, and neither the correct starting point nor the correct increment is known</w:t>
            </w:r>
          </w:p>
          <w:p>
            <w:pPr>
              <w:pStyle w:val="ListParagraph"/>
              <w:numPr>
                <w:ilvl w:val="0"/>
                <w:numId w:val="2"/>
              </w:numPr>
              <w:spacing w:after="45"/>
            </w:pPr>
            <w:r>
              <w:rPr>
                <w:sz w:val="15"/>
                <w:szCs w:val="15"/>
              </w:rPr>
              <w:t xml:space="preserve">Transplantation becomes technically more difficult the longer a patient waits after neoadjuvant therapy and staging, with portal vein stenosis and friable tissues attributed to the radiation</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two survival curves start at different points. The 82% figure is survival from transplantation among the 38 who survived neoadjuvant therapy, staging and the waiting list, while 33 of the 71 enrolled never reached transplantation; the 21% figure is survival from operation among the 26 of 54 resected. From the start of treatment the comparison is 58% against about 21%, and Figure 1 is the only near-intention-to-treat comparison the paper offers</w:t>
            </w:r>
          </w:p>
          <w:p>
            <w:pPr>
              <w:pStyle w:val="ListParagraph"/>
              <w:numPr>
                <w:ilvl w:val="0"/>
                <w:numId w:val="2"/>
              </w:numPr>
              <w:spacing w:after="45"/>
            </w:pPr>
            <w:r>
              <w:rPr>
                <w:sz w:val="15"/>
                <w:szCs w:val="15"/>
              </w:rPr>
              <w:t xml:space="preserve">The best-selected resection subgroup did worse, not better: the node-negative margin-negative resections had 5-year survival of 18% against 21% for the whole resection group, which undercuts the argument that nodal and margin selection explains the gap</w:t>
            </w:r>
          </w:p>
          <w:p>
            <w:pPr>
              <w:pStyle w:val="ListParagraph"/>
              <w:numPr>
                <w:ilvl w:val="0"/>
                <w:numId w:val="2"/>
              </w:numPr>
              <w:spacing w:after="45"/>
            </w:pPr>
            <w:r>
              <w:rPr>
                <w:sz w:val="15"/>
                <w:szCs w:val="15"/>
              </w:rPr>
              <w:t xml:space="preserve">No statistical adjustment of any kind is attempted. The comparison is a log-rank test on unmatched groups differing by 15 years of mean age, by aetiology (22 of 38 transplant recipients had primary sclerosing cholangitis against 2 of 26 resections) and by protocol-mandated nodal status</w:t>
            </w:r>
          </w:p>
          <w:p>
            <w:pPr>
              <w:pStyle w:val="ListParagraph"/>
              <w:numPr>
                <w:ilvl w:val="0"/>
                <w:numId w:val="2"/>
              </w:numPr>
              <w:spacing w:after="45"/>
            </w:pPr>
            <w:r>
              <w:rPr>
                <w:sz w:val="15"/>
                <w:szCs w:val="15"/>
              </w:rPr>
              <w:t xml:space="preserve">Protocol exclusions make the groups non-exchangeable by construction: prior attempted resection or operative biopsy of the tumour barred a patient from the transplant arm, so patients who had been explored are structurally in the resection group</w:t>
            </w:r>
          </w:p>
          <w:p>
            <w:pPr>
              <w:pStyle w:val="ListParagraph"/>
              <w:numPr>
                <w:ilvl w:val="0"/>
                <w:numId w:val="2"/>
              </w:numPr>
              <w:spacing w:after="45"/>
            </w:pPr>
            <w:r>
              <w:rPr>
                <w:sz w:val="15"/>
                <w:szCs w:val="15"/>
              </w:rPr>
              <w:t xml:space="preserve">Five of the 71 protocol patients (7%) died during neoadjuvant therapy, four of sepsis and one of pulmonary embolism, and four more progressed beyond transplant criteria; none of this treatment-related mortality appears in the post-transplant curve that carries the paper's claim</w:t>
            </w:r>
          </w:p>
          <w:p>
            <w:pPr>
              <w:pStyle w:val="ListParagraph"/>
              <w:numPr>
                <w:ilvl w:val="0"/>
                <w:numId w:val="2"/>
              </w:numPr>
              <w:spacing w:after="45"/>
            </w:pPr>
            <w:r>
              <w:rPr>
                <w:sz w:val="15"/>
                <w:szCs w:val="15"/>
              </w:rPr>
              <w:t xml:space="preserve">Internal inconsistencies are not reconciled: the Results state that 8 of the 16 explants without residual tumour had unequivocal preoperative confirmation while the Discussion states 9 and refers to 'the other 7'; the node-negative margin-negative resection group is 15 patients in the Results and 16 in the Discussion and Figure 4; and 5-year survival after resection is 21% in the abstract and 20% in the Discussion</w:t>
            </w:r>
          </w:p>
          <w:p>
            <w:pPr>
              <w:pStyle w:val="ListParagraph"/>
              <w:numPr>
                <w:ilvl w:val="0"/>
                <w:numId w:val="2"/>
              </w:numPr>
              <w:spacing w:after="45"/>
            </w:pPr>
            <w:r>
              <w:rPr>
                <w:sz w:val="15"/>
                <w:szCs w:val="15"/>
              </w:rPr>
              <w:t xml:space="preserve">Sixteen of 38 explants (42%) contained no residual tumour, and from 2003 a CA 19-9 above 100 or digital image analysis or FISH aneuploidy alone sufficed for enrolment, so some transplanted patients may never have had cancer; Roberts raised exactly this point in the published discussion</w:t>
            </w:r>
          </w:p>
          <w:p>
            <w:pPr>
              <w:pStyle w:val="ListParagraph"/>
              <w:numPr>
                <w:ilvl w:val="0"/>
                <w:numId w:val="2"/>
              </w:numPr>
              <w:spacing w:after="45"/>
            </w:pPr>
            <w:r>
              <w:rPr>
                <w:sz w:val="15"/>
                <w:szCs w:val="15"/>
              </w:rPr>
              <w:t xml:space="preserve">Recurrence is compared as crude percentages, 13% against 27%, and mean time to recurrence as 40 against 21 months, although the transplant group's clock starts later and the follow-up durations of the two groups are never compared</w:t>
            </w:r>
          </w:p>
          <w:p>
            <w:pPr>
              <w:pStyle w:val="ListParagraph"/>
              <w:numPr>
                <w:ilvl w:val="0"/>
                <w:numId w:val="2"/>
              </w:numPr>
              <w:spacing w:after="45"/>
            </w:pPr>
            <w:r>
              <w:rPr>
                <w:sz w:val="15"/>
                <w:szCs w:val="15"/>
              </w:rPr>
              <w:t xml:space="preserve">At censoring one patient awaited staging and nine awaited transplantation; all are inside the 71-patient denominator of the intention-to-treat curve with minimal follow-up, and no numbers at risk appear on any figure</w:t>
            </w:r>
          </w:p>
          <w:p>
            <w:pPr>
              <w:pStyle w:val="ListParagraph"/>
              <w:numPr>
                <w:ilvl w:val="0"/>
                <w:numId w:val="2"/>
              </w:numPr>
              <w:spacing w:after="45"/>
            </w:pPr>
            <w:r>
              <w:rPr>
                <w:sz w:val="15"/>
                <w:szCs w:val="15"/>
              </w:rPr>
              <w:t xml:space="preserve">The comparator operation is not maximal by the paper's own standards: left hepatectomy in 13 of 26, extended right hepatectomy in only 1, and caudate resection in only 10 of 26 (38%), against the Neuhaus series quoted in the Discussion reporting 72% 5-year survival after margin-negative right trisegmentectomy with portal vein resection</w:t>
            </w:r>
          </w:p>
          <w:p>
            <w:pPr>
              <w:pStyle w:val="ListParagraph"/>
              <w:numPr>
                <w:ilvl w:val="0"/>
                <w:numId w:val="2"/>
              </w:numPr>
              <w:spacing w:after="45"/>
            </w:pPr>
            <w:r>
              <w:rPr>
                <w:sz w:val="15"/>
                <w:szCs w:val="15"/>
              </w:rPr>
              <w:t xml:space="preserve">Thirty-day mortality after resection was 12% (3 of 26), and Wall observes in the discussion that recurrence after resection was only about 30% while 5-year survival was 20%, implying that non-cancer deaths drive much of the difference</w:t>
            </w:r>
          </w:p>
          <w:p>
            <w:pPr>
              <w:pStyle w:val="ListParagraph"/>
              <w:numPr>
                <w:ilvl w:val="0"/>
                <w:numId w:val="2"/>
              </w:numPr>
              <w:spacing w:after="45"/>
            </w:pPr>
            <w:r>
              <w:rPr>
                <w:sz w:val="15"/>
                <w:szCs w:val="15"/>
              </w:rPr>
              <w:t xml:space="preserve">Seven living donor grafts were used and two of the three surgical deaths in the transplant arm followed living donor transplantation, yet no donor morbidity or mortality is reported and the organ cost of 38 grafts for 71 enrolled patients is never discussed</w:t>
            </w:r>
          </w:p>
          <w:p>
            <w:pPr>
              <w:pStyle w:val="ListParagraph"/>
              <w:numPr>
                <w:ilvl w:val="0"/>
                <w:numId w:val="2"/>
              </w:numPr>
              <w:spacing w:after="45"/>
            </w:pPr>
            <w:r>
              <w:rPr>
                <w:sz w:val="15"/>
                <w:szCs w:val="15"/>
              </w:rPr>
              <w:t xml:space="preserve">Twenty-three percent of patients taken to staging had findings precluding transplantation, but that yield is not stable across the study: before 2002 staging was done near the time of transplantation and nearly 40% of early patients had positive findings, while after the 2002 change very few did, so the single 23% figure spans two different practices</w:t>
            </w:r>
          </w:p>
          <w:p>
            <w:pPr>
              <w:pStyle w:val="ListParagraph"/>
              <w:numPr>
                <w:ilvl w:val="0"/>
                <w:numId w:val="2"/>
              </w:numPr>
              <w:spacing w:after="45"/>
            </w:pPr>
            <w:r>
              <w:rPr>
                <w:sz w:val="15"/>
                <w:szCs w:val="15"/>
              </w:rPr>
              <w:t xml:space="preserve">The CA 19-9 diagnostic criterion is reported in ng/mL rather than U/mL throughout</w:t>
            </w:r>
          </w:p>
          <w:p>
            <w:pPr>
              <w:pStyle w:val="ListParagraph"/>
              <w:numPr>
                <w:ilvl w:val="0"/>
                <w:numId w:val="2"/>
              </w:numPr>
              <w:spacing w:after="45"/>
            </w:pPr>
            <w:r>
              <w:rPr>
                <w:sz w:val="15"/>
                <w:szCs w:val="15"/>
              </w:rPr>
              <w:t xml:space="preserve">The published discussion (Ann Surg 2005;242:458-61) records the substantive objections: Roberts on diagnostic certainty in primary sclerosing cholangitis and on explant pathology, Shaw on the limited selection and the radiation dose, Wall on non-cancer mortality in the resected group, and Jenkins on how to counsel a non-PSC patient when the transplant results are set against resection results that every centre achieves</w:t>
            </w:r>
          </w:p>
          <w:p>
            <w:pPr>
              <w:pStyle w:val="ListParagraph"/>
              <w:numPr>
                <w:ilvl w:val="0"/>
                <w:numId w:val="2"/>
              </w:numPr>
              <w:spacing w:after="45"/>
            </w:pPr>
            <w:r>
              <w:rPr>
                <w:sz w:val="15"/>
                <w:szCs w:val="15"/>
              </w:rPr>
              <w:t xml:space="preserve">No linked editorial or comment was found in PubMed</w:t>
            </w:r>
          </w:p>
        </w:tc>
      </w:tr>
    </w:tbl>
    <w:p>
      <w:pPr>
        <w:spacing w:after="0" w:line="276"/>
      </w:pPr>
      <w:r>
        <w:rPr>
          <w:color w:val="5A6069"/>
          <w:sz w:val="14"/>
          <w:szCs w:val="14"/>
        </w:rPr>
        <w:t xml:space="preserve">Funding: No funding statement and no declaration of interests anywhere in the paper or the published discussion</w:t>
      </w:r>
    </w:p>
    <w:p>
      <w:pPr>
        <w:keepNext/>
        <w:spacing w:after="50" w:before="260"/>
      </w:pPr>
      <w:r>
        <w:rPr>
          <w:rFonts w:ascii="Cambria" w:cs="Cambria" w:eastAsia="Cambria" w:hAnsi="Cambria"/>
          <w:b/>
          <w:bCs/>
          <w:color w:val="17365D"/>
          <w:sz w:val="20"/>
          <w:szCs w:val="20"/>
        </w:rPr>
        <w:t xml:space="preserve">ROAR</w:t>
      </w:r>
      <w:r>
        <w:rPr>
          <w:b/>
          <w:bCs/>
          <w:color w:val="176A87"/>
          <w:sz w:val="15"/>
          <w:szCs w:val="15"/>
        </w:rPr>
        <w:t xml:space="preserve">   Prospective trial</w:t>
      </w:r>
      <w:r>
        <w:rPr>
          <w:color w:val="5A6069"/>
          <w:sz w:val="15"/>
          <w:szCs w:val="15"/>
        </w:rPr>
        <w:t xml:space="preserve">   PMID 32818466</w:t>
      </w:r>
    </w:p>
    <w:p>
      <w:pPr>
        <w:spacing w:after="50" w:line="276"/>
      </w:pPr>
      <w:r>
        <w:rPr>
          <w:color w:val="5A6069"/>
          <w:sz w:val="17"/>
          <w:szCs w:val="17"/>
        </w:rPr>
        <w:t xml:space="preserve">Dabrafenib plus trametinib in patients with BRAF-V600E-mutated biliary tract cancer (ROAR): a phase 2, open-label, single-arm, multicentre basket trial</w:t>
      </w:r>
    </w:p>
    <w:p>
      <w:pPr>
        <w:spacing w:after="50"/>
      </w:pPr>
      <w:r>
        <w:rPr>
          <w:b/>
          <w:bCs/>
          <w:color w:val="176A87"/>
          <w:sz w:val="16"/>
          <w:szCs w:val="16"/>
        </w:rPr>
        <w:t xml:space="preserve">Population. </w:t>
      </w:r>
      <w:r>
        <w:rPr>
          <w:sz w:val="16"/>
          <w:szCs w:val="16"/>
        </w:rPr>
        <w:t xml:space="preserve">43 patients with BRAF V600E-mutated biliary tract cancer previously treated with gemcitabine-based chemotherapy, enrolled at 19 sites in nine countries between March 2014 and July 2018 from 626 locally prescreened patients in whom 57 BRAF V600E mutations were found; 39 of 43 (91%) had intrahepatic cholangiocarcinoma and the mutation was centrally confirmed in 39 of 43</w:t>
      </w:r>
    </w:p>
    <w:p>
      <w:pPr>
        <w:spacing w:after="70"/>
      </w:pPr>
      <w:r>
        <w:rPr>
          <w:b/>
          <w:bCs/>
          <w:color w:val="17365D"/>
          <w:sz w:val="16"/>
          <w:szCs w:val="16"/>
        </w:rPr>
        <w:t xml:space="preserve">Bottom line. </w:t>
      </w:r>
      <w:r>
        <w:rPr>
          <w:sz w:val="16"/>
          <w:szCs w:val="16"/>
        </w:rPr>
        <w:t xml:space="preserve">ROAR showed that dabrafenib plus trametinib produces responses in roughly half of patients with BRAF V600E biliary tract cancer, a cohort that is 91% intrahepatic, with median progression-free survival of 9 months. It is a single-arm interim analysis with no comparator, an investigator-assessed primary endpoint that central review scored lower, and only 8% of patients progression-free at 24 months. BRAF V600E was found in 9% here only because sites entered patients already known to carry it; in practice the yield is lower, and jaundiced patients were excluded.</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trial is not randomised, which the authors call an obvious limitation, defended on the grounds that a randomised trial in a disease this rare is difficult to design</w:t>
            </w:r>
          </w:p>
          <w:p>
            <w:pPr>
              <w:pStyle w:val="ListParagraph"/>
              <w:numPr>
                <w:ilvl w:val="0"/>
                <w:numId w:val="2"/>
              </w:numPr>
              <w:spacing w:after="45"/>
            </w:pPr>
            <w:r>
              <w:rPr>
                <w:sz w:val="15"/>
                <w:szCs w:val="15"/>
              </w:rPr>
              <w:t xml:space="preserve">The prescreening population probably already contained patients with known BRAF V600E status because several sites test locally, so the 9% mutation rate is higher than published reports</w:t>
            </w:r>
          </w:p>
          <w:p>
            <w:pPr>
              <w:pStyle w:val="ListParagraph"/>
              <w:numPr>
                <w:ilvl w:val="0"/>
                <w:numId w:val="2"/>
              </w:numPr>
              <w:spacing w:after="45"/>
            </w:pPr>
            <w:r>
              <w:rPr>
                <w:sz w:val="15"/>
                <w:szCs w:val="15"/>
              </w:rPr>
              <w:t xml:space="preserve">Central confirmation of histology was not in the protocol, so similar histological subtypes appear under different names in the baseline table according to investigator entry</w:t>
            </w:r>
          </w:p>
          <w:p>
            <w:pPr>
              <w:pStyle w:val="ListParagraph"/>
              <w:numPr>
                <w:ilvl w:val="0"/>
                <w:numId w:val="2"/>
              </w:numPr>
              <w:spacing w:after="45"/>
            </w:pPr>
            <w:r>
              <w:rPr>
                <w:sz w:val="15"/>
                <w:szCs w:val="15"/>
              </w:rPr>
              <w:t xml:space="preserve">The study database was not designed to capture previous or subsequent chemotherapy as regimens, only as individual drugs</w:t>
            </w:r>
          </w:p>
          <w:p>
            <w:pPr>
              <w:pStyle w:val="ListParagraph"/>
              <w:numPr>
                <w:ilvl w:val="0"/>
                <w:numId w:val="2"/>
              </w:numPr>
              <w:spacing w:after="45"/>
            </w:pPr>
            <w:r>
              <w:rPr>
                <w:sz w:val="15"/>
                <w:szCs w:val="15"/>
              </w:rPr>
              <w:t xml:space="preserve">The published figures are interim results from a trial that remained active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With no control arm, the 51% response rate cannot be turned into a survival benefit, and the comparisons offered in the discussion, ivosidenib 2%, selumetinib 12%, pembrolizumab 6% and FOLFOX median survival of 6 months in ABC-06, are all drawn from other trials with different populations</w:t>
            </w:r>
          </w:p>
          <w:p>
            <w:pPr>
              <w:pStyle w:val="ListParagraph"/>
              <w:numPr>
                <w:ilvl w:val="0"/>
                <w:numId w:val="2"/>
              </w:numPr>
              <w:spacing w:after="45"/>
            </w:pPr>
            <w:r>
              <w:rPr>
                <w:sz w:val="15"/>
                <w:szCs w:val="15"/>
              </w:rPr>
              <w:t xml:space="preserve">The headline response rate is investigator-assessed at 51% while independent central review gave 47% with no complete responses, and the paper leads with the investigator figure</w:t>
            </w:r>
          </w:p>
          <w:p>
            <w:pPr>
              <w:pStyle w:val="ListParagraph"/>
              <w:numPr>
                <w:ilvl w:val="0"/>
                <w:numId w:val="2"/>
              </w:numPr>
              <w:spacing w:after="45"/>
            </w:pPr>
            <w:r>
              <w:rPr>
                <w:sz w:val="15"/>
                <w:szCs w:val="15"/>
              </w:rPr>
              <w:t xml:space="preserve">Durability collapses with time: responses were ongoing in 36% at 12 months and 13% at 24 months, and progression-free survival fell from 63% at 6 months to 8% at 24, so the 9-month median duration of response is the generous reading of a short-lived effect</w:t>
            </w:r>
          </w:p>
          <w:p>
            <w:pPr>
              <w:pStyle w:val="ListParagraph"/>
              <w:numPr>
                <w:ilvl w:val="0"/>
                <w:numId w:val="2"/>
              </w:numPr>
              <w:spacing w:after="45"/>
            </w:pPr>
            <w:r>
              <w:rPr>
                <w:sz w:val="15"/>
                <w:szCs w:val="15"/>
              </w:rPr>
              <w:t xml:space="preserve">Patients with bilirubin above three times normal or untreatable biliary obstruction were excluded, which removes much of real advanced biliary practice and selects for preserved liver function, making the survival figures optimistic for the clinic</w:t>
            </w:r>
          </w:p>
          <w:p>
            <w:pPr>
              <w:pStyle w:val="ListParagraph"/>
              <w:numPr>
                <w:ilvl w:val="0"/>
                <w:numId w:val="2"/>
              </w:numPr>
              <w:spacing w:after="45"/>
            </w:pPr>
            <w:r>
              <w:rPr>
                <w:sz w:val="15"/>
                <w:szCs w:val="15"/>
              </w:rPr>
              <w:t xml:space="preserve">Dose reduction was needed in 35% and interruption in 56%, with a median exposure of 8 months, so the regimen as delivered differs substantially from 150 mg twice daily plus 2 mg daily</w:t>
            </w:r>
          </w:p>
          <w:p>
            <w:pPr>
              <w:pStyle w:val="ListParagraph"/>
              <w:numPr>
                <w:ilvl w:val="0"/>
                <w:numId w:val="2"/>
              </w:numPr>
              <w:spacing w:after="45"/>
            </w:pPr>
            <w:r>
              <w:rPr>
                <w:sz w:val="15"/>
                <w:szCs w:val="15"/>
              </w:rPr>
              <w:t xml:space="preserve">All 16 sequenced tumours had tumour mutational burden below 6 mutations per Mb and the biomarker analyses involved 16 to 19 patients, so the translational component cannot support or refute anything and is reported as if informative</w:t>
            </w:r>
          </w:p>
          <w:p>
            <w:pPr>
              <w:pStyle w:val="ListParagraph"/>
              <w:numPr>
                <w:ilvl w:val="0"/>
                <w:numId w:val="2"/>
              </w:numPr>
              <w:spacing w:after="45"/>
            </w:pPr>
            <w:r>
              <w:rPr>
                <w:sz w:val="15"/>
                <w:szCs w:val="15"/>
              </w:rPr>
              <w:t xml:space="preserve">Two patients (5%) died of sepsis judged unrelated to treatment while on a combination whose commonest treatment-related serious event was pyrexia in 19%; the attribution of those deaths is investigator-determined with no independent adjudication described</w:t>
            </w:r>
          </w:p>
          <w:p>
            <w:pPr>
              <w:pStyle w:val="ListParagraph"/>
              <w:numPr>
                <w:ilvl w:val="0"/>
                <w:numId w:val="2"/>
              </w:numPr>
              <w:spacing w:after="45"/>
            </w:pPr>
            <w:r>
              <w:rPr>
                <w:sz w:val="15"/>
                <w:szCs w:val="15"/>
              </w:rPr>
              <w:t xml:space="preserve">The trial changed sponsor mid-conduct from GlaxoSmithKline to Novartis, with data collection and analysis transferring between two companies and Novartis employees as authors, and no independent analysis is described</w:t>
            </w:r>
          </w:p>
          <w:p>
            <w:pPr>
              <w:pStyle w:val="ListParagraph"/>
              <w:numPr>
                <w:ilvl w:val="0"/>
                <w:numId w:val="2"/>
              </w:numPr>
              <w:spacing w:after="45"/>
            </w:pPr>
            <w:r>
              <w:rPr>
                <w:sz w:val="15"/>
                <w:szCs w:val="15"/>
              </w:rPr>
              <w:t xml:space="preserve">The trial is a basket cohort of 43 patients reported as a standalone result, so the multiplicity across the basket's other cohorts is not accounted for in the confidence interval presented</w:t>
            </w:r>
          </w:p>
          <w:p>
            <w:pPr>
              <w:pStyle w:val="ListParagraph"/>
              <w:numPr>
                <w:ilvl w:val="0"/>
                <w:numId w:val="2"/>
              </w:numPr>
              <w:spacing w:after="45"/>
            </w:pPr>
            <w:r>
              <w:rPr>
                <w:sz w:val="15"/>
                <w:szCs w:val="15"/>
              </w:rPr>
              <w:t xml:space="preserve">One patient who responded went on to cholecystectomy, hepatectomy and lymphadenectomy; a single case is reported in a way that invites reading the regimen as a conversion strategy, which 43 patients cannot support</w:t>
            </w:r>
          </w:p>
          <w:p>
            <w:pPr>
              <w:pStyle w:val="ListParagraph"/>
              <w:numPr>
                <w:ilvl w:val="0"/>
                <w:numId w:val="2"/>
              </w:numPr>
              <w:spacing w:after="45"/>
            </w:pPr>
            <w:r>
              <w:rPr>
                <w:sz w:val="15"/>
                <w:szCs w:val="15"/>
              </w:rPr>
              <w:t xml:space="preserve">Linked correspondence by van Golen and Dekker with the authors' reply (Lancet Oncol 2020;21:e515, PMID 33152306 and 33152307) exists; it was identified from the citation record and not read here</w:t>
            </w:r>
          </w:p>
        </w:tc>
      </w:tr>
    </w:tbl>
    <w:p>
      <w:pPr>
        <w:spacing w:after="0" w:line="276"/>
      </w:pPr>
      <w:r>
        <w:rPr>
          <w:color w:val="5A6069"/>
          <w:sz w:val="14"/>
          <w:szCs w:val="14"/>
        </w:rPr>
        <w:t xml:space="preserve">Funding: GlaxoSmithKline, which originally designed and sponsored the trial and initially performed data collection and analysis, with Novartis Pharmaceuticals as current sponsor and funder of the medical writing; Novartis employees are among the authors</w:t>
      </w:r>
    </w:p>
    <w:p>
      <w:pPr>
        <w:keepNext/>
        <w:spacing w:after="50" w:before="260"/>
      </w:pPr>
      <w:r>
        <w:rPr>
          <w:rFonts w:ascii="Cambria" w:cs="Cambria" w:eastAsia="Cambria" w:hAnsi="Cambria"/>
          <w:b/>
          <w:bCs/>
          <w:color w:val="17365D"/>
          <w:sz w:val="20"/>
          <w:szCs w:val="20"/>
        </w:rPr>
        <w:t xml:space="preserve">TOPAZ-1</w:t>
      </w:r>
      <w:r>
        <w:rPr>
          <w:b/>
          <w:bCs/>
          <w:color w:val="176A87"/>
          <w:sz w:val="15"/>
          <w:szCs w:val="15"/>
        </w:rPr>
        <w:t xml:space="preserve">   Randomised trial</w:t>
      </w:r>
      <w:r>
        <w:rPr>
          <w:color w:val="5A6069"/>
          <w:sz w:val="15"/>
          <w:szCs w:val="15"/>
        </w:rPr>
        <w:t xml:space="preserve">   PMID 38319896</w:t>
      </w:r>
    </w:p>
    <w:p>
      <w:pPr>
        <w:spacing w:after="50" w:line="276"/>
      </w:pPr>
      <w:r>
        <w:rPr>
          <w:color w:val="5A6069"/>
          <w:sz w:val="17"/>
          <w:szCs w:val="17"/>
        </w:rPr>
        <w:t xml:space="preserve">Durvalumab plus Gemcitabine and Cisplatin in Advanced Biliary Tract Cancer</w:t>
      </w:r>
    </w:p>
    <w:p>
      <w:pPr>
        <w:spacing w:after="50"/>
      </w:pPr>
      <w:r>
        <w:rPr>
          <w:b/>
          <w:bCs/>
          <w:color w:val="176A87"/>
          <w:sz w:val="16"/>
          <w:szCs w:val="16"/>
        </w:rPr>
        <w:t xml:space="preserve">Population. </w:t>
      </w:r>
      <w:r>
        <w:rPr>
          <w:sz w:val="16"/>
          <w:szCs w:val="16"/>
        </w:rPr>
        <w:t xml:space="preserve">685 patients randomised from 914 enrolled at 105 sites in 17 countries between April 2019 and December 2020, with previously untreated advanced biliary tract cancer; 383 of 685 (55.9%) had intrahepatic cholangiocarcinoma and 86% had metastatic disease</w:t>
      </w:r>
    </w:p>
    <w:p>
      <w:pPr>
        <w:spacing w:after="70"/>
      </w:pPr>
      <w:r>
        <w:rPr>
          <w:b/>
          <w:bCs/>
          <w:color w:val="17365D"/>
          <w:sz w:val="16"/>
          <w:szCs w:val="16"/>
        </w:rPr>
        <w:t xml:space="preserve">Bottom line. </w:t>
      </w:r>
      <w:r>
        <w:rPr>
          <w:sz w:val="16"/>
          <w:szCs w:val="16"/>
        </w:rPr>
        <w:t xml:space="preserve">TOPAZ-1 is the trial that added immunotherapy to first-line gemcitabine-cisplatin in advanced biliary tract cancer, with a hazard ratio of 0.80 (0.66-0.97) and 24-month survival of 24.9% against 10.4%. The median gain is 1.3 months, the result is an interim analysis at 424 of 496 planned deaths, and the proportional hazards assumption is formally violated, so the single hazard ratio summarises a benefit that begins only after six months. With 86% metastatic disease and no predictive value from PD-L1, it says nothing about liver-confined disease or about which patients should be exposed.</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No limitations section; the authors concede in the discussion that microsatellite instability status was missing for approximately 50% of patients in each group because of insufficient tissue or an unknown result, and that only 5 of 333 evaluable patients were MSI-high, so a statistical conclusion about that subgroup cannot be drawn</w:t>
            </w:r>
          </w:p>
          <w:p>
            <w:pPr>
              <w:pStyle w:val="ListParagraph"/>
              <w:numPr>
                <w:ilvl w:val="0"/>
                <w:numId w:val="2"/>
              </w:numPr>
              <w:spacing w:after="45"/>
            </w:pPr>
            <w:r>
              <w:rPr>
                <w:sz w:val="15"/>
                <w:szCs w:val="15"/>
              </w:rPr>
              <w:t xml:space="preserve">They report that the smoothed hazard function and the log-log plot confirmed a departure from the proportional hazards assumption</w:t>
            </w:r>
          </w:p>
          <w:p>
            <w:pPr>
              <w:pStyle w:val="ListParagraph"/>
              <w:numPr>
                <w:ilvl w:val="0"/>
                <w:numId w:val="2"/>
              </w:numPr>
              <w:spacing w:after="45"/>
            </w:pPr>
            <w:r>
              <w:rPr>
                <w:sz w:val="15"/>
                <w:szCs w:val="15"/>
              </w:rPr>
              <w:t xml:space="preserve">They present the survival result as a prespecified interim analysis rather than a final one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This is an interim analysis with 424 of the 496 planned deaths, so the reported hazard ratio is the first look that crossed its boundary, and interim estimates at a crossing boundary are systematically larger than the eventual effect</w:t>
            </w:r>
          </w:p>
          <w:p>
            <w:pPr>
              <w:pStyle w:val="ListParagraph"/>
              <w:numPr>
                <w:ilvl w:val="0"/>
                <w:numId w:val="2"/>
              </w:numPr>
              <w:spacing w:after="45"/>
            </w:pPr>
            <w:r>
              <w:rPr>
                <w:sz w:val="15"/>
                <w:szCs w:val="15"/>
              </w:rPr>
              <w:t xml:space="preserve">The absolute difference in median overall survival is 1.3 months, 12.8 against 11.5, which is within the trial's own imaging and follow-up granularity and considerably smaller than the 24-month separation the authors emphasise</w:t>
            </w:r>
          </w:p>
          <w:p>
            <w:pPr>
              <w:pStyle w:val="ListParagraph"/>
              <w:numPr>
                <w:ilvl w:val="0"/>
                <w:numId w:val="2"/>
              </w:numPr>
              <w:spacing w:after="45"/>
            </w:pPr>
            <w:r>
              <w:rPr>
                <w:sz w:val="15"/>
                <w:szCs w:val="15"/>
              </w:rPr>
              <w:t xml:space="preserve">With proportional hazards formally violated, the single hazard ratio of 0.80 that carries the registration claim describes no constant effect: the paper's own split shows 0.91 (0.66-1.26) to 6 months and 0.74 (0.58-0.94) afterwards, so early patients derive nothing</w:t>
            </w:r>
          </w:p>
          <w:p>
            <w:pPr>
              <w:pStyle w:val="ListParagraph"/>
              <w:numPr>
                <w:ilvl w:val="0"/>
                <w:numId w:val="2"/>
              </w:numPr>
              <w:spacing w:after="45"/>
            </w:pPr>
            <w:r>
              <w:rPr>
                <w:sz w:val="15"/>
                <w:szCs w:val="15"/>
              </w:rPr>
              <w:t xml:space="preserve">The 24-month survival estimates that make the result look large, 24.9% against 10.4%, have confidence intervals of 17.9-32.5 and 4.7-18.8 and come from the thinnest part of the curve at an interim cut; no numbers at risk at 24 months are given alongside them</w:t>
            </w:r>
          </w:p>
          <w:p>
            <w:pPr>
              <w:pStyle w:val="ListParagraph"/>
              <w:numPr>
                <w:ilvl w:val="0"/>
                <w:numId w:val="2"/>
              </w:numPr>
              <w:spacing w:after="45"/>
            </w:pPr>
            <w:r>
              <w:rPr>
                <w:sz w:val="15"/>
                <w:szCs w:val="15"/>
              </w:rPr>
              <w:t xml:space="preserve">PD-L1 expression did not predict benefit, 0.79 (0.61-1.00) at tumour area positivity of 1% or more against 0.86 (0.60-1.23) below, so there is no way to spare the 12.7% of patients who had immune-mediated adverse events from an exposure most will not benefit from</w:t>
            </w:r>
          </w:p>
          <w:p>
            <w:pPr>
              <w:pStyle w:val="ListParagraph"/>
              <w:numPr>
                <w:ilvl w:val="0"/>
                <w:numId w:val="2"/>
              </w:numPr>
              <w:spacing w:after="45"/>
            </w:pPr>
            <w:r>
              <w:rPr>
                <w:sz w:val="15"/>
                <w:szCs w:val="15"/>
              </w:rPr>
              <w:t xml:space="preserve">Responses were investigator-assessed with no blinded independent central review, in a trial whose response and progression-free survival results are used to support the primary claim</w:t>
            </w:r>
          </w:p>
          <w:p>
            <w:pPr>
              <w:pStyle w:val="ListParagraph"/>
              <w:numPr>
                <w:ilvl w:val="0"/>
                <w:numId w:val="2"/>
              </w:numPr>
              <w:spacing w:after="45"/>
            </w:pPr>
            <w:r>
              <w:rPr>
                <w:sz w:val="15"/>
                <w:szCs w:val="15"/>
              </w:rPr>
              <w:t xml:space="preserve">Subgroup point estimates differ substantially, 0.73 in Asia against 0.89 in the rest of the world and 0.49 in locally advanced against 0.83 in metastatic disease, with no multiplicity control and no interaction test reported, so the applicability of the headline to a Western, metastatic population is not established by this trial</w:t>
            </w:r>
          </w:p>
          <w:p>
            <w:pPr>
              <w:pStyle w:val="ListParagraph"/>
              <w:numPr>
                <w:ilvl w:val="0"/>
                <w:numId w:val="2"/>
              </w:numPr>
              <w:spacing w:after="45"/>
            </w:pPr>
            <w:r>
              <w:rPr>
                <w:sz w:val="15"/>
                <w:szCs w:val="15"/>
              </w:rPr>
              <w:t xml:space="preserve">86% of patients had metastatic disease and ampullary cancer was excluded, so the trial speaks to palliative treatment of disseminated disease and not to the liver-confined, downstaging or peri-transplant settings where the regimen is now borrowed</w:t>
            </w:r>
          </w:p>
          <w:p>
            <w:pPr>
              <w:pStyle w:val="ListParagraph"/>
              <w:numPr>
                <w:ilvl w:val="0"/>
                <w:numId w:val="2"/>
              </w:numPr>
              <w:spacing w:after="45"/>
            </w:pPr>
            <w:r>
              <w:rPr>
                <w:sz w:val="15"/>
                <w:szCs w:val="15"/>
              </w:rPr>
              <w:t xml:space="preserve">Durvalumab continued as monotherapy until progression while gemcitabine-cisplatin was capped at eight cycles in both arms, so the experimental arm receives indefinite treatment and the control arm receives nothing after cycle 8; part of the tail separation may be maintenance of any kind rather than immunotherapy specifically</w:t>
            </w:r>
          </w:p>
          <w:p>
            <w:pPr>
              <w:pStyle w:val="ListParagraph"/>
              <w:numPr>
                <w:ilvl w:val="0"/>
                <w:numId w:val="2"/>
              </w:numPr>
              <w:spacing w:after="45"/>
            </w:pPr>
            <w:r>
              <w:rPr>
                <w:sz w:val="15"/>
                <w:szCs w:val="15"/>
              </w:rPr>
              <w:t xml:space="preserve">Only 44% of the cohort had an evaluable microsatellite instability result, so the argument that a hypermutated subset is not driving the signal rests on a biomarker measured in fewer than half the patients</w:t>
            </w:r>
          </w:p>
          <w:p>
            <w:pPr>
              <w:pStyle w:val="ListParagraph"/>
              <w:numPr>
                <w:ilvl w:val="0"/>
                <w:numId w:val="2"/>
              </w:numPr>
              <w:spacing w:after="45"/>
            </w:pPr>
            <w:r>
              <w:rPr>
                <w:sz w:val="15"/>
                <w:szCs w:val="15"/>
              </w:rPr>
              <w:t xml:space="preserve">AstraZeneca sponsored the trial, collaborated on the design, collected, analysed and interpreted the data, supplied the drug and paid for the medical writing, and the sponsor vouches for the data alongside the authors; no fully independent analysis is described</w:t>
            </w:r>
          </w:p>
          <w:p>
            <w:pPr>
              <w:pStyle w:val="ListParagraph"/>
              <w:numPr>
                <w:ilvl w:val="0"/>
                <w:numId w:val="2"/>
              </w:numPr>
              <w:spacing w:after="45"/>
            </w:pPr>
            <w:r>
              <w:rPr>
                <w:sz w:val="15"/>
                <w:szCs w:val="15"/>
              </w:rPr>
              <w:t xml:space="preserve">No crossover or post-progression immunotherapy accounting is reported, so what the control arm received after progression, which determines how much of the overall survival difference is attributable to first-line durvalumab, cannot be assessed</w:t>
            </w:r>
          </w:p>
          <w:p>
            <w:pPr>
              <w:pStyle w:val="ListParagraph"/>
              <w:numPr>
                <w:ilvl w:val="0"/>
                <w:numId w:val="2"/>
              </w:numPr>
              <w:spacing w:after="45"/>
            </w:pPr>
            <w:r>
              <w:rPr>
                <w:sz w:val="15"/>
                <w:szCs w:val="15"/>
              </w:rPr>
              <w:t xml:space="preserve">No linked editorial or comment was found in PubMed for this report, so no independent published appraisal accompanies it</w:t>
            </w:r>
          </w:p>
        </w:tc>
      </w:tr>
    </w:tbl>
    <w:p>
      <w:pPr>
        <w:spacing w:after="0" w:line="276"/>
      </w:pPr>
      <w:r>
        <w:rPr>
          <w:color w:val="5A6069"/>
          <w:sz w:val="14"/>
          <w:szCs w:val="14"/>
        </w:rPr>
        <w:t xml:space="preserve">Funding: Funded by AstraZeneca, which sponsored the trial, collaborated on design and on the collection, analysis and interpretation of the data, supplied durvalumab, co-ran the analyses with PHASTAR, and funded the medical writing</w:t>
      </w:r>
    </w:p>
    <w:p>
      <w:pPr>
        <w:pStyle w:val="Heading2"/>
        <w:keepNext/>
        <w:spacing w:after="110" w:before="320"/>
      </w:pPr>
      <w:r>
        <w:rPr>
          <w:rFonts w:ascii="Cambria" w:cs="Cambria" w:eastAsia="Cambria" w:hAnsi="Cambria"/>
          <w:b/>
          <w:bCs/>
          <w:color w:val="17365D"/>
          <w:sz w:val="26"/>
          <w:szCs w:val="26"/>
        </w:rPr>
        <w:t xml:space="preserve">Sources not abstracted in full</w:t>
      </w:r>
    </w:p>
    <w:p>
      <w:pPr>
        <w:spacing w:after="120" w:line="276"/>
      </w:pPr>
      <w:r>
        <w:rPr>
          <w:i/>
          <w:iCs/>
          <w:color w:val="5A6069"/>
          <w:sz w:val="20"/>
          <w:szCs w:val="20"/>
        </w:rPr>
        <w:t xml:space="preserve">These carry no entry above. A guideline or policy document is cited for what it states rather than for a result, and a paper listed here without a PMID could not be retrieved — in either case the roadmap's claim rests on the source as quoted, not on a full-text read of it.</w:t>
      </w:r>
    </w:p>
    <w:p>
      <w:pPr>
        <w:pStyle w:val="ListParagraph"/>
        <w:numPr>
          <w:ilvl w:val="0"/>
          <w:numId w:val="2"/>
        </w:numPr>
        <w:spacing w:after="60" w:line="268"/>
      </w:pPr>
      <w:r>
        <w:rPr>
          <w:color w:val="15181F"/>
          <w:sz w:val="16"/>
          <w:szCs w:val="16"/>
        </w:rPr>
        <w:t xml:space="preserve">Guideline alignment worksheet v0.6 — Guideline alignment worksheet — Adult perihilar cholangiocarcinoma. Memorial Hermann Perihilar Cholangiocarcinoma System Roadmap, Draft v0.6, 4 October 2026. Sixteen areas where the published guidelines can disagree, wit</w:t>
      </w:r>
    </w:p>
    <w:p>
      <w:pPr>
        <w:pStyle w:val="ListParagraph"/>
        <w:numPr>
          <w:ilvl w:val="0"/>
          <w:numId w:val="2"/>
        </w:numPr>
        <w:spacing w:after="60" w:line="268"/>
      </w:pPr>
      <w:r>
        <w:rPr>
          <w:color w:val="15181F"/>
          <w:sz w:val="16"/>
          <w:szCs w:val="16"/>
        </w:rPr>
        <w:t xml:space="preserve">HAI floxuridine phase II — Cercek A, Boerner T, Tan BR, et al. Assessment of hepatic arterial infusion of floxuridine in combination with systemic gemcitabine and oxaliplatin in patients with unresectable intrahepatic cholangiocarcinoma: a phase 2</w:t>
      </w:r>
    </w:p>
    <w:p>
      <w:pPr>
        <w:pStyle w:val="ListParagraph"/>
        <w:numPr>
          <w:ilvl w:val="0"/>
          <w:numId w:val="2"/>
        </w:numPr>
        <w:spacing w:after="60" w:line="268"/>
      </w:pPr>
      <w:r>
        <w:rPr>
          <w:color w:val="15181F"/>
          <w:sz w:val="16"/>
          <w:szCs w:val="16"/>
        </w:rPr>
        <w:t xml:space="preserve">HOPE4LIVER — Ziemlewicz TJ, et al. HOPE4LIVER one-year update. Ann Surg 2025. 47 patients, 52 tumours; local control 63.4% on the primary assessment versus 90% post hoc.</w:t>
      </w:r>
    </w:p>
    <w:p>
      <w:pPr>
        <w:pStyle w:val="ListParagraph"/>
        <w:numPr>
          <w:ilvl w:val="0"/>
          <w:numId w:val="2"/>
        </w:numPr>
        <w:spacing w:after="60" w:line="268"/>
      </w:pPr>
      <w:r>
        <w:rPr>
          <w:color w:val="15181F"/>
          <w:sz w:val="16"/>
          <w:szCs w:val="16"/>
        </w:rPr>
        <w:t xml:space="preserve">MH perihilar CCA roadmap v0.6 — Memorial Hermann Perihilar Cholangiocarcinoma System Roadmap. Multidisciplinary practice guideline and operating pathway, Draft v0.6, 4 October 2026, with the liver-directed treatment revision of 3 October 2026. Pending </w:t>
      </w:r>
    </w:p>
    <w:p>
      <w:pPr>
        <w:pStyle w:val="ListParagraph"/>
        <w:numPr>
          <w:ilvl w:val="0"/>
          <w:numId w:val="2"/>
        </w:numPr>
        <w:spacing w:after="60" w:line="268"/>
      </w:pPr>
      <w:r>
        <w:rPr>
          <w:color w:val="15181F"/>
          <w:sz w:val="16"/>
          <w:szCs w:val="16"/>
        </w:rPr>
        <w:t xml:space="preserve">NCCN Biliary Tract Cancers v1.2026 — National Comprehensive Cancer Network. Biliary Tract Cancers. NCCN Clinical Practice Guidelines in Oncology. Version 1.2026, 10 March 2026. Perihilar pathway, original PDF pp23–27; INTRA-D p22; adjuvant p36; first-line p</w:t>
      </w:r>
    </w:p>
    <w:p>
      <w:pPr>
        <w:pStyle w:val="ListParagraph"/>
        <w:numPr>
          <w:ilvl w:val="0"/>
          <w:numId w:val="2"/>
        </w:numPr>
        <w:spacing w:after="60" w:line="268"/>
      </w:pPr>
      <w:r>
        <w:rPr>
          <w:color w:val="15181F"/>
          <w:sz w:val="16"/>
          <w:szCs w:val="16"/>
        </w:rPr>
        <w:t xml:space="preserve">OPTN NLRB guidance 2025 — Organ Procurement and Transplantation Network, Liver and Intestinal Organ Transplantation Committee. Guidance to Liver Transplant Programs and the National Liver Review Board for: Adult MELD Exceptions for Transplant Onc</w:t>
      </w:r>
    </w:p>
    <w:p>
      <w:pPr>
        <w:pStyle w:val="ListParagraph"/>
        <w:numPr>
          <w:ilvl w:val="0"/>
          <w:numId w:val="2"/>
        </w:numPr>
        <w:spacing w:after="60" w:line="268"/>
      </w:pPr>
      <w:r>
        <w:rPr>
          <w:color w:val="15181F"/>
          <w:sz w:val="16"/>
          <w:szCs w:val="16"/>
        </w:rPr>
        <w:t xml:space="preserve">OPTN Policy 9 — Organ Procurement and Transplantation Network. Policy 9: Allocation of Livers and Liver-Intestines, including 9.4.C–E and 9.5.A Specific Standardized MELD or PELD Exceptions. US Department of Health and Human Services, H</w:t>
      </w:r>
    </w:p>
    <w:p>
      <w:pPr>
        <w:pStyle w:val="ListParagraph"/>
        <w:numPr>
          <w:ilvl w:val="0"/>
          <w:numId w:val="2"/>
        </w:numPr>
        <w:spacing w:after="60" w:line="268"/>
      </w:pPr>
      <w:r>
        <w:rPr>
          <w:color w:val="15181F"/>
          <w:sz w:val="16"/>
          <w:szCs w:val="16"/>
        </w:rPr>
        <w:t xml:space="preserve">SWOG S0809 — Single-arm phase II trial of adjuvant capecitabine and gemcitabine followed by chemoradiation in extrahepatic cholangiocarcinoma and gallbladder cancer; 2-year survival 67% after R0 and 60% after R1 resection, as cited b</w:t>
      </w:r>
    </w:p>
    <w:p>
      <w:pPr>
        <w:pStyle w:val="ListParagraph"/>
        <w:numPr>
          <w:ilvl w:val="0"/>
          <w:numId w:val="2"/>
        </w:numPr>
        <w:spacing w:after="60" w:line="268"/>
      </w:pPr>
      <w:r>
        <w:rPr>
          <w:color w:val="15181F"/>
          <w:sz w:val="16"/>
          <w:szCs w:val="16"/>
        </w:rPr>
        <w:t xml:space="preserve">UTHealth perihilar CCA protocol v2 — UTHealth Houston standard perihilar cholangiocarcinoma transplant protocol, version 2; policy review 16 July 2026. The internal document on which the roadmap's corrected allocation statement rests; the OPTN policy text i</w:t>
      </w:r>
    </w:p>
    <w:p>
      <w:r>
        <w:br w:type="page"/>
      </w:r>
    </w:p>
    <w:p>
      <w:pPr>
        <w:pStyle w:val="Heading1"/>
      </w:pPr>
      <w:r>
        <w:t>Liver directed therapy evidence update 23 October 2026</w:t>
      </w:r>
    </w:p>
    <w:p>
      <w:r>
        <w:t>This section updates the local-therapy recommendations and alignment discussion. Proposed clinical choices remain subject to institutional ratification. Earlier trial summaries are retained as historical study descriptions.</w:t>
      </w:r>
    </w:p>
    <w:p>
      <w:pPr>
        <w:pStyle w:val="Heading2"/>
      </w:pPr>
      <w:r>
        <w:t>Transplant protocol and allocation</w:t>
      </w:r>
    </w:p>
    <w:p>
      <w:r>
        <w:t>Selected unresectable pCCA may enter a curative-intent neoadjuvant-to-LT pathway. OPTN Policy 9.5.A requires an approved written protocol, neoadjuvant therapy and operative staging; it does not specify the Mayo regimen, RT technique, dose or brachytherapy. A mass, if present, must be single and strictly &lt;3 cm in radial diameter. Avoid transperitoneal aspiration or biopsy of the primary. Clinical benefit, allocation eligibility and local approval are separate determinations.</w:t>
      </w:r>
    </w:p>
    <w:p>
      <w:pPr>
        <w:pStyle w:val="Heading2"/>
      </w:pPr>
      <w:r>
        <w:t>Radiation before transplant</w:t>
      </w:r>
    </w:p>
    <w:p>
      <w:r>
        <w:t>Welling et al., Liver Transpl 2014 (online 2013), PMID 24115315, DOI 10.1002/lt.23757: 17 evaluated, 12 RT-treated (11 SBRT and one non-SBRT), nine listed, six transplanted. SBRT 50–60 Gy in 3–5 fractions plus capecitabine supports feasibility of a protocol alternative; 1-year post-LT survival was 83%. These doses describe the study and are not a universal prescription.</w:t>
      </w:r>
    </w:p>
    <w:p>
      <w:pPr>
        <w:pStyle w:val="Heading2"/>
      </w:pPr>
      <w:r>
        <w:t>Systemic-only neoadjuvant evidence</w:t>
      </w:r>
    </w:p>
    <w:p>
      <w:r>
        <w:t>Soliman et al., Transplant Direct 2025, PMID 39936132, DOI 10.1097/TXD.0000000000001760: 26 LT recipients, 12 GemCis-only and 14 RT-containing regimens. No significant OS or RFS difference; no equivalence or intention-to-treat benefit established. Full-text Results give 1-/3-year post-LT OS 83.0%/52.3%, versus 84%/55% in the abstract. Six patients had positive nodes on explant despite negative operative staging. This does not justify knowingly transplanting node-positive disease or routinely omitting RT.</w:t>
      </w:r>
    </w:p>
    <w:p>
      <w:pPr>
        <w:pStyle w:val="Heading2"/>
      </w:pPr>
      <w:r>
        <w:t>Nontransplant local control</w:t>
      </w:r>
    </w:p>
    <w:p>
      <w:r>
        <w:t>Consider fractionated RT/SBRT or chemoradiation through an expert MDT for selected unresectable nonmetastatic disease, with sequencing individualized to the chosen regimen. Prefer a clinical trial when feasible. BSG recommendation 43 supports consideration after systemic therapy (PMID 37770126). STRONG phase I enrolled six patients, with 1-year local control 80% from RT and grade 3 cholangitis in five (PMID 34439146). ABC-07 randomized phase II did not improve PFS (8.6 vs 9.0 months, HR 1.00) or show a significant OS benefit (ASCO 2024 abstract 4006, DOI 10.1200/JCO.2024.42.16_suppl.4006). Do not describe RT alone as equivalent to resection or LT.</w:t>
      </w:r>
    </w:p>
    <w:p>
      <w:pPr>
        <w:pStyle w:val="Heading2"/>
      </w:pPr>
      <w:r>
        <w:t>Planning and newer evidence</w:t>
      </w:r>
    </w:p>
    <w:p>
      <w:r>
        <w:t>STRONG II is a phase II protocol, not an efficacy report (van Loosbroek, BMJ Open 2025, PMID 40669914, DOI 10.1136/bmjopen-2024-097545). ABC-07 RTQA found deviations in 19/41 plans, often reflecting bowel constraints (Eaton, Clin Oncol 2026, PMID 41512568, DOI 10.1016/j.clon.2025.103993). STRONG II benchmark QA describes planning variability, not patient outcomes (van Loosbroek, Radiother Oncol 2026, PMID 42744077, DOI 10.1016/j.radonc.2026.111781). Protect bowel, functional liver and central ducts; optimize drainage and control cholangitis.</w:t>
      </w:r>
    </w:p>
    <w:p>
      <w:pPr>
        <w:pStyle w:val="Heading2"/>
      </w:pPr>
      <w:r>
        <w:t>Adjuvant and biliary treatments</w:t>
      </w:r>
    </w:p>
    <w:p>
      <w:r>
        <w:t>After R1 resection, consider chemoradiation alongside the adjuvant systemic plan, with shared assessment of benefit and toxicity (BSG recommendation 42). Nodal disease warrants individualized review. Recent randomized endobiliary RFA trials did not demonstrate survival or patency benefit (PMIDs 40619373 and 37652677); this remains distinct from parenchymal RFA/MWA. PDT is not recommended outside trials; PHOTOSTENT-02 reported worse survival, with an imbalance in subsequent chemotherapy (PMID 30094069). I-125 stents plus catheter GemCis remain investigational: both arms received HAIC in Chen (PMID 39311927), so that trial does not establish HAIC benefit, pump-FUDR efficacy or transplant bridging.</w:t>
      </w:r>
    </w:p>
    <w:p>
      <w:pPr>
        <w:pStyle w:val="Heading2"/>
      </w:pPr>
      <w:r>
        <w:t>Arterial and ablative modalities</w:t>
      </w:r>
    </w:p>
    <w:p>
      <w:r>
        <w:t>Y90, TACE, percutaneous thermal ablation and histotripsy have no established routine role against the primary infiltrative hilar tumor. Do not extrapolate iCCA or HCC evidence to pCCA. Review the hilar ducts, vasculature, infection risk and potential transplant candidacy before intervention. The specific OPTN biopsy prohibition is not a blanket exclusion for every percutaneous procedure.</w:t>
      </w:r>
    </w:p>
    <w:p>
      <w:pPr>
        <w:pStyle w:val="Heading2"/>
      </w:pPr>
      <w:r>
        <w:t>Decisions requiring program approval</w:t>
      </w:r>
    </w:p>
    <w:p>
      <w:r>
        <w:t>Choose the accepted neoadjuvant regimen and radiation planning pathway, define when non-LT RT is offered outside a trial, and agree on biliary-intervention safeguards. Record local-control, symptom, patency and survival endpoints separately. This evidence revision does not itself ratify a clinical protocol.</w:t>
      </w:r>
    </w:p>
    <w:p>
      <w:pPr>
        <w:pStyle w:val="Heading2"/>
      </w:pPr>
      <w:r>
        <w:t>Additional transplant protocol evidence</w:t>
      </w:r>
    </w:p>
    <w:p>
      <w:r>
        <w:t>Hoogwater et al., BJS Open 2023 (PMID 37032423; DOI 10.1093/bjsopen/zrad025): retrospective international comparison of 49 LT recipients, 27 with neoadjuvant chemoradiotherapy and 22 without neoadjuvant therapy. Adjusted recurrence HR 0.30 (95% CI 0.09–0.97); 5-year post-LT OS 41% versus 53%, not significantly different. Full-text Table 3 reports overall vascular complications in 11/27 versus 3/22, whereas the abstract cites 9/27 versus 2/22 for hepatic vascular complications. Baseline PSC, graft type and waiting intervals differed, and a complete intention-to-treat comparison was unavailable. This supports protocol research, not omission of neoadjuvant therapy under OPTN policy.</w:t>
      </w:r>
    </w:p>
    <w:p>
      <w:pPr>
        <w:pStyle w:val="Heading2"/>
      </w:pPr>
      <w:r>
        <w:t>NCCN radiation options and source-specific thresholds</w:t>
      </w:r>
    </w:p>
    <w:p>
      <w:r>
        <w:t>NCCN Biliary Tract Cancers v1.2026, original PDF page 23 (EXTRA-1), lists chemoradiation with or without sequential chemotherapy among unresectable eCCA options without requiring prior systemic control. Page 24 (EXTRA-2) lists postoperative chemoradiation for R1 or node-positive disease and as a nonpreferred option for R0/node-negative disease; systemic therapy and clinical trial are preferred. Trial data remain limited. Therefore, the BSG recommendation for selected SBRT/PBT after systemic therapy should not be imposed as a universal prerequisite for all chemoradiation. The institutional position is individualized MDT selection, trial preference, and no claim of a proven routine survival advantage. NCCN page 23 uses ≤3 cm for clinical LT consideration; OPTN 9.5.A uses strictly &lt;3 cm when a mass is present for allocation eligibility. Keep these source-specific thresholds distinct.</w:t>
      </w:r>
    </w:p>
    <w:p>
      <w:pPr>
        <w:pStyle w:val="Heading1"/>
        <w:widowControl/>
        <w:keepNext/>
      </w:pPr>
      <w:r>
        <w:t xml:space="preserve">References</w:t>
      </w:r>
    </w:p>
    <w:p>
      <w:pPr>
        <w:pStyle w:val="Normal"/>
        <w:widowControl/>
        <w:spacing w:after="120"/>
      </w:pPr>
      <w:r>
        <w:t xml:space="preserve"/>
      </w:r>
      <w:r>
        <w:fldChar w:fldCharType="begin"/>
      </w:r>
      <w:r>
        <w:instrText xml:space="preserve"> ADDIN EN.REFLIST </w:instrText>
      </w:r>
      <w:r>
        <w:fldChar w:fldCharType="separate"/>
      </w:r>
      <w:r>
        <w:t xml:space="preserve">[V12-1] Primrose JN; Fox RP; Palmer DH; et al. Capecitabine compared with observation in resected biliary tract cancer (BILCAP): a randomised, controlled, multicentre, phase 3 study.. The Lancet. Oncology. 2019; 20(5):663-673. </w:t>
      </w:r>
      <w:hyperlink r:id="rId75">
        <w:r>
          <w:rPr>
            <w:color w:val="0563C1"/>
            <w:u w:val="single"/>
          </w:rPr>
          <w:t>Source</w:t>
        </w:r>
      </w:hyperlink>
      <w:r>
        <w:t xml:space="preserve"> | </w:t>
      </w:r>
      <w:hyperlink r:id="rId76">
        <w:r>
          <w:rPr>
            <w:color w:val="0563C1"/>
            <w:u w:val="single"/>
          </w:rPr>
          <w:t>Full-text access</w:t>
        </w:r>
      </w:hyperlink>
    </w:p>
    <w:p>
      <w:pPr>
        <w:pStyle w:val="Normal"/>
        <w:widowControl/>
        <w:spacing w:after="120"/>
      </w:pPr>
      <w:r>
        <w:t xml:space="preserve"/>
      </w:r>
      <w:r>
        <w:t xml:space="preserve">[V12-2] Vogel A; Ducreux M; ESMO Guidelines Committee. Electronic address: clinicalguidelines@esmo.org. ESMO Clinical Practice Guideline interim update on the management of biliary tract cancer.. ESMO open. 2025; 10(1):104003. </w:t>
      </w:r>
      <w:hyperlink r:id="rId77">
        <w:r>
          <w:rPr>
            <w:color w:val="0563C1"/>
            <w:u w:val="single"/>
          </w:rPr>
          <w:t>Source</w:t>
        </w:r>
      </w:hyperlink>
      <w:r>
        <w:t xml:space="preserve"> | </w:t>
      </w:r>
      <w:hyperlink r:id="rId78">
        <w:r>
          <w:rPr>
            <w:color w:val="0563C1"/>
            <w:u w:val="single"/>
          </w:rPr>
          <w:t>Full-text access</w:t>
        </w:r>
      </w:hyperlink>
    </w:p>
    <w:p>
      <w:pPr>
        <w:pStyle w:val="Normal"/>
        <w:widowControl/>
        <w:spacing w:after="120"/>
      </w:pPr>
      <w:r>
        <w:t xml:space="preserve"/>
      </w:r>
      <w:r>
        <w:t xml:space="preserve">[V12-3] Oh DY; Ruth He A; Qin S; et al. Durvalumab plus Gemcitabine and Cisplatin in Advanced Biliary Tract Cancer.. NEJM evidence. 2022; 1(8):EVIDoa2200015. </w:t>
      </w:r>
      <w:hyperlink r:id="rId79">
        <w:r>
          <w:rPr>
            <w:color w:val="0563C1"/>
            <w:u w:val="single"/>
          </w:rPr>
          <w:t>Source</w:t>
        </w:r>
      </w:hyperlink>
      <w:r>
        <w:t xml:space="preserve"> | </w:t>
      </w:r>
      <w:hyperlink r:id="rId80">
        <w:r>
          <w:rPr>
            <w:color w:val="0563C1"/>
            <w:u w:val="single"/>
          </w:rPr>
          <w:t>Full-text access</w:t>
        </w:r>
      </w:hyperlink>
    </w:p>
    <w:p>
      <w:pPr>
        <w:pStyle w:val="Normal"/>
        <w:widowControl/>
        <w:spacing w:after="120"/>
      </w:pPr>
      <w:r>
        <w:t xml:space="preserve"/>
      </w:r>
      <w:r>
        <w:t xml:space="preserve">[V12-4] Shroff RT; Kennedy EB; Alarcon Rozas AE; et al. Treatment of Advanced Biliary Tract Cancer: ASCO Living Guideline, Version 2026.1.0.. Journal of clinical oncology : official journal of the American Society of Clinical Oncology. 2026; :101200JCO2602462. </w:t>
      </w:r>
      <w:hyperlink r:id="rId81">
        <w:r>
          <w:rPr>
            <w:color w:val="0563C1"/>
            <w:u w:val="single"/>
          </w:rPr>
          <w:t>Source</w:t>
        </w:r>
      </w:hyperlink>
      <w:r>
        <w:t xml:space="preserve"> | </w:t>
      </w:r>
      <w:hyperlink r:id="rId82">
        <w:r>
          <w:rPr>
            <w:color w:val="0563C1"/>
            <w:u w:val="single"/>
          </w:rPr>
          <w:t>Full-text access</w:t>
        </w:r>
      </w:hyperlink>
    </w:p>
    <w:p>
      <w:pPr>
        <w:pStyle w:val="Normal"/>
        <w:widowControl/>
        <w:spacing w:after="120"/>
      </w:pPr>
      <w:r>
        <w:t xml:space="preserve"/>
      </w:r>
      <w:r>
        <w:t xml:space="preserve">[V12-5] Kelley RK; Ueno M; Yoo C; et al. Pembrolizumab in combination with gemcitabine and cisplatin compared with gemcitabine and cisplatin alone for patients with advanced biliary tract cancer (KEYNOTE-966): a randomised, double-blind, placebo-controlled, phase 3 trial.. Lancet (London, England). 2023; 401(10391):1853-1865. </w:t>
      </w:r>
      <w:hyperlink r:id="rId83">
        <w:r>
          <w:rPr>
            <w:color w:val="0563C1"/>
            <w:u w:val="single"/>
          </w:rPr>
          <w:t>Source</w:t>
        </w:r>
      </w:hyperlink>
      <w:r>
        <w:t xml:space="preserve"> | </w:t>
      </w:r>
      <w:hyperlink r:id="rId84">
        <w:r>
          <w:rPr>
            <w:color w:val="0563C1"/>
            <w:u w:val="single"/>
          </w:rPr>
          <w:t>Full-text access</w:t>
        </w:r>
      </w:hyperlink>
    </w:p>
    <w:p>
      <w:pPr>
        <w:pStyle w:val="Normal"/>
        <w:widowControl/>
        <w:spacing w:after="120"/>
      </w:pPr>
      <w:r>
        <w:t xml:space="preserve"/>
      </w:r>
      <w:r>
        <w:t xml:space="preserve">[V12-6] Valle J; Wasan H; Palmer DH; et al. Cisplatin plus gemcitabine versus gemcitabine for biliary tract cancer.. The New England journal of medicine. 2010; 362(14):1273-81. </w:t>
      </w:r>
      <w:hyperlink r:id="rId85">
        <w:r>
          <w:rPr>
            <w:color w:val="0563C1"/>
            <w:u w:val="single"/>
          </w:rPr>
          <w:t>Source</w:t>
        </w:r>
      </w:hyperlink>
      <w:r>
        <w:t xml:space="preserve"> | </w:t>
      </w:r>
      <w:hyperlink r:id="rId86">
        <w:r>
          <w:rPr>
            <w:color w:val="0563C1"/>
            <w:u w:val="single"/>
          </w:rPr>
          <w:t>Full-text access</w:t>
        </w:r>
      </w:hyperlink>
    </w:p>
    <w:p>
      <w:pPr>
        <w:pStyle w:val="Normal"/>
        <w:widowControl/>
        <w:spacing w:after="120"/>
      </w:pPr>
      <w:r>
        <w:t xml:space="preserve"/>
      </w:r>
      <w:r>
        <w:t xml:space="preserve">[V12-7] Lamarca A; Palmer DH; Wasan HS; et al. Second-line FOLFOX chemotherapy versus active symptom control for advanced biliary tract cancer (ABC-06): a phase 3, open-label, randomised, controlled trial.. The Lancet. Oncology. 2021; 22(5):690-701. </w:t>
      </w:r>
      <w:hyperlink r:id="rId87">
        <w:r>
          <w:rPr>
            <w:color w:val="0563C1"/>
            <w:u w:val="single"/>
          </w:rPr>
          <w:t>Source</w:t>
        </w:r>
      </w:hyperlink>
      <w:r>
        <w:t xml:space="preserve"> | </w:t>
      </w:r>
      <w:hyperlink r:id="rId88">
        <w:r>
          <w:rPr>
            <w:color w:val="0563C1"/>
            <w:u w:val="single"/>
          </w:rPr>
          <w:t>Full-text access</w:t>
        </w:r>
      </w:hyperlink>
    </w:p>
    <w:p>
      <w:pPr>
        <w:pStyle w:val="Normal"/>
        <w:widowControl/>
        <w:spacing w:after="120"/>
      </w:pPr>
      <w:r>
        <w:t xml:space="preserve"/>
      </w:r>
      <w:r>
        <w:t xml:space="preserve">[V12-8] Vogel A; Saborowski A; Wenzel P; et al. Nanoliposomal irinotecan and fluorouracil plus leucovorin versus fluorouracil plus leucovorin in patients with cholangiocarcinoma and gallbladder carcinoma previously treated with gemcitabine-based therapies (AIO NALIRICC): a multicentre, open-label, randomised, phase 2 trial. The lancet. Gastroenterology &amp; hepatology. 2024; 9(8):734-744. </w:t>
      </w:r>
      <w:hyperlink r:id="rId89">
        <w:r>
          <w:rPr>
            <w:color w:val="0563C1"/>
            <w:u w:val="single"/>
          </w:rPr>
          <w:t>Source</w:t>
        </w:r>
      </w:hyperlink>
      <w:r>
        <w:t xml:space="preserve"> | </w:t>
      </w:r>
      <w:hyperlink r:id="rId90">
        <w:r>
          <w:rPr>
            <w:color w:val="0563C1"/>
            <w:u w:val="single"/>
          </w:rPr>
          <w:t>Full-text access</w:t>
        </w:r>
      </w:hyperlink>
    </w:p>
    <w:p>
      <w:pPr>
        <w:pStyle w:val="Normal"/>
        <w:widowControl/>
        <w:spacing w:after="120"/>
      </w:pPr>
      <w:r>
        <w:t xml:space="preserve"/>
      </w:r>
      <w:r>
        <w:t xml:space="preserve">[V12-9] Vogel A; Sahai V; Hollebecque A; et al. An open-label study of pemigatinib in cholangiocarcinoma: final results from FIGHT-202.. ESMO open. 2024; 9(6):103488. </w:t>
      </w:r>
      <w:hyperlink r:id="rId91">
        <w:r>
          <w:rPr>
            <w:color w:val="0563C1"/>
            <w:u w:val="single"/>
          </w:rPr>
          <w:t>Source</w:t>
        </w:r>
      </w:hyperlink>
      <w:r>
        <w:t xml:space="preserve"> | </w:t>
      </w:r>
      <w:hyperlink r:id="rId92">
        <w:r>
          <w:rPr>
            <w:color w:val="0563C1"/>
            <w:u w:val="single"/>
          </w:rPr>
          <w:t>Full-text access</w:t>
        </w:r>
      </w:hyperlink>
    </w:p>
    <w:p>
      <w:pPr>
        <w:pStyle w:val="Normal"/>
        <w:widowControl/>
        <w:spacing w:after="120"/>
      </w:pPr>
      <w:r>
        <w:t xml:space="preserve"/>
      </w:r>
      <w:r>
        <w:t xml:space="preserve">[V12-10] Goyal L; Meric-Bernstam F; Hollebecque A; et al. Futibatinib for FGFR2-Rearranged Intrahepatic Cholangiocarcinoma.. The New England journal of medicine. 2023; 388(3):228-239. </w:t>
      </w:r>
      <w:hyperlink r:id="rId93">
        <w:r>
          <w:rPr>
            <w:color w:val="0563C1"/>
            <w:u w:val="single"/>
          </w:rPr>
          <w:t>Source</w:t>
        </w:r>
      </w:hyperlink>
      <w:r>
        <w:t xml:space="preserve"> | </w:t>
      </w:r>
      <w:hyperlink r:id="rId94">
        <w:r>
          <w:rPr>
            <w:color w:val="0563C1"/>
            <w:u w:val="single"/>
          </w:rPr>
          <w:t>Full-text access</w:t>
        </w:r>
      </w:hyperlink>
    </w:p>
    <w:p>
      <w:pPr>
        <w:pStyle w:val="Normal"/>
        <w:widowControl/>
        <w:spacing w:after="120"/>
      </w:pPr>
      <w:r>
        <w:t xml:space="preserve"/>
      </w:r>
      <w:r>
        <w:t xml:space="preserve">[V12-11] Zhu AX; Macarulla T; Javle MM; et al. Final Overall Survival Efficacy Results of Ivosidenib for Patients With Advanced Cholangiocarcinoma With IDH1 Mutation: The Phase 3 Randomized Clinical ClarIDHy Trial.. JAMA oncology. 2021; 7(11):1669-1677. </w:t>
      </w:r>
      <w:hyperlink r:id="rId95">
        <w:r>
          <w:rPr>
            <w:color w:val="0563C1"/>
            <w:u w:val="single"/>
          </w:rPr>
          <w:t>Source</w:t>
        </w:r>
      </w:hyperlink>
      <w:r>
        <w:t xml:space="preserve"> | </w:t>
      </w:r>
      <w:hyperlink r:id="rId96">
        <w:r>
          <w:rPr>
            <w:color w:val="0563C1"/>
            <w:u w:val="single"/>
          </w:rPr>
          <w:t>Full-text access</w:t>
        </w:r>
      </w:hyperlink>
    </w:p>
    <w:p>
      <w:pPr>
        <w:pStyle w:val="Normal"/>
        <w:widowControl/>
        <w:spacing w:after="120"/>
      </w:pPr>
      <w:r>
        <w:t xml:space="preserve"/>
      </w:r>
      <w:r>
        <w:t xml:space="preserve">[V12-12] Subbiah V; Lassen U; Élez E; et al. Dabrafenib plus trametinib in patients with BRAF(V600E)-mutated biliary tract cancer (ROAR): a phase 2, open-label, single-arm, multicentre basket trial.. The Lancet. Oncology. 2020; 21(9):1234-1243. </w:t>
      </w:r>
      <w:hyperlink r:id="rId97">
        <w:r>
          <w:rPr>
            <w:color w:val="0563C1"/>
            <w:u w:val="single"/>
          </w:rPr>
          <w:t>Source</w:t>
        </w:r>
      </w:hyperlink>
      <w:r>
        <w:t xml:space="preserve"> | </w:t>
      </w:r>
      <w:hyperlink r:id="rId98">
        <w:r>
          <w:rPr>
            <w:color w:val="0563C1"/>
            <w:u w:val="single"/>
          </w:rPr>
          <w:t>Full-text access</w:t>
        </w:r>
      </w:hyperlink>
    </w:p>
    <w:p>
      <w:pPr>
        <w:pStyle w:val="Normal"/>
        <w:widowControl/>
        <w:spacing w:after="120"/>
      </w:pPr>
      <w:r>
        <w:t xml:space="preserve"/>
      </w:r>
      <w:r>
        <w:t xml:space="preserve">[V12-13] US Food and Drug Administration. FDA grants accelerated approval to zanidatamab hrii for previously treated unresectable or metastatic HER2 positive biliary tract cancer. FDA approval announcement. 2024. </w:t>
      </w:r>
      <w:hyperlink r:id="rId99">
        <w:r>
          <w:rPr>
            <w:color w:val="0563C1"/>
            <w:u w:val="single"/>
          </w:rPr>
          <w:t>Source</w:t>
        </w:r>
      </w:hyperlink>
      <w:r>
        <w:t xml:space="preserve"> | Local PDF not available in this update</w:t>
      </w:r>
    </w:p>
    <w:p>
      <w:pPr>
        <w:pStyle w:val="Normal"/>
        <w:widowControl/>
        <w:spacing w:after="120"/>
      </w:pPr>
      <w:r>
        <w:t xml:space="preserve"/>
      </w:r>
      <w:r>
        <w:t xml:space="preserve">[V12-14] US Food and Drug Administration. FDA approves zenocutuzumab zbco for advanced unresectable or metastatic cholangiocarcinoma. FDA approval announcement. 2026. </w:t>
      </w:r>
      <w:hyperlink r:id="rId100">
        <w:r>
          <w:rPr>
            <w:color w:val="0563C1"/>
            <w:u w:val="single"/>
          </w:rPr>
          <w:t>Source</w:t>
        </w:r>
      </w:hyperlink>
      <w:r>
        <w:t xml:space="preserve"> | Local PDF not available in this update</w:t>
      </w:r>
      <w:r>
        <w:fldChar w:fldCharType="end"/>
      </w:r>
    </w:p>
    <w:p>
      <w:pPr>
        <w:pStyle w:val="Heading1"/>
        <w:widowControl/>
        <w:keepNext/>
      </w:pPr>
      <w:r>
        <w:t xml:space="preserve">V12 revision note</w:t>
      </w:r>
    </w:p>
    <w:p>
      <w:pPr>
        <w:pStyle w:val="Normal"/>
        <w:widowControl/>
        <w:spacing w:after="120"/>
      </w:pPr>
      <w:r>
        <w:t xml:space="preserve">2026-10-25 04:38 CDT. Problem and correction: Add/update the tumor-specific systemic matrix and full-text appraisals with point-of-use source/PDF links. Preserve ordinary balanced LRT treatment of RASER/LEGACY and existing surgical context. These systemic studies inform advanced biliary cancer care, not the established pCCA transplant-neoadjuvant regimen. Preserve biopsy-route precautions and existing staging, neoadjuvant and operative gates. ICI exposure requires prospective transplant safety review.</w:t>
      </w:r>
    </w:p>
    <w:p>
      <w:pPr>
        <w:pStyle w:val="Normal"/>
        <w:widowControl/>
        <w:spacing w:after="120"/>
      </w:pPr>
      <w:r>
        <w:t xml:space="preserve">Review scope: all pages of the 14 newly supplied main PDFs were read; separately linked supplements and every older retained reference were not reread. Existing formatting and prior material are retained. New clinical proposals remain OPEN. Live EndNote field structures and document-specific XML/RIS exports are included; native Word/EndNote CWYW execution has not been verified.</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A6069"/>
        <w:sz w:val="15"/>
        <w:szCs w:val="15"/>
      </w:rPr>
      <w:t xml:space="preserve">Memorial Hermann Perihilar CCA system roadmap V12 · Batch 08, 7 October 2026 · draft, not ratified</w:t>
    </w:r>
    <w:r>
      <w:rPr>
        <w:sz w:val="15"/>
        <w:szCs w:val="15"/>
      </w:rPr>
      <w:t xml:space="preserve">	</w:t>
    </w:r>
    <w:r>
      <w:rPr>
        <w:color w:val="5A606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abstractNum w:abstractNumId="4">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3">
    <w:abstractNumId w:val="4"/>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181F"/>
        <w:sz w:val="20"/>
        <w:szCs w:val="20"/>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mbria" w:cs="Cambria" w:eastAsia="Cambria" w:hAnsi="Cambria"/>
      <w:b/>
      <w:bCs/>
      <w:color w:val="17365D"/>
      <w:sz w:val="32"/>
      <w:szCs w:val="32"/>
    </w:rPr>
  </w:style>
  <w:style w:type="paragraph" w:styleId="Heading2">
    <w:name w:val="Heading 2"/>
    <w:basedOn w:val="Normal"/>
    <w:next w:val="Normal"/>
    <w:qFormat/>
    <w:rPr>
      <w:rFonts w:ascii="Cambria" w:cs="Cambria" w:eastAsia="Cambria" w:hAnsi="Cambria"/>
      <w:b/>
      <w:bCs/>
      <w:color w:val="17365D"/>
      <w:sz w:val="26"/>
      <w:szCs w:val="26"/>
    </w:rPr>
  </w:style>
  <w:style w:type="paragraph" w:styleId="Heading3">
    <w:name w:val="Heading 3"/>
    <w:basedOn w:val="Normal"/>
    <w:next w:val="Normal"/>
    <w:qFormat/>
    <w:rPr>
      <w:rFonts w:ascii="Cambria" w:cs="Cambria" w:eastAsia="Cambria" w:hAnsi="Cambria"/>
      <w:b/>
      <w:bCs/>
      <w:color w:val="17365D"/>
      <w:sz w:val="22"/>
      <w:szCs w:val="22"/>
    </w:rPr>
  </w:style>
  <w:style w:type="paragraph" w:styleId="Heading4">
    <w:name w:val="Heading 4"/>
    <w:basedOn w:val="Normal"/>
    <w:next w:val="Normal"/>
    <w:qFormat/>
    <w:rPr>
      <w:rFonts w:ascii="Calibri" w:cs="Calibri" w:eastAsia="Calibri" w:hAnsi="Calibri"/>
      <w:b/>
      <w:bCs/>
      <w:color w:val="176A87"/>
      <w:sz w:val="20"/>
      <w:szCs w:val="20"/>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customStyle="1" w:styleId="Heading1">
    <w:name w:val="heading 1"/>
    <w:pPr>
      <w:keepNext/>
    </w:pPr>
    <w:rPr>
      <w:b/>
      <w:sz w:val="32"/>
    </w:rPr>
  </w:style>
  <w:style w:type="paragraph" w:customStyle="1" w:styleId="Heading2">
    <w:name w:val="heading 2"/>
    <w:pPr>
      <w:keepNext/>
    </w:pPr>
    <w:rPr>
      <w:b/>
      <w:sz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yperlink" Target="https://doi.org/10.1016/S1470-2045(18)30915-X" TargetMode="External"/><Relationship Id="rId10" Type="http://schemas.openxmlformats.org/officeDocument/2006/relationships/hyperlink" Target="https://libkey.io/libraries/480/10.1016/S1470-2045(18)30915-X" TargetMode="External"/><Relationship Id="rId11" Type="http://schemas.openxmlformats.org/officeDocument/2006/relationships/hyperlink" Target="https://doi.org/10.1016/j.esmoop.2024.104003" TargetMode="External"/><Relationship Id="rId12" Type="http://schemas.openxmlformats.org/officeDocument/2006/relationships/hyperlink" Target="https://libkey.io/libraries/480/10.1016/j.esmoop.2024.104003" TargetMode="External"/><Relationship Id="rId13" Type="http://schemas.openxmlformats.org/officeDocument/2006/relationships/hyperlink" Target="https://doi.org/10.1056/EVIDoa2200015" TargetMode="External"/><Relationship Id="rId14" Type="http://schemas.openxmlformats.org/officeDocument/2006/relationships/hyperlink" Target="https://libkey.io/libraries/480/10.1056/EVIDoa2200015" TargetMode="External"/><Relationship Id="rId15" Type="http://schemas.openxmlformats.org/officeDocument/2006/relationships/hyperlink" Target="https://doi.org/10.1016/j.esmoop.2024.104003" TargetMode="External"/><Relationship Id="rId16" Type="http://schemas.openxmlformats.org/officeDocument/2006/relationships/hyperlink" Target="https://libkey.io/libraries/480/10.1016/j.esmoop.2024.104003" TargetMode="External"/><Relationship Id="rId17" Type="http://schemas.openxmlformats.org/officeDocument/2006/relationships/hyperlink" Target="https://doi.org/10.1200/JCO-26-02462" TargetMode="External"/><Relationship Id="rId18" Type="http://schemas.openxmlformats.org/officeDocument/2006/relationships/hyperlink" Target="https://libkey.io/libraries/480/10.1200/JCO-26-02462" TargetMode="External"/><Relationship Id="rId19" Type="http://schemas.openxmlformats.org/officeDocument/2006/relationships/hyperlink" Target="https://doi.org/10.1016/S0140-6736(23)00727-4" TargetMode="External"/><Relationship Id="rId20" Type="http://schemas.openxmlformats.org/officeDocument/2006/relationships/hyperlink" Target="https://libkey.io/libraries/480/10.1016/S0140-6736(23)00727-4" TargetMode="External"/><Relationship Id="rId21" Type="http://schemas.openxmlformats.org/officeDocument/2006/relationships/hyperlink" Target="https://doi.org/10.1016/j.esmoop.2024.104003" TargetMode="External"/><Relationship Id="rId22" Type="http://schemas.openxmlformats.org/officeDocument/2006/relationships/hyperlink" Target="https://libkey.io/libraries/480/10.1016/j.esmoop.2024.104003" TargetMode="External"/><Relationship Id="rId23" Type="http://schemas.openxmlformats.org/officeDocument/2006/relationships/hyperlink" Target="https://doi.org/10.1200/JCO-26-02462" TargetMode="External"/><Relationship Id="rId24" Type="http://schemas.openxmlformats.org/officeDocument/2006/relationships/hyperlink" Target="https://libkey.io/libraries/480/10.1200/JCO-26-02462" TargetMode="External"/><Relationship Id="rId25" Type="http://schemas.openxmlformats.org/officeDocument/2006/relationships/hyperlink" Target="https://doi.org/10.1056/NEJMoa0908721" TargetMode="External"/><Relationship Id="rId26" Type="http://schemas.openxmlformats.org/officeDocument/2006/relationships/hyperlink" Target="https://libkey.io/libraries/480/10.1056/NEJMoa0908721" TargetMode="External"/><Relationship Id="rId27" Type="http://schemas.openxmlformats.org/officeDocument/2006/relationships/hyperlink" Target="https://doi.org/10.1016/j.esmoop.2024.104003" TargetMode="External"/><Relationship Id="rId28" Type="http://schemas.openxmlformats.org/officeDocument/2006/relationships/hyperlink" Target="https://libkey.io/libraries/480/10.1016/j.esmoop.2024.104003" TargetMode="External"/><Relationship Id="rId29" Type="http://schemas.openxmlformats.org/officeDocument/2006/relationships/hyperlink" Target="https://doi.org/10.1200/JCO-26-02462" TargetMode="External"/><Relationship Id="rId30" Type="http://schemas.openxmlformats.org/officeDocument/2006/relationships/hyperlink" Target="https://libkey.io/libraries/480/10.1200/JCO-26-02462" TargetMode="External"/><Relationship Id="rId31" Type="http://schemas.openxmlformats.org/officeDocument/2006/relationships/hyperlink" Target="https://doi.org/10.1016/S1470-2045(21)00027-9" TargetMode="External"/><Relationship Id="rId32" Type="http://schemas.openxmlformats.org/officeDocument/2006/relationships/hyperlink" Target="https://libkey.io/libraries/480/10.1016/S1470-2045(21)00027-9" TargetMode="External"/><Relationship Id="rId33" Type="http://schemas.openxmlformats.org/officeDocument/2006/relationships/hyperlink" Target="https://doi.org/10.1200/JCO-26-02462" TargetMode="External"/><Relationship Id="rId34" Type="http://schemas.openxmlformats.org/officeDocument/2006/relationships/hyperlink" Target="https://libkey.io/libraries/480/10.1200/JCO-26-02462" TargetMode="External"/><Relationship Id="rId35" Type="http://schemas.openxmlformats.org/officeDocument/2006/relationships/hyperlink" Target="https://doi.org/10.1016/j.esmoop.2024.104003" TargetMode="External"/><Relationship Id="rId36" Type="http://schemas.openxmlformats.org/officeDocument/2006/relationships/hyperlink" Target="https://libkey.io/libraries/480/10.1016/j.esmoop.2024.104003" TargetMode="External"/><Relationship Id="rId37" Type="http://schemas.openxmlformats.org/officeDocument/2006/relationships/hyperlink" Target="https://doi.org/10.1016/S2468-1253(24)00119-5" TargetMode="External"/><Relationship Id="rId38" Type="http://schemas.openxmlformats.org/officeDocument/2006/relationships/hyperlink" Target="https://libkey.io/libraries/480/10.1016/S2468-1253(24)00119-5" TargetMode="External"/><Relationship Id="rId39" Type="http://schemas.openxmlformats.org/officeDocument/2006/relationships/hyperlink" Target="https://doi.org/10.1200/JCO-26-02462" TargetMode="External"/><Relationship Id="rId40" Type="http://schemas.openxmlformats.org/officeDocument/2006/relationships/hyperlink" Target="https://libkey.io/libraries/480/10.1200/JCO-26-02462" TargetMode="External"/><Relationship Id="rId41" Type="http://schemas.openxmlformats.org/officeDocument/2006/relationships/hyperlink" Target="https://doi.org/10.1016/j.esmoop.2024.103488" TargetMode="External"/><Relationship Id="rId42" Type="http://schemas.openxmlformats.org/officeDocument/2006/relationships/hyperlink" Target="https://libkey.io/libraries/480/10.1016/j.esmoop.2024.103488" TargetMode="External"/><Relationship Id="rId43" Type="http://schemas.openxmlformats.org/officeDocument/2006/relationships/hyperlink" Target="https://doi.org/10.1056/NEJMoa2206834" TargetMode="External"/><Relationship Id="rId44" Type="http://schemas.openxmlformats.org/officeDocument/2006/relationships/hyperlink" Target="https://libkey.io/libraries/480/10.1056/NEJMoa2206834" TargetMode="External"/><Relationship Id="rId45" Type="http://schemas.openxmlformats.org/officeDocument/2006/relationships/hyperlink" Target="https://doi.org/10.1200/JCO-26-02462" TargetMode="External"/><Relationship Id="rId46" Type="http://schemas.openxmlformats.org/officeDocument/2006/relationships/hyperlink" Target="https://libkey.io/libraries/480/10.1200/JCO-26-02462" TargetMode="External"/><Relationship Id="rId47" Type="http://schemas.openxmlformats.org/officeDocument/2006/relationships/hyperlink" Target="https://doi.org/10.1001/jamaoncol.2021.3836" TargetMode="External"/><Relationship Id="rId48" Type="http://schemas.openxmlformats.org/officeDocument/2006/relationships/hyperlink" Target="https://libkey.io/libraries/480/10.1001/jamaoncol.2021.3836" TargetMode="External"/><Relationship Id="rId49" Type="http://schemas.openxmlformats.org/officeDocument/2006/relationships/hyperlink" Target="https://doi.org/10.1016/j.esmoop.2024.104003" TargetMode="External"/><Relationship Id="rId50" Type="http://schemas.openxmlformats.org/officeDocument/2006/relationships/hyperlink" Target="https://libkey.io/libraries/480/10.1016/j.esmoop.2024.104003" TargetMode="External"/><Relationship Id="rId51" Type="http://schemas.openxmlformats.org/officeDocument/2006/relationships/hyperlink" Target="https://doi.org/10.1200/JCO-26-02462" TargetMode="External"/><Relationship Id="rId52" Type="http://schemas.openxmlformats.org/officeDocument/2006/relationships/hyperlink" Target="https://libkey.io/libraries/480/10.1200/JCO-26-02462" TargetMode="External"/><Relationship Id="rId53" Type="http://schemas.openxmlformats.org/officeDocument/2006/relationships/hyperlink" Target="https://doi.org/10.1016/S1470-2045(20)30321-1" TargetMode="External"/><Relationship Id="rId54" Type="http://schemas.openxmlformats.org/officeDocument/2006/relationships/hyperlink" Target="https://libkey.io/libraries/480/10.1016/S1470-2045(20)30321-1" TargetMode="External"/><Relationship Id="rId55" Type="http://schemas.openxmlformats.org/officeDocument/2006/relationships/hyperlink" Target="https://doi.org/10.1016/j.esmoop.2024.104003" TargetMode="External"/><Relationship Id="rId56" Type="http://schemas.openxmlformats.org/officeDocument/2006/relationships/hyperlink" Target="https://libkey.io/libraries/480/10.1016/j.esmoop.2024.104003" TargetMode="External"/><Relationship Id="rId57" Type="http://schemas.openxmlformats.org/officeDocument/2006/relationships/hyperlink" Target="https://doi.org/10.1200/JCO-26-02462" TargetMode="External"/><Relationship Id="rId58" Type="http://schemas.openxmlformats.org/officeDocument/2006/relationships/hyperlink" Target="https://libkey.io/libraries/480/10.1200/JCO-26-02462" TargetMode="External"/><Relationship Id="rId59" Type="http://schemas.openxmlformats.org/officeDocument/2006/relationships/hyperlink" Target="https://www.fda.gov/drugs/resources-information-approved-drugs/fda-grants-accelerated-approval-zanidatamab-hrii-previously-treated-unresectable-or-metastatic-her2" TargetMode="External"/><Relationship Id="rId60" Type="http://schemas.openxmlformats.org/officeDocument/2006/relationships/hyperlink" Target="https://doi.org/10.1016/j.esmoop.2024.104003" TargetMode="External"/><Relationship Id="rId61" Type="http://schemas.openxmlformats.org/officeDocument/2006/relationships/hyperlink" Target="https://libkey.io/libraries/480/10.1016/j.esmoop.2024.104003" TargetMode="External"/><Relationship Id="rId62" Type="http://schemas.openxmlformats.org/officeDocument/2006/relationships/hyperlink" Target="https://doi.org/10.1200/JCO-26-02462" TargetMode="External"/><Relationship Id="rId63" Type="http://schemas.openxmlformats.org/officeDocument/2006/relationships/hyperlink" Target="https://libkey.io/libraries/480/10.1200/JCO-26-02462" TargetMode="External"/><Relationship Id="rId64" Type="http://schemas.openxmlformats.org/officeDocument/2006/relationships/hyperlink" Target="https://www.fda.gov/drugs/resources-information-approved-drugs/fda-approves-zenocutuzumab-zbco-advanced-unresectable-or-metastatic-cholangiocarcinoma" TargetMode="External"/><Relationship Id="rId65" Type="http://schemas.openxmlformats.org/officeDocument/2006/relationships/hyperlink" Target="https://doi.org/10.1200/JCO-26-02462" TargetMode="External"/><Relationship Id="rId66" Type="http://schemas.openxmlformats.org/officeDocument/2006/relationships/hyperlink" Target="https://libkey.io/libraries/480/10.1200/JCO-26-02462" TargetMode="External"/><Relationship Id="rId67" Type="http://schemas.openxmlformats.org/officeDocument/2006/relationships/hyperlink" Target="https://doi.org/10.1200/JCO-26-02462" TargetMode="External"/><Relationship Id="rId68" Type="http://schemas.openxmlformats.org/officeDocument/2006/relationships/hyperlink" Target="https://libkey.io/libraries/480/10.1200/JCO-26-02462" TargetMode="External"/><Relationship Id="rId69" Type="http://schemas.openxmlformats.org/officeDocument/2006/relationships/hyperlink" Target="https://doi.org/10.1016/j.esmoop.2024.104003" TargetMode="External"/><Relationship Id="rId70" Type="http://schemas.openxmlformats.org/officeDocument/2006/relationships/hyperlink" Target="https://libkey.io/libraries/480/10.1016/j.esmoop.2024.104003" TargetMode="External"/><Relationship Id="rId71" Type="http://schemas.openxmlformats.org/officeDocument/2006/relationships/hyperlink" Target="https://doi.org/10.1200/JCO-26-02462" TargetMode="External"/><Relationship Id="rId72" Type="http://schemas.openxmlformats.org/officeDocument/2006/relationships/hyperlink" Target="https://libkey.io/libraries/480/10.1200/JCO-26-02462" TargetMode="External"/><Relationship Id="rId73" Type="http://schemas.openxmlformats.org/officeDocument/2006/relationships/hyperlink" Target="https://doi.org/10.1016/S2468-1253(24)00119-5" TargetMode="External"/><Relationship Id="rId74" Type="http://schemas.openxmlformats.org/officeDocument/2006/relationships/hyperlink" Target="https://libkey.io/libraries/480/10.1016/S2468-1253(24)00119-5" TargetMode="External"/><Relationship Id="rId75" Type="http://schemas.openxmlformats.org/officeDocument/2006/relationships/hyperlink" Target="https://doi.org/10.1016/S1470-2045(18)30915-X" TargetMode="External"/><Relationship Id="rId76" Type="http://schemas.openxmlformats.org/officeDocument/2006/relationships/hyperlink" Target="https://libkey.io/libraries/480/10.1016/S1470-2045(18)30915-X" TargetMode="External"/><Relationship Id="rId77" Type="http://schemas.openxmlformats.org/officeDocument/2006/relationships/hyperlink" Target="https://doi.org/10.1016/j.esmoop.2024.104003" TargetMode="External"/><Relationship Id="rId78" Type="http://schemas.openxmlformats.org/officeDocument/2006/relationships/hyperlink" Target="https://libkey.io/libraries/480/10.1016/j.esmoop.2024.104003" TargetMode="External"/><Relationship Id="rId79" Type="http://schemas.openxmlformats.org/officeDocument/2006/relationships/hyperlink" Target="https://doi.org/10.1056/EVIDoa2200015" TargetMode="External"/><Relationship Id="rId80" Type="http://schemas.openxmlformats.org/officeDocument/2006/relationships/hyperlink" Target="https://libkey.io/libraries/480/10.1056/EVIDoa2200015" TargetMode="External"/><Relationship Id="rId81" Type="http://schemas.openxmlformats.org/officeDocument/2006/relationships/hyperlink" Target="https://doi.org/10.1200/JCO-26-02462" TargetMode="External"/><Relationship Id="rId82" Type="http://schemas.openxmlformats.org/officeDocument/2006/relationships/hyperlink" Target="https://libkey.io/libraries/480/10.1200/JCO-26-02462" TargetMode="External"/><Relationship Id="rId83" Type="http://schemas.openxmlformats.org/officeDocument/2006/relationships/hyperlink" Target="https://doi.org/10.1016/S0140-6736(23)00727-4" TargetMode="External"/><Relationship Id="rId84" Type="http://schemas.openxmlformats.org/officeDocument/2006/relationships/hyperlink" Target="https://libkey.io/libraries/480/10.1016/S0140-6736(23)00727-4" TargetMode="External"/><Relationship Id="rId85" Type="http://schemas.openxmlformats.org/officeDocument/2006/relationships/hyperlink" Target="https://doi.org/10.1056/NEJMoa0908721" TargetMode="External"/><Relationship Id="rId86" Type="http://schemas.openxmlformats.org/officeDocument/2006/relationships/hyperlink" Target="https://libkey.io/libraries/480/10.1056/NEJMoa0908721" TargetMode="External"/><Relationship Id="rId87" Type="http://schemas.openxmlformats.org/officeDocument/2006/relationships/hyperlink" Target="https://doi.org/10.1016/S1470-2045(21)00027-9" TargetMode="External"/><Relationship Id="rId88" Type="http://schemas.openxmlformats.org/officeDocument/2006/relationships/hyperlink" Target="https://libkey.io/libraries/480/10.1016/S1470-2045(21)00027-9" TargetMode="External"/><Relationship Id="rId89" Type="http://schemas.openxmlformats.org/officeDocument/2006/relationships/hyperlink" Target="https://doi.org/10.1016/S2468-1253(24)00119-5" TargetMode="External"/><Relationship Id="rId90" Type="http://schemas.openxmlformats.org/officeDocument/2006/relationships/hyperlink" Target="https://libkey.io/libraries/480/10.1016/S2468-1253(24)00119-5" TargetMode="External"/><Relationship Id="rId91" Type="http://schemas.openxmlformats.org/officeDocument/2006/relationships/hyperlink" Target="https://doi.org/10.1016/j.esmoop.2024.103488" TargetMode="External"/><Relationship Id="rId92" Type="http://schemas.openxmlformats.org/officeDocument/2006/relationships/hyperlink" Target="https://libkey.io/libraries/480/10.1016/j.esmoop.2024.103488" TargetMode="External"/><Relationship Id="rId93" Type="http://schemas.openxmlformats.org/officeDocument/2006/relationships/hyperlink" Target="https://doi.org/10.1056/NEJMoa2206834" TargetMode="External"/><Relationship Id="rId94" Type="http://schemas.openxmlformats.org/officeDocument/2006/relationships/hyperlink" Target="https://libkey.io/libraries/480/10.1056/NEJMoa2206834" TargetMode="External"/><Relationship Id="rId95" Type="http://schemas.openxmlformats.org/officeDocument/2006/relationships/hyperlink" Target="https://doi.org/10.1001/jamaoncol.2021.3836" TargetMode="External"/><Relationship Id="rId96" Type="http://schemas.openxmlformats.org/officeDocument/2006/relationships/hyperlink" Target="https://libkey.io/libraries/480/10.1001/jamaoncol.2021.3836" TargetMode="External"/><Relationship Id="rId97" Type="http://schemas.openxmlformats.org/officeDocument/2006/relationships/hyperlink" Target="https://doi.org/10.1016/S1470-2045(20)30321-1" TargetMode="External"/><Relationship Id="rId98" Type="http://schemas.openxmlformats.org/officeDocument/2006/relationships/hyperlink" Target="https://libkey.io/libraries/480/10.1016/S1470-2045(20)30321-1" TargetMode="External"/><Relationship Id="rId99" Type="http://schemas.openxmlformats.org/officeDocument/2006/relationships/hyperlink" Target="https://www.fda.gov/drugs/resources-information-approved-drugs/fda-grants-accelerated-approval-zanidatamab-hrii-previously-treated-unresectable-or-metastatic-her2" TargetMode="External"/><Relationship Id="rId100" Type="http://schemas.openxmlformats.org/officeDocument/2006/relationships/hyperlink" Target="https://www.fda.gov/drugs/resources-information-approved-drugs/fda-approves-zenocutuzumab-zbco-advanced-unresectable-or-metastatic-cholangiocarcinoma"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Memorial Hermann Perihilar CCA system roadmap v0.7</dc:title>
  <dc:subject>Perihilar cholangiocarcinoma</dc:subject>
  <dc:creator>Memorial Hermann / UTHealth Houston tumour roadmap programme</dc:creator>
  <dc:description>Draft under development. Not ratified clinical policy.</dc:description>
  <cp:lastModifiedBy>Un-named</cp:lastModifiedBy>
  <cp:revision>1</cp:revision>
  <dcterms:created xsi:type="dcterms:W3CDTF">2026-10-10T04:29:16.681Z</dcterms:created>
  <dcterms:modified xsi:type="dcterms:W3CDTF">2026-10-25T09:38:08Z</dcterms:modified>
</cp:coreProperties>
</file>

<file path=docProps/custom.xml><?xml version="1.0" encoding="utf-8"?>
<Properties xmlns="http://schemas.openxmlformats.org/officeDocument/2006/custom-properties" xmlns:vt="http://schemas.openxmlformats.org/officeDocument/2006/docPropsVTypes"/>
</file>