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Pancreatic ductal adenocarcinoma</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Pancreatic ductal adenocarcinoma · system roadmap V12 · Full-text integration, 25 October 2026</w:t>
      </w:r>
    </w:p>
    <w:p>
      <w:pPr>
        <w:spacing w:after="320" w:line="276"/>
      </w:pPr>
      <w:r>
        <w:rPr>
          <w:color w:val="5A6069"/>
          <w:sz w:val="20"/>
          <w:szCs w:val="20"/>
        </w:rPr>
        <w:t xml:space="preserve">Clinical pathway and evidence appendix; full-text integration revised 2026-10-25 04:54 CDT.</w:t>
      </w:r>
    </w:p>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Which resectability box this patient is in, what the next act must not foreclose, and where the neoadjuvant trials disagree badly enough that the sequence has to be decided locally rather than quoted. Revised after reading every paper in the depot in full: the biggest single finding is that almost no trial on this page had a control arm receiving the therapy this page recommends.</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0 · Get a stageable scan before anything else</w:t>
      </w:r>
    </w:p>
    <w:p>
      <w:pPr>
        <w:spacing w:after="140"/>
      </w:pPr>
      <w:r>
        <w:rPr>
          <w:b/>
          <w:bCs/>
          <w:color w:val="176A87"/>
          <w:sz w:val="19"/>
          <w:szCs w:val="19"/>
        </w:rPr>
        <w:t xml:space="preserve">The question. </w:t>
      </w:r>
      <w:r>
        <w:rPr>
          <w:sz w:val="19"/>
          <w:szCs w:val="19"/>
        </w:rPr>
        <w:t xml:space="preserve">Is this scan good enough to decide an operation on, and did anyone put a stent in before it was done?</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Pancreas-protocol multiphase CT with a pancreatic parenchymal phase at 40–50 seconds and a portal venous phase at 65–70 seconds</w:t>
      </w:r>
    </w:p>
    <w:p>
      <w:pPr>
        <w:pStyle w:val="ListParagraph"/>
        <w:numPr>
          <w:ilvl w:val="0"/>
          <w:numId w:val="2"/>
        </w:numPr>
        <w:spacing w:after="60" w:line="268"/>
      </w:pPr>
      <w:r>
        <w:rPr>
          <w:color w:val="15181F"/>
          <w:sz w:val="18"/>
          <w:szCs w:val="18"/>
        </w:rPr>
        <w:t xml:space="preserve">Chest and pelvis CT in the same episode, for complete staging</w:t>
      </w:r>
    </w:p>
    <w:p>
      <w:pPr>
        <w:pStyle w:val="ListParagraph"/>
        <w:numPr>
          <w:ilvl w:val="0"/>
          <w:numId w:val="2"/>
        </w:numPr>
        <w:spacing w:after="60" w:line="268"/>
      </w:pPr>
      <w:r>
        <w:rPr>
          <w:color w:val="15181F"/>
          <w:sz w:val="18"/>
          <w:szCs w:val="18"/>
        </w:rPr>
        <w:t xml:space="preserve">CA 19-9 and liver function drawn after biliary decompression, not before</w:t>
      </w:r>
    </w:p>
    <w:p>
      <w:pPr>
        <w:pStyle w:val="ListParagraph"/>
        <w:numPr>
          <w:ilvl w:val="0"/>
          <w:numId w:val="2"/>
        </w:numPr>
        <w:spacing w:after="60" w:line="268"/>
      </w:pPr>
      <w:r>
        <w:rPr>
          <w:color w:val="15181F"/>
          <w:sz w:val="18"/>
          <w:szCs w:val="18"/>
        </w:rPr>
        <w:t xml:space="preserve">Genetic counselling and germline testing offered to every patient, whatever the stage</w:t>
      </w:r>
    </w:p>
    <w:p>
      <w:pPr>
        <w:pStyle w:val="ListParagraph"/>
        <w:numPr>
          <w:ilvl w:val="0"/>
          <w:numId w:val="2"/>
        </w:numPr>
        <w:spacing w:after="60" w:line="268"/>
      </w:pPr>
      <w:r>
        <w:rPr>
          <w:color w:val="15181F"/>
          <w:sz w:val="18"/>
          <w:szCs w:val="18"/>
        </w:rPr>
        <w:t xml:space="preserve">High-quality imaging no more than 4 weeks old at the time of the operation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Repeat the scan as a pancreas-protocol CT if the one in front of you is not one — a non-protocol CT is not a staging study.</w:t>
      </w:r>
    </w:p>
    <w:p>
      <w:pPr>
        <w:spacing w:after="50" w:line="276"/>
        <w:ind w:left="240"/>
      </w:pPr>
      <w:r>
        <w:rPr>
          <w:color w:val="15181F"/>
          <w:sz w:val="18"/>
          <w:szCs w:val="18"/>
        </w:rPr>
        <w:t xml:space="preserve">Every patient referred with an outside scan. NCCN reports that re-imaging patients who arrived with a non-pancreas-protocol CT changed the stage and the management in 56% of cases at a single institution, and that where CT showed a resectable tumour 70% to 85% of patients went on to resection. Both figures are NCCN's citation of single-institution series and are not in the reporting-template paper this item is referenced to.</w:t>
      </w:r>
    </w:p>
    <w:p>
      <w:pPr>
        <w:spacing w:after="50"/>
        <w:ind w:left="240"/>
      </w:pPr>
      <w:r>
        <w:rPr>
          <w:b/>
          <w:bCs/>
          <w:color w:val="8C2F26"/>
          <w:sz w:val="18"/>
          <w:szCs w:val="18"/>
        </w:rPr>
        <w:t xml:space="preserve">Caveat. </w:t>
      </w:r>
      <w:r>
        <w:rPr>
          <w:color w:val="15181F"/>
          <w:sz w:val="18"/>
          <w:szCs w:val="18"/>
        </w:rPr>
        <w:t xml:space="preserve">Do not accept thick sections, positive oral contrast or a single post-contrast phase. Neutral oral contrast only, because positive contrast degrades the 3D and maximum-intensity-projection reformats that show the vessels. Sections as thin as the scanner allows, under 3 mm and preferably submillimetre, reconstructed at 2–3 mm with multiplanar reformats.</w:t>
      </w:r>
    </w:p>
    <w:p>
      <w:pPr>
        <w:spacing w:after="50" w:line="276"/>
        <w:ind w:left="240"/>
      </w:pPr>
      <w:r>
        <w:rPr>
          <w:i/>
          <w:iCs/>
          <w:color w:val="5A6069"/>
          <w:sz w:val="17"/>
          <w:szCs w:val="17"/>
        </w:rPr>
        <w:t xml:space="preserve">Accuracy decays with time because the disease moves: NCCN sets an outer limit of 4 weeks between the staging CT and the operation. Sensitivity for small hepatic and peritoneal deposits is limited however good the protocol is, and protocol quality is not the whole of the problem — in SWOG S1505, 43 of 146 patients centrally reviewed (29%) did not meet the trial's own resectability criteria, 51% of them for arterial interface and 65% for suspicion of distant disease, and adding a mandatory site radiologist checklist moved that only from 33% to 26%. [EXPERTISE]</w:t>
      </w:r>
    </w:p>
    <w:p>
      <w:pPr>
        <w:spacing w:after="60" w:line="276"/>
        <w:ind w:left="240"/>
      </w:pPr>
      <w:r>
        <w:rPr>
          <w:color w:val="5A6069"/>
          <w:sz w:val="16"/>
          <w:szCs w:val="16"/>
        </w:rPr>
        <w:t xml:space="preserve">Sources: SAR/APA template</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Report it against the Society of Abdominal Radiology and American Pancreatic Association template, in degrees of vessel contact — not in adjectives.</w:t>
      </w:r>
    </w:p>
    <w:p>
      <w:pPr>
        <w:spacing w:after="50" w:line="276"/>
        <w:ind w:left="240"/>
      </w:pPr>
      <w:r>
        <w:rPr>
          <w:color w:val="15181F"/>
          <w:sz w:val="18"/>
          <w:szCs w:val="18"/>
        </w:rPr>
        <w:t xml:space="preserve">Every staging report. The template covers morphology (appearance in the parenchymal phase, size, location relative to the SMV, duct and biliary cut-off), the arterial evaluation (celiac axis, SMA, common hepatic artery, with vessel contact, soft-tissue contact, hazy attenuation or stranding, focal narrowing and contour irregularity), the venous evaluation (main portal vein and SMV, thrombus, collaterals) and the extrapancreatic evaluation (liver lesions, peritoneal or omental nodules, ascites, suspicious nodes).</w:t>
      </w:r>
    </w:p>
    <w:p>
      <w:pPr>
        <w:spacing w:after="50"/>
        <w:ind w:left="240"/>
      </w:pPr>
      <w:r>
        <w:rPr>
          <w:b/>
          <w:bCs/>
          <w:color w:val="8C2F26"/>
          <w:sz w:val="18"/>
          <w:szCs w:val="18"/>
        </w:rPr>
        <w:t xml:space="preserve">Caveat. </w:t>
      </w:r>
      <w:r>
        <w:rPr>
          <w:color w:val="15181F"/>
          <w:sz w:val="18"/>
          <w:szCs w:val="18"/>
        </w:rPr>
        <w:t xml:space="preserve">Words like </w:t>
      </w:r>
      <w:r>
        <w:rPr>
          <w:i/>
          <w:iCs/>
          <w:color w:val="15181F"/>
          <w:sz w:val="18"/>
          <w:szCs w:val="18"/>
        </w:rPr>
        <w:t xml:space="preserve">abutment</w:t>
      </w:r>
      <w:r>
        <w:rPr>
          <w:color w:val="15181F"/>
          <w:sz w:val="18"/>
          <w:szCs w:val="18"/>
        </w:rPr>
        <w:t xml:space="preserve">, </w:t>
      </w:r>
      <w:r>
        <w:rPr>
          <w:i/>
          <w:iCs/>
          <w:color w:val="15181F"/>
          <w:sz w:val="18"/>
          <w:szCs w:val="18"/>
        </w:rPr>
        <w:t xml:space="preserve">encasement</w:t>
      </w:r>
      <w:r>
        <w:rPr>
          <w:color w:val="15181F"/>
          <w:sz w:val="18"/>
          <w:szCs w:val="18"/>
        </w:rPr>
        <w:t xml:space="preserve"> and </w:t>
      </w:r>
      <w:r>
        <w:rPr>
          <w:i/>
          <w:iCs/>
          <w:color w:val="15181F"/>
          <w:sz w:val="18"/>
          <w:szCs w:val="18"/>
        </w:rPr>
        <w:t xml:space="preserve">involvement</w:t>
      </w:r>
      <w:r>
        <w:rPr>
          <w:color w:val="15181F"/>
          <w:sz w:val="18"/>
          <w:szCs w:val="18"/>
        </w:rPr>
        <w:t xml:space="preserve"> are defined in the template by degree — 180 degrees or less of circumferential contact is abutment, more than 180 degrees is encasement — so a report that uses them without the degrees cannot be mapped onto the resectability categories and forces the board to re-read the scan.</w:t>
      </w:r>
    </w:p>
    <w:p>
      <w:pPr>
        <w:spacing w:after="50" w:line="276"/>
        <w:ind w:left="240"/>
      </w:pPr>
      <w:r>
        <w:rPr>
          <w:i/>
          <w:iCs/>
          <w:color w:val="5A6069"/>
          <w:sz w:val="17"/>
          <w:szCs w:val="17"/>
        </w:rPr>
        <w:t xml:space="preserve">Downgraded to D on the full-text read. The template is expert consensus from a single meeting at the American Pancreatic Association annual meeting in November 2011, with no Delphi process, no voting, no reported level of agreement, no described literature search and no validation of any kind — the paper does not show that using it changes report completeness, inter-reader agreement, board decisions, resection rates or margins, and reports no inter-reader reproducibility for measuring circumferential contact, which is the measurement the whole template rests on. Variant arterial anatomy — accessory or replaced right hepatic artery, replaced common hepatic artery, and the origin of the replaced or accessory vessel — must still be named whether or not it is in contact, because it changes the operation.</w:t>
      </w:r>
    </w:p>
    <w:p>
      <w:pPr>
        <w:spacing w:after="60" w:line="276"/>
        <w:ind w:left="240"/>
      </w:pPr>
      <w:r>
        <w:rPr>
          <w:color w:val="5A6069"/>
          <w:sz w:val="16"/>
          <w:szCs w:val="16"/>
        </w:rPr>
        <w:t xml:space="preserve">Sources: SAR/APA template</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Offer genetic counselling and germline testing to every patient with pancreatic adenocarcinoma, regardless of family history.</w:t>
      </w:r>
    </w:p>
    <w:p>
      <w:pPr>
        <w:spacing w:after="50" w:line="276"/>
        <w:ind w:left="240"/>
      </w:pPr>
      <w:r>
        <w:rPr>
          <w:color w:val="15181F"/>
          <w:sz w:val="18"/>
          <w:szCs w:val="18"/>
        </w:rPr>
        <w:t xml:space="preserve">At diagnosis, in parallel with staging, so a result exists before systemic therapy choices are made. In 3,030 patients with pancreatic adenocarcinoma enrolled in the Mayo Clinic pancreas registry between 2000 and 2016, deleterious germline variants in six genes were found in 5.5% overall — </w:t>
      </w:r>
      <w:r>
        <w:rPr>
          <w:i/>
          <w:iCs/>
          <w:color w:val="15181F"/>
          <w:sz w:val="18"/>
          <w:szCs w:val="18"/>
        </w:rPr>
        <w:t xml:space="preserve">CDKN2A</w:t>
      </w:r>
      <w:r>
        <w:rPr>
          <w:color w:val="15181F"/>
          <w:sz w:val="18"/>
          <w:szCs w:val="18"/>
        </w:rPr>
        <w:t xml:space="preserve"> (OR 12.33, 95% CI 5.43–25.61), </w:t>
      </w:r>
      <w:r>
        <w:rPr>
          <w:i/>
          <w:iCs/>
          <w:color w:val="15181F"/>
          <w:sz w:val="18"/>
          <w:szCs w:val="18"/>
        </w:rPr>
        <w:t xml:space="preserve">TP53</w:t>
      </w:r>
      <w:r>
        <w:rPr>
          <w:color w:val="15181F"/>
          <w:sz w:val="18"/>
          <w:szCs w:val="18"/>
        </w:rPr>
        <w:t xml:space="preserve"> (6.70, 2.52–14.95), </w:t>
      </w:r>
      <w:r>
        <w:rPr>
          <w:i/>
          <w:iCs/>
          <w:color w:val="15181F"/>
          <w:sz w:val="18"/>
          <w:szCs w:val="18"/>
        </w:rPr>
        <w:t xml:space="preserve">MLH1</w:t>
      </w:r>
      <w:r>
        <w:rPr>
          <w:color w:val="15181F"/>
          <w:sz w:val="18"/>
          <w:szCs w:val="18"/>
        </w:rPr>
        <w:t xml:space="preserve"> (6.66, 1.94–17.53), </w:t>
      </w:r>
      <w:r>
        <w:rPr>
          <w:i/>
          <w:iCs/>
          <w:color w:val="15181F"/>
          <w:sz w:val="18"/>
          <w:szCs w:val="18"/>
        </w:rPr>
        <w:t xml:space="preserve">BRCA2</w:t>
      </w:r>
      <w:r>
        <w:rPr>
          <w:color w:val="15181F"/>
          <w:sz w:val="18"/>
          <w:szCs w:val="18"/>
        </w:rPr>
        <w:t xml:space="preserve"> (6.20, 4.62–8.17), </w:t>
      </w:r>
      <w:r>
        <w:rPr>
          <w:i/>
          <w:iCs/>
          <w:color w:val="15181F"/>
          <w:sz w:val="18"/>
          <w:szCs w:val="18"/>
        </w:rPr>
        <w:t xml:space="preserve">ATM</w:t>
      </w:r>
      <w:r>
        <w:rPr>
          <w:color w:val="15181F"/>
          <w:sz w:val="18"/>
          <w:szCs w:val="18"/>
        </w:rPr>
        <w:t xml:space="preserve"> (5.71, 4.38–7.33) and </w:t>
      </w:r>
      <w:r>
        <w:rPr>
          <w:i/>
          <w:iCs/>
          <w:color w:val="15181F"/>
          <w:sz w:val="18"/>
          <w:szCs w:val="18"/>
        </w:rPr>
        <w:t xml:space="preserve">BRCA1</w:t>
      </w:r>
      <w:r>
        <w:rPr>
          <w:color w:val="15181F"/>
          <w:sz w:val="18"/>
          <w:szCs w:val="18"/>
        </w:rPr>
        <w:t xml:space="preserve"> (2.58, 1.54–4.05).</w:t>
      </w:r>
    </w:p>
    <w:p>
      <w:pPr>
        <w:spacing w:after="50"/>
        <w:ind w:left="240"/>
      </w:pPr>
      <w:r>
        <w:rPr>
          <w:b/>
          <w:bCs/>
          <w:color w:val="8C2F26"/>
          <w:sz w:val="18"/>
          <w:szCs w:val="18"/>
        </w:rPr>
        <w:t xml:space="preserve">Caveat. </w:t>
      </w:r>
      <w:r>
        <w:rPr>
          <w:color w:val="15181F"/>
          <w:sz w:val="18"/>
          <w:szCs w:val="18"/>
        </w:rPr>
        <w:t xml:space="preserve">Do not use family history to select who is tested. In the same cohort the yield was 7.9% with a family history of pancreatic cancer and 5.2% without — a difference far too small to triage on. But do not quote 5.5% as the proportion with an actionable result either: the figure is driven mostly by </w:t>
      </w:r>
      <w:r>
        <w:rPr>
          <w:i/>
          <w:iCs/>
          <w:color w:val="15181F"/>
          <w:sz w:val="18"/>
          <w:szCs w:val="18"/>
        </w:rPr>
        <w:t xml:space="preserve">ATM</w:t>
      </w:r>
      <w:r>
        <w:rPr>
          <w:color w:val="15181F"/>
          <w:sz w:val="18"/>
          <w:szCs w:val="18"/>
        </w:rPr>
        <w:t xml:space="preserve"> and </w:t>
      </w:r>
      <w:r>
        <w:rPr>
          <w:i/>
          <w:iCs/>
          <w:color w:val="15181F"/>
          <w:sz w:val="18"/>
          <w:szCs w:val="18"/>
        </w:rPr>
        <w:t xml:space="preserve">BRCA2</w:t>
      </w:r>
      <w:r>
        <w:rPr>
          <w:color w:val="15181F"/>
          <w:sz w:val="18"/>
          <w:szCs w:val="18"/>
        </w:rPr>
        <w:t xml:space="preserve">, and of the six genes only </w:t>
      </w:r>
      <w:r>
        <w:rPr>
          <w:i/>
          <w:iCs/>
          <w:color w:val="15181F"/>
          <w:sz w:val="18"/>
          <w:szCs w:val="18"/>
        </w:rPr>
        <w:t xml:space="preserve">BRCA1/2</w:t>
      </w:r>
      <w:r>
        <w:rPr>
          <w:color w:val="15181F"/>
          <w:sz w:val="18"/>
          <w:szCs w:val="18"/>
        </w:rPr>
        <w:t xml:space="preserve"> has a randomised treatment consequence in this disease, with </w:t>
      </w:r>
      <w:r>
        <w:rPr>
          <w:i/>
          <w:iCs/>
          <w:color w:val="15181F"/>
          <w:sz w:val="18"/>
          <w:szCs w:val="18"/>
        </w:rPr>
        <w:t xml:space="preserve">MLH1</w:t>
      </w:r>
      <w:r>
        <w:rPr>
          <w:color w:val="15181F"/>
          <w:sz w:val="18"/>
          <w:szCs w:val="18"/>
        </w:rPr>
        <w:t xml:space="preserve"> acting through mismatch-repair status rather than through the gene itself.</w:t>
      </w:r>
    </w:p>
    <w:p>
      <w:pPr>
        <w:spacing w:after="50" w:line="276"/>
        <w:ind w:left="240"/>
      </w:pPr>
      <w:r>
        <w:rPr>
          <w:i/>
          <w:iCs/>
          <w:color w:val="5A6069"/>
          <w:sz w:val="17"/>
          <w:szCs w:val="17"/>
        </w:rPr>
        <w:t xml:space="preserve">Downgraded to C on the full-text read. This is a clinic-based case series at a tertiary referral centre compared with race and ethnicity matched public sequencing databases (ExAC non-TCGA and gnomAD) rather than with a recruited control group, so it is exposed to differential variant calling and coverage between cases and controls; the </w:t>
      </w:r>
      <w:r>
        <w:rPr>
          <w:i/>
          <w:iCs/>
          <w:color w:val="5A6069"/>
          <w:sz w:val="17"/>
          <w:szCs w:val="17"/>
        </w:rPr>
        <w:t xml:space="preserve">CDKN2A</w:t>
      </w:r>
      <w:r>
        <w:rPr>
          <w:i/>
          <w:iCs/>
          <w:color w:val="5A6069"/>
          <w:sz w:val="17"/>
          <w:szCs w:val="17"/>
        </w:rPr>
        <w:t xml:space="preserve"> and </w:t>
      </w:r>
      <w:r>
        <w:rPr>
          <w:i/>
          <w:iCs/>
          <w:color w:val="5A6069"/>
          <w:sz w:val="17"/>
          <w:szCs w:val="17"/>
        </w:rPr>
        <w:t xml:space="preserve">MLH1</w:t>
      </w:r>
      <w:r>
        <w:rPr>
          <w:i/>
          <w:iCs/>
          <w:color w:val="5A6069"/>
          <w:sz w:val="17"/>
          <w:szCs w:val="17"/>
        </w:rPr>
        <w:t xml:space="preserve"> intervals rest on a handful of carriers each, and multiplicity across 21 genes and several subgroup strata is not controlled. It is a prevalence and association study: it does not estimate penetrance, carriage was not associated with overall survival (HR 0.86, P=.09), and it does not show that testing changes outcomes. A germline result still drives cascade testing of relatives, which is a separate benefit from the treatment decision.</w:t>
      </w:r>
    </w:p>
    <w:p>
      <w:pPr>
        <w:spacing w:after="60" w:line="276"/>
        <w:ind w:left="240"/>
      </w:pPr>
      <w:r>
        <w:rPr>
          <w:color w:val="5A6069"/>
          <w:sz w:val="16"/>
          <w:szCs w:val="16"/>
        </w:rPr>
        <w:t xml:space="preserve">Sources: Hu 2018 germline</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Treat CA 19-9 as a baseline measurement whose value depends on the bilirubin and the patient's Lewis antigen status, not as a diagnostic test.</w:t>
      </w:r>
    </w:p>
    <w:p>
      <w:pPr>
        <w:spacing w:after="50" w:line="276"/>
        <w:ind w:left="240"/>
      </w:pPr>
      <w:r>
        <w:rPr>
          <w:color w:val="15181F"/>
          <w:sz w:val="18"/>
          <w:szCs w:val="18"/>
        </w:rPr>
        <w:t xml:space="preserve">Draw it once the biliary tree is decompressed and record the bilirubin alongside it, so the number can be compared with later ones. It is most useful as a trajectory under treatment and as one of the three response metrics after neoadjuvant therapy.</w:t>
      </w:r>
    </w:p>
    <w:p>
      <w:pPr>
        <w:spacing w:after="50"/>
        <w:ind w:left="240"/>
      </w:pPr>
      <w:r>
        <w:rPr>
          <w:b/>
          <w:bCs/>
          <w:color w:val="8C2F26"/>
          <w:sz w:val="18"/>
          <w:szCs w:val="18"/>
        </w:rPr>
        <w:t xml:space="preserve">Caveat. </w:t>
      </w:r>
      <w:r>
        <w:rPr>
          <w:color w:val="15181F"/>
          <w:sz w:val="18"/>
          <w:szCs w:val="18"/>
        </w:rPr>
        <w:t xml:space="preserve">An elevated CA 19-9 does not indicate cancer or advanced disease — it rises with biliary obstruction, cholangitis and benign or malignant inflammation. It is undetectable in Lewis-antigen-negative individuals, in whom NCCN suggests obtaining CEA and CA-125 instead.</w:t>
      </w:r>
    </w:p>
    <w:p>
      <w:pPr>
        <w:spacing w:after="50" w:line="276"/>
        <w:ind w:left="240"/>
      </w:pPr>
      <w:r>
        <w:rPr>
          <w:i/>
          <w:iCs/>
          <w:color w:val="5A6069"/>
          <w:sz w:val="17"/>
          <w:szCs w:val="17"/>
        </w:rPr>
        <w:t xml:space="preserve">NCCN grades surveillance CA 19-9 after resection as category 2B, and states there are no data that a rising marker leads to earlier intervention or better outcomes. Treat the two uses — baseline and surveillance — as separate questions. The one place CA 19-9 has randomised-adjacent support is as a response measure: ESMO's 2023 guideline cites a pooled analysis of 17 studies and 2,242 patients in which a fall of more than 50% or normalisation after neoadjuvant treatment was associated with better overall survival (P&lt;0.0001).</w:t>
      </w:r>
    </w:p>
    <w:p>
      <w:pPr>
        <w:spacing w:after="60" w:line="276"/>
        <w:ind w:left="240"/>
      </w:pPr>
      <w:r>
        <w:rPr>
          <w:color w:val="5A6069"/>
          <w:sz w:val="16"/>
          <w:szCs w:val="16"/>
        </w:rPr>
        <w:t xml:space="preserve">Sources: ESMO 2023 pancreatic</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Pancreas-protocol MRI with contrast as an adjunct to CT, not a replacement for it.</w:t>
      </w:r>
    </w:p>
    <w:p>
      <w:pPr>
        <w:spacing w:after="50" w:line="276"/>
        <w:ind w:left="240"/>
      </w:pPr>
      <w:r>
        <w:rPr>
          <w:color w:val="15181F"/>
          <w:sz w:val="18"/>
          <w:szCs w:val="18"/>
        </w:rPr>
        <w:t xml:space="preserve">Three situations: a CT-indeterminate liver lesion, a suspected tumour not visible on CT (the isoattenuating tumour, which the template asks to be reported as non-measurable), and iodinated contrast allergy. The protocol is axial T2 single-shot fast spin echo, in- and opposed-phase gradient echo, fat-suppressed T2, diffusion-weighted imaging, dynamic post-contrast 3D fat-suppressed gradient echo in pancreatic, portal venous and equilibrium phases at 2–3 mm, and coronal MRCP under 3 mm.</w:t>
      </w:r>
    </w:p>
    <w:p>
      <w:pPr>
        <w:spacing w:after="50"/>
        <w:ind w:left="240"/>
      </w:pPr>
      <w:r>
        <w:rPr>
          <w:b/>
          <w:bCs/>
          <w:color w:val="8C2F26"/>
          <w:sz w:val="18"/>
          <w:szCs w:val="18"/>
        </w:rPr>
        <w:t xml:space="preserve">Caveat. </w:t>
      </w:r>
      <w:r>
        <w:rPr>
          <w:color w:val="15181F"/>
          <w:sz w:val="18"/>
          <w:szCs w:val="18"/>
        </w:rPr>
        <w:t xml:space="preserve">Do not substitute MRI for the arterial and venous assessment the pancreas-protocol CT provides, and do not read unenhanced MRI as a staging study — NCCN reserves it for renal failure or a gadolinium contraindication when enhanced CT also cannot be obtained.</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FDG-PET/CT or PET/MRI after the pancreas-protocol CT in patients with high-risk features, to look for extrapancreatic metastases.</w:t>
      </w:r>
    </w:p>
    <w:p>
      <w:pPr>
        <w:spacing w:after="50" w:line="276"/>
        <w:ind w:left="240"/>
      </w:pPr>
      <w:r>
        <w:rPr>
          <w:color w:val="15181F"/>
          <w:sz w:val="18"/>
          <w:szCs w:val="18"/>
        </w:rPr>
        <w:t xml:space="preserve">NCCN defines high-risk features as equivocal or indeterminate imaging findings, markedly elevated CA 19-9, a large primary tumour, or large regional lymph nodes. PET before and after starting neoadjuvant therapy also gives the metabolic arm of the three-metric response assessment.</w:t>
      </w:r>
    </w:p>
    <w:p>
      <w:pPr>
        <w:spacing w:after="50"/>
        <w:ind w:left="240"/>
      </w:pPr>
      <w:r>
        <w:rPr>
          <w:b/>
          <w:bCs/>
          <w:color w:val="8C2F26"/>
          <w:sz w:val="18"/>
          <w:szCs w:val="18"/>
        </w:rPr>
        <w:t xml:space="preserve">Caveat. </w:t>
      </w:r>
      <w:r>
        <w:rPr>
          <w:color w:val="15181F"/>
          <w:sz w:val="18"/>
          <w:szCs w:val="18"/>
        </w:rPr>
        <w:t xml:space="preserve">It is not a substitute for high-quality contrast-enhanced CT and does not belong in routine staging. Order it to answer a question, and name the question.</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EUS in selected cases where it is complementary to CT — but not as a routine staging tool.</w:t>
      </w:r>
    </w:p>
    <w:p>
      <w:pPr>
        <w:spacing w:after="50" w:line="276"/>
        <w:ind w:left="240"/>
      </w:pPr>
      <w:r>
        <w:rPr>
          <w:color w:val="15181F"/>
          <w:sz w:val="18"/>
          <w:szCs w:val="18"/>
        </w:rPr>
        <w:t xml:space="preserve">Separating a benign from a malignant stricture, evaluating a periampullary mass, and characterising a cystic lesion. Across 20 studies and 726 cases, EUS had sensitivity 0.72 and specificity 0.90 for T1–2 and 0.90 and 0.72 for T3–4.</w:t>
      </w:r>
    </w:p>
    <w:p>
      <w:pPr>
        <w:spacing w:after="50"/>
        <w:ind w:left="240"/>
      </w:pPr>
      <w:r>
        <w:rPr>
          <w:b/>
          <w:bCs/>
          <w:color w:val="8C2F26"/>
          <w:sz w:val="18"/>
          <w:szCs w:val="18"/>
        </w:rPr>
        <w:t xml:space="preserve">Caveat. </w:t>
      </w:r>
      <w:r>
        <w:rPr>
          <w:color w:val="15181F"/>
          <w:sz w:val="18"/>
          <w:szCs w:val="18"/>
        </w:rPr>
        <w:t xml:space="preserve">The T-stage figures are not good enough to overturn a protocol CT, and the procedure is operator dependent. Where EUS is being done anyway, combine it with ERCP in one anaesthetic — see the tissue and drainage gate.</w:t>
      </w:r>
    </w:p>
    <w:p>
      <w:pPr>
        <w:spacing w:after="50" w:line="276"/>
        <w:ind w:left="240"/>
      </w:pPr>
      <w:r>
        <w:rPr>
          <w:i/>
          <w:iCs/>
          <w:color w:val="5A6069"/>
          <w:sz w:val="17"/>
          <w:szCs w:val="17"/>
        </w:rPr>
        <w:t xml:space="preserve">The sensitivity and specificity figures are carried in the NCCN discussion text supplied to this page, not in any paper read in full for this depot; the primary reports were not retrieved.</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let a stent be placed before the staging scan in a patient who is not septic and whose bilirubin is not rising.</w:t>
      </w:r>
    </w:p>
    <w:p>
      <w:pPr>
        <w:spacing w:after="50" w:line="276"/>
        <w:ind w:left="240"/>
      </w:pPr>
      <w:r>
        <w:rPr>
          <w:color w:val="15181F"/>
          <w:sz w:val="18"/>
          <w:szCs w:val="18"/>
        </w:rPr>
        <w:t xml:space="preserve">Where urgent decompression is unavoidable, document why, and complete pancreas-protocol imaging promptly afterwards.</w:t>
      </w:r>
    </w:p>
    <w:p>
      <w:pPr>
        <w:spacing w:after="50"/>
        <w:ind w:left="240"/>
      </w:pPr>
      <w:r>
        <w:rPr>
          <w:b/>
          <w:bCs/>
          <w:color w:val="8C2F26"/>
          <w:sz w:val="18"/>
          <w:szCs w:val="18"/>
        </w:rPr>
        <w:t xml:space="preserve">Caveat. </w:t>
      </w:r>
      <w:r>
        <w:rPr>
          <w:color w:val="15181F"/>
          <w:sz w:val="18"/>
          <w:szCs w:val="18"/>
        </w:rPr>
        <w:t xml:space="preserve">Drainage is not routinely recommended before planned upfront surgery, so a stent placed for convenience buys a procedure, its complications, and a degraded baseline CA 19-9, for no benefit.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call a scan negative for metastases and treat that as proof.</w:t>
      </w:r>
    </w:p>
    <w:p>
      <w:pPr>
        <w:spacing w:after="50" w:line="276"/>
        <w:ind w:left="240"/>
      </w:pPr>
      <w:r>
        <w:rPr>
          <w:color w:val="15181F"/>
          <w:sz w:val="18"/>
          <w:szCs w:val="18"/>
        </w:rPr>
        <w:t xml:space="preserve">Say what the scan can and cannot exclude, and decide at the board whether staging laparoscopy or PET is worth adding in this patient.</w:t>
      </w:r>
    </w:p>
    <w:p>
      <w:pPr>
        <w:spacing w:after="50"/>
        <w:ind w:left="240"/>
      </w:pPr>
      <w:r>
        <w:rPr>
          <w:b/>
          <w:bCs/>
          <w:color w:val="8C2F26"/>
          <w:sz w:val="18"/>
          <w:szCs w:val="18"/>
        </w:rPr>
        <w:t xml:space="preserve">Caveat. </w:t>
      </w:r>
      <w:r>
        <w:rPr>
          <w:color w:val="15181F"/>
          <w:sz w:val="18"/>
          <w:szCs w:val="18"/>
        </w:rPr>
        <w:t xml:space="preserve">CT sensitivity for small hepatic and peritoneal metastases is limited, and the resectability criteria are deliberately built to favour specificity over sensitivity so that no resectable patient is denied an operation. That design means occult metastatic disease is expected, not surprising.</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1 · Assign the resectability category</w:t>
      </w:r>
    </w:p>
    <w:p>
      <w:pPr>
        <w:spacing w:after="140"/>
      </w:pPr>
      <w:r>
        <w:rPr>
          <w:b/>
          <w:bCs/>
          <w:color w:val="176A87"/>
          <w:sz w:val="19"/>
          <w:szCs w:val="19"/>
        </w:rPr>
        <w:t xml:space="preserve">The question. </w:t>
      </w:r>
      <w:r>
        <w:rPr>
          <w:sz w:val="19"/>
          <w:szCs w:val="19"/>
        </w:rPr>
        <w:t xml:space="preserve">Which of the four boxes is this patient in, and who agreed it?</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Arterial contact stated in degrees against the celiac axis, superior mesenteric artery and common hepatic artery</w:t>
      </w:r>
    </w:p>
    <w:p>
      <w:pPr>
        <w:pStyle w:val="ListParagraph"/>
        <w:numPr>
          <w:ilvl w:val="0"/>
          <w:numId w:val="2"/>
        </w:numPr>
        <w:spacing w:after="60" w:line="268"/>
      </w:pPr>
      <w:r>
        <w:rPr>
          <w:color w:val="15181F"/>
          <w:sz w:val="18"/>
          <w:szCs w:val="18"/>
        </w:rPr>
        <w:t xml:space="preserve">Venous contact stated in degrees against the SMV and portal vein, with contour irregularity and thrombosis recorded separately</w:t>
      </w:r>
    </w:p>
    <w:p>
      <w:pPr>
        <w:pStyle w:val="ListParagraph"/>
        <w:numPr>
          <w:ilvl w:val="0"/>
          <w:numId w:val="2"/>
        </w:numPr>
        <w:spacing w:after="60" w:line="268"/>
      </w:pPr>
      <w:r>
        <w:rPr>
          <w:color w:val="15181F"/>
          <w:sz w:val="18"/>
          <w:szCs w:val="18"/>
        </w:rPr>
        <w:t xml:space="preserve">Variant arterial anatomy named, with the degree of contact if present</w:t>
      </w:r>
    </w:p>
    <w:p>
      <w:pPr>
        <w:pStyle w:val="ListParagraph"/>
        <w:numPr>
          <w:ilvl w:val="0"/>
          <w:numId w:val="2"/>
        </w:numPr>
        <w:spacing w:after="60" w:line="268"/>
      </w:pPr>
      <w:r>
        <w:rPr>
          <w:color w:val="15181F"/>
          <w:sz w:val="18"/>
          <w:szCs w:val="18"/>
        </w:rPr>
        <w:t xml:space="preserve">No distant metastasis, including non-regional nodal metastasis</w:t>
      </w:r>
    </w:p>
    <w:p>
      <w:pPr>
        <w:pStyle w:val="ListParagraph"/>
        <w:numPr>
          <w:ilvl w:val="0"/>
          <w:numId w:val="2"/>
        </w:numPr>
        <w:spacing w:after="60" w:line="268"/>
      </w:pPr>
      <w:r>
        <w:rPr>
          <w:color w:val="15181F"/>
          <w:sz w:val="18"/>
          <w:szCs w:val="18"/>
        </w:rPr>
        <w:t xml:space="preserve">The category agreed by consensus at a multidisciplinary meeting, not assigned by one reader</w:t>
      </w:r>
    </w:p>
    <w:p>
      <w:pPr>
        <w:pStyle w:val="ListParagraph"/>
        <w:numPr>
          <w:ilvl w:val="0"/>
          <w:numId w:val="2"/>
        </w:numPr>
        <w:spacing w:after="60" w:line="268"/>
      </w:pPr>
      <w:r>
        <w:rPr>
          <w:color w:val="15181F"/>
          <w:sz w:val="18"/>
          <w:szCs w:val="18"/>
        </w:rPr>
        <w:t xml:space="preserve">Someone has asked whether this scan would survive a central review, because roughly a third of patients called resectable by their own centres do not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Place the patient in exactly one of resectable, borderline resectable, locally advanced or metastatic, by consensus at a multidisciplinary meeting, using the stated degrees of contact.</w:t>
      </w:r>
    </w:p>
    <w:p>
      <w:pPr>
        <w:spacing w:after="50" w:line="276"/>
        <w:ind w:left="240"/>
      </w:pPr>
      <w:r>
        <w:rPr>
          <w:color w:val="15181F"/>
          <w:sz w:val="18"/>
          <w:szCs w:val="18"/>
        </w:rPr>
        <w:t xml:space="preserve">Every non-metastatic patient, before any treatment is offered, because every later gate on this page hangs off which box was ticked. The thresholds are in the quick reference. NCCN is explicit that decisions about resectability status should be made in consensus at multidisciplinary meetings, and ESMO's 2023 guideline asks for the anatomical NCCN criteria to be read alongside the biological and conditional features of the International Association of Pancreatology consensus [III, B], with board discussion in an expert centre [III, A].</w:t>
      </w:r>
    </w:p>
    <w:p>
      <w:pPr>
        <w:spacing w:after="50"/>
        <w:ind w:left="240"/>
      </w:pPr>
      <w:r>
        <w:rPr>
          <w:b/>
          <w:bCs/>
          <w:color w:val="8C2F26"/>
          <w:sz w:val="18"/>
          <w:szCs w:val="18"/>
        </w:rPr>
        <w:t xml:space="preserve">Caveat. </w:t>
      </w:r>
      <w:r>
        <w:rPr>
          <w:color w:val="15181F"/>
          <w:sz w:val="18"/>
          <w:szCs w:val="18"/>
        </w:rPr>
        <w:t xml:space="preserve">Do not treat the thresholds as biologically derived. The 180-degree cut-point was adopted into the Society of Abdominal Radiology and American Pancreatic Association consensus reporting statement from the NCCN criteria of the time rather than derived or validated in it, no outcome study derived it, no inter-reader reproducibility data for measuring circumferential contact were presented with it, and the criteria for resectable disease were deliberately written to favour specificity over sensitivity so that a potentially resectable patient is not denied an operation. They are a shared language, not a prognostic model.</w:t>
      </w:r>
    </w:p>
    <w:p>
      <w:pPr>
        <w:spacing w:after="50" w:line="276"/>
        <w:ind w:left="240"/>
      </w:pPr>
      <w:r>
        <w:rPr>
          <w:i/>
          <w:iCs/>
          <w:color w:val="5A6069"/>
          <w:sz w:val="17"/>
          <w:szCs w:val="17"/>
        </w:rPr>
        <w:t xml:space="preserve">Downgraded to D: the category is assigned against a consensus threshold nobody derived. It is also assigned less reliably than the page previously implied. In SWOG S1505, which required formal surgical consultation plus a resectability checklist at 20-plus experienced US centres, central radiology review found 43 of 146 patients (29%) did not meet the trial's resectability criteria — 22 (51%) had arterial interface, 15 (35%) venous interface of 180 degrees or more and 28 (65%) suspicion of distant disease — and all of them had already started protocol therapy. After neoadjuvant therapy, solid tumour contact may be replaced by increased hazy density or stranding around the peripancreatic vessels; NCCN asks for this to be reported on both the staging and the follow-up scans so that the two are comparable.</w:t>
      </w:r>
    </w:p>
    <w:p>
      <w:pPr>
        <w:spacing w:after="60" w:line="276"/>
        <w:ind w:left="240"/>
      </w:pPr>
      <w:r>
        <w:rPr>
          <w:color w:val="5A6069"/>
          <w:sz w:val="16"/>
          <w:szCs w:val="16"/>
        </w:rPr>
        <w:t xml:space="preserve">Sources: SAR/APA template; SWOG S1505; ESMO 2023 pancreatic</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 distant metastasis, including a non-regional nodal metastasis, takes upfront resection off the table regardless of how favourable the local anatomy is.</w:t>
      </w:r>
    </w:p>
    <w:p>
      <w:pPr>
        <w:spacing w:after="50" w:line="276"/>
        <w:ind w:left="240"/>
      </w:pPr>
      <w:r>
        <w:rPr>
          <w:color w:val="15181F"/>
          <w:sz w:val="18"/>
          <w:szCs w:val="18"/>
        </w:rPr>
        <w:t xml:space="preserve">State this at the board before the anatomy is discussed, so the discussion does not drift into an operative plan for a stage IV patient.</w:t>
      </w:r>
    </w:p>
    <w:p>
      <w:pPr>
        <w:spacing w:after="50"/>
        <w:ind w:left="240"/>
      </w:pPr>
      <w:r>
        <w:rPr>
          <w:b/>
          <w:bCs/>
          <w:color w:val="8C2F26"/>
          <w:sz w:val="18"/>
          <w:szCs w:val="18"/>
        </w:rPr>
        <w:t xml:space="preserve">Caveat. </w:t>
      </w:r>
      <w:r>
        <w:rPr>
          <w:color w:val="15181F"/>
          <w:sz w:val="18"/>
          <w:szCs w:val="18"/>
        </w:rPr>
        <w:t xml:space="preserve">Do not let a technically beautiful local picture pull a metastatic patient toward resection. NCCN's footnote is unambiguous: distant metastasis, regardless of anatomic resectability, implies disease that should not be treated with upfront resection.</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Positive cytology from washings taken at laparoscopy or laparotomy is equivalent to M1 disease — and if a resection has already been done, the patient is treated for M1 disease.</w:t>
      </w:r>
    </w:p>
    <w:p>
      <w:pPr>
        <w:spacing w:after="50" w:line="276"/>
        <w:ind w:left="240"/>
      </w:pPr>
      <w:r>
        <w:rPr>
          <w:color w:val="15181F"/>
          <w:sz w:val="18"/>
          <w:szCs w:val="18"/>
        </w:rPr>
        <w:t xml:space="preserve">Send washings whenever the abdomen is entered for staging or resection, and record the result in the operative note so the oncologist does not have to ask for it.</w:t>
      </w:r>
    </w:p>
    <w:p>
      <w:pPr>
        <w:spacing w:after="50"/>
        <w:ind w:left="240"/>
      </w:pPr>
      <w:r>
        <w:rPr>
          <w:b/>
          <w:bCs/>
          <w:color w:val="8C2F26"/>
          <w:sz w:val="18"/>
          <w:szCs w:val="18"/>
        </w:rPr>
        <w:t xml:space="preserve">Caveat. </w:t>
      </w:r>
      <w:r>
        <w:rPr>
          <w:color w:val="15181F"/>
          <w:sz w:val="18"/>
          <w:szCs w:val="18"/>
        </w:rPr>
        <w:t xml:space="preserve">Do not treat a positive washing as a technical curiosity in an otherwise successful resection. It changes the postoperative pathway from adjuvant to metastatic.</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Selective staging laparoscopy, with intraoperative ultrasound as an adjunct, where occult metastatic disease is suspected on imaging or clinical grounds.</w:t>
      </w:r>
    </w:p>
    <w:p>
      <w:pPr>
        <w:spacing w:after="50" w:line="276"/>
        <w:ind w:left="240"/>
      </w:pPr>
      <w:r>
        <w:rPr>
          <w:color w:val="15181F"/>
          <w:sz w:val="18"/>
          <w:szCs w:val="18"/>
        </w:rPr>
        <w:t xml:space="preserve">Body and tail lesions, equivocal peritoneal or hepatic findings, markedly elevated CA 19-9, and before committing a patient to a long neoadjuvant course. Avoiding an unnecessary laparotomy is achievable in an estimated 23% of patients planned for curative-intent surgery. In a prospective review of 838 patients judged resectable on imaging, 14% were unresectable at laparoscopy — 21% when only pancreatic adenocarcinoma was counted. Preoperative CA 19-9 above 100 U/mL, or above 215 U/mL, is associated with a greater likelihood of a positive finding.</w:t>
      </w:r>
    </w:p>
    <w:p>
      <w:pPr>
        <w:spacing w:after="50"/>
        <w:ind w:left="240"/>
      </w:pPr>
      <w:r>
        <w:rPr>
          <w:b/>
          <w:bCs/>
          <w:color w:val="8C2F26"/>
          <w:sz w:val="18"/>
          <w:szCs w:val="18"/>
        </w:rPr>
        <w:t xml:space="preserve">Caveat. </w:t>
      </w:r>
      <w:r>
        <w:rPr>
          <w:color w:val="15181F"/>
          <w:sz w:val="18"/>
          <w:szCs w:val="18"/>
        </w:rPr>
        <w:t xml:space="preserve">NCCN does not regard staging laparoscopy as a substitute for poor-quality preoperative imaging, and routine use remains controversial. Its yield depends entirely on how good the CT was and how likely metastatic disease is in that patient.</w:t>
      </w:r>
    </w:p>
    <w:p>
      <w:pPr>
        <w:spacing w:after="50" w:line="276"/>
        <w:ind w:left="240"/>
      </w:pPr>
      <w:r>
        <w:rPr>
          <w:i/>
          <w:iCs/>
          <w:color w:val="5A6069"/>
          <w:sz w:val="17"/>
          <w:szCs w:val="17"/>
        </w:rPr>
        <w:t xml:space="preserve">The concern that laparoscopy promotes trocar-site recurrence and peritoneal progression rests on clinical observation and on animal and in vitro data; the one retrospective study addressing it (n=235) found no significant association with poor outcomes. That is weak evidence in both directions. Laparoscopy can be repeated after neoadjuvant chemotherapy, before planned chemoradiation or surgery. Note that in PREOPANC staging laparoscopy was mandatory in the neoadjuvant arm (114 of 119) and discretionary in the surgery arm, and 13 of the 28 patients who never started neoadjuvant treatment were found metastatic at that laparoscopy — which is both a demonstration of its yield and the reason that trial's R0 and nodal comparisons are not symmetrical. [EXPERTISE]</w:t>
      </w:r>
    </w:p>
    <w:p>
      <w:pPr>
        <w:spacing w:after="60" w:line="276"/>
        <w:ind w:left="240"/>
      </w:pPr>
      <w:r>
        <w:rPr>
          <w:color w:val="5A6069"/>
          <w:sz w:val="16"/>
          <w:szCs w:val="16"/>
        </w:rPr>
        <w:t xml:space="preserve">Sources: PREOPANC long-term</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Use the term </w:t>
      </w:r>
      <w:r>
        <w:rPr>
          <w:i/>
          <w:iCs/>
          <w:color w:val="15181F"/>
          <w:sz w:val="19"/>
          <w:szCs w:val="19"/>
        </w:rPr>
        <w:t xml:space="preserve">locally advanced</w:t>
      </w:r>
      <w:r>
        <w:rPr>
          <w:color w:val="15181F"/>
          <w:sz w:val="19"/>
          <w:szCs w:val="19"/>
        </w:rPr>
        <w:t xml:space="preserve"> only at the time of initial diagnosis, and say so when you use it.</w:t>
      </w:r>
    </w:p>
    <w:p>
      <w:pPr>
        <w:spacing w:after="50" w:line="276"/>
        <w:ind w:left="240"/>
      </w:pPr>
      <w:r>
        <w:rPr>
          <w:color w:val="15181F"/>
          <w:sz w:val="18"/>
          <w:szCs w:val="18"/>
        </w:rPr>
        <w:t xml:space="preserve">NCCN states the term should only be used at diagnosis, that locally advanced does not imply unresectable tumour, and that once any neoadjuvant therapy has been delivered the criteria for resection should be based on the biological response to treatment.</w:t>
      </w:r>
    </w:p>
    <w:p>
      <w:pPr>
        <w:spacing w:after="50"/>
        <w:ind w:left="240"/>
      </w:pPr>
      <w:r>
        <w:rPr>
          <w:b/>
          <w:bCs/>
          <w:color w:val="8C2F26"/>
          <w:sz w:val="18"/>
          <w:szCs w:val="18"/>
        </w:rPr>
        <w:t xml:space="preserve">Caveat. </w:t>
      </w:r>
      <w:r>
        <w:rPr>
          <w:color w:val="15181F"/>
          <w:sz w:val="18"/>
          <w:szCs w:val="18"/>
        </w:rPr>
        <w:t xml:space="preserve">A label applied at diagnosis and never revisited is the commonest way a patient who could have been operated on is not. Where there is a response, a second opinion at a centre with expertise in vascular resection and reconstruction is recommended even if the tumour is still called technically unresectable.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close the case on one radiologist's word </w:t>
      </w:r>
      <w:r>
        <w:rPr>
          <w:i/>
          <w:iCs/>
          <w:color w:val="15181F"/>
          <w:sz w:val="19"/>
          <w:szCs w:val="19"/>
        </w:rPr>
        <w:t xml:space="preserve">unresectable</w:t>
      </w:r>
      <w:r>
        <w:rPr>
          <w:color w:val="15181F"/>
          <w:sz w:val="19"/>
          <w:szCs w:val="19"/>
        </w:rPr>
        <w:t xml:space="preserve">.</w:t>
      </w:r>
    </w:p>
    <w:p>
      <w:pPr>
        <w:spacing w:after="50" w:line="276"/>
        <w:ind w:left="240"/>
      </w:pPr>
      <w:r>
        <w:rPr>
          <w:color w:val="15181F"/>
          <w:sz w:val="18"/>
          <w:szCs w:val="18"/>
        </w:rPr>
        <w:t xml:space="preserve">Send it to the board with the degrees of contact, and record who agreed the category and on what date.</w:t>
      </w:r>
    </w:p>
    <w:p>
      <w:pPr>
        <w:spacing w:after="50"/>
        <w:ind w:left="240"/>
      </w:pPr>
      <w:r>
        <w:rPr>
          <w:b/>
          <w:bCs/>
          <w:color w:val="8C2F26"/>
          <w:sz w:val="18"/>
          <w:szCs w:val="18"/>
        </w:rPr>
        <w:t xml:space="preserve">Caveat. </w:t>
      </w:r>
      <w:r>
        <w:rPr>
          <w:color w:val="15181F"/>
          <w:sz w:val="18"/>
          <w:szCs w:val="18"/>
        </w:rPr>
        <w:t xml:space="preserve">This is a sequence and governance error rather than a judgement call: the guideline requires multidisciplinary consensus, and a single-reader determination removes the patient from every curative gate without one.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re-stage off a post-neoadjuvant scan alone and declare the operation off.</w:t>
      </w:r>
    </w:p>
    <w:p>
      <w:pPr>
        <w:spacing w:after="50" w:line="276"/>
        <w:ind w:left="240"/>
      </w:pPr>
      <w:r>
        <w:rPr>
          <w:color w:val="15181F"/>
          <w:sz w:val="18"/>
          <w:szCs w:val="18"/>
        </w:rPr>
        <w:t xml:space="preserve">Judge response on at least two of three metrics — radiologic, biochemical, metabolic — and explore if there is no extrapancreatic progression.</w:t>
      </w:r>
    </w:p>
    <w:p>
      <w:pPr>
        <w:spacing w:after="50"/>
        <w:ind w:left="240"/>
      </w:pPr>
      <w:r>
        <w:rPr>
          <w:b/>
          <w:bCs/>
          <w:color w:val="8C2F26"/>
          <w:sz w:val="18"/>
          <w:szCs w:val="18"/>
        </w:rPr>
        <w:t xml:space="preserve">Caveat. </w:t>
      </w:r>
      <w:r>
        <w:rPr>
          <w:color w:val="15181F"/>
          <w:sz w:val="18"/>
          <w:szCs w:val="18"/>
        </w:rPr>
        <w:t xml:space="preserve">Retrospective studies show that radiographic response does not correlate with pathologic response or with margin-negative resection in borderline resectable disease, and that imaging characteristics are an unreliable indicator of resectability after neoadjuvant therapy. NCCN's own instruction is that if no apparent tumour shrinkage is seen and there is no extrapancreatic progression, surgery should still be attempted.</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Tissue and drainage, in one anaesthetic</w:t>
      </w:r>
    </w:p>
    <w:p>
      <w:pPr>
        <w:spacing w:after="140"/>
      </w:pPr>
      <w:r>
        <w:rPr>
          <w:b/>
          <w:bCs/>
          <w:color w:val="176A87"/>
          <w:sz w:val="19"/>
          <w:szCs w:val="19"/>
        </w:rPr>
        <w:t xml:space="preserve">The question. </w:t>
      </w:r>
      <w:r>
        <w:rPr>
          <w:sz w:val="19"/>
          <w:szCs w:val="19"/>
        </w:rPr>
        <w:t xml:space="preserve">Does this patient need tissue before I operate, and if they need a stent, which stent and for how long?</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Obstructive jaundice with cholangitis, fever, or intense pruritus</w:t>
      </w:r>
    </w:p>
    <w:p>
      <w:pPr>
        <w:pStyle w:val="ListParagraph"/>
        <w:numPr>
          <w:ilvl w:val="0"/>
          <w:numId w:val="2"/>
        </w:numPr>
        <w:spacing w:after="60" w:line="268"/>
      </w:pPr>
      <w:r>
        <w:rPr>
          <w:color w:val="15181F"/>
          <w:sz w:val="18"/>
          <w:szCs w:val="18"/>
        </w:rPr>
        <w:t xml:space="preserve">Neoadjuvant therapy planned, or the operation delayed for any reason</w:t>
      </w:r>
    </w:p>
    <w:p>
      <w:pPr>
        <w:pStyle w:val="ListParagraph"/>
        <w:numPr>
          <w:ilvl w:val="0"/>
          <w:numId w:val="2"/>
        </w:numPr>
        <w:spacing w:after="60" w:line="268"/>
      </w:pPr>
      <w:r>
        <w:rPr>
          <w:color w:val="15181F"/>
          <w:sz w:val="18"/>
          <w:szCs w:val="18"/>
        </w:rPr>
        <w:t xml:space="preserve">A tissue diagnosis is required because the next treatment is not an operation</w:t>
      </w:r>
    </w:p>
    <w:p>
      <w:pPr>
        <w:pStyle w:val="ListParagraph"/>
        <w:numPr>
          <w:ilvl w:val="0"/>
          <w:numId w:val="2"/>
        </w:numPr>
        <w:spacing w:after="60" w:line="268"/>
      </w:pPr>
      <w:r>
        <w:rPr>
          <w:color w:val="15181F"/>
          <w:sz w:val="18"/>
          <w:szCs w:val="18"/>
        </w:rPr>
        <w:t xml:space="preserve">The diagnosis is uncertain and a removable stent would preserve the option of re-biopsy</w:t>
      </w:r>
    </w:p>
    <w:p>
      <w:pPr>
        <w:pStyle w:val="ListParagraph"/>
        <w:numPr>
          <w:ilvl w:val="0"/>
          <w:numId w:val="2"/>
        </w:numPr>
        <w:spacing w:after="60" w:line="268"/>
      </w:pPr>
      <w:r>
        <w:rPr>
          <w:color w:val="15181F"/>
          <w:sz w:val="18"/>
          <w:szCs w:val="18"/>
        </w:rPr>
        <w:t xml:space="preserve">Metastatic disease, where enough tissue for next-generation sequencing is itself an indication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In a patient going straight to resection with a high clinical suspicion, do not wait for tissue — biopsy proof of malignancy is not required before resection, and a non-diagnostic biopsy should not delay it.</w:t>
      </w:r>
    </w:p>
    <w:p>
      <w:pPr>
        <w:spacing w:after="50" w:line="276"/>
        <w:ind w:left="240"/>
      </w:pPr>
      <w:r>
        <w:rPr>
          <w:color w:val="15181F"/>
          <w:sz w:val="18"/>
          <w:szCs w:val="18"/>
        </w:rPr>
        <w:t xml:space="preserve">A pancreas-protocol CT showing a resectable mass with no alternative explanation, in a fit patient, where the operative plan would not change whatever the needle showed.</w:t>
      </w:r>
    </w:p>
    <w:p>
      <w:pPr>
        <w:spacing w:after="50"/>
        <w:ind w:left="240"/>
      </w:pPr>
      <w:r>
        <w:rPr>
          <w:b/>
          <w:bCs/>
          <w:color w:val="8C2F26"/>
          <w:sz w:val="18"/>
          <w:szCs w:val="18"/>
        </w:rPr>
        <w:t xml:space="preserve">Caveat. </w:t>
      </w:r>
      <w:r>
        <w:rPr>
          <w:color w:val="15181F"/>
          <w:sz w:val="18"/>
          <w:szCs w:val="18"/>
        </w:rPr>
        <w:t xml:space="preserve">Do not carry this permission into any other setting. A pathologic diagnosis is necessary before neoadjuvant therapy, and for locally advanced, borderline resectable and metastatic disease — which is to say for almost everybody who is not going directly to theatre.</w:t>
      </w:r>
    </w:p>
    <w:p>
      <w:pPr>
        <w:spacing w:after="50" w:line="276"/>
        <w:ind w:left="240"/>
      </w:pPr>
      <w:r>
        <w:rPr>
          <w:i/>
          <w:iCs/>
          <w:color w:val="5A6069"/>
          <w:sz w:val="17"/>
          <w:szCs w:val="17"/>
        </w:rPr>
        <w:t xml:space="preserve">Treated as a licence to skip tissue in a borderline resectable patient, this becomes the error that starts chemotherapy without a diagnosis.</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EUS-guided needle biopsy with a latest-generation core needle is the preferred route, and the extra passes are taken at the same sitting and banked.</w:t>
      </w:r>
    </w:p>
    <w:p>
      <w:pPr>
        <w:spacing w:after="50" w:line="276"/>
        <w:ind w:left="240"/>
      </w:pPr>
      <w:r>
        <w:rPr>
          <w:color w:val="15181F"/>
          <w:sz w:val="18"/>
          <w:szCs w:val="18"/>
        </w:rPr>
        <w:t xml:space="preserve">Every patient who needs tissue and has non-metastatic disease. NCCN prefers EUS over CT-guided biopsy for better diagnostic yield, better safety, and potentially lower risk of peritoneal seeding than the percutaneous approach. Two extra needle passes beyond the diagnostic passes should be taken where safe and feasible and stored for future next-generation sequencing.</w:t>
      </w:r>
    </w:p>
    <w:p>
      <w:pPr>
        <w:spacing w:after="50"/>
        <w:ind w:left="240"/>
      </w:pPr>
      <w:r>
        <w:rPr>
          <w:b/>
          <w:bCs/>
          <w:color w:val="8C2F26"/>
          <w:sz w:val="18"/>
          <w:szCs w:val="18"/>
        </w:rPr>
        <w:t xml:space="preserve">Caveat. </w:t>
      </w:r>
      <w:r>
        <w:rPr>
          <w:color w:val="15181F"/>
          <w:sz w:val="18"/>
          <w:szCs w:val="18"/>
        </w:rPr>
        <w:t xml:space="preserve">Biopsy the lesion that will give the highest stage — a liver deposit, not the primary, if both are there — and use image-guided biopsy rather than EUS for liver lesions suspicious for metastasis. Sampling only the primary in a patient with a liver lesion wastes the procedure.</w:t>
      </w:r>
    </w:p>
    <w:p>
      <w:pPr>
        <w:spacing w:after="50" w:line="276"/>
        <w:ind w:left="240"/>
      </w:pPr>
      <w:r>
        <w:rPr>
          <w:i/>
          <w:iCs/>
          <w:color w:val="5A6069"/>
          <w:sz w:val="17"/>
          <w:szCs w:val="17"/>
        </w:rPr>
        <w:t xml:space="preserve">In metastatic disease, obtaining enough tissue for sequencing is part of the indication, not an afterthought. The seeding argument for EUS over the percutaneous route is NCCN's wording — </w:t>
      </w:r>
      <w:r>
        <w:rPr>
          <w:i/>
          <w:iCs/>
          <w:color w:val="5A6069"/>
          <w:sz w:val="17"/>
          <w:szCs w:val="17"/>
        </w:rPr>
        <w:t xml:space="preserve">potentially lower risk</w:t>
      </w:r>
      <w:r>
        <w:rPr>
          <w:i/>
          <w:iCs/>
          <w:color w:val="5A6069"/>
          <w:sz w:val="17"/>
          <w:szCs w:val="17"/>
        </w:rPr>
        <w:t xml:space="preserve"> — and is not a measured rate. [EXPERTISE]</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Where the patient is jaundiced and needs tissue, do the EUS needle biopsy and the ERCP for drainage in the same anaesthesia session.</w:t>
      </w:r>
    </w:p>
    <w:p>
      <w:pPr>
        <w:spacing w:after="50" w:line="276"/>
        <w:ind w:left="240"/>
      </w:pPr>
      <w:r>
        <w:rPr>
          <w:color w:val="15181F"/>
          <w:sz w:val="18"/>
          <w:szCs w:val="18"/>
        </w:rPr>
        <w:t xml:space="preserve">Best practice per NCCN in obstructive jaundice. It saves a procedure, a sedation and usually a week.</w:t>
      </w:r>
    </w:p>
    <w:p>
      <w:pPr>
        <w:spacing w:after="50"/>
        <w:ind w:left="240"/>
      </w:pPr>
      <w:r>
        <w:rPr>
          <w:b/>
          <w:bCs/>
          <w:color w:val="8C2F26"/>
          <w:sz w:val="18"/>
          <w:szCs w:val="18"/>
        </w:rPr>
        <w:t xml:space="preserve">Caveat. </w:t>
      </w:r>
      <w:r>
        <w:rPr>
          <w:color w:val="15181F"/>
          <w:sz w:val="18"/>
          <w:szCs w:val="18"/>
        </w:rPr>
        <w:t xml:space="preserve">Do not split them between services and dates by default; that is how patients accumulate procedures and lose weeks before any treatment starts.</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Biliary drainage is not routinely recommended before an operation that is about to happen — drain for cholangitis or fever, for severely symptomatic jaundice, or because surgery is being delayed, including for neoadjuvant therapy.</w:t>
      </w:r>
    </w:p>
    <w:p>
      <w:pPr>
        <w:spacing w:after="50" w:line="276"/>
        <w:ind w:left="240"/>
      </w:pPr>
      <w:r>
        <w:rPr>
          <w:color w:val="15181F"/>
          <w:sz w:val="18"/>
          <w:szCs w:val="18"/>
        </w:rPr>
        <w:t xml:space="preserve">Where drainage is indicated it is best accomplished with an endoscopically placed stent. For a jaundiced patient going on to neoadjuvant therapy, decompression is necessary before therapy starts; NCCN describes it as well tolerated with minimal increase in perioperative morbidity, and ESMO recommends endoscopic drainage where bilirubin exceeds 250 micromol/L in patients with cholangitis, those planned for neoadjuvant treatment, or those whose surgery will be delayed beyond 2 weeks [I, B].</w:t>
      </w:r>
    </w:p>
    <w:p>
      <w:pPr>
        <w:spacing w:after="50"/>
        <w:ind w:left="240"/>
      </w:pPr>
      <w:r>
        <w:rPr>
          <w:b/>
          <w:bCs/>
          <w:color w:val="8C2F26"/>
          <w:sz w:val="18"/>
          <w:szCs w:val="18"/>
        </w:rPr>
        <w:t xml:space="preserve">Caveat. </w:t>
      </w:r>
      <w:r>
        <w:rPr>
          <w:color w:val="15181F"/>
          <w:sz w:val="18"/>
          <w:szCs w:val="18"/>
        </w:rPr>
        <w:t xml:space="preserve">Routine drainage before an imminent operation causes harm: in a multicentre randomised trial of 202 patients with obstructive jaundice from pancreatic head cancer, serious complications within 120 days occurred in 75 of 102 (74%) of the stented group versus 37 of 94 (39%) with surgery alone, relative risk for surgery alone 0.54 (95% CI 0.41–0.71), P&lt;0.001. Complications attributable to drainage occurred in 47 of 102 (46%) versus 2 of 94 (2%) — cholangitis in 27 (26%), stent exchange needed in 31 (30%), occlusion in 15 (15%), pancreatitis in 7 (7%).</w:t>
      </w:r>
    </w:p>
    <w:p>
      <w:pPr>
        <w:spacing w:after="50" w:line="276"/>
        <w:ind w:left="240"/>
      </w:pPr>
      <w:r>
        <w:rPr>
          <w:i/>
          <w:iCs/>
          <w:color w:val="5A6069"/>
          <w:sz w:val="17"/>
          <w:szCs w:val="17"/>
        </w:rPr>
        <w:t xml:space="preserve">Both halves of that trial matter, and so do its boundaries. Surgical complications did </w:t>
      </w:r>
      <w:r>
        <w:rPr>
          <w:b/>
          <w:bCs/>
          <w:i/>
          <w:iCs/>
          <w:color w:val="5A6069"/>
          <w:sz w:val="17"/>
          <w:szCs w:val="17"/>
        </w:rPr>
        <w:t xml:space="preserve">not</w:t>
      </w:r>
      <w:r>
        <w:rPr>
          <w:i/>
          <w:iCs/>
          <w:color w:val="5A6069"/>
          <w:sz w:val="17"/>
          <w:szCs w:val="17"/>
        </w:rPr>
        <w:t xml:space="preserve"> differ significantly (35 of 94 [37%] versus 48 of 102 [47%], RR 0.79, 95% CI 0.57–1.11), nor did mortality from a protocol-specified complication (4 [4%] versus 9 [9%], RR 0.48, 0.15–1.51) or resection rate (67% versus 56%, P=0.11) — so the excess was in drainage-related events and readmissions rather than in the operation, and the trial does not show that drainage makes a pancreatoduodenectomy safer or less safe. Three limits decide how far it travels. It used </w:t>
      </w:r>
      <w:r>
        <w:rPr>
          <w:b/>
          <w:bCs/>
          <w:i/>
          <w:iCs/>
          <w:color w:val="5A6069"/>
          <w:sz w:val="17"/>
          <w:szCs w:val="17"/>
        </w:rPr>
        <w:t xml:space="preserve">plastic</w:t>
      </w:r>
      <w:r>
        <w:rPr>
          <w:i/>
          <w:iCs/>
          <w:color w:val="5A6069"/>
          <w:sz w:val="17"/>
          <w:szCs w:val="17"/>
        </w:rPr>
        <w:t xml:space="preserve"> stents left for 4 to 6 weeks, which is where the cholangitis and exchange rates come from; bilirubin was capped at 250 micromol/L, excluding the most deeply jaundiced; and neoadjuvant chemotherapy was an </w:t>
      </w:r>
      <w:r>
        <w:rPr>
          <w:b/>
          <w:bCs/>
          <w:i/>
          <w:iCs/>
          <w:color w:val="5A6069"/>
          <w:sz w:val="17"/>
          <w:szCs w:val="17"/>
        </w:rPr>
        <w:t xml:space="preserve">exclusion criterion</w:t>
      </w:r>
      <w:r>
        <w:rPr>
          <w:i/>
          <w:iCs/>
          <w:color w:val="5A6069"/>
          <w:sz w:val="17"/>
          <w:szCs w:val="17"/>
        </w:rPr>
        <w:t xml:space="preserve">, so the trial says nothing about bridging a patient through months of preoperative treatment, which is now the commonest reason to stent. Its control arm also required an operation within one week of diagnosis, guaranteed by dedicated theatre capacity at all 13 hospitals — a unit that cannot deliver that has not got the comparator the trial tested, and delay without drainage is not what was studied. Overall mortality in the trial was 7%, at centres required to perform only 10 resections a year, and 15 of 196 patients (8%) did not have adenocarcinoma on final pathology.</w:t>
      </w:r>
    </w:p>
    <w:p>
      <w:pPr>
        <w:spacing w:after="60" w:line="276"/>
        <w:ind w:left="240"/>
      </w:pPr>
      <w:r>
        <w:rPr>
          <w:color w:val="5A6069"/>
          <w:sz w:val="16"/>
          <w:szCs w:val="16"/>
        </w:rPr>
        <w:t xml:space="preserve">Sources: Preoperative drainage RCT; ESMO 2023 pancreatic</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Choose the stent for the diagnostic state the patient is in, and keep it as short as feasible.</w:t>
      </w:r>
    </w:p>
    <w:p>
      <w:pPr>
        <w:spacing w:after="50" w:line="276"/>
        <w:ind w:left="240"/>
      </w:pPr>
      <w:r>
        <w:rPr>
          <w:color w:val="15181F"/>
          <w:sz w:val="18"/>
          <w:szCs w:val="18"/>
        </w:rPr>
        <w:t xml:space="preserve">Self-expanding metal stents are preferable to plastic. If the tissue diagnosis is not certain, use a fully covered SEMS, because it can be removed or exchanged — and it can be removed for better EUS visualisation if the biopsy has to be repeated, then replaced. Once the diagnosis is confirmed, a non-removable partially covered or bare SEMS may be used, since migration is less frequent.</w:t>
      </w:r>
    </w:p>
    <w:p>
      <w:pPr>
        <w:spacing w:after="50"/>
        <w:ind w:left="240"/>
      </w:pPr>
      <w:r>
        <w:rPr>
          <w:b/>
          <w:bCs/>
          <w:color w:val="8C2F26"/>
          <w:sz w:val="18"/>
          <w:szCs w:val="18"/>
        </w:rPr>
        <w:t xml:space="preserve">Caveat. </w:t>
      </w:r>
      <w:r>
        <w:rPr>
          <w:color w:val="15181F"/>
          <w:sz w:val="18"/>
          <w:szCs w:val="18"/>
        </w:rPr>
        <w:t xml:space="preserve">Plastic stents are for palliation in patients with a predicted survival of less than 3 months. A long stent, or an uncovered metal stent placed before the diagnosis is settled, removes options for no gain.</w:t>
      </w:r>
    </w:p>
    <w:p>
      <w:pPr>
        <w:spacing w:after="50" w:line="276"/>
        <w:ind w:left="240"/>
      </w:pPr>
      <w:r>
        <w:rPr>
          <w:i/>
          <w:iCs/>
          <w:color w:val="5A6069"/>
          <w:sz w:val="17"/>
          <w:szCs w:val="17"/>
        </w:rPr>
        <w:t xml:space="preserve">Downgraded to D: no comparative trial supports any of this. NCCN notes stents are an evolving technology, that any stent can occlude, that covered stents may give more durable patency because they prevent tumour ingrowth but may migrate, and that there are </w:t>
      </w:r>
      <w:r>
        <w:rPr>
          <w:b/>
          <w:bCs/>
          <w:i/>
          <w:iCs/>
          <w:color w:val="5A6069"/>
          <w:sz w:val="17"/>
          <w:szCs w:val="17"/>
        </w:rPr>
        <w:t xml:space="preserve">no obvious differences</w:t>
      </w:r>
      <w:r>
        <w:rPr>
          <w:i/>
          <w:iCs/>
          <w:color w:val="5A6069"/>
          <w:sz w:val="17"/>
          <w:szCs w:val="17"/>
        </w:rPr>
        <w:t xml:space="preserve"> between covered and uncovered stents. Partially covered stents were introduced for this reason and still migrate in a substantial number of patients. The one randomised trial of preoperative drainage in this depot used plastic stents only, so the preference for metal rests on practice rather than on a comparison.</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CT-guided biopsy where EUS-guided biopsy is not feasible.</w:t>
      </w:r>
    </w:p>
    <w:p>
      <w:pPr>
        <w:spacing w:after="50" w:line="276"/>
        <w:ind w:left="240"/>
      </w:pPr>
      <w:r>
        <w:rPr>
          <w:color w:val="15181F"/>
          <w:sz w:val="18"/>
          <w:szCs w:val="18"/>
        </w:rPr>
        <w:t xml:space="preserve">A patient who cannot have EUS, or in whom the target is not reachable endosonographically.</w:t>
      </w:r>
    </w:p>
    <w:p>
      <w:pPr>
        <w:spacing w:after="50"/>
        <w:ind w:left="240"/>
      </w:pPr>
      <w:r>
        <w:rPr>
          <w:b/>
          <w:bCs/>
          <w:color w:val="8C2F26"/>
          <w:sz w:val="18"/>
          <w:szCs w:val="18"/>
        </w:rPr>
        <w:t xml:space="preserve">Caveat. </w:t>
      </w:r>
      <w:r>
        <w:rPr>
          <w:color w:val="15181F"/>
          <w:sz w:val="18"/>
          <w:szCs w:val="18"/>
        </w:rPr>
        <w:t xml:space="preserve">It is second choice in non-metastatic disease on yield, safety and the seeding question, so do not reach for it first out of scheduling convenience.</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Percutaneous biliary drainage, or EUS-guided biliary drainage at a high-volume centre, after a failed ERCP.</w:t>
      </w:r>
    </w:p>
    <w:p>
      <w:pPr>
        <w:spacing w:after="50" w:line="276"/>
        <w:ind w:left="240"/>
      </w:pPr>
      <w:r>
        <w:rPr>
          <w:color w:val="15181F"/>
          <w:sz w:val="18"/>
          <w:szCs w:val="18"/>
        </w:rPr>
        <w:t xml:space="preserve">NCCN's sequence is to reattempt ERCP at a high-volume centre first, then consider a percutaneous drain, with EUS-guided drainage as an alternative at a high-volume centre.</w:t>
      </w:r>
    </w:p>
    <w:p>
      <w:pPr>
        <w:spacing w:after="50"/>
        <w:ind w:left="240"/>
      </w:pPr>
      <w:r>
        <w:rPr>
          <w:b/>
          <w:bCs/>
          <w:color w:val="8C2F26"/>
          <w:sz w:val="18"/>
          <w:szCs w:val="18"/>
        </w:rPr>
        <w:t xml:space="preserve">Caveat. </w:t>
      </w:r>
      <w:r>
        <w:rPr>
          <w:color w:val="15181F"/>
          <w:sz w:val="18"/>
          <w:szCs w:val="18"/>
        </w:rPr>
        <w:t xml:space="preserve">Do not move straight to a percutaneous drain after one failed attempt at a low-volume unit. [EXPERTISE]</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 pancreatic duct stent, in the specific circumstance of persistent pancreatitis from pancreatic duct obstruction that is preventing other therapy.</w:t>
      </w:r>
    </w:p>
    <w:p>
      <w:pPr>
        <w:spacing w:after="50" w:line="276"/>
        <w:ind w:left="240"/>
      </w:pPr>
      <w:r>
        <w:rPr>
          <w:color w:val="15181F"/>
          <w:sz w:val="18"/>
          <w:szCs w:val="18"/>
        </w:rPr>
        <w:t xml:space="preserve">NCCN lists this as indicated in special circumstances only.</w:t>
      </w:r>
    </w:p>
    <w:p>
      <w:pPr>
        <w:spacing w:after="50"/>
        <w:ind w:left="240"/>
      </w:pPr>
      <w:r>
        <w:rPr>
          <w:b/>
          <w:bCs/>
          <w:color w:val="8C2F26"/>
          <w:sz w:val="18"/>
          <w:szCs w:val="18"/>
        </w:rPr>
        <w:t xml:space="preserve">Caveat. </w:t>
      </w:r>
      <w:r>
        <w:rPr>
          <w:color w:val="15181F"/>
          <w:sz w:val="18"/>
          <w:szCs w:val="18"/>
        </w:rPr>
        <w:t xml:space="preserve">Not part of routine preoperative preparation, and not a treatment for pain.</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draw the baseline CA 19-9 in a jaundiced patient and then use it prognostically.</w:t>
      </w:r>
    </w:p>
    <w:p>
      <w:pPr>
        <w:spacing w:after="50" w:line="276"/>
        <w:ind w:left="240"/>
      </w:pPr>
      <w:r>
        <w:rPr>
          <w:color w:val="15181F"/>
          <w:sz w:val="18"/>
          <w:szCs w:val="18"/>
        </w:rPr>
        <w:t xml:space="preserve">Draw it after adequate biliary drainage, with liver function tests, and record the bilirubin beside it.</w:t>
      </w:r>
    </w:p>
    <w:p>
      <w:pPr>
        <w:spacing w:after="50"/>
        <w:ind w:left="240"/>
      </w:pPr>
      <w:r>
        <w:rPr>
          <w:b/>
          <w:bCs/>
          <w:color w:val="8C2F26"/>
          <w:sz w:val="18"/>
          <w:szCs w:val="18"/>
        </w:rPr>
        <w:t xml:space="preserve">Caveat. </w:t>
      </w:r>
      <w:r>
        <w:rPr>
          <w:color w:val="15181F"/>
          <w:sz w:val="18"/>
          <w:szCs w:val="18"/>
        </w:rPr>
        <w:t xml:space="preserve">Biliary obstruction and cholangitis both raise CA 19-9, so a pre-drainage value cannot be compared with a post-treatment value or used to triage toward staging laparoscopy. This matters more than it used to, because the response assessment that decides on an operation after neoadjuvant therapy uses CA 19-9 as one of its three metrics and is interpretable only against a baseline drawn in a decompressed patient.</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keep re-biopsying a resectable mass you intend to resect.</w:t>
      </w:r>
    </w:p>
    <w:p>
      <w:pPr>
        <w:spacing w:after="50" w:line="276"/>
        <w:ind w:left="240"/>
      </w:pPr>
      <w:r>
        <w:rPr>
          <w:color w:val="15181F"/>
          <w:sz w:val="18"/>
          <w:szCs w:val="18"/>
        </w:rPr>
        <w:t xml:space="preserve">Decide in advance what a negative result would change. If the answer is nothing, the patient needs a theatre date, not another needle.</w:t>
      </w:r>
    </w:p>
    <w:p>
      <w:pPr>
        <w:spacing w:after="50"/>
        <w:ind w:left="240"/>
      </w:pPr>
      <w:r>
        <w:rPr>
          <w:b/>
          <w:bCs/>
          <w:color w:val="8C2F26"/>
          <w:sz w:val="18"/>
          <w:szCs w:val="18"/>
        </w:rPr>
        <w:t xml:space="preserve">Caveat. </w:t>
      </w:r>
      <w:r>
        <w:rPr>
          <w:color w:val="15181F"/>
          <w:sz w:val="18"/>
          <w:szCs w:val="18"/>
        </w:rPr>
        <w:t xml:space="preserve">Each attempt costs a procedure, a delay and the currency of the 4-week staging scan, and NCCN explicitly says a non-diagnostic biopsy should not delay resection when suspicion is high.</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Resectable — upfront resection or chemotherapy first</w:t>
      </w:r>
    </w:p>
    <w:p>
      <w:pPr>
        <w:spacing w:after="140"/>
      </w:pPr>
      <w:r>
        <w:rPr>
          <w:b/>
          <w:bCs/>
          <w:color w:val="176A87"/>
          <w:sz w:val="19"/>
          <w:szCs w:val="19"/>
        </w:rPr>
        <w:t xml:space="preserve">The question. </w:t>
      </w:r>
      <w:r>
        <w:rPr>
          <w:sz w:val="19"/>
          <w:szCs w:val="19"/>
        </w:rPr>
        <w:t xml:space="preserve">Does this patient go to theatre first or to chemotherapy first — and can I say honestly what the five trials show?</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No arterial tumour contact with the celiac axis, superior mesenteric artery or common hepatic artery</w:t>
      </w:r>
    </w:p>
    <w:p>
      <w:pPr>
        <w:pStyle w:val="ListParagraph"/>
        <w:numPr>
          <w:ilvl w:val="0"/>
          <w:numId w:val="2"/>
        </w:numPr>
        <w:spacing w:after="60" w:line="268"/>
      </w:pPr>
      <w:r>
        <w:rPr>
          <w:color w:val="15181F"/>
          <w:sz w:val="18"/>
          <w:szCs w:val="18"/>
        </w:rPr>
        <w:t xml:space="preserve">No SMV or portal vein contact, or contact of ≤180° without vein contour irregularity</w:t>
      </w:r>
    </w:p>
    <w:p>
      <w:pPr>
        <w:pStyle w:val="ListParagraph"/>
        <w:numPr>
          <w:ilvl w:val="0"/>
          <w:numId w:val="2"/>
        </w:numPr>
        <w:spacing w:after="60" w:line="268"/>
      </w:pPr>
      <w:r>
        <w:rPr>
          <w:color w:val="15181F"/>
          <w:sz w:val="18"/>
          <w:szCs w:val="18"/>
        </w:rPr>
        <w:t xml:space="preserve">No distant metastasis, including non-regional nodes</w:t>
      </w:r>
    </w:p>
    <w:p>
      <w:pPr>
        <w:pStyle w:val="ListParagraph"/>
        <w:numPr>
          <w:ilvl w:val="0"/>
          <w:numId w:val="2"/>
        </w:numPr>
        <w:spacing w:after="60" w:line="268"/>
      </w:pPr>
      <w:r>
        <w:rPr>
          <w:color w:val="15181F"/>
          <w:sz w:val="18"/>
          <w:szCs w:val="18"/>
        </w:rPr>
        <w:t xml:space="preserve">Fit for pancreatoduodenectomy or distal pancreatectomy at a high-volume centre</w:t>
      </w:r>
    </w:p>
    <w:p>
      <w:pPr>
        <w:pStyle w:val="ListParagraph"/>
        <w:numPr>
          <w:ilvl w:val="0"/>
          <w:numId w:val="2"/>
        </w:numPr>
        <w:spacing w:after="60" w:line="268"/>
      </w:pPr>
      <w:r>
        <w:rPr>
          <w:color w:val="15181F"/>
          <w:sz w:val="18"/>
          <w:szCs w:val="18"/>
        </w:rPr>
        <w:t xml:space="preserve">High-risk features either absent, or present and named in the note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100" w:line="276"/>
      </w:pPr>
      <w:r>
        <w:rPr>
          <w:i/>
          <w:iCs/>
          <w:color w:val="5A6069"/>
          <w:sz w:val="17"/>
          <w:szCs w:val="17"/>
        </w:rPr>
        <w:t xml:space="preserve">Ordered by what the randomised evidence actually supports in </w:t>
      </w:r>
      <w:r>
        <w:rPr>
          <w:b/>
          <w:bCs/>
          <w:i/>
          <w:iCs/>
          <w:color w:val="5A6069"/>
          <w:sz w:val="17"/>
          <w:szCs w:val="17"/>
        </w:rPr>
        <w:t xml:space="preserve">anatomically resectable</w:t>
      </w:r>
      <w:r>
        <w:rPr>
          <w:i/>
          <w:iCs/>
          <w:color w:val="5A6069"/>
          <w:sz w:val="17"/>
          <w:szCs w:val="17"/>
        </w:rPr>
        <w:t xml:space="preserve"> disease, which is upfront resection with adjuvant mFOLFIRINOX — not by effect size. The full-text read strengthens that ordering and weakens the page's confidence in everything behind it. ESMO's 2023 guideline recommends against neoadjuvant therapy in resectable disease at [II, E]. The only trial restricted to this population that compared the two sequences directly, NORPACT-1, had a primary endpoint significant in favour of upfront surgery, though at a two-sided alpha of 0.15, non-significant per protocol, and with 21% of the neoadjuvant arm never receiving the drug and going straight to resection. The decisive structural fact is the comparator: </w:t>
      </w:r>
      <w:r>
        <w:rPr>
          <w:b/>
          <w:bCs/>
          <w:i/>
          <w:iCs/>
          <w:color w:val="5A6069"/>
          <w:sz w:val="17"/>
          <w:szCs w:val="17"/>
        </w:rPr>
        <w:t xml:space="preserve">no neoadjuvant trial in this depot gave its control arm modern adjuvant therapy except NORPACT-1, and there only 19 of 44 resected control patients (43%) received adjuvant mFOLFIRINOX</w:t>
      </w:r>
      <w:r>
        <w:rPr>
          <w:i/>
          <w:iCs/>
          <w:color w:val="5A6069"/>
          <w:sz w:val="17"/>
          <w:szCs w:val="17"/>
        </w:rPr>
        <w:t xml:space="preserve">. PREOPANC's control arm received adjuvant gemcitabine monotherapy and only 51% of it received any chemotherapy; PREOPANC-2 has no upfront-surgery arm at all and gave its FOLFIRINOX arm no adjuvant treatment; ESPAC5's adjuvant therapy was gemcitabine-based in 41 of 43 patients; S1505 and A021501 had no randomised control. So PREOPANC's long-term hazard ratio of 0.73 was obtained in a mixed population against a comparator no pathway would now offer, PREOPANC-2 showed two neoadjuvant regimens to be indistinguishable rather than either to beat surgery first, and NORPACT-1 pointed the other way in a phase 2 trial with a 38.5-month control-arm median that no other trial matches. Pooled across nine randomised trials the resectable subgroup shows no benefit (HR 0.90, 0.63–1.28), the borderline resectable subgroup does (HR 0.60, 0.38–0.96), and the test for a difference between them is not significant (p=0.081). Neoadjuvant treatment lowers the resection rate (72.6% versus 80.6%, RR 0.94, 0.89–0.99) while raising the R0 rate (43.8% versus 33.0% of the R0 denominator, RR 1.35, 1.16–1.57) and the N0 rate (30.9% versus 15.0%, RR 2.03, 1.50–2.74), neither of which translated into survival in any individual trial, and roughly doubles serious adverse events (56.1% versus 27.0%). It does not raise the proportion of patients who start adjuvant therapy (57.7% versus 55.6%, p=0.353), which was the mechanism the whole strategy was built on.</w:t>
      </w:r>
    </w:p>
    <w:p>
      <w:pPr>
        <w:spacing w:after="50" w:before="120"/>
        <w:ind w:left="240"/>
      </w:pPr>
      <w:r>
        <w:rPr>
          <w:b/>
          <w:bCs/>
          <w:color w:val="15181F"/>
          <w:sz w:val="19"/>
          <w:szCs w:val="19"/>
        </w:rPr>
        <w:t xml:space="preserve">Upfront resection, then adjuvant mFOLFIRINOX</w:t>
      </w:r>
      <w:r>
        <w:rPr>
          <w:color w:val="5A6069"/>
          <w:sz w:val="15"/>
          <w:szCs w:val="15"/>
        </w:rPr>
        <w:t xml:space="preserve">   grade B</w:t>
      </w:r>
      <w:r>
        <w:rPr>
          <w:b/>
          <w:bCs/>
          <w:color w:val="8E5008"/>
          <w:spacing w:val="12"/>
          <w:sz w:val="14"/>
          <w:szCs w:val="14"/>
        </w:rPr>
        <w:t xml:space="preserve">   EXPERTISE</w:t>
      </w:r>
    </w:p>
    <w:p>
      <w:pPr>
        <w:spacing w:after="50" w:line="276"/>
        <w:ind w:left="240"/>
      </w:pPr>
      <w:r>
        <w:rPr>
          <w:color w:val="15181F"/>
          <w:sz w:val="18"/>
          <w:szCs w:val="18"/>
        </w:rPr>
        <w:t xml:space="preserve">NCCN's stated standard approach in resectable disease has been upfront surgery followed by postoperative treatment, and ESMO's 2023 guideline goes further: </w:t>
      </w:r>
      <w:r>
        <w:rPr>
          <w:i/>
          <w:iCs/>
          <w:color w:val="15181F"/>
          <w:sz w:val="18"/>
          <w:szCs w:val="18"/>
        </w:rPr>
        <w:t xml:space="preserve">neoadjuvant therapy is not recommended for resectable PC due to limited phase III evidence, except in the context of clinical trials</w:t>
      </w:r>
      <w:r>
        <w:rPr>
          <w:color w:val="15181F"/>
          <w:sz w:val="18"/>
          <w:szCs w:val="18"/>
        </w:rPr>
        <w:t xml:space="preserve"> — graded [II, E], a recommendation </w:t>
      </w:r>
      <w:r>
        <w:rPr>
          <w:b/>
          <w:bCs/>
          <w:color w:val="15181F"/>
          <w:sz w:val="18"/>
          <w:szCs w:val="18"/>
        </w:rPr>
        <w:t xml:space="preserve">against</w:t>
      </w:r>
      <w:r>
        <w:rPr>
          <w:color w:val="15181F"/>
          <w:sz w:val="18"/>
          <w:szCs w:val="18"/>
        </w:rPr>
        <w:t xml:space="preserve">. No randomised trial has shown a neoadjuvant strategy to be superior in anatomically resectable disease.</w:t>
      </w:r>
    </w:p>
    <w:p>
      <w:pPr>
        <w:spacing w:after="50" w:line="276"/>
        <w:ind w:left="240"/>
      </w:pPr>
      <w:r>
        <w:rPr>
          <w:color w:val="15181F"/>
          <w:sz w:val="18"/>
          <w:szCs w:val="18"/>
        </w:rPr>
        <w:t xml:space="preserve">A fit patient with resectable anatomy and no high-risk features, where adjuvant chemotherapy can realistically be delivered. The meta-analysis of nine randomised trials (1,194 patients) found no overall survival benefit for neoadjuvant treatment in the resectable subgroup, hazard ratio 0.90 (95% CI 0.63–1.28), while finding one in the borderline resectable subgroup, 0.60 (0.38–0.96) — but the test for a difference between those subgroups was </w:t>
      </w:r>
      <w:r>
        <w:rPr>
          <w:b/>
          <w:bCs/>
          <w:color w:val="15181F"/>
          <w:sz w:val="18"/>
          <w:szCs w:val="18"/>
        </w:rPr>
        <w:t xml:space="preserve">not</w:t>
      </w:r>
      <w:r>
        <w:rPr>
          <w:color w:val="15181F"/>
          <w:sz w:val="18"/>
          <w:szCs w:val="18"/>
        </w:rPr>
        <w:t xml:space="preserve"> significant (p=0.081), so the split this page is organised around is a hypothesis rather than a demonstrated effect. On mature 5-year data the adjuvant arm of this strategy delivers median overall survival 53.5 months (95% CI 43.5–58.4) against 35.5 months (30.1–40.3) for gemcitabine, hazard ratio 0.68 (0.54–0.85), P=.001.</w:t>
      </w:r>
    </w:p>
    <w:p>
      <w:pPr>
        <w:spacing w:after="50"/>
        <w:ind w:left="240"/>
      </w:pPr>
      <w:r>
        <w:rPr>
          <w:b/>
          <w:bCs/>
          <w:color w:val="8C2F26"/>
          <w:sz w:val="18"/>
          <w:szCs w:val="18"/>
        </w:rPr>
        <w:t xml:space="preserve">Caveat. </w:t>
      </w:r>
      <w:r>
        <w:rPr>
          <w:color w:val="15181F"/>
          <w:sz w:val="18"/>
          <w:szCs w:val="18"/>
        </w:rPr>
        <w:t xml:space="preserve">Do not read </w:t>
      </w:r>
      <w:r>
        <w:rPr>
          <w:i/>
          <w:iCs/>
          <w:color w:val="15181F"/>
          <w:sz w:val="18"/>
          <w:szCs w:val="18"/>
        </w:rPr>
        <w:t xml:space="preserve">upfront surgery</w:t>
      </w:r>
      <w:r>
        <w:rPr>
          <w:color w:val="15181F"/>
          <w:sz w:val="18"/>
          <w:szCs w:val="18"/>
        </w:rPr>
        <w:t xml:space="preserve"> as </w:t>
      </w:r>
      <w:r>
        <w:rPr>
          <w:i/>
          <w:iCs/>
          <w:color w:val="15181F"/>
          <w:sz w:val="18"/>
          <w:szCs w:val="18"/>
        </w:rPr>
        <w:t xml:space="preserve">surgery alone</w:t>
      </w:r>
      <w:r>
        <w:rPr>
          <w:color w:val="15181F"/>
          <w:sz w:val="18"/>
          <w:szCs w:val="18"/>
        </w:rPr>
        <w:t xml:space="preserve">, and do not overstate the attrition argument. NCCN and PRODIGE-24's own authors put the proportion of resected patients who never receive adjuvant chemotherapy at up to 30%, and that is the strongest argument for the other sequence — but the randomised data do not show that neoadjuvant sequencing fixes it: pooled across the nine trials, the proportion starting adjuvant therapy was no different (57.7% versus 55.6%, RR 0.92, 95% CI 0.76–1.12, p=0.353). Committing to this option still means committing to a named plan for who delivers chemotherapy and when.</w:t>
      </w:r>
    </w:p>
    <w:p>
      <w:pPr>
        <w:spacing w:after="60" w:line="276"/>
        <w:ind w:left="240"/>
      </w:pPr>
      <w:r>
        <w:rPr>
          <w:color w:val="5A6069"/>
          <w:sz w:val="16"/>
          <w:szCs w:val="16"/>
        </w:rPr>
        <w:t xml:space="preserve">Sources: PRODIGE 24; PRODIGE 24 five-year; Neoadjuvant meta-analysis; NORPACT-1; ESMO 2023 pancreatic</w:t>
      </w:r>
    </w:p>
    <w:p>
      <w:pPr>
        <w:spacing w:after="50" w:before="120"/>
        <w:ind w:left="240"/>
      </w:pPr>
      <w:r>
        <w:rPr>
          <w:b/>
          <w:bCs/>
          <w:color w:val="15181F"/>
          <w:sz w:val="19"/>
          <w:szCs w:val="19"/>
        </w:rPr>
        <w:t xml:space="preserve">Neoadjuvant FOLFIRINOX, then surgery</w:t>
      </w:r>
      <w:r>
        <w:rPr>
          <w:color w:val="5A6069"/>
          <w:sz w:val="15"/>
          <w:szCs w:val="15"/>
        </w:rPr>
        <w:t xml:space="preserve">   grade B</w:t>
      </w:r>
    </w:p>
    <w:p>
      <w:pPr>
        <w:spacing w:after="50" w:line="276"/>
        <w:ind w:left="240"/>
      </w:pPr>
      <w:r>
        <w:rPr>
          <w:color w:val="15181F"/>
          <w:sz w:val="18"/>
          <w:szCs w:val="18"/>
        </w:rPr>
        <w:t xml:space="preserve">PREOPANC-2 (n=369 modified intention to treat, 19 Dutch centres) compared eight cycles of full-dose neoadjuvant FOLFIRINOX followed by surgery and </w:t>
      </w:r>
      <w:r>
        <w:rPr>
          <w:b/>
          <w:bCs/>
          <w:color w:val="15181F"/>
          <w:sz w:val="18"/>
          <w:szCs w:val="18"/>
        </w:rPr>
        <w:t xml:space="preserve">no adjuvant treatment</w:t>
      </w:r>
      <w:r>
        <w:rPr>
          <w:color w:val="15181F"/>
          <w:sz w:val="18"/>
          <w:szCs w:val="18"/>
        </w:rPr>
        <w:t xml:space="preserve"> against the PREOPANC chemoradiotherapy regimen followed by four cycles of adjuvant gemcitabine: median overall survival 21.9 months (95% CI 17.7–27.0) versus 21.3 months (16.8–25.5), hazard ratio 0.88 (0.69–1.13), p=0.32. The trial's conclusion, and NCCN's, is that either regimen may be considered in resectable or borderline resectable disease.</w:t>
      </w:r>
    </w:p>
    <w:p>
      <w:pPr>
        <w:spacing w:after="50" w:line="276"/>
        <w:ind w:left="240"/>
      </w:pPr>
      <w:r>
        <w:rPr>
          <w:color w:val="15181F"/>
          <w:sz w:val="18"/>
          <w:szCs w:val="18"/>
        </w:rPr>
        <w:t xml:space="preserve">A fit patient with high-risk features, or one in whom the board judges that selecting out occult metastatic disease before a major operation is worth the resection-rate cost — occult metastatic disease was found at surgery in 12 of 156 (8%) after FOLFIRINOX versus 25 of 166 (15%) after chemoradiotherapy, a post hoc comparison. PREOPANC-2 is the trial that justifies using FOLFIRINOX rather than chemoradiotherapy if a neoadjuvant route is chosen, and it is a failed superiority trial, not a win and not a demonstration of equivalence: the confidence interval reaches 1.13, so a 12% relative benefit for FOLFIRINOX is not excluded, and the one significant secondary endpoint went the other way (ypN0 58% versus 47%, p=0.0073, with ypN2 in 20% versus 7%).</w:t>
      </w:r>
    </w:p>
    <w:p>
      <w:pPr>
        <w:spacing w:after="50"/>
        <w:ind w:left="240"/>
      </w:pPr>
      <w:r>
        <w:rPr>
          <w:b/>
          <w:bCs/>
          <w:color w:val="8C2F26"/>
          <w:sz w:val="18"/>
          <w:szCs w:val="18"/>
        </w:rPr>
        <w:t xml:space="preserve">Caveat. </w:t>
      </w:r>
      <w:r>
        <w:rPr>
          <w:color w:val="15181F"/>
          <w:sz w:val="18"/>
          <w:szCs w:val="18"/>
        </w:rPr>
        <w:t xml:space="preserve">NORPACT-1 is the only randomised trial of neoadjuvant FOLFIRINOX against upfront surgery restricted to resectable pancreatic head cancer, and its primary endpoint was significant in favour of </w:t>
      </w:r>
      <w:r>
        <w:rPr>
          <w:b/>
          <w:bCs/>
          <w:color w:val="15181F"/>
          <w:sz w:val="18"/>
          <w:szCs w:val="18"/>
        </w:rPr>
        <w:t xml:space="preserve">upfront surgery</w:t>
      </w:r>
      <w:r>
        <w:rPr>
          <w:color w:val="15181F"/>
          <w:sz w:val="18"/>
          <w:szCs w:val="18"/>
        </w:rPr>
        <w:t xml:space="preserve">: 18-month survival 60% (95% CI 49–71) versus 73% (62–84), p=0.032, with median overall survival 25.1 months (17.2–34.9) versus 38.5 months (27.6–not reached), hazard ratio 1.52 (1.00–2.33), log-rank p=0.050 by intention to treat. Grade 3 or worse events occurred in 42 of 73 (58%) versus 19 of 47 (40%). Read it as a failure to show benefit, not as evidence of harm: it is a phase 2 trial designed at a two-sided alpha of </w:t>
      </w:r>
      <w:r>
        <w:rPr>
          <w:b/>
          <w:bCs/>
          <w:color w:val="15181F"/>
          <w:sz w:val="18"/>
          <w:szCs w:val="18"/>
        </w:rPr>
        <w:t xml:space="preserve">0.15</w:t>
      </w:r>
      <w:r>
        <w:rPr>
          <w:color w:val="15181F"/>
          <w:sz w:val="18"/>
          <w:szCs w:val="18"/>
        </w:rPr>
        <w:t xml:space="preserve">, nothing is significant per protocol (18-month p=0.14; hazard ratio 1.46, 0.99–2.17, p=0.058), and its delivery failed — 16 of 77 (21%) allocated to neoadjuvant FOLFIRINOX never received it and </w:t>
      </w:r>
      <w:r>
        <w:rPr>
          <w:b/>
          <w:bCs/>
          <w:color w:val="15181F"/>
          <w:sz w:val="18"/>
          <w:szCs w:val="18"/>
        </w:rPr>
        <w:t xml:space="preserve">all 16 went straight to resection</w:t>
      </w:r>
      <w:r>
        <w:rPr>
          <w:color w:val="15181F"/>
          <w:sz w:val="18"/>
          <w:szCs w:val="18"/>
        </w:rPr>
        <w:t xml:space="preserve">, only 37 of the 61 who started (61%) completed four cycles, and 16 (26%) received one or two.</w:t>
      </w:r>
    </w:p>
    <w:p>
      <w:pPr>
        <w:spacing w:after="60" w:line="276"/>
        <w:ind w:left="240"/>
      </w:pPr>
      <w:r>
        <w:rPr>
          <w:color w:val="5A6069"/>
          <w:sz w:val="16"/>
          <w:szCs w:val="16"/>
        </w:rPr>
        <w:t xml:space="preserve">Sources: PREOPANC-2; NORPACT-1</w:t>
      </w:r>
    </w:p>
    <w:p>
      <w:pPr>
        <w:spacing w:after="50" w:before="120"/>
        <w:ind w:left="240"/>
      </w:pPr>
      <w:r>
        <w:rPr>
          <w:b/>
          <w:bCs/>
          <w:color w:val="15181F"/>
          <w:sz w:val="19"/>
          <w:szCs w:val="19"/>
        </w:rPr>
        <w:t xml:space="preserve">Neoadjuvant gemcitabine-based chemoradiotherapy, then surgery, then adjuvant gemcitabine</w:t>
      </w:r>
      <w:r>
        <w:rPr>
          <w:color w:val="5A6069"/>
          <w:sz w:val="15"/>
          <w:szCs w:val="15"/>
        </w:rPr>
        <w:t xml:space="preserve">   grade B</w:t>
      </w:r>
    </w:p>
    <w:p>
      <w:pPr>
        <w:spacing w:after="50" w:line="276"/>
        <w:ind w:left="240"/>
      </w:pPr>
      <w:r>
        <w:rPr>
          <w:color w:val="15181F"/>
          <w:sz w:val="18"/>
          <w:szCs w:val="18"/>
        </w:rPr>
        <w:t xml:space="preserve">The PREOPANC regimen: three cycles of gemcitabine with 36 Gy in 15 fractions during the second cycle, surgery, then four cycles of adjuvant gemcitabine. The long-term analysis of PREOPANC (n=246, median follow-up 59 months, 210 of 246 patients dead) gave an overall survival hazard ratio of 0.73 (95% CI 0.56–0.96), p=0.025, in resectable and borderline resectable disease combined.</w:t>
      </w:r>
    </w:p>
    <w:p>
      <w:pPr>
        <w:spacing w:after="50" w:line="276"/>
        <w:ind w:left="240"/>
      </w:pPr>
      <w:r>
        <w:rPr>
          <w:color w:val="15181F"/>
          <w:sz w:val="18"/>
          <w:szCs w:val="18"/>
        </w:rPr>
        <w:t xml:space="preserve">Where the board has decided on a neoadjuvant route and wants the regimen with a positive randomised comparison against upfront surgery. PREOPANC-2 found no survival difference between this and FOLFIRINOX, so either is defensible, and this is the regimen to prefer where FOLFIRINOX is not tolerable.</w:t>
      </w:r>
    </w:p>
    <w:p>
      <w:pPr>
        <w:spacing w:after="50"/>
        <w:ind w:left="240"/>
      </w:pPr>
      <w:r>
        <w:rPr>
          <w:b/>
          <w:bCs/>
          <w:color w:val="8C2F26"/>
          <w:sz w:val="18"/>
          <w:szCs w:val="18"/>
        </w:rPr>
        <w:t xml:space="preserve">Caveat. </w:t>
      </w:r>
      <w:r>
        <w:rPr>
          <w:color w:val="15181F"/>
          <w:sz w:val="18"/>
          <w:szCs w:val="18"/>
        </w:rPr>
        <w:t xml:space="preserve">Read both reports and note what the comparator was. The initial primary analysis was </w:t>
      </w:r>
      <w:r>
        <w:rPr>
          <w:b/>
          <w:bCs/>
          <w:color w:val="15181F"/>
          <w:sz w:val="18"/>
          <w:szCs w:val="18"/>
        </w:rPr>
        <w:t xml:space="preserve">not</w:t>
      </w:r>
      <w:r>
        <w:rPr>
          <w:color w:val="15181F"/>
          <w:sz w:val="18"/>
          <w:szCs w:val="18"/>
        </w:rPr>
        <w:t xml:space="preserve"> significant — median overall survival 16.0 versus 14.3 months, hazard ratio 0.78 (0.58–1.05), p=0.096 — and the resection rate was lower, 61% versus 72%, p=0.058. The difference in medians in the long-term analysis is 1.4 months (15.7 versus 14.3); what separates is the tail, with 5-year survival 20.5% (14.2–29.8) versus 6.5% (3.1–13.7). The adjuvant comparator in both arms was gemcitabine monotherapy, and in the upfront-surgery arm only 65 of 127 patients (51%) received any chemotherapy at all — so the trial compares a front-loaded strategy with a control arm half of which was never treated systemically, and it does not answer today's question.</w:t>
      </w:r>
    </w:p>
    <w:p>
      <w:pPr>
        <w:spacing w:after="60" w:line="276"/>
        <w:ind w:left="240"/>
      </w:pPr>
      <w:r>
        <w:rPr>
          <w:color w:val="5A6069"/>
          <w:sz w:val="16"/>
          <w:szCs w:val="16"/>
        </w:rPr>
        <w:t xml:space="preserve">Sources: PREOPANC; PREOPANC long-term; PREOPANC-2</w:t>
      </w:r>
    </w:p>
    <w:p>
      <w:pPr>
        <w:spacing w:after="50" w:before="120"/>
        <w:ind w:left="240"/>
      </w:pPr>
      <w:r>
        <w:rPr>
          <w:b/>
          <w:bCs/>
          <w:color w:val="15181F"/>
          <w:sz w:val="19"/>
          <w:szCs w:val="19"/>
        </w:rPr>
        <w:t xml:space="preserve">Enrolment in Alliance A021806, or another randomised trial</w:t>
      </w:r>
      <w:r>
        <w:rPr>
          <w:color w:val="5A6069"/>
          <w:sz w:val="15"/>
          <w:szCs w:val="15"/>
        </w:rPr>
        <w:t xml:space="preserve">   grade D</w:t>
      </w:r>
      <w:r>
        <w:rPr>
          <w:b/>
          <w:bCs/>
          <w:color w:val="8E5008"/>
          <w:spacing w:val="12"/>
          <w:sz w:val="14"/>
          <w:szCs w:val="14"/>
        </w:rPr>
        <w:t xml:space="preserve">   REGISTRY</w:t>
      </w:r>
    </w:p>
    <w:p>
      <w:pPr>
        <w:spacing w:after="50" w:line="276"/>
        <w:ind w:left="240"/>
      </w:pPr>
      <w:r>
        <w:rPr>
          <w:color w:val="15181F"/>
          <w:sz w:val="18"/>
          <w:szCs w:val="18"/>
        </w:rPr>
        <w:t xml:space="preserve">A021806 is the phase 3 trial that asks this exact question in resectable disease — perioperative versus adjuvant mFOLFIRINOX, enrolment 358, primary endpoint overall survival from randomisation. As of 6 October 2026 its registry record (NCT04340141) shows it active and not recruiting, with primary completion scheduled for December 2028 and no results posted.</w:t>
      </w:r>
    </w:p>
    <w:p>
      <w:pPr>
        <w:spacing w:after="50" w:line="276"/>
        <w:ind w:left="240"/>
      </w:pPr>
      <w:r>
        <w:rPr>
          <w:color w:val="15181F"/>
          <w:sz w:val="18"/>
          <w:szCs w:val="18"/>
        </w:rPr>
        <w:t xml:space="preserve">The honest position in resectable disease is that the sequencing question is open, so offer a trial wherever one is available.</w:t>
      </w:r>
    </w:p>
    <w:p>
      <w:pPr>
        <w:spacing w:after="50"/>
        <w:ind w:left="240"/>
      </w:pPr>
      <w:r>
        <w:rPr>
          <w:b/>
          <w:bCs/>
          <w:color w:val="8C2F26"/>
          <w:sz w:val="18"/>
          <w:szCs w:val="18"/>
        </w:rPr>
        <w:t xml:space="preserve">Caveat. </w:t>
      </w:r>
      <w:r>
        <w:rPr>
          <w:color w:val="15181F"/>
          <w:sz w:val="18"/>
          <w:szCs w:val="18"/>
        </w:rPr>
        <w:t xml:space="preserve">Do not cite A021806 as evidence for either sequence, in either direction. Nothing has been published; what is known of it comes from a trials-in-progress abstract and the registry entry. A page that lists it among the trials that </w:t>
      </w:r>
      <w:r>
        <w:rPr>
          <w:i/>
          <w:iCs/>
          <w:color w:val="15181F"/>
          <w:sz w:val="18"/>
          <w:szCs w:val="18"/>
        </w:rPr>
        <w:t xml:space="preserve">showed</w:t>
      </w:r>
      <w:r>
        <w:rPr>
          <w:color w:val="15181F"/>
          <w:sz w:val="18"/>
          <w:szCs w:val="18"/>
        </w:rPr>
        <w:t xml:space="preserve"> something is wrong.</w:t>
      </w:r>
    </w:p>
    <w:p>
      <w:pPr>
        <w:spacing w:after="60" w:line="276"/>
        <w:ind w:left="240"/>
      </w:pPr>
      <w:r>
        <w:rPr>
          <w:i/>
          <w:iCs/>
          <w:color w:val="5A6069"/>
          <w:sz w:val="16"/>
          <w:szCs w:val="16"/>
        </w:rPr>
        <w:t xml:space="preserve">Ratification item 1, and the live choice on this page. The trials genuinely disagree and the page does not resolve them. PREOPANC is positive on long-term overall survival after a negative primary analysis, in a mixed population, against adjuvant gemcitabine monotherapy half of whose arm received no chemotherapy; PREOPANC-2 is a failed superiority trial between two neoadjuvant regimens with no upfront-surgery arm; NORPACT-1's primary endpoint favours upfront surgery in exactly the population at issue but at alpha 0.15, with 21% non-receipt and a control arm that outperforms every comparator in the literature; ESPAC5 favours short-course neoadjuvant chemotherapy on a secondary endpoint after failing both primary endpoints, in 86 analysed patients with 12 months of follow-up; ESMO recommends against neoadjuvant therapy in resectable disease at [II, E]; and A021806 has not reported. The group must decide whether the local default for an anatomically resectable tumour without high-risk features is upfront resection, and if it is not, which neoadjuvant regimen and on what grounds — knowing that no trial has compared a neoadjuvant strategy with upfront surgery followed by adjuvant mFOLFIRINOX delivered to everyone who can take it. Audit: resectability category at diagnosis, sequence chosen, resection rate, R0 rate with millimetre clearance, time from diagnosis to first treatment, and the proportion of resected patients who never start adjuvant therapy.</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Whichever sequence is chosen, write down before the operation who delivers the chemotherapy, when it starts, and who restages before it does.</w:t>
      </w:r>
    </w:p>
    <w:p>
      <w:pPr>
        <w:spacing w:after="50" w:line="276"/>
        <w:ind w:left="240"/>
      </w:pPr>
      <w:r>
        <w:rPr>
          <w:color w:val="15181F"/>
          <w:sz w:val="18"/>
          <w:szCs w:val="18"/>
        </w:rPr>
        <w:t xml:space="preserve">Every resectable patient. The one claim both camps accept is that a substantial minority of resected patients never get timely adjuvant therapy at the intended dose — NCCN and PRODIGE-24's authors put it at up to 30% — which is a system failure rather than a biological one and is fixable by naming an owner. What the trials do not show is that giving chemotherapy first solves it: across the nine randomised trials the proportion starting adjuvant therapy was the same either way (57.7% versus 55.6%, p=0.353).</w:t>
      </w:r>
    </w:p>
    <w:p>
      <w:pPr>
        <w:spacing w:after="50"/>
        <w:ind w:left="240"/>
      </w:pPr>
      <w:r>
        <w:rPr>
          <w:b/>
          <w:bCs/>
          <w:color w:val="8C2F26"/>
          <w:sz w:val="18"/>
          <w:szCs w:val="18"/>
        </w:rPr>
        <w:t xml:space="preserve">Caveat. </w:t>
      </w:r>
      <w:r>
        <w:rPr>
          <w:color w:val="15181F"/>
          <w:sz w:val="18"/>
          <w:szCs w:val="18"/>
        </w:rPr>
        <w:t xml:space="preserve">An operative note that ends at the skin, with the oncology referral left to be made after discharge.</w:t>
      </w:r>
    </w:p>
    <w:p>
      <w:pPr>
        <w:spacing w:after="60" w:line="276"/>
        <w:ind w:left="240"/>
      </w:pPr>
      <w:r>
        <w:rPr>
          <w:color w:val="5A6069"/>
          <w:sz w:val="16"/>
          <w:szCs w:val="16"/>
        </w:rPr>
        <w:t xml:space="preserve">Sources: Neoadjuvant meta-analysis; PRODIGE 24 five-year</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Neoadjuvant chemotherapy for a resectable tumour that has high-risk features, named in the note.</w:t>
      </w:r>
    </w:p>
    <w:p>
      <w:pPr>
        <w:spacing w:after="50" w:line="276"/>
        <w:ind w:left="240"/>
      </w:pPr>
      <w:r>
        <w:rPr>
          <w:color w:val="15181F"/>
          <w:sz w:val="18"/>
          <w:szCs w:val="18"/>
        </w:rPr>
        <w:t xml:space="preserve">NCCN allows neoadjuvant therapy in resectable disease, especially with high-risk features, which it defines as equivocal or indeterminate imaging findings, markedly elevated CA 19-9, a large primary tumour, or large regional lymph nodes. The rationale is selection: treating micrometastatic disease earlier, and identifying surgical futility before an operation rather than after it.</w:t>
      </w:r>
    </w:p>
    <w:p>
      <w:pPr>
        <w:spacing w:after="50"/>
        <w:ind w:left="240"/>
      </w:pPr>
      <w:r>
        <w:rPr>
          <w:b/>
          <w:bCs/>
          <w:color w:val="8C2F26"/>
          <w:sz w:val="18"/>
          <w:szCs w:val="18"/>
        </w:rPr>
        <w:t xml:space="preserve">Caveat. </w:t>
      </w:r>
      <w:r>
        <w:rPr>
          <w:color w:val="15181F"/>
          <w:sz w:val="18"/>
          <w:szCs w:val="18"/>
        </w:rPr>
        <w:t xml:space="preserve">Do not present it as evidence based in this group. The pooled resectable subgroup shows no overall survival benefit (HR 0.90, 95% CI 0.63–1.28), none of the randomised trials was restricted to high-risk resectable disease, ESMO recommends against neoadjuvant therapy in resectable disease outside a trial at [II, E], and NCCN itself says there is limited evidence to recommend specific neoadjuvant regimens outside a clinical trial and that panel practice varies.</w:t>
      </w:r>
    </w:p>
    <w:p>
      <w:pPr>
        <w:spacing w:after="50" w:line="276"/>
        <w:ind w:left="240"/>
      </w:pPr>
      <w:r>
        <w:rPr>
          <w:i/>
          <w:iCs/>
          <w:color w:val="5A6069"/>
          <w:sz w:val="17"/>
          <w:szCs w:val="17"/>
        </w:rPr>
        <w:t xml:space="preserve">Downgraded to D on the full-text read: this is a guideline permission with no trial behind it in the population named. Two numbers set the price. Pooled across the nine trials, neoadjuvant treatment lowered the resection rate (72.6% versus 80.6%, RR 0.94, 0.89–0.99) and roughly doubled serious adverse events (56.1% versus 27.0%) — though the published risk ratio for that harm, 1.92 with a reported 95% CI of 1.28 to 1.89, does not contain its own point estimate in either the abstract or the table, so the magnitude as published cannot be relied on even though its direction is clear. If this route is taken, tissue is mandatory first, and the response assessment in the borderline resectable gate applies — including the rule that a patient with no shrinkage but no extrapancreatic progression is still explored.</w:t>
      </w:r>
    </w:p>
    <w:p>
      <w:pPr>
        <w:spacing w:after="60" w:line="276"/>
        <w:ind w:left="240"/>
      </w:pPr>
      <w:r>
        <w:rPr>
          <w:color w:val="5A6069"/>
          <w:sz w:val="16"/>
          <w:szCs w:val="16"/>
        </w:rPr>
        <w:t xml:space="preserve">Sources: Neoadjuvant meta-analysis; ESMO 2023 pancreatic</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Perioperative chemotherapy as studied in SWOG S1505 — mFOLFIRINOX or nab-paclitaxel with gemcitabine, given before and after resection — only with its result stated.</w:t>
      </w:r>
    </w:p>
    <w:p>
      <w:pPr>
        <w:spacing w:after="50" w:line="276"/>
        <w:ind w:left="240"/>
      </w:pPr>
      <w:r>
        <w:rPr>
          <w:color w:val="15181F"/>
          <w:sz w:val="18"/>
          <w:szCs w:val="18"/>
        </w:rPr>
        <w:t xml:space="preserve">A randomised phase 2 pick-the-winner trial in resectable disease, designed to select a regimen for further study, with 147 patients enrolled and 102 eligible and evaluable after central radiology review. Preoperative chemotherapy was started by 96% of each arm and completed by 84% and 85%; 40 of 55 (73%) and 33 of 47 (70%) underwent resection; R0 was achieved in 34 of 40 (85%) and 28 of 33 (85%) of those resected.</w:t>
      </w:r>
    </w:p>
    <w:p>
      <w:pPr>
        <w:spacing w:after="50"/>
        <w:ind w:left="240"/>
      </w:pPr>
      <w:r>
        <w:rPr>
          <w:b/>
          <w:bCs/>
          <w:color w:val="8C2F26"/>
          <w:sz w:val="18"/>
          <w:szCs w:val="18"/>
        </w:rPr>
        <w:t xml:space="preserve">Caveat. </w:t>
      </w:r>
      <w:r>
        <w:rPr>
          <w:color w:val="15181F"/>
          <w:sz w:val="18"/>
          <w:szCs w:val="18"/>
        </w:rPr>
        <w:t xml:space="preserve">It selected no winner and cleared no bar. </w:t>
      </w:r>
      <w:r>
        <w:rPr>
          <w:b/>
          <w:bCs/>
          <w:color w:val="15181F"/>
          <w:sz w:val="18"/>
          <w:szCs w:val="18"/>
        </w:rPr>
        <w:t xml:space="preserve">Both arms missed the primary endpoint</w:t>
      </w:r>
      <w:r>
        <w:rPr>
          <w:color w:val="15181F"/>
          <w:sz w:val="18"/>
          <w:szCs w:val="18"/>
        </w:rPr>
        <w:t xml:space="preserve">: 2-year overall survival 47% (95% CI 31–61), P=.15 with mFOLFIRINOX and 48% (31–63), P=.14 with nab-paclitaxel and gemcitabine, against a prespecified historical threshold of 40%, so the between-arm comparison was never performed. Median overall survival was 23.2 and 23.6 months. Do not quote the completion figure the way this page previously did: only 31 of 40 (78% of those resected, 56% of eligible patients) and 26 of 33 (79%, 55%) started postoperative chemotherapy, and all treatment was completed by 49% and 40% — 16 of the 73 patients who had surgery (22%) could not start adjuvant chemotherapy at all. Pathologic complete or major response was 10 of 40 (25%) and 14 of 33 (42%), in resected-only denominators.</w:t>
      </w:r>
    </w:p>
    <w:p>
      <w:pPr>
        <w:spacing w:after="50" w:line="276"/>
        <w:ind w:left="240"/>
      </w:pPr>
      <w:r>
        <w:rPr>
          <w:i/>
          <w:iCs/>
          <w:color w:val="5A6069"/>
          <w:sz w:val="17"/>
          <w:szCs w:val="17"/>
        </w:rPr>
        <w:t xml:space="preserve">Downgraded from B to C. There is no randomised control arm: both arms were tested against a historical 2-year survival of 40% drawn from adjuvant trials, whose populations were selected after surviving surgery and recovering, so the comparison is biased against a strategy randomised at diagnosis and the failure to beat 40% is not evidence that perioperative chemotherapy is worse. Nobody in the trial received upfront surgery followed by adjuvant mFOLFIRINOX. Forty-five of 147 randomised patients (31%) were removed from the analysed population, 43 of them for failing central radiology review, after they had already received protocol therapy. Age was capped at 75 and performance status at Zubrod 0–1. Its most durable contribution is the misclassification finding in the resectability gate, not a survival result.</w:t>
      </w:r>
    </w:p>
    <w:p>
      <w:pPr>
        <w:spacing w:after="60" w:line="276"/>
        <w:ind w:left="240"/>
      </w:pPr>
      <w:r>
        <w:rPr>
          <w:color w:val="5A6069"/>
          <w:sz w:val="16"/>
          <w:szCs w:val="16"/>
        </w:rPr>
        <w:t xml:space="preserve">Sources: SWOG S1505</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PAXG — cisplatin, nab-paclitaxel, capecitabine and gemcitabine — as a neoadjuvant option in certain circumstances only.</w:t>
      </w:r>
    </w:p>
    <w:p>
      <w:pPr>
        <w:spacing w:after="50" w:line="276"/>
        <w:ind w:left="240"/>
      </w:pPr>
      <w:r>
        <w:rPr>
          <w:color w:val="15181F"/>
          <w:sz w:val="18"/>
          <w:szCs w:val="18"/>
        </w:rPr>
        <w:t xml:space="preserve">A randomised phase 3 trial across 17 Italian academic hospitals (n=260) in pathologically confirmed resectable or borderline resectable disease found median event-free survival 16.0 versus 10.2 months against mFOLFIRINOX, hazard ratio 0.63 (0.47–0.84), p=0.0018.</w:t>
      </w:r>
    </w:p>
    <w:p>
      <w:pPr>
        <w:spacing w:after="50"/>
        <w:ind w:left="240"/>
      </w:pPr>
      <w:r>
        <w:rPr>
          <w:b/>
          <w:bCs/>
          <w:color w:val="8C2F26"/>
          <w:sz w:val="18"/>
          <w:szCs w:val="18"/>
        </w:rPr>
        <w:t xml:space="preserve">Caveat. </w:t>
      </w:r>
      <w:r>
        <w:rPr>
          <w:color w:val="15181F"/>
          <w:sz w:val="18"/>
          <w:szCs w:val="18"/>
        </w:rPr>
        <w:t xml:space="preserve">The endpoint was event-free survival, not overall survival, and NCCN added it as </w:t>
      </w:r>
      <w:r>
        <w:rPr>
          <w:i/>
          <w:iCs/>
          <w:color w:val="15181F"/>
          <w:sz w:val="18"/>
          <w:szCs w:val="18"/>
        </w:rPr>
        <w:t xml:space="preserve">useful in certain circumstances</w:t>
      </w:r>
      <w:r>
        <w:rPr>
          <w:color w:val="15181F"/>
          <w:sz w:val="18"/>
          <w:szCs w:val="18"/>
        </w:rPr>
        <w:t xml:space="preserve"> specifically because not all centres have experience with the regimen. Do not adopt a four-drug regimen on an event-free survival result at a centre that has never given it.</w:t>
      </w:r>
    </w:p>
    <w:p>
      <w:pPr>
        <w:spacing w:after="50" w:line="276"/>
        <w:ind w:left="240"/>
      </w:pPr>
      <w:r>
        <w:rPr>
          <w:i/>
          <w:iCs/>
          <w:color w:val="5A6069"/>
          <w:sz w:val="17"/>
          <w:szCs w:val="17"/>
        </w:rPr>
        <w:t xml:space="preserve">The citation for this trial is carried only in the NCCN discussion text supplied to this page; the primary report was not retrieved for this depot and was not read in full, so neither the event-free survival figure nor the hazard ratio has been checked against the published paper. Read it before the regimen is used.</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use chemoradiotherapy as the primary neoadjuvant modality in place of multiagent chemotherapy — but do not overstate what the trials show about it either.</w:t>
      </w:r>
    </w:p>
    <w:p>
      <w:pPr>
        <w:spacing w:after="50" w:line="276"/>
        <w:ind w:left="240"/>
      </w:pPr>
      <w:r>
        <w:rPr>
          <w:color w:val="15181F"/>
          <w:sz w:val="18"/>
          <w:szCs w:val="18"/>
        </w:rPr>
        <w:t xml:space="preserve">Multiagent systemic chemotherapy remains the initial choice in the neoadjuvant setting per NCCN. Chemoradiation is sometimes added after chemotherapy, and its role and necessity remain poorly defined.</w:t>
      </w:r>
    </w:p>
    <w:p>
      <w:pPr>
        <w:spacing w:after="50"/>
        <w:ind w:left="240"/>
      </w:pPr>
      <w:r>
        <w:rPr>
          <w:b/>
          <w:bCs/>
          <w:color w:val="8C2F26"/>
          <w:sz w:val="18"/>
          <w:szCs w:val="18"/>
        </w:rPr>
        <w:t xml:space="preserve">Caveat. </w:t>
      </w:r>
      <w:r>
        <w:rPr>
          <w:color w:val="15181F"/>
          <w:sz w:val="18"/>
          <w:szCs w:val="18"/>
        </w:rPr>
        <w:t xml:space="preserve">Alliance A021501, in borderline resectable disease, closed its mFOLFIRINOX-plus-hypofractionated-radiotherapy arm </w:t>
      </w:r>
      <w:r>
        <w:rPr>
          <w:b/>
          <w:bCs/>
          <w:color w:val="15181F"/>
          <w:sz w:val="18"/>
          <w:szCs w:val="18"/>
        </w:rPr>
        <w:t xml:space="preserve">early for futility</w:t>
      </w:r>
      <w:r>
        <w:rPr>
          <w:color w:val="15181F"/>
          <w:sz w:val="18"/>
          <w:szCs w:val="18"/>
        </w:rPr>
        <w:t xml:space="preserve"> when only 10 of the first 30 evaluable patients (33%) achieved R0 resection against a threshold of 12, versus 17 of 30 (57%) with mFOLFIRINOX alone. The mFOLFIRINOX arm met its primary endpoint against a historical benchmark (18-month survival 66.7%, 95% CI 56.1–79.4, median overall survival 29.8 months, 21.1–36.6) and the radiotherapy arm did not (47.3%, 35.8–62.5; median 17.1 months, 12.8–24.4). Retrospective comparisons suggest radiation may improve local control with no survival difference — that is the most that can be claimed for it.</w:t>
      </w:r>
    </w:p>
    <w:p>
      <w:pPr>
        <w:spacing w:after="50" w:line="276"/>
        <w:ind w:left="240"/>
      </w:pPr>
      <w:r>
        <w:rPr>
          <w:i/>
          <w:iCs/>
          <w:color w:val="5A6069"/>
          <w:sz w:val="17"/>
          <w:szCs w:val="17"/>
        </w:rPr>
        <w:t xml:space="preserve">Downgraded from B to C, because A021501's design forbids the comparison this item rests on. Each arm was tested against a historical 18-month survival rate of 50% assembled by the investigators from series published 2004–2015, at a one-sided alpha of 0.07; the protocol permitted a between-arm comparison only if both arms were promising, and arm 2 was not, so every arm-versus-arm figure is descriptive and the radiotherapy arm was stopped on a surrogate before its survival data matured. The denominators of 65 and 55 are evaluable patients who initiated treatment, not the 70 and 56 randomised; 16 of arm 1's 70 patients were registered sequentially </w:t>
      </w:r>
      <w:r>
        <w:rPr>
          <w:b/>
          <w:bCs/>
          <w:i/>
          <w:iCs/>
          <w:color w:val="5A6069"/>
          <w:sz w:val="17"/>
          <w:szCs w:val="17"/>
        </w:rPr>
        <w:t xml:space="preserve">without randomisation</w:t>
      </w:r>
      <w:r>
        <w:rPr>
          <w:i/>
          <w:iCs/>
          <w:color w:val="5A6069"/>
          <w:sz w:val="17"/>
          <w:szCs w:val="17"/>
        </w:rPr>
        <w:t xml:space="preserve"> after arm 2 closed; and 15 of 55 arm 2 patients (27%) never received the radiotherapy that defines their arm. Pancreatectomy was completed in only 32 of 65 (49%) and 19 of 55 (35%). PREOPANC-2 cuts directly against a strong version of this recommendation: it found neoadjuvant gemcitabine-based chemoradiotherapy and neoadjuvant FOLFIRINOX indistinguishable on overall survival (21.3 versus 21.9 months, HR 0.88, p=0.32). Doses studied for neoadjuvant chemoradiation are 36 Gy in 2.4 Gy fractions, 45–56 Gy in 1.8–2.2 Gy fractions, and 33–50 Gy in 5 fractions. SBRT after modern multiagent chemotherapy appears feasible without excess surgical complications in experienced centres, but NCCN states further study is needed before it is recommended in borderline resectable disease.</w:t>
      </w:r>
    </w:p>
    <w:p>
      <w:pPr>
        <w:spacing w:after="60" w:line="276"/>
        <w:ind w:left="240"/>
      </w:pPr>
      <w:r>
        <w:rPr>
          <w:color w:val="5A6069"/>
          <w:sz w:val="16"/>
          <w:szCs w:val="16"/>
        </w:rPr>
        <w:t xml:space="preserve">Sources: Alliance A021501; PREOPANC-2</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start neoadjuvant therapy without a tissue diagnosis.</w:t>
      </w:r>
    </w:p>
    <w:p>
      <w:pPr>
        <w:spacing w:after="50" w:line="276"/>
        <w:ind w:left="240"/>
      </w:pPr>
      <w:r>
        <w:rPr>
          <w:color w:val="15181F"/>
          <w:sz w:val="18"/>
          <w:szCs w:val="18"/>
        </w:rPr>
        <w:t xml:space="preserve">Tissue first, in the same anaesthetic as the drainage if the patient is jaundiced.</w:t>
      </w:r>
    </w:p>
    <w:p>
      <w:pPr>
        <w:spacing w:after="50"/>
        <w:ind w:left="240"/>
      </w:pPr>
      <w:r>
        <w:rPr>
          <w:b/>
          <w:bCs/>
          <w:color w:val="8C2F26"/>
          <w:sz w:val="18"/>
          <w:szCs w:val="18"/>
        </w:rPr>
        <w:t xml:space="preserve">Caveat. </w:t>
      </w:r>
      <w:r>
        <w:rPr>
          <w:color w:val="15181F"/>
          <w:sz w:val="18"/>
          <w:szCs w:val="18"/>
        </w:rPr>
        <w:t xml:space="preserve">The permission to operate without tissue applies only to going directly to resection. Once a patient is given chemotherapy, a wrong diagnosis is treated for months before anyone notices.</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deliver a neoadjuvant course that is not coordinated with the centre that will do the operation.</w:t>
      </w:r>
    </w:p>
    <w:p>
      <w:pPr>
        <w:spacing w:after="50" w:line="276"/>
        <w:ind w:left="240"/>
      </w:pPr>
      <w:r>
        <w:rPr>
          <w:color w:val="15181F"/>
          <w:sz w:val="18"/>
          <w:szCs w:val="18"/>
        </w:rPr>
        <w:t xml:space="preserve">NCCN's wording is that when feasible, treatment should be performed at or coordinated through a high-volume centre, and that determinations of resectability after neoadjuvant therapy should be made individually in a multidisciplinary setting.</w:t>
      </w:r>
    </w:p>
    <w:p>
      <w:pPr>
        <w:spacing w:after="50"/>
        <w:ind w:left="240"/>
      </w:pPr>
      <w:r>
        <w:rPr>
          <w:b/>
          <w:bCs/>
          <w:color w:val="8C2F26"/>
          <w:sz w:val="18"/>
          <w:szCs w:val="18"/>
        </w:rPr>
        <w:t xml:space="preserve">Caveat. </w:t>
      </w:r>
      <w:r>
        <w:rPr>
          <w:color w:val="15181F"/>
          <w:sz w:val="18"/>
          <w:szCs w:val="18"/>
        </w:rPr>
        <w:t xml:space="preserve">A patient who completes chemotherapy locally and is only then referred arrives with a scan that is weeks old, no baseline PET, and a CA 19-9 drawn while jaundiced — which makes the response assessment impossible to do properly. [EXPERTISE]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Borderline resectable — treat, then re-ask the question</w:t>
      </w:r>
    </w:p>
    <w:p>
      <w:pPr>
        <w:spacing w:after="140"/>
      </w:pPr>
      <w:r>
        <w:rPr>
          <w:b/>
          <w:bCs/>
          <w:color w:val="176A87"/>
          <w:sz w:val="19"/>
          <w:szCs w:val="19"/>
        </w:rPr>
        <w:t xml:space="preserve">The question. </w:t>
      </w:r>
      <w:r>
        <w:rPr>
          <w:sz w:val="19"/>
          <w:szCs w:val="19"/>
        </w:rPr>
        <w:t xml:space="preserve">Has this patient responded enough to justify the operation their anatomy is going to require?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Head or uncinate: solid tumour contact with the SMA of ≤180°, or with the common hepatic artery without extension to the celiac axis or hepatic artery bifurcation</w:t>
      </w:r>
    </w:p>
    <w:p>
      <w:pPr>
        <w:pStyle w:val="ListParagraph"/>
        <w:numPr>
          <w:ilvl w:val="0"/>
          <w:numId w:val="2"/>
        </w:numPr>
        <w:spacing w:after="60" w:line="268"/>
      </w:pPr>
      <w:r>
        <w:rPr>
          <w:color w:val="15181F"/>
          <w:sz w:val="18"/>
          <w:szCs w:val="18"/>
        </w:rPr>
        <w:t xml:space="preserve">Body or tail: solid tumour contact with the celiac axis of ≤180°</w:t>
      </w:r>
    </w:p>
    <w:p>
      <w:pPr>
        <w:pStyle w:val="ListParagraph"/>
        <w:numPr>
          <w:ilvl w:val="0"/>
          <w:numId w:val="2"/>
        </w:numPr>
        <w:spacing w:after="60" w:line="268"/>
      </w:pPr>
      <w:r>
        <w:rPr>
          <w:color w:val="15181F"/>
          <w:sz w:val="18"/>
          <w:szCs w:val="18"/>
        </w:rPr>
        <w:t xml:space="preserve">SMV or portal vein contact of &gt;180°, or ≤180° with contour irregularity, or vein thrombosis with suitable vessel above and below for reconstruction</w:t>
      </w:r>
    </w:p>
    <w:p>
      <w:pPr>
        <w:pStyle w:val="ListParagraph"/>
        <w:numPr>
          <w:ilvl w:val="0"/>
          <w:numId w:val="2"/>
        </w:numPr>
        <w:spacing w:after="60" w:line="268"/>
      </w:pPr>
      <w:r>
        <w:rPr>
          <w:color w:val="15181F"/>
          <w:sz w:val="18"/>
          <w:szCs w:val="18"/>
        </w:rPr>
        <w:t xml:space="preserve">Solid tumour contact with the inferior vena cava</w:t>
      </w:r>
    </w:p>
    <w:p>
      <w:pPr>
        <w:pStyle w:val="ListParagraph"/>
        <w:numPr>
          <w:ilvl w:val="0"/>
          <w:numId w:val="2"/>
        </w:numPr>
        <w:spacing w:after="60" w:line="268"/>
      </w:pPr>
      <w:r>
        <w:rPr>
          <w:color w:val="15181F"/>
          <w:sz w:val="18"/>
          <w:szCs w:val="18"/>
        </w:rPr>
        <w:t xml:space="preserve">Solid tumour contact with variant arterial anatomy, with the degree of contact recorded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Multiagent neoadjuvant chemotherapy first, then restage and re-ask the resectability question — this is where the randomised evidence for the neoadjuvant route is strongest.</w:t>
      </w:r>
    </w:p>
    <w:p>
      <w:pPr>
        <w:spacing w:after="50" w:line="276"/>
        <w:ind w:left="240"/>
      </w:pPr>
      <w:r>
        <w:rPr>
          <w:color w:val="15181F"/>
          <w:sz w:val="18"/>
          <w:szCs w:val="18"/>
        </w:rPr>
        <w:t xml:space="preserve">A fit borderline resectable patient with a tissue diagnosis. In the pooled analysis of nine randomised trials, the borderline resectable subgroup showed an overall survival benefit for neoadjuvant treatment, hazard ratio 0.60 (95% CI 0.38–0.96), against none in the resectable subgroup, 0.90 (0.63–1.28). In the long-term PREOPANC analysis the borderline resectable subgroup was the only significant one, hazard ratio 0.67 (0.45–0.99), P=.045. In ESPAC5, 1-year overall survival was 39% (95% CI 24–61) with immediate surgery, 78% (60–100) with gemcitabine plus capecitabine, 84% (70–100) with FOLFIRINOX and 60% (37–97) with capecitabine-based chemoradiotherapy, p=0.0028, with pooled neoadjuvant versus surgery hazard ratio 0.29 (0.14–0.60), p=0.0052.</w:t>
      </w:r>
    </w:p>
    <w:p>
      <w:pPr>
        <w:spacing w:after="50"/>
        <w:ind w:left="240"/>
      </w:pPr>
      <w:r>
        <w:rPr>
          <w:b/>
          <w:bCs/>
          <w:color w:val="8C2F26"/>
          <w:sz w:val="18"/>
          <w:szCs w:val="18"/>
        </w:rPr>
        <w:t xml:space="preserve">Caveat. </w:t>
      </w:r>
      <w:r>
        <w:rPr>
          <w:color w:val="15181F"/>
          <w:sz w:val="18"/>
          <w:szCs w:val="18"/>
        </w:rPr>
        <w:t xml:space="preserve">State the limits in the same breath, because they are large. ESPAC5 randomised 90 patients against a target of 100 and analysed 86; its primary endpoints were recruitment rate and resection rate and </w:t>
      </w:r>
      <w:r>
        <w:rPr>
          <w:b/>
          <w:bCs/>
          <w:color w:val="15181F"/>
          <w:sz w:val="18"/>
          <w:szCs w:val="18"/>
        </w:rPr>
        <w:t xml:space="preserve">both were negative</w:t>
      </w:r>
      <w:r>
        <w:rPr>
          <w:color w:val="15181F"/>
          <w:sz w:val="18"/>
          <w:szCs w:val="18"/>
        </w:rPr>
        <w:t xml:space="preserve"> — recruitment ran at 2.16 patients per month across 16 sites, and resection occurred in 21 of 31 (68%) after immediate surgery versus 30 of 55 (55%) after neoadjuvant therapy, p=0.33, numerically favouring immediate surgery, with R0 resection in 3 of 21 (14%) versus 7 of 30 (23%), p=0.49. Follow-up was capped at 12 months and there were 31 deaths in the whole trial. The control arm's median CA 19-9 was 802 kU/L against 322 to 623 kU/L in the neoadjuvant arms, an unadjusted and strongly prognostic imbalance in a trial with 16 to 31 patients per arm. Of the 43 patients who received adjuvant therapy anywhere in the trial, 41 (95%) got gemcitabine or gemcitabine plus capecitabine and only 2 (5%) got modified FOLFIRINOX.</w:t>
      </w:r>
    </w:p>
    <w:p>
      <w:pPr>
        <w:spacing w:after="50" w:line="276"/>
        <w:ind w:left="240"/>
      </w:pPr>
      <w:r>
        <w:rPr>
          <w:i/>
          <w:iCs/>
          <w:color w:val="5A6069"/>
          <w:sz w:val="17"/>
          <w:szCs w:val="17"/>
        </w:rPr>
        <w:t xml:space="preserve">Downgraded from B to C on the full-text read. The resectable-versus-borderline split that this gate depends on is not statistically established: the between-subgroup test in the pooled analysis was not significant (p=0.081), PREOPANC's interaction test was not significant in either report, and PREOPANC-2 found no treatment-effect heterogeneity in any subgroup (all interaction p at or above 0.23). The pooled estimate is also unstable — it depends on post hoc removal of NORPACT-1 and the pooled ESPAC5 chemotherapy comparison as outliers, which drops the only trial whose control arm partly resembles current practice and collapses heterogeneity from I² 55.8% to 0% by construction. ESPAC5's own internals cut against its mechanism: the chemoradiotherapy arm had the best pathology (37% R0, 25% node positive) and the worst neoadjuvant survival, and the authors note the survival benefit was unrelated to the resection rate. Disease-free survival from surgery was 33% (19–58) after immediate surgery and 59% (46–74) after the combined neoadjuvant arms, hazard ratio 0.53 (0.28–0.98), reported as p=0.016 in the abstract and p=0.043 in the results text. Grade 3 or worse adverse events occurred in 2 of 28 (7%) after immediate surgery and 17 of 50 (34%) after neoadjuvant therapy.</w:t>
      </w:r>
    </w:p>
    <w:p>
      <w:pPr>
        <w:spacing w:after="60" w:line="276"/>
        <w:ind w:left="240"/>
      </w:pPr>
      <w:r>
        <w:rPr>
          <w:color w:val="5A6069"/>
          <w:sz w:val="16"/>
          <w:szCs w:val="16"/>
        </w:rPr>
        <w:t xml:space="preserve">Sources: Neoadjuvant meta-analysis; ESPAC5; PREOPANC long-term</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Restage with pancreas-protocol CT or MRI of the abdomen plus chest and pelvis CT after neoadjuvant therapy, and judge response on two of three metrics.</w:t>
      </w:r>
    </w:p>
    <w:p>
      <w:pPr>
        <w:spacing w:after="50" w:line="276"/>
        <w:ind w:left="240"/>
      </w:pPr>
      <w:r>
        <w:rPr>
          <w:color w:val="15181F"/>
          <w:sz w:val="18"/>
          <w:szCs w:val="18"/>
        </w:rPr>
        <w:t xml:space="preserve">Every patient at the end of neoadjuvant therapy. The three metrics are radiologic (RECIST change on high-quality triple-phase CT or contrast-enhanced MRI), biochemical (CA 19-9 or CEA, interpretable only if the baseline was elevated and liver function has normalised) and metabolic (FDG-PET SUV or metabolic tumour volume against a baseline treatment-naive avid scan). Where the metrics conflict — tumour smaller on CT but CA 19-9 rising — NCCN asks for a third metric and a board discussion, deciding on two of three. The biochemical metric is the one with the most supporting data: ESMO cites a pooled analysis of 17 studies and 2,242 patients in which a CA 19-9 fall of more than 50% or normalisation after neoadjuvant treatment was associated with better overall survival (P&lt;0.0001).</w:t>
      </w:r>
    </w:p>
    <w:p>
      <w:pPr>
        <w:spacing w:after="50"/>
        <w:ind w:left="240"/>
      </w:pPr>
      <w:r>
        <w:rPr>
          <w:b/>
          <w:bCs/>
          <w:color w:val="8C2F26"/>
          <w:sz w:val="18"/>
          <w:szCs w:val="18"/>
        </w:rPr>
        <w:t xml:space="preserve">Caveat. </w:t>
      </w:r>
      <w:r>
        <w:rPr>
          <w:color w:val="15181F"/>
          <w:sz w:val="18"/>
          <w:szCs w:val="18"/>
        </w:rPr>
        <w:t xml:space="preserve">Do not read mild increases in perivascular soft tissue as progression; NCCN states this alone does not represent progression, ESMO states that persistent perivascular soft tissue is not synonymous with residual tumour, and after neoadjuvant therapy solid contact is often replaced by hazy density or stranding.</w:t>
      </w:r>
    </w:p>
    <w:p>
      <w:pPr>
        <w:spacing w:after="50" w:line="276"/>
        <w:ind w:left="240"/>
      </w:pPr>
      <w:r>
        <w:rPr>
          <w:i/>
          <w:iCs/>
          <w:color w:val="5A6069"/>
          <w:sz w:val="17"/>
          <w:szCs w:val="17"/>
        </w:rPr>
        <w:t xml:space="preserve">Examples of an optimal response given by NCCN are CA 19-9 normalisation, or near-normalisation, or at least a 50% decrease, and a complete or near-complete metabolic response on PET. The degree of </w:t>
      </w:r>
      <w:r>
        <w:rPr>
          <w:i/>
          <w:iCs/>
          <w:color w:val="5A6069"/>
          <w:sz w:val="17"/>
          <w:szCs w:val="17"/>
        </w:rPr>
        <w:t xml:space="preserve">significance</w:t>
      </w:r>
      <w:r>
        <w:rPr>
          <w:i/>
          <w:iCs/>
          <w:color w:val="5A6069"/>
          <w:sz w:val="17"/>
          <w:szCs w:val="17"/>
        </w:rPr>
        <w:t xml:space="preserve"> is explicitly left to the local treatment team, which makes it a ratification item. ESMO adds the relevant caveat about the radiologic metric: imaging performance for restaging after chemotherapy or chemoradiotherapy is lower than in treatment-naive settings. The trials bear that out — pathologic and nodal response in PREOPANC-2 and NORPACT-1 moved substantially without survival moving at all.</w:t>
      </w:r>
    </w:p>
    <w:p>
      <w:pPr>
        <w:spacing w:after="60" w:line="276"/>
        <w:ind w:left="240"/>
      </w:pPr>
      <w:r>
        <w:rPr>
          <w:color w:val="5A6069"/>
          <w:sz w:val="16"/>
          <w:szCs w:val="16"/>
        </w:rPr>
        <w:t xml:space="preserve">Sources: ESMO 2023 pancreatic; PREOPANC-2; NORPACT-1</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Operate 4 to 8 weeks after completing neoadjuvant therapy, and only where there is a high likelihood of achieving R0 while avoiding R2.</w:t>
      </w:r>
    </w:p>
    <w:p>
      <w:pPr>
        <w:spacing w:after="50" w:line="276"/>
        <w:ind w:left="240"/>
      </w:pPr>
      <w:r>
        <w:rPr>
          <w:color w:val="15181F"/>
          <w:sz w:val="18"/>
          <w:szCs w:val="18"/>
        </w:rPr>
        <w:t xml:space="preserve">The surgical principles NCCN sets for an anatomically advanced tumour that has responded are en bloc resection of the tumour and at-risk tissue to a negative margin, re-establishment of end-organ arterial inflow and venous outflow, restoration of gastrointestinal continuity, and biliary drainage. Much of this is assessed intraoperatively, because cross-sectional imaging distinguishes viable tumour from scar poorly.</w:t>
      </w:r>
    </w:p>
    <w:p>
      <w:pPr>
        <w:spacing w:after="50"/>
        <w:ind w:left="240"/>
      </w:pPr>
      <w:r>
        <w:rPr>
          <w:b/>
          <w:bCs/>
          <w:color w:val="8C2F26"/>
          <w:sz w:val="18"/>
          <w:szCs w:val="18"/>
        </w:rPr>
        <w:t xml:space="preserve">Caveat. </w:t>
      </w:r>
      <w:r>
        <w:rPr>
          <w:color w:val="15181F"/>
          <w:sz w:val="18"/>
          <w:szCs w:val="18"/>
        </w:rPr>
        <w:t xml:space="preserve">Do not attempt a resection whose likely outcome is R2. And do not abandon one because the vessel contact looks unchanged — if there is no apparent shrinkage and no extrapancreatic progression, NCCN's instruction is that surgery should still be attempted.</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Ordered by how well the guideline supports each, not by survival data — there is no randomised comparison of any of these three in borderline resectable disease, and the one randomised trial that tested adding radiotherapy to neoadjuvant chemotherapy in this population stopped that arm for futility. Venous resection is the only one NCCN says is supported by evidence; consolidative chemoradiation is a </w:t>
      </w:r>
      <w:r>
        <w:rPr>
          <w:i/>
          <w:iCs/>
          <w:color w:val="5A6069"/>
          <w:sz w:val="17"/>
          <w:szCs w:val="17"/>
        </w:rPr>
        <w:t xml:space="preserve">may be considered</w:t>
      </w:r>
      <w:r>
        <w:rPr>
          <w:i/>
          <w:iCs/>
          <w:color w:val="5A6069"/>
          <w:sz w:val="17"/>
          <w:szCs w:val="17"/>
        </w:rPr>
        <w:t xml:space="preserve"> whose necessity the guideline calls poorly defined; arterial resection is a highly selected salvage at specialist centres with an explicitly unknown long-term benefit.</w:t>
      </w:r>
    </w:p>
    <w:p>
      <w:pPr>
        <w:spacing w:after="50" w:before="120"/>
        <w:ind w:left="240"/>
      </w:pPr>
      <w:r>
        <w:rPr>
          <w:b/>
          <w:bCs/>
          <w:color w:val="15181F"/>
          <w:sz w:val="19"/>
          <w:szCs w:val="19"/>
        </w:rPr>
        <w:t xml:space="preserve">Venous (portal vein / SMV) resection and reconstruction</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NCCN states venous resection of the portal/SMV axis is supported by evidence if complete tumour excision to R0 is technically feasible with reasonably limited risks.</w:t>
      </w:r>
    </w:p>
    <w:p>
      <w:pPr>
        <w:spacing w:after="50" w:line="276"/>
        <w:ind w:left="240"/>
      </w:pPr>
      <w:r>
        <w:rPr>
          <w:color w:val="15181F"/>
          <w:sz w:val="18"/>
          <w:szCs w:val="18"/>
        </w:rPr>
        <w:t xml:space="preserve">A responder whose only barrier to R0 is a reconstructable venous segment, at a centre that does these routinely, with suitable vessel proximal and distal to the involved site.</w:t>
      </w:r>
    </w:p>
    <w:p>
      <w:pPr>
        <w:spacing w:after="50"/>
        <w:ind w:left="240"/>
      </w:pPr>
      <w:r>
        <w:rPr>
          <w:b/>
          <w:bCs/>
          <w:color w:val="8C2F26"/>
          <w:sz w:val="18"/>
          <w:szCs w:val="18"/>
        </w:rPr>
        <w:t xml:space="preserve">Caveat. </w:t>
      </w:r>
      <w:r>
        <w:rPr>
          <w:color w:val="15181F"/>
          <w:sz w:val="18"/>
          <w:szCs w:val="18"/>
        </w:rPr>
        <w:t xml:space="preserve">It is associated with higher complexity, greater potential blood loss, increased postoperative morbidity and mortality, and a higher likelihood of a positive margin. A vein resection done to convert an R2 into an R1 is not a gain.</w:t>
      </w:r>
    </w:p>
    <w:p>
      <w:pPr>
        <w:spacing w:after="50" w:before="120"/>
        <w:ind w:left="240"/>
      </w:pPr>
      <w:r>
        <w:rPr>
          <w:b/>
          <w:bCs/>
          <w:color w:val="15181F"/>
          <w:sz w:val="19"/>
          <w:szCs w:val="19"/>
        </w:rPr>
        <w:t xml:space="preserve">Consolidative chemoradiation before surgery</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NCCN says consolidative chemoradiation may be considered after chemotherapy and before surgical resection where the response is significant, and may be considered where the response is minimal as an alternative to switching regimens.</w:t>
      </w:r>
    </w:p>
    <w:p>
      <w:pPr>
        <w:spacing w:after="50" w:line="276"/>
        <w:ind w:left="240"/>
      </w:pPr>
      <w:r>
        <w:rPr>
          <w:color w:val="15181F"/>
          <w:sz w:val="18"/>
          <w:szCs w:val="18"/>
        </w:rPr>
        <w:t xml:space="preserve">Where the board wants to improve the chance of a clear margin in a tumour whose anatomy makes R0 marginal.</w:t>
      </w:r>
    </w:p>
    <w:p>
      <w:pPr>
        <w:spacing w:after="50"/>
        <w:ind w:left="240"/>
      </w:pPr>
      <w:r>
        <w:rPr>
          <w:b/>
          <w:bCs/>
          <w:color w:val="8C2F26"/>
          <w:sz w:val="18"/>
          <w:szCs w:val="18"/>
        </w:rPr>
        <w:t xml:space="preserve">Caveat. </w:t>
      </w:r>
      <w:r>
        <w:rPr>
          <w:color w:val="15181F"/>
          <w:sz w:val="18"/>
          <w:szCs w:val="18"/>
        </w:rPr>
        <w:t xml:space="preserve">Its role and necessity remain poorly defined. A021501 closed its radiotherapy arm early for futility on R0 rate in the first 30 evaluable patients (10 of 30 versus 17 of 30) and its arms are by design not comparable, so the descriptive difference in median overall survival (17.1 versus 29.8 months) cannot be read as harm from radiotherapy — but nothing in the trial supports adding it, and 15 of 55 patients allocated to it never received it.</w:t>
      </w:r>
    </w:p>
    <w:p>
      <w:pPr>
        <w:spacing w:after="60" w:line="276"/>
        <w:ind w:left="240"/>
      </w:pPr>
      <w:r>
        <w:rPr>
          <w:color w:val="5A6069"/>
          <w:sz w:val="16"/>
          <w:szCs w:val="16"/>
        </w:rPr>
        <w:t xml:space="preserve">Sources: Alliance A021501; PREOPANC-2</w:t>
      </w:r>
    </w:p>
    <w:p>
      <w:pPr>
        <w:spacing w:after="50" w:before="120"/>
        <w:ind w:left="240"/>
      </w:pPr>
      <w:r>
        <w:rPr>
          <w:b/>
          <w:bCs/>
          <w:color w:val="15181F"/>
          <w:sz w:val="19"/>
          <w:szCs w:val="19"/>
        </w:rPr>
        <w:t xml:space="preserve">Arterial resection (hepatic artery, celiac axis, SMA)</w:t>
      </w:r>
      <w:r>
        <w:rPr>
          <w:color w:val="5A6069"/>
          <w:sz w:val="15"/>
          <w:szCs w:val="15"/>
        </w:rPr>
        <w:t xml:space="preserve">   grade D</w:t>
      </w:r>
      <w:r>
        <w:rPr>
          <w:b/>
          <w:bCs/>
          <w:color w:val="8E5008"/>
          <w:spacing w:val="12"/>
          <w:sz w:val="14"/>
          <w:szCs w:val="14"/>
        </w:rPr>
        <w:t xml:space="preserve">   EXPERTISE</w:t>
      </w:r>
    </w:p>
    <w:p>
      <w:pPr>
        <w:spacing w:after="50" w:line="276"/>
        <w:ind w:left="240"/>
      </w:pPr>
      <w:r>
        <w:rPr>
          <w:color w:val="15181F"/>
          <w:sz w:val="18"/>
          <w:szCs w:val="18"/>
        </w:rPr>
        <w:t xml:space="preserve">NCCN restricts it to centres with proven experience in pancreatectomy with vascular resection and reconstruction, and to highly selected patients after extensive neoadjuvant therapy with objective responses.</w:t>
      </w:r>
    </w:p>
    <w:p>
      <w:pPr>
        <w:spacing w:after="50" w:line="276"/>
        <w:ind w:left="240"/>
      </w:pPr>
      <w:r>
        <w:rPr>
          <w:color w:val="15181F"/>
          <w:sz w:val="18"/>
          <w:szCs w:val="18"/>
        </w:rPr>
        <w:t xml:space="preserve">Almost nobody. Where it is contemplated, NCCN requires that the patient be counselled about the operative morbidity and mortality risk, the potential effect on quality of life, and that the long-term benefit — the chance of cure — is currently unknown.</w:t>
      </w:r>
    </w:p>
    <w:p>
      <w:pPr>
        <w:spacing w:after="50"/>
        <w:ind w:left="240"/>
      </w:pPr>
      <w:r>
        <w:rPr>
          <w:b/>
          <w:bCs/>
          <w:color w:val="8C2F26"/>
          <w:sz w:val="18"/>
          <w:szCs w:val="18"/>
        </w:rPr>
        <w:t xml:space="preserve">Caveat. </w:t>
      </w:r>
      <w:r>
        <w:rPr>
          <w:color w:val="15181F"/>
          <w:sz w:val="18"/>
          <w:szCs w:val="18"/>
        </w:rPr>
        <w:t xml:space="preserve">It is often part of a multivisceral resection with significantly greater morbidity and mortality. Do not offer it for a minimal response: NCCN's governing rule is that the more complex and risky the resection, the greater the objective response needed to justify it.</w:t>
      </w:r>
    </w:p>
    <w:p>
      <w:pPr>
        <w:spacing w:after="60" w:line="276"/>
        <w:ind w:left="240"/>
      </w:pPr>
      <w:r>
        <w:rPr>
          <w:i/>
          <w:iCs/>
          <w:color w:val="5A6069"/>
          <w:sz w:val="16"/>
          <w:szCs w:val="16"/>
        </w:rPr>
        <w:t xml:space="preserve">Ratification item 2: does this programme offer arterial resection or arterial divestment for PDAC at all, and if so under what minimum volume, which surgeons, and with what consent document? NCCN leaves the decision to centres with proven experience and requires explicit counselling that the chance of cure is unknown — that is a governance decision, not a case-by-case one. Ratification item 3: what counts locally as a </w:t>
      </w:r>
      <w:r>
        <w:rPr>
          <w:i/>
          <w:iCs/>
          <w:color w:val="5A6069"/>
          <w:sz w:val="16"/>
          <w:szCs w:val="16"/>
        </w:rPr>
        <w:t xml:space="preserve">significant</w:t>
      </w:r>
      <w:r>
        <w:rPr>
          <w:i/>
          <w:iCs/>
          <w:color w:val="5A6069"/>
          <w:sz w:val="16"/>
          <w:szCs w:val="16"/>
        </w:rPr>
        <w:t xml:space="preserve"> response, since NCCN hands the definition to the local treatment team. Audit: response category recorded, resection attempted, R0 rate and 90-day mortality, by vascular resection type.</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Switch to a different regimen and reassess, rather than operating, where the response is minimal or there has been local progression without metastases.</w:t>
      </w:r>
    </w:p>
    <w:p>
      <w:pPr>
        <w:spacing w:after="50" w:line="276"/>
        <w:ind w:left="240"/>
      </w:pPr>
      <w:r>
        <w:rPr>
          <w:color w:val="15181F"/>
          <w:sz w:val="18"/>
          <w:szCs w:val="18"/>
        </w:rPr>
        <w:t xml:space="preserve">NCCN's response table: with a minimal response, resection is considered in selected tumours without or with limited vascular involvement and no significant increase in surgical risk, and otherwise a different neoadjuvant therapy is considered with reassessment after second-line chemotherapy. With local progression and no metastatic progression, switching regimen is recommended, and resection may then be considered if there is no further progression and R0 is technically feasible — for a tumour with vascular involvement, only after a significant response to the second regimen.</w:t>
      </w:r>
    </w:p>
    <w:p>
      <w:pPr>
        <w:spacing w:after="50"/>
        <w:ind w:left="240"/>
      </w:pPr>
      <w:r>
        <w:rPr>
          <w:b/>
          <w:bCs/>
          <w:color w:val="8C2F26"/>
          <w:sz w:val="18"/>
          <w:szCs w:val="18"/>
        </w:rPr>
        <w:t xml:space="preserve">Caveat. </w:t>
      </w:r>
      <w:r>
        <w:rPr>
          <w:color w:val="15181F"/>
          <w:sz w:val="18"/>
          <w:szCs w:val="18"/>
        </w:rPr>
        <w:t xml:space="preserve">Do not interpret </w:t>
      </w:r>
      <w:r>
        <w:rPr>
          <w:i/>
          <w:iCs/>
          <w:color w:val="15181F"/>
          <w:sz w:val="18"/>
          <w:szCs w:val="18"/>
        </w:rPr>
        <w:t xml:space="preserve">switch and reassess</w:t>
      </w:r>
      <w:r>
        <w:rPr>
          <w:color w:val="15181F"/>
          <w:sz w:val="18"/>
          <w:szCs w:val="18"/>
        </w:rPr>
        <w:t xml:space="preserve"> as indefinite therapy. Set the reassessment date when the switch is made.</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Where the response warrants resection but the operation is not technically feasible locally, get a second opinion at a centre with expertise in vascular resection.</w:t>
      </w:r>
    </w:p>
    <w:p>
      <w:pPr>
        <w:spacing w:after="50" w:line="276"/>
        <w:ind w:left="240"/>
      </w:pPr>
      <w:r>
        <w:rPr>
          <w:color w:val="15181F"/>
          <w:sz w:val="18"/>
          <w:szCs w:val="18"/>
        </w:rPr>
        <w:t xml:space="preserve">NCCN recommends this explicitly at every response category in its table. It is the step most often skipped.</w:t>
      </w:r>
    </w:p>
    <w:p>
      <w:pPr>
        <w:spacing w:after="50"/>
        <w:ind w:left="240"/>
      </w:pPr>
      <w:r>
        <w:rPr>
          <w:b/>
          <w:bCs/>
          <w:color w:val="8C2F26"/>
          <w:sz w:val="18"/>
          <w:szCs w:val="18"/>
        </w:rPr>
        <w:t xml:space="preserve">Caveat. </w:t>
      </w:r>
      <w:r>
        <w:rPr>
          <w:color w:val="15181F"/>
          <w:sz w:val="18"/>
          <w:szCs w:val="18"/>
        </w:rPr>
        <w:t xml:space="preserve">Do not record </w:t>
      </w:r>
      <w:r>
        <w:rPr>
          <w:i/>
          <w:iCs/>
          <w:color w:val="15181F"/>
          <w:sz w:val="18"/>
          <w:szCs w:val="18"/>
        </w:rPr>
        <w:t xml:space="preserve">not resectable here</w:t>
      </w:r>
      <w:r>
        <w:rPr>
          <w:color w:val="15181F"/>
          <w:sz w:val="18"/>
          <w:szCs w:val="18"/>
        </w:rPr>
        <w:t xml:space="preserve"> as </w:t>
      </w:r>
      <w:r>
        <w:rPr>
          <w:i/>
          <w:iCs/>
          <w:color w:val="15181F"/>
          <w:sz w:val="18"/>
          <w:szCs w:val="18"/>
        </w:rPr>
        <w:t xml:space="preserve">not resectable</w:t>
      </w:r>
      <w:r>
        <w:rPr>
          <w:color w:val="15181F"/>
          <w:sz w:val="18"/>
          <w:szCs w:val="18"/>
        </w:rPr>
        <w:t xml:space="preserve">. [EXPERTISE]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abandon the operation because the degree of vessel contact has not changed.</w:t>
      </w:r>
    </w:p>
    <w:p>
      <w:pPr>
        <w:spacing w:after="50" w:line="276"/>
        <w:ind w:left="240"/>
      </w:pPr>
      <w:r>
        <w:rPr>
          <w:color w:val="15181F"/>
          <w:sz w:val="18"/>
          <w:szCs w:val="18"/>
        </w:rPr>
        <w:t xml:space="preserve">Judge the response on the three metrics and the clinical picture — performance status, pain, satiety, weight and nutrition, diabetes control are all listed by NCCN as possible metrics of response.</w:t>
      </w:r>
    </w:p>
    <w:p>
      <w:pPr>
        <w:spacing w:after="50"/>
        <w:ind w:left="240"/>
      </w:pPr>
      <w:r>
        <w:rPr>
          <w:b/>
          <w:bCs/>
          <w:color w:val="8C2F26"/>
          <w:sz w:val="18"/>
          <w:szCs w:val="18"/>
        </w:rPr>
        <w:t xml:space="preserve">Caveat. </w:t>
      </w:r>
      <w:r>
        <w:rPr>
          <w:color w:val="15181F"/>
          <w:sz w:val="18"/>
          <w:szCs w:val="18"/>
        </w:rPr>
        <w:t xml:space="preserve">NCCN's significant-response row states that resection is recommended in the majority of cases </w:t>
      </w:r>
      <w:r>
        <w:rPr>
          <w:b/>
          <w:bCs/>
          <w:color w:val="15181F"/>
          <w:sz w:val="18"/>
          <w:szCs w:val="18"/>
        </w:rPr>
        <w:t xml:space="preserve">independent of the degree of vascular involvement</w:t>
      </w:r>
      <w:r>
        <w:rPr>
          <w:color w:val="15181F"/>
          <w:sz w:val="18"/>
          <w:szCs w:val="18"/>
        </w:rPr>
        <w:t xml:space="preserve"> if R0 is technically feasible. Radiographic vascular contact after chemotherapy frequently represents fibrosis, imaging cannot tell the two apart, and ESMO states that imaging performance after chemotherapy is lower than in treatment-naive settings. Note also that less vascular work was needed after neoadjuvant therapy in the trials that counted it — concomitant venous resection in 14% versus 29% in NORPACT-1 (p=0.0034) and vascular resection in 16.5% versus 21.4% in the pooled analysis — so unchanged contact on the scan is a poor guide to what the operation will require.</w:t>
      </w:r>
    </w:p>
    <w:p>
      <w:pPr>
        <w:spacing w:after="60" w:line="276"/>
        <w:ind w:left="240"/>
      </w:pPr>
      <w:r>
        <w:rPr>
          <w:color w:val="5A6069"/>
          <w:sz w:val="16"/>
          <w:szCs w:val="16"/>
        </w:rPr>
        <w:t xml:space="preserve">Sources: NORPACT-1; Neoadjuvant meta-analysis; ESMO 2023 pancreatic</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operate for a minimal response when the operation required is an arterial resection.</w:t>
      </w:r>
    </w:p>
    <w:p>
      <w:pPr>
        <w:spacing w:after="50" w:line="276"/>
        <w:ind w:left="240"/>
      </w:pPr>
      <w:r>
        <w:rPr>
          <w:color w:val="15181F"/>
          <w:sz w:val="18"/>
          <w:szCs w:val="18"/>
        </w:rPr>
        <w:t xml:space="preserve">Switch regimen, reassess, and only reconsider an arterial resection after a significant response.</w:t>
      </w:r>
    </w:p>
    <w:p>
      <w:pPr>
        <w:spacing w:after="50"/>
        <w:ind w:left="240"/>
      </w:pPr>
      <w:r>
        <w:rPr>
          <w:b/>
          <w:bCs/>
          <w:color w:val="8C2F26"/>
          <w:sz w:val="18"/>
          <w:szCs w:val="18"/>
        </w:rPr>
        <w:t xml:space="preserve">Caveat. </w:t>
      </w:r>
      <w:r>
        <w:rPr>
          <w:color w:val="15181F"/>
          <w:sz w:val="18"/>
          <w:szCs w:val="18"/>
        </w:rPr>
        <w:t xml:space="preserve">This inverts NCCN's rule that the risk of the operation sets the threshold for the response needed to justify it, and it is the combination with the worst morbidity and mortality on the page.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use the word </w:t>
      </w:r>
      <w:r>
        <w:rPr>
          <w:i/>
          <w:iCs/>
          <w:color w:val="15181F"/>
          <w:sz w:val="19"/>
          <w:szCs w:val="19"/>
        </w:rPr>
        <w:t xml:space="preserve">unresectable</w:t>
      </w:r>
      <w:r>
        <w:rPr>
          <w:color w:val="15181F"/>
          <w:sz w:val="19"/>
          <w:szCs w:val="19"/>
        </w:rPr>
        <w:t xml:space="preserve"> for a patient who has not yet had systemic therapy.</w:t>
      </w:r>
    </w:p>
    <w:p>
      <w:pPr>
        <w:spacing w:after="50" w:line="276"/>
        <w:ind w:left="240"/>
      </w:pPr>
      <w:r>
        <w:rPr>
          <w:color w:val="15181F"/>
          <w:sz w:val="18"/>
          <w:szCs w:val="18"/>
        </w:rPr>
        <w:t xml:space="preserve">Borderline resectable is a treatment category, not a verdict. Say what the barrier to R0 is and what would have to change.</w:t>
      </w:r>
    </w:p>
    <w:p>
      <w:pPr>
        <w:spacing w:after="50"/>
        <w:ind w:left="240"/>
      </w:pPr>
      <w:r>
        <w:rPr>
          <w:b/>
          <w:bCs/>
          <w:color w:val="8C2F26"/>
          <w:sz w:val="18"/>
          <w:szCs w:val="18"/>
        </w:rPr>
        <w:t xml:space="preserve">Caveat. </w:t>
      </w:r>
      <w:r>
        <w:rPr>
          <w:color w:val="15181F"/>
          <w:sz w:val="18"/>
          <w:szCs w:val="18"/>
        </w:rPr>
        <w:t xml:space="preserve">A patient told at diagnosis that they are inoperable rarely gets re-asked the question, which is how a responder is lost.</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The operation, and what R0 actually means</w:t>
      </w:r>
    </w:p>
    <w:p>
      <w:pPr>
        <w:spacing w:after="140"/>
      </w:pPr>
      <w:r>
        <w:rPr>
          <w:b/>
          <w:bCs/>
          <w:color w:val="176A87"/>
          <w:sz w:val="19"/>
          <w:szCs w:val="19"/>
        </w:rPr>
        <w:t xml:space="preserve">The question. </w:t>
      </w:r>
      <w:r>
        <w:rPr>
          <w:sz w:val="19"/>
          <w:szCs w:val="19"/>
        </w:rPr>
        <w:t xml:space="preserve">Did I take the right nodes, and will the pathologist be able to tell me the margin in millimetres?</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Pancreatoduodenectomy for head and uncinate tumours; distal pancreatectomy for body and tail</w:t>
      </w:r>
    </w:p>
    <w:p>
      <w:pPr>
        <w:pStyle w:val="ListParagraph"/>
        <w:numPr>
          <w:ilvl w:val="0"/>
          <w:numId w:val="2"/>
        </w:numPr>
        <w:spacing w:after="60" w:line="268"/>
      </w:pPr>
      <w:r>
        <w:rPr>
          <w:color w:val="15181F"/>
          <w:sz w:val="18"/>
          <w:szCs w:val="18"/>
        </w:rPr>
        <w:t xml:space="preserve">Standard, not extended, lymphadenectomy</w:t>
      </w:r>
    </w:p>
    <w:p>
      <w:pPr>
        <w:pStyle w:val="ListParagraph"/>
        <w:numPr>
          <w:ilvl w:val="0"/>
          <w:numId w:val="2"/>
        </w:numPr>
        <w:spacing w:after="60" w:line="268"/>
      </w:pPr>
      <w:r>
        <w:rPr>
          <w:color w:val="15181F"/>
          <w:sz w:val="18"/>
          <w:szCs w:val="18"/>
        </w:rPr>
        <w:t xml:space="preserve">Peritoneal washings sent, and the result recorded in the operative note</w:t>
      </w:r>
    </w:p>
    <w:p>
      <w:pPr>
        <w:pStyle w:val="ListParagraph"/>
        <w:numPr>
          <w:ilvl w:val="0"/>
          <w:numId w:val="2"/>
        </w:numPr>
        <w:spacing w:after="60" w:line="268"/>
      </w:pPr>
      <w:r>
        <w:rPr>
          <w:color w:val="15181F"/>
          <w:sz w:val="18"/>
          <w:szCs w:val="18"/>
        </w:rPr>
        <w:t xml:space="preserve">Specimen inked and sliced to a protocol that allows millimetre reporting of every margin</w:t>
      </w:r>
    </w:p>
    <w:p>
      <w:pPr>
        <w:pStyle w:val="ListParagraph"/>
        <w:numPr>
          <w:ilvl w:val="0"/>
          <w:numId w:val="2"/>
        </w:numPr>
        <w:spacing w:after="60" w:line="268"/>
      </w:pPr>
      <w:r>
        <w:rPr>
          <w:color w:val="15181F"/>
          <w:sz w:val="18"/>
          <w:szCs w:val="18"/>
        </w:rPr>
        <w:t xml:space="preserve">Done at a high-volume centre, by a surgeon who does them</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Standard lymphadenectomy, to the stations the International Study Group on Pancreatic Surgery names — extended lymphadenectomy gives no survival benefit.</w:t>
      </w:r>
    </w:p>
    <w:p>
      <w:pPr>
        <w:spacing w:after="50" w:line="276"/>
        <w:ind w:left="240"/>
      </w:pPr>
      <w:r>
        <w:rPr>
          <w:color w:val="15181F"/>
          <w:sz w:val="18"/>
          <w:szCs w:val="18"/>
        </w:rPr>
        <w:t xml:space="preserve">For pancreatoduodenectomy the ISGPS consensus is to resect stations 5, 6, 8a, 12b1, 12b2, 12c, 13a, 13b, 14a, 14b, 17a and 17b, using Japanese Pancreas Society nomenclature. For cancers of the body and tail, removal of stations 10, 11 and 18 is standard. Lymphadenectomy also matters for adequate nodal staging, which drives the adjuvant discussion.</w:t>
      </w:r>
    </w:p>
    <w:p>
      <w:pPr>
        <w:spacing w:after="50"/>
        <w:ind w:left="240"/>
      </w:pPr>
      <w:r>
        <w:rPr>
          <w:b/>
          <w:bCs/>
          <w:color w:val="8C2F26"/>
          <w:sz w:val="18"/>
          <w:szCs w:val="18"/>
        </w:rPr>
        <w:t xml:space="preserve">Caveat. </w:t>
      </w:r>
      <w:r>
        <w:rPr>
          <w:color w:val="15181F"/>
          <w:sz w:val="18"/>
          <w:szCs w:val="18"/>
        </w:rPr>
        <w:t xml:space="preserve">Extended lymphadenectomy — nodes along the left side of the SMA and around the celiac trunk, splenic artery or left gastric artery — showed no survival benefit over standard lymphadenectomy in the trials the consensus summarises and cannot be recommended. There was no level I evidence on the prognostic impact of positive para-aortic nodes.</w:t>
      </w:r>
    </w:p>
    <w:p>
      <w:pPr>
        <w:spacing w:after="50" w:line="276"/>
        <w:ind w:left="240"/>
      </w:pPr>
      <w:r>
        <w:rPr>
          <w:i/>
          <w:iCs/>
          <w:color w:val="5A6069"/>
          <w:sz w:val="17"/>
          <w:szCs w:val="17"/>
        </w:rPr>
        <w:t xml:space="preserve">Downgraded from B to C, and flagged for provenance: </w:t>
      </w:r>
      <w:r>
        <w:rPr>
          <w:b/>
          <w:bCs/>
          <w:i/>
          <w:iCs/>
          <w:color w:val="5A6069"/>
          <w:sz w:val="17"/>
          <w:szCs w:val="17"/>
        </w:rPr>
        <w:t xml:space="preserve">this consensus statement is cited from its abstract only.</w:t>
      </w:r>
      <w:r>
        <w:rPr>
          <w:i/>
          <w:iCs/>
          <w:color w:val="5A6069"/>
          <w:sz w:val="17"/>
          <w:szCs w:val="17"/>
        </w:rPr>
        <w:t xml:space="preserve"> No new papers were obtained for this depot and the full text was not retrieved, so the station list and the no-benefit claim have not been checked against the published trials the consensus relies on, and neither has the strength of agreement behind either. ISGPS reached consensus on selectively removing suspected nodes outside the resection area for frozen section, but </w:t>
      </w:r>
      <w:r>
        <w:rPr>
          <w:b/>
          <w:bCs/>
          <w:i/>
          <w:iCs/>
          <w:color w:val="5A6069"/>
          <w:sz w:val="17"/>
          <w:szCs w:val="17"/>
        </w:rPr>
        <w:t xml:space="preserve">no consensus</w:t>
      </w:r>
      <w:r>
        <w:rPr>
          <w:i/>
          <w:iCs/>
          <w:color w:val="5A6069"/>
          <w:sz w:val="17"/>
          <w:szCs w:val="17"/>
        </w:rPr>
        <w:t xml:space="preserve"> on whether to continue or terminate the resection when those nodes are positive — so that is a local decision made in advance, not in the room. Both pancreatic resection in a relatively fit patient and non-resectional palliative treatment were accepted as reasonable in that situation. [EXPERTISE]</w:t>
      </w:r>
    </w:p>
    <w:p>
      <w:pPr>
        <w:spacing w:after="60" w:line="276"/>
        <w:ind w:left="240"/>
      </w:pPr>
      <w:r>
        <w:rPr>
          <w:color w:val="5A6069"/>
          <w:sz w:val="16"/>
          <w:szCs w:val="16"/>
        </w:rPr>
        <w:t xml:space="preserve">Sources: ISGPS lymphadenectomy</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R0 in this disease means more than 1 mm of clearance — report the distance in millimetres for every margin within 1.0 cm of tumour.</w:t>
      </w:r>
    </w:p>
    <w:p>
      <w:pPr>
        <w:spacing w:after="50" w:line="276"/>
        <w:ind w:left="240"/>
      </w:pPr>
      <w:r>
        <w:rPr>
          <w:color w:val="15181F"/>
          <w:sz w:val="18"/>
          <w:szCs w:val="18"/>
        </w:rPr>
        <w:t xml:space="preserve">Every specimen. Per the current College of American Pathologists protocol, tumour at or within 1 mm of a resection margin constitutes a positive margin, and ESMO's 2023 guideline uses the same definition. NCCN asks for clearance reported with millimetre accuracy for all margins where tumour is within 1.0 cm, and with centimetre accuracy beyond that, so that the data accumulate for future analysis.</w:t>
      </w:r>
    </w:p>
    <w:p>
      <w:pPr>
        <w:spacing w:after="50"/>
        <w:ind w:left="240"/>
      </w:pPr>
      <w:r>
        <w:rPr>
          <w:b/>
          <w:bCs/>
          <w:color w:val="8C2F26"/>
          <w:sz w:val="18"/>
          <w:szCs w:val="18"/>
        </w:rPr>
        <w:t xml:space="preserve">Caveat. </w:t>
      </w:r>
      <w:r>
        <w:rPr>
          <w:color w:val="15181F"/>
          <w:sz w:val="18"/>
          <w:szCs w:val="18"/>
        </w:rPr>
        <w:t xml:space="preserve">Do not present the 1 mm rule as established in pancreatic cancer. NCCN states that the recommendation is based primarily on extrapolation from data on rectal adenocarcinoma and that there is currently a lack of definitive evidence for what constitutes an adequate margin in pancreatic resection specimens. A standardised definition does not yet exist.</w:t>
      </w:r>
    </w:p>
    <w:p>
      <w:pPr>
        <w:spacing w:after="50" w:line="276"/>
        <w:ind w:left="240"/>
      </w:pPr>
      <w:r>
        <w:rPr>
          <w:i/>
          <w:iCs/>
          <w:color w:val="5A6069"/>
          <w:sz w:val="17"/>
          <w:szCs w:val="17"/>
        </w:rPr>
        <w:t xml:space="preserve">Downgraded from C to D on the full-text read: this is a threshold nobody derived. The single study that supplied the clinical argument for it, 163 consecutive pancreatoduodenectomies at one centre, answered its own question in the null — median survival 15.4 months (95% CI 11.3–18.2) for </w:t>
      </w:r>
      <w:r>
        <w:rPr>
          <w:i/>
          <w:iCs/>
          <w:color w:val="5A6069"/>
          <w:sz w:val="17"/>
          <w:szCs w:val="17"/>
        </w:rPr>
        <w:t xml:space="preserve">equivocal</w:t>
      </w:r>
      <w:r>
        <w:rPr>
          <w:i/>
          <w:iCs/>
          <w:color w:val="5A6069"/>
          <w:sz w:val="17"/>
          <w:szCs w:val="17"/>
        </w:rPr>
        <w:t xml:space="preserve"> R1, tumour within 1 mm but not reaching the margin, against 12.6 months (9.2–14.3) for unequivocal R1, log-rank P=0.102 — and concluded the two should be treated as one category on the strength of a non-significant test. Equivocal R1 versus R0 was also non-significant (P=0.114), so the study cannot separate the intermediate group from either neighbour. R0 (n=35) gave median survival 25.4 months with a 95% CI of 10.5 to 40.8 months, and margin status did </w:t>
      </w:r>
      <w:r>
        <w:rPr>
          <w:b/>
          <w:bCs/>
          <w:i/>
          <w:iCs/>
          <w:color w:val="5A6069"/>
          <w:sz w:val="17"/>
          <w:szCs w:val="17"/>
        </w:rPr>
        <w:t xml:space="preserve">not</w:t>
      </w:r>
      <w:r>
        <w:rPr>
          <w:i/>
          <w:iCs/>
          <w:color w:val="5A6069"/>
          <w:sz w:val="17"/>
          <w:szCs w:val="17"/>
        </w:rPr>
        <w:t xml:space="preserve"> survive multivariable adjustment (univariate HR 1.747, 1.117–2.734, P=0.015; adjusted HR 1.443, 0.896–2.324, P=0.132), where lymph node ratio, tumour size and adjuvant chemotherapy did. Only 27% of that cohort received adjuvant chemotherapy, in 1997–2007. The practical consequence matters more than the prognostic one: applying the rule moved the R1 rate at that centre from 44% to 79%, which means R0 rates are substantially a function of local pathology protocol and the R0 figures quoted across the trials on this page — PREOPANC 71% of resected, ESPAC5 14% to 23%, NORPACT-1 56% versus 39%, APACT 76% with no central pathology review — are not comparable with one another. The 16-versus-14-month and 35-month margin-clearance figures carried in the NCCN discussion text supplied to this page come from a different review, appear in a sentence that inverts them, and were not retrieved for this depot; confirm the direction against the published discussion before quoting them.</w:t>
      </w:r>
    </w:p>
    <w:p>
      <w:pPr>
        <w:spacing w:after="60" w:line="276"/>
        <w:ind w:left="240"/>
      </w:pPr>
      <w:r>
        <w:rPr>
          <w:color w:val="5A6069"/>
          <w:sz w:val="16"/>
          <w:szCs w:val="16"/>
        </w:rPr>
        <w:t xml:space="preserve">Sources: Campbell 1 mm rule; ESMO 2023 pancreatic</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Dissect the specimen to a stated protocol — axial or bivalve — and accept that there is no single correct method.</w:t>
      </w:r>
    </w:p>
    <w:p>
      <w:pPr>
        <w:spacing w:after="50" w:line="276"/>
        <w:ind w:left="240"/>
      </w:pPr>
      <w:r>
        <w:rPr>
          <w:color w:val="15181F"/>
          <w:sz w:val="18"/>
          <w:szCs w:val="18"/>
        </w:rPr>
        <w:t xml:space="preserve">Axial slicing, perpendicular to the long axis at regular intervals, preserves spatial relationships and is useful for radiologic-pathologic correlation. The bivalve method, bisecting along probes in the bile and pancreatic ducts, is better for localising small lesions near the ampulla or ducts and for assessing ductal involvement and margins. Knowing the clinically suspected lesion is what should pick the method.</w:t>
      </w:r>
    </w:p>
    <w:p>
      <w:pPr>
        <w:spacing w:after="50"/>
        <w:ind w:left="240"/>
      </w:pPr>
      <w:r>
        <w:rPr>
          <w:b/>
          <w:bCs/>
          <w:color w:val="8C2F26"/>
          <w:sz w:val="18"/>
          <w:szCs w:val="18"/>
        </w:rPr>
        <w:t xml:space="preserve">Caveat. </w:t>
      </w:r>
      <w:r>
        <w:rPr>
          <w:color w:val="15181F"/>
          <w:sz w:val="18"/>
          <w:szCs w:val="18"/>
        </w:rPr>
        <w:t xml:space="preserve">What is not optional is clear and accurate assessment of the margins, tumour size, and the relationship to pancreatic surfaces, margins, bile duct, main pancreatic duct and duodenum. Organs resected en bloc need serial sectioning to assess both direct extension and separate metastatic deposits, with at least one section demonstrating each.</w:t>
      </w:r>
    </w:p>
    <w:p>
      <w:pPr>
        <w:spacing w:after="50" w:line="276"/>
        <w:ind w:left="240"/>
      </w:pPr>
      <w:r>
        <w:rPr>
          <w:i/>
          <w:iCs/>
          <w:color w:val="5A6069"/>
          <w:sz w:val="17"/>
          <w:szCs w:val="17"/>
        </w:rPr>
        <w:t xml:space="preserve">In distal pancreatectomy, assess the peripancreatic soft-tissue surfaces and the pancreatic neck, document splenic vessel involvement and splenic invasion, and consider shaving and submitting the splenic artery and vein margins. Frozen section of the pancreatic neck is a recommended option. Direct tumour invasion of the spleen is pT3.</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Send peritoneal washings whenever the abdomen is open, and act on a positive result.</w:t>
      </w:r>
    </w:p>
    <w:p>
      <w:pPr>
        <w:spacing w:after="50" w:line="276"/>
        <w:ind w:left="240"/>
      </w:pPr>
      <w:r>
        <w:rPr>
          <w:color w:val="15181F"/>
          <w:sz w:val="18"/>
          <w:szCs w:val="18"/>
        </w:rPr>
        <w:t xml:space="preserve">At staging laparoscopy and at resection. Intraoperative ultrasound can be used as an adjunct to further evaluate the liver, the tumour and vascular involvement. The yield is real: in PREOPANC, 13 of the 28 patients allocated to neoadjuvant therapy who never started it were found metastatic at the mandatory staging laparoscopy.</w:t>
      </w:r>
    </w:p>
    <w:p>
      <w:pPr>
        <w:spacing w:after="50"/>
        <w:ind w:left="240"/>
      </w:pPr>
      <w:r>
        <w:rPr>
          <w:b/>
          <w:bCs/>
          <w:color w:val="8C2F26"/>
          <w:sz w:val="18"/>
          <w:szCs w:val="18"/>
        </w:rPr>
        <w:t xml:space="preserve">Caveat. </w:t>
      </w:r>
      <w:r>
        <w:rPr>
          <w:color w:val="15181F"/>
          <w:sz w:val="18"/>
          <w:szCs w:val="18"/>
        </w:rPr>
        <w:t xml:space="preserve">Positive cytology is equivalent to M1 disease. If a resection has already been performed in such a patient, they are treated for M1 disease — so the result has to reach the oncologist, not sit in the chart.</w:t>
      </w:r>
    </w:p>
    <w:p>
      <w:pPr>
        <w:spacing w:after="60" w:line="276"/>
        <w:ind w:left="240"/>
      </w:pPr>
      <w:r>
        <w:rPr>
          <w:color w:val="5A6069"/>
          <w:sz w:val="16"/>
          <w:szCs w:val="16"/>
        </w:rPr>
        <w:t xml:space="preserve">Sources: PREOPANC long-term</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 written minimum annual volume for pancreatoduodenectomy at this centre, with a textbook-outcome audit behind it.</w:t>
      </w:r>
    </w:p>
    <w:p>
      <w:pPr>
        <w:spacing w:after="50" w:line="276"/>
        <w:ind w:left="240"/>
      </w:pPr>
      <w:r>
        <w:rPr>
          <w:color w:val="15181F"/>
          <w:sz w:val="18"/>
          <w:szCs w:val="18"/>
        </w:rPr>
        <w:t xml:space="preserve">NCCN's opening line in this guideline is that decisions about diagnosis, resectability and management should involve multidisciplinary consultation at a high-volume centre, and it repeats </w:t>
      </w:r>
      <w:r>
        <w:rPr>
          <w:i/>
          <w:iCs/>
          <w:color w:val="15181F"/>
          <w:sz w:val="18"/>
          <w:szCs w:val="18"/>
        </w:rPr>
        <w:t xml:space="preserve">high-volume centre</w:t>
      </w:r>
      <w:r>
        <w:rPr>
          <w:color w:val="15181F"/>
          <w:sz w:val="18"/>
          <w:szCs w:val="18"/>
        </w:rPr>
        <w:t xml:space="preserve"> at the drainage, vascular resection, recurrence and gastric outlet gates. A threshold that is written down makes the referral decision auditable.</w:t>
      </w:r>
    </w:p>
    <w:p>
      <w:pPr>
        <w:spacing w:after="50"/>
        <w:ind w:left="240"/>
      </w:pPr>
      <w:r>
        <w:rPr>
          <w:b/>
          <w:bCs/>
          <w:color w:val="8C2F26"/>
          <w:sz w:val="18"/>
          <w:szCs w:val="18"/>
        </w:rPr>
        <w:t xml:space="preserve">Caveat. </w:t>
      </w:r>
      <w:r>
        <w:rPr>
          <w:color w:val="15181F"/>
          <w:sz w:val="18"/>
          <w:szCs w:val="18"/>
        </w:rPr>
        <w:t xml:space="preserve">The guideline never states a number, and no number here is evidence based. Volume-outcome relationships in pancreatic surgery are observational and consistent; the threshold itself is a governance choice. [EXPERTISE]</w:t>
      </w:r>
    </w:p>
    <w:p>
      <w:pPr>
        <w:spacing w:after="50" w:line="276"/>
        <w:ind w:left="240"/>
      </w:pPr>
      <w:r>
        <w:rPr>
          <w:i/>
          <w:iCs/>
          <w:color w:val="5A6069"/>
          <w:sz w:val="17"/>
          <w:szCs w:val="17"/>
        </w:rPr>
        <w:t xml:space="preserve">NCCN never states a number, and no number here is evidence based. Volume-outcome relationships in pancreatic surgery are observational and consistent; the threshold itself is a governance choice. The one randomised dataset in this depot that looked at it found centre volume associated with survival in a post hoc multivariable model (10 or more patients enrolled, HR 0.77, 95% CI 0.61–0.98, P=.03, in PRODIGE-24's 77 hospitals) — a finding confounded with case mix, surgical quality, access to relapse therapy and country, and selected by a stepwise procedure with no multiplicity correction. Do not cite it as a derived threshold. [EXPERTISE]</w:t>
      </w:r>
    </w:p>
    <w:p>
      <w:pPr>
        <w:spacing w:after="60" w:line="276"/>
        <w:ind w:left="240"/>
      </w:pPr>
      <w:r>
        <w:rPr>
          <w:color w:val="5A6069"/>
          <w:sz w:val="16"/>
          <w:szCs w:val="16"/>
        </w:rPr>
        <w:t xml:space="preserve">Sources: PRODIGE 24 five-year</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Resection of a local recurrence, in a carefully restaged patient, as part of a multimodal plan rather than as an isolated operation.</w:t>
      </w:r>
    </w:p>
    <w:p>
      <w:pPr>
        <w:spacing w:after="50" w:line="276"/>
        <w:ind w:left="240"/>
      </w:pPr>
      <w:r>
        <w:rPr>
          <w:color w:val="15181F"/>
          <w:sz w:val="18"/>
          <w:szCs w:val="18"/>
        </w:rPr>
        <w:t xml:space="preserve">In a pooled analysis of 55 patients from 19 studies who underwent pancreatectomy for recurrent pancreatic cancer, 1-, 3- and 5-year survival were 82.2%, 49.2% and 40.6%. NCCN asks for careful evaluation in a multidisciplinary clinic with detailed restaging, and a plan that may include neoadjuvant chemotherapy with or without radiotherapy and then resection.</w:t>
      </w:r>
    </w:p>
    <w:p>
      <w:pPr>
        <w:spacing w:after="50"/>
        <w:ind w:left="240"/>
      </w:pPr>
      <w:r>
        <w:rPr>
          <w:b/>
          <w:bCs/>
          <w:color w:val="8C2F26"/>
          <w:sz w:val="18"/>
          <w:szCs w:val="18"/>
        </w:rPr>
        <w:t xml:space="preserve">Caveat. </w:t>
      </w:r>
      <w:r>
        <w:rPr>
          <w:color w:val="15181F"/>
          <w:sz w:val="18"/>
          <w:szCs w:val="18"/>
        </w:rPr>
        <w:t xml:space="preserve">Fifty-five patients across nineteen studies is a selected series of selected series. Chemoradiation can be considered for local recurrence if radiation was not given before, but NCCN notes limited data to support specific radiotherapy recommendations in this setting. Where there is metastatic disease with or without local recurrence, this is a systemic problem — see the metastatic gate.</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Resection of limited pulmonary-only metastases after resection, in a selected patient.</w:t>
      </w:r>
    </w:p>
    <w:p>
      <w:pPr>
        <w:spacing w:after="50" w:line="276"/>
        <w:ind w:left="240"/>
      </w:pPr>
      <w:r>
        <w:rPr>
          <w:color w:val="15181F"/>
          <w:sz w:val="18"/>
          <w:szCs w:val="18"/>
        </w:rPr>
        <w:t xml:space="preserve">The lung is a common site of recurrence after pancreatic resection, and NCCN states resection may be considered for those with limited pulmonary-only metastases.</w:t>
      </w:r>
    </w:p>
    <w:p>
      <w:pPr>
        <w:spacing w:after="50"/>
        <w:ind w:left="240"/>
      </w:pPr>
      <w:r>
        <w:rPr>
          <w:b/>
          <w:bCs/>
          <w:color w:val="8C2F26"/>
          <w:sz w:val="18"/>
          <w:szCs w:val="18"/>
        </w:rPr>
        <w:t xml:space="preserve">Caveat. </w:t>
      </w:r>
      <w:r>
        <w:rPr>
          <w:color w:val="15181F"/>
          <w:sz w:val="18"/>
          <w:szCs w:val="18"/>
        </w:rPr>
        <w:t xml:space="preserve">NCCN also states that more data are needed before recommendations can be made about managing pulmonary metastases, so this is a case-by-case board decision and not a pathway.</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Extended lymphadenectomy.</w:t>
      </w:r>
    </w:p>
    <w:p>
      <w:pPr>
        <w:spacing w:after="50" w:line="276"/>
        <w:ind w:left="240"/>
      </w:pPr>
      <w:r>
        <w:rPr>
          <w:color w:val="15181F"/>
          <w:sz w:val="18"/>
          <w:szCs w:val="18"/>
        </w:rPr>
        <w:t xml:space="preserve">Standard lymphadenectomy to the ISGPS stations.</w:t>
      </w:r>
    </w:p>
    <w:p>
      <w:pPr>
        <w:spacing w:after="50"/>
        <w:ind w:left="240"/>
      </w:pPr>
      <w:r>
        <w:rPr>
          <w:b/>
          <w:bCs/>
          <w:color w:val="8C2F26"/>
          <w:sz w:val="18"/>
          <w:szCs w:val="18"/>
        </w:rPr>
        <w:t xml:space="preserve">Caveat. </w:t>
      </w:r>
      <w:r>
        <w:rPr>
          <w:color w:val="15181F"/>
          <w:sz w:val="18"/>
          <w:szCs w:val="18"/>
        </w:rPr>
        <w:t xml:space="preserve">Extending the dissection to the left side of the SMA and around the celiac trunk, splenic artery or left gastric artery showed no survival benefit in the trials the ISGPS consensus summarises, and the consensus is that extended lymphadenectomy cannot be recommended. The consensus statement is cited from its abstract only; the full text was not retrieved for this depot.</w:t>
      </w:r>
    </w:p>
    <w:p>
      <w:pPr>
        <w:spacing w:after="60" w:line="276"/>
        <w:ind w:left="240"/>
      </w:pPr>
      <w:r>
        <w:rPr>
          <w:color w:val="5A6069"/>
          <w:sz w:val="16"/>
          <w:szCs w:val="16"/>
        </w:rPr>
        <w:t xml:space="preserve">Sources: ISGPS lymphadenectomy</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A pathology report that says </w:t>
      </w:r>
      <w:r>
        <w:rPr>
          <w:i/>
          <w:iCs/>
          <w:color w:val="15181F"/>
          <w:sz w:val="19"/>
          <w:szCs w:val="19"/>
        </w:rPr>
        <w:t xml:space="preserve">margins negative</w:t>
      </w:r>
      <w:r>
        <w:rPr>
          <w:color w:val="15181F"/>
          <w:sz w:val="19"/>
          <w:szCs w:val="19"/>
        </w:rPr>
        <w:t xml:space="preserve"> without millimetres.</w:t>
      </w:r>
    </w:p>
    <w:p>
      <w:pPr>
        <w:spacing w:after="50" w:line="276"/>
        <w:ind w:left="240"/>
      </w:pPr>
      <w:r>
        <w:rPr>
          <w:color w:val="15181F"/>
          <w:sz w:val="18"/>
          <w:szCs w:val="18"/>
        </w:rPr>
        <w:t xml:space="preserve">Agree the reporting format with pathology once, in writing, including which margins are inked, which are shaved and which are taken perpendicular.</w:t>
      </w:r>
    </w:p>
    <w:p>
      <w:pPr>
        <w:spacing w:after="50"/>
        <w:ind w:left="240"/>
      </w:pPr>
      <w:r>
        <w:rPr>
          <w:b/>
          <w:bCs/>
          <w:color w:val="8C2F26"/>
          <w:sz w:val="18"/>
          <w:szCs w:val="18"/>
        </w:rPr>
        <w:t xml:space="preserve">Caveat. </w:t>
      </w:r>
      <w:r>
        <w:rPr>
          <w:color w:val="15181F"/>
          <w:sz w:val="18"/>
          <w:szCs w:val="18"/>
        </w:rPr>
        <w:t xml:space="preserve">Without millimetre clearance the adjuvant radiation discussion cannot be had, and the data NCCN asks the field to accumulate are not accumulated. The guideline's own argument is that if under 1 mm clearance proves to carry an unacceptably high local recurrence rate, then postoperative radiotherapy would deserve strong consideration in exactly those patients — which is unanswerable without the number.</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Attempting a resection whose likely outcome is R2.</w:t>
      </w:r>
    </w:p>
    <w:p>
      <w:pPr>
        <w:spacing w:after="50" w:line="276"/>
        <w:ind w:left="240"/>
      </w:pPr>
      <w:r>
        <w:rPr>
          <w:color w:val="15181F"/>
          <w:sz w:val="18"/>
          <w:szCs w:val="18"/>
        </w:rPr>
        <w:t xml:space="preserve">NCCN's instruction is that resection should only be attempted if there is a high likelihood of achieving R0 while avoiding an R2 resection.</w:t>
      </w:r>
    </w:p>
    <w:p>
      <w:pPr>
        <w:spacing w:after="50"/>
        <w:ind w:left="240"/>
      </w:pPr>
      <w:r>
        <w:rPr>
          <w:b/>
          <w:bCs/>
          <w:color w:val="8C2F26"/>
          <w:sz w:val="18"/>
          <w:szCs w:val="18"/>
        </w:rPr>
        <w:t xml:space="preserve">Caveat. </w:t>
      </w:r>
      <w:r>
        <w:rPr>
          <w:color w:val="15181F"/>
          <w:sz w:val="18"/>
          <w:szCs w:val="18"/>
        </w:rPr>
        <w:t xml:space="preserve">An R2 resection in this disease delivers the morbidity of a major pancreatectomy with none of the oncologic benefit, and it delays systemic therapy.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Adjuvant therapy, and what surveillance is actually for</w:t>
      </w:r>
    </w:p>
    <w:p>
      <w:pPr>
        <w:spacing w:after="140"/>
      </w:pPr>
      <w:r>
        <w:rPr>
          <w:b/>
          <w:bCs/>
          <w:color w:val="176A87"/>
          <w:sz w:val="19"/>
          <w:szCs w:val="19"/>
        </w:rPr>
        <w:t xml:space="preserve">The question. </w:t>
      </w:r>
      <w:r>
        <w:rPr>
          <w:sz w:val="19"/>
          <w:szCs w:val="19"/>
        </w:rPr>
        <w:t xml:space="preserve">Which regimen, when does it start, and does this patient still have resected-stage disease at all?</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A macroscopically complete resection has been performed</w:t>
      </w:r>
    </w:p>
    <w:p>
      <w:pPr>
        <w:pStyle w:val="ListParagraph"/>
        <w:numPr>
          <w:ilvl w:val="0"/>
          <w:numId w:val="2"/>
        </w:numPr>
        <w:spacing w:after="60" w:line="268"/>
      </w:pPr>
      <w:r>
        <w:rPr>
          <w:color w:val="15181F"/>
          <w:sz w:val="18"/>
          <w:szCs w:val="18"/>
        </w:rPr>
        <w:t xml:space="preserve">Restaging before adjuvant therapy shows no recurrence</w:t>
      </w:r>
    </w:p>
    <w:p>
      <w:pPr>
        <w:pStyle w:val="ListParagraph"/>
        <w:numPr>
          <w:ilvl w:val="0"/>
          <w:numId w:val="2"/>
        </w:numPr>
        <w:spacing w:after="60" w:line="268"/>
      </w:pPr>
      <w:r>
        <w:rPr>
          <w:color w:val="15181F"/>
          <w:sz w:val="18"/>
          <w:szCs w:val="18"/>
        </w:rPr>
        <w:t xml:space="preserve">Performance status and recovery allow a multiagent regimen, or do not</w:t>
      </w:r>
    </w:p>
    <w:p>
      <w:pPr>
        <w:pStyle w:val="ListParagraph"/>
        <w:numPr>
          <w:ilvl w:val="0"/>
          <w:numId w:val="2"/>
        </w:numPr>
        <w:spacing w:after="60" w:line="268"/>
      </w:pPr>
      <w:r>
        <w:rPr>
          <w:color w:val="15181F"/>
          <w:sz w:val="18"/>
          <w:szCs w:val="18"/>
        </w:rPr>
        <w:t xml:space="preserve">No neoadjuvant therapy was given — or it was, and the response is known</w:t>
      </w:r>
    </w:p>
    <w:p>
      <w:pPr>
        <w:pStyle w:val="ListParagraph"/>
        <w:numPr>
          <w:ilvl w:val="0"/>
          <w:numId w:val="2"/>
        </w:numPr>
        <w:spacing w:after="60" w:line="268"/>
      </w:pPr>
      <w:r>
        <w:rPr>
          <w:color w:val="15181F"/>
          <w:sz w:val="18"/>
          <w:szCs w:val="18"/>
        </w:rPr>
        <w:t xml:space="preserve">Germline and somatic results are back, or have been chased</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100" w:line="276"/>
      </w:pPr>
      <w:r>
        <w:rPr>
          <w:i/>
          <w:iCs/>
          <w:color w:val="5A6069"/>
          <w:sz w:val="17"/>
          <w:szCs w:val="17"/>
        </w:rPr>
        <w:t xml:space="preserve">Ordered by the size and quality of the randomised comparison each regimen won, which is a real ranking here — unusually for this page — but a narrower one than the medians suggest. PRODIGE 24 is the only adjuvant trial to put an 18-month difference in median overall survival on the table, and it did so against the then-standard, in a population restricted to age under 80, no cardiac disease, WHO performance status 0 or 1, full surgical recovery and postoperative CA 19-9 below 180 U/mL; nothing in it describes what to do for a patient who has not recovered from a pancreatoduodenectomy, and its 5-year disease-free survival advantage is 7.1 percentage points. Every comparator in this list is adjuvant gemcitabine monotherapy or observation, so the ordering is a chain of comparisons against regimens no pathway would now offer a fit patient, and the two preferred options have never been compared with each other. NCCN also notes how similar the single-agent arms of the older trials were to one another — 22.8 months in the gemcitabine arm of CONKO-001, 20.5 in the gemcitabine-containing arm of RTOG 9704, 20.1 in the bolus fluorouracil arm of ESPAC-1, and 23.6 and 23.0 in the two arms of ESPAC-3 — which is a useful reminder of how small the single-agent era's differences were, and a reminder that those arms were selected very differently on CA 19-9 and age.</w:t>
      </w:r>
    </w:p>
    <w:p>
      <w:pPr>
        <w:spacing w:after="50" w:before="120"/>
        <w:ind w:left="240"/>
      </w:pPr>
      <w:r>
        <w:rPr>
          <w:b/>
          <w:bCs/>
          <w:color w:val="15181F"/>
          <w:sz w:val="19"/>
          <w:szCs w:val="19"/>
        </w:rPr>
        <w:t xml:space="preserve">mFOLFIRINOX for 24 weeks</w:t>
      </w:r>
      <w:r>
        <w:rPr>
          <w:color w:val="5A6069"/>
          <w:sz w:val="15"/>
          <w:szCs w:val="15"/>
        </w:rPr>
        <w:t xml:space="preserve">   grade A</w:t>
      </w:r>
    </w:p>
    <w:p>
      <w:pPr>
        <w:spacing w:after="50" w:line="276"/>
        <w:ind w:left="240"/>
      </w:pPr>
      <w:r>
        <w:rPr>
          <w:color w:val="15181F"/>
          <w:sz w:val="18"/>
          <w:szCs w:val="18"/>
        </w:rPr>
        <w:t xml:space="preserve">PRODIGE 24 / CCTG PA.6 (n=493) is the strongest adjuvant result in this disease and NCCN lists mFOLFIRINOX as a preferred adjuvant option for patients who had no neoadjuvant therapy. ESMO's 2023 guideline takes the same position for fit patients at [I, A], and recommends completing 6 months of adjuvant chemotherapy at [I, A].</w:t>
      </w:r>
    </w:p>
    <w:p>
      <w:pPr>
        <w:spacing w:after="50" w:line="276"/>
        <w:ind w:left="240"/>
      </w:pPr>
      <w:r>
        <w:rPr>
          <w:color w:val="15181F"/>
          <w:sz w:val="18"/>
          <w:szCs w:val="18"/>
        </w:rPr>
        <w:t xml:space="preserve">A recovered patient with good performance status. On the mature 5-year analysis, median disease-free survival 21.4 months (95% CI 17.5–26.7) versus 12.8 months (11.6–15.2) against gemcitabine, hazard ratio 0.66 (0.54–0.82), P&lt;.001; median overall survival 53.5 months (43.5–58.4) versus 35.5 months (30.1–40.3), hazard ratio 0.68 (0.54–0.85), P=.001; 5-year overall survival 43.2% (36.5–49.7) versus 31.4% (25.5–37.5); metastasis-free survival 29.4 versus 17.7 months.</w:t>
      </w:r>
    </w:p>
    <w:p>
      <w:pPr>
        <w:spacing w:after="50"/>
        <w:ind w:left="240"/>
      </w:pPr>
      <w:r>
        <w:rPr>
          <w:b/>
          <w:bCs/>
          <w:color w:val="8C2F26"/>
          <w:sz w:val="18"/>
          <w:szCs w:val="18"/>
        </w:rPr>
        <w:t xml:space="preserve">Caveat. </w:t>
      </w:r>
      <w:r>
        <w:rPr>
          <w:color w:val="15181F"/>
          <w:sz w:val="18"/>
          <w:szCs w:val="18"/>
        </w:rPr>
        <w:t xml:space="preserve">The toxicity is the whole of the trade-off and must be said out loud: grade 3 or 4 adverse events in 180 of 237 (75.9%) versus 128 of 242 (52.9%), with the one treatment-related death in the </w:t>
      </w:r>
      <w:r>
        <w:rPr>
          <w:b/>
          <w:bCs/>
          <w:color w:val="15181F"/>
          <w:sz w:val="18"/>
          <w:szCs w:val="18"/>
        </w:rPr>
        <w:t xml:space="preserve">gemcitabine</w:t>
      </w:r>
      <w:r>
        <w:rPr>
          <w:color w:val="15181F"/>
          <w:sz w:val="18"/>
          <w:szCs w:val="18"/>
        </w:rPr>
        <w:t xml:space="preserve"> arm. Delivery was poor — 67.2% completed all 12 cycles, only 33.6% achieved a relative dose intensity of 0.80 or more, and 55% discontinued oxaliplatin at least once — so adjuvant mFOLFIRINOX in practice means a dose-attenuated, incompletely delivered regimen. Eligibility was restricted to age 18 to 79, no coronary disease, WHO performance status 0 or 1, full recovery from surgery, a clear postoperative scan and a postoperative CA 19-9 below 180 U/mL, so these figures do not transfer to a patient who has not recovered from a pancreatoduodenectomy, and they are not the expectation for resected PDAC in general.</w:t>
      </w:r>
    </w:p>
    <w:p>
      <w:pPr>
        <w:spacing w:after="60" w:line="276"/>
        <w:ind w:left="240"/>
      </w:pPr>
      <w:r>
        <w:rPr>
          <w:color w:val="5A6069"/>
          <w:sz w:val="16"/>
          <w:szCs w:val="16"/>
        </w:rPr>
        <w:t xml:space="preserve">Sources: PRODIGE 24; PRODIGE 24 five-year; ESMO 2023 pancreatic</w:t>
      </w:r>
    </w:p>
    <w:p>
      <w:pPr>
        <w:spacing w:after="50" w:before="120"/>
        <w:ind w:left="240"/>
      </w:pPr>
      <w:r>
        <w:rPr>
          <w:b/>
          <w:bCs/>
          <w:color w:val="15181F"/>
          <w:sz w:val="19"/>
          <w:szCs w:val="19"/>
        </w:rPr>
        <w:t xml:space="preserve">Gemcitabine with capecitabine</w:t>
      </w:r>
      <w:r>
        <w:rPr>
          <w:color w:val="5A6069"/>
          <w:sz w:val="15"/>
          <w:szCs w:val="15"/>
        </w:rPr>
        <w:t xml:space="preserve">   grade A</w:t>
      </w:r>
    </w:p>
    <w:p>
      <w:pPr>
        <w:spacing w:after="50" w:line="276"/>
        <w:ind w:left="240"/>
      </w:pPr>
      <w:r>
        <w:rPr>
          <w:color w:val="15181F"/>
          <w:sz w:val="18"/>
          <w:szCs w:val="18"/>
        </w:rPr>
        <w:t xml:space="preserve">NCCN's other preferred adjuvant option for patients who had no neoadjuvant therapy, and ESMO's alternative for patients over 75, ECOG performance status 2 or a contraindication to mFOLFIRINOX at [I, B]. ESPAC-4 (n=730 analysed) gave median overall survival 28.0 months (95% CI 23.5–31.5) versus 25.5 months (22.7–27.9) against gemcitabine monotherapy, hazard ratio 0.82 (0.68–0.98), stratified log-rank p=0.032.</w:t>
      </w:r>
    </w:p>
    <w:p>
      <w:pPr>
        <w:spacing w:after="50" w:line="276"/>
        <w:ind w:left="240"/>
      </w:pPr>
      <w:r>
        <w:rPr>
          <w:color w:val="15181F"/>
          <w:sz w:val="18"/>
          <w:szCs w:val="18"/>
        </w:rPr>
        <w:t xml:space="preserve">A patient who wants adjuvant treatment but cannot take a triplet — poorer performance status, neuropathy, a slow recovery, or a preference against irinotecan and oxaliplatin. Its population is the least selected in the adjuvant literature: WHO performance status up to 2, R1 margins allowed and </w:t>
      </w:r>
      <w:r>
        <w:rPr>
          <w:b/>
          <w:bCs/>
          <w:color w:val="15181F"/>
          <w:sz w:val="18"/>
          <w:szCs w:val="18"/>
        </w:rPr>
        <w:t xml:space="preserve">no ceiling on postoperative CA 19-9</w:t>
      </w:r>
      <w:r>
        <w:rPr>
          <w:color w:val="15181F"/>
          <w:sz w:val="18"/>
          <w:szCs w:val="18"/>
        </w:rPr>
        <w:t xml:space="preserve">, which is why its medians sit below PRODIGE-24's and CONKO-001's.</w:t>
      </w:r>
    </w:p>
    <w:p>
      <w:pPr>
        <w:spacing w:after="50"/>
        <w:ind w:left="240"/>
      </w:pPr>
      <w:r>
        <w:rPr>
          <w:b/>
          <w:bCs/>
          <w:color w:val="8C2F26"/>
          <w:sz w:val="18"/>
          <w:szCs w:val="18"/>
        </w:rPr>
        <w:t xml:space="preserve">Caveat. </w:t>
      </w:r>
      <w:r>
        <w:rPr>
          <w:color w:val="15181F"/>
          <w:sz w:val="18"/>
          <w:szCs w:val="18"/>
        </w:rPr>
        <w:t xml:space="preserve">Do not offer it as equivalent to mFOLFIRINOX, and state both halves. The comparator was gemcitabine alone, the two combinations have never been compared directly, and the difference in medians bought over gemcitabine was 2.5 months. The relapse-free survival endpoint was </w:t>
      </w:r>
      <w:r>
        <w:rPr>
          <w:b/>
          <w:bCs/>
          <w:color w:val="15181F"/>
          <w:sz w:val="18"/>
          <w:szCs w:val="18"/>
        </w:rPr>
        <w:t xml:space="preserve">negative</w:t>
      </w:r>
      <w:r>
        <w:rPr>
          <w:color w:val="15181F"/>
          <w:sz w:val="18"/>
          <w:szCs w:val="18"/>
        </w:rPr>
        <w:t xml:space="preserve"> (13.9 versus 13.1 months, hazard ratio 0.86, 95% CI 0.73–1.02, p=0.082), the trial was stopped and published early at 458 of 480 target deaths on a signal of efficacy, and the widely quoted 5-year figures (28.8% versus 16.3%) are estimates extrapolated well past the bulk of the data at 43.2 months median follow-up. Grade 3–4 events occurred in 226 of 359 (63%) versus 196 of 366 (54%), with neutropenia 38% versus 24% and hand-foot syndrome 7% versus 0%, and 169 of 364 combination patients (46%) did not complete all six cycles.</w:t>
      </w:r>
    </w:p>
    <w:p>
      <w:pPr>
        <w:spacing w:after="60" w:line="276"/>
        <w:ind w:left="240"/>
      </w:pPr>
      <w:r>
        <w:rPr>
          <w:color w:val="5A6069"/>
          <w:sz w:val="16"/>
          <w:szCs w:val="16"/>
        </w:rPr>
        <w:t xml:space="preserve">Sources: ESPAC-4; ESMO 2023 pancreatic</w:t>
      </w:r>
    </w:p>
    <w:p>
      <w:pPr>
        <w:spacing w:after="50" w:before="120"/>
        <w:ind w:left="240"/>
      </w:pPr>
      <w:r>
        <w:rPr>
          <w:b/>
          <w:bCs/>
          <w:color w:val="15181F"/>
          <w:sz w:val="19"/>
          <w:szCs w:val="19"/>
        </w:rPr>
        <w:t xml:space="preserve">Gemcitabine alone</w:t>
      </w:r>
      <w:r>
        <w:rPr>
          <w:color w:val="5A6069"/>
          <w:sz w:val="15"/>
          <w:szCs w:val="15"/>
        </w:rPr>
        <w:t xml:space="preserve">   grade B</w:t>
      </w:r>
    </w:p>
    <w:p>
      <w:pPr>
        <w:spacing w:after="50" w:line="276"/>
        <w:ind w:left="240"/>
      </w:pPr>
      <w:r>
        <w:rPr>
          <w:color w:val="15181F"/>
          <w:sz w:val="18"/>
          <w:szCs w:val="18"/>
        </w:rPr>
        <w:t xml:space="preserve">An </w:t>
      </w:r>
      <w:r>
        <w:rPr>
          <w:i/>
          <w:iCs/>
          <w:color w:val="15181F"/>
          <w:sz w:val="18"/>
          <w:szCs w:val="18"/>
        </w:rPr>
        <w:t xml:space="preserve">other recommended</w:t>
      </w:r>
      <w:r>
        <w:rPr>
          <w:color w:val="15181F"/>
          <w:sz w:val="18"/>
          <w:szCs w:val="18"/>
        </w:rPr>
        <w:t xml:space="preserve"> option in NCCN. CONKO-001 (n=354 analysed) established that adjuvant therapy beats observation: median disease-free survival 13.4 months (95% CI 11.6–15.3) versus 6.7 months (6.0–7.5), HR 0.55 (0.44–0.69), P&lt;.001, and final median overall survival 22.8 versus 20.2 months, hazard ratio 0.76 (0.61–0.95), P=.01, with 5-year survival 20.7% (14.7–26.6) versus 10.4% (5.9–15.0) and 10-year 12.2% versus 7.7% at a median follow-up of 136 months.</w:t>
      </w:r>
    </w:p>
    <w:p>
      <w:pPr>
        <w:spacing w:after="50" w:line="276"/>
        <w:ind w:left="240"/>
      </w:pPr>
      <w:r>
        <w:rPr>
          <w:color w:val="15181F"/>
          <w:sz w:val="18"/>
          <w:szCs w:val="18"/>
        </w:rPr>
        <w:t xml:space="preserve">A frail patient in whom the choice is between single-agent treatment and none.</w:t>
      </w:r>
    </w:p>
    <w:p>
      <w:pPr>
        <w:spacing w:after="50"/>
        <w:ind w:left="240"/>
      </w:pPr>
      <w:r>
        <w:rPr>
          <w:b/>
          <w:bCs/>
          <w:color w:val="8C2F26"/>
          <w:sz w:val="18"/>
          <w:szCs w:val="18"/>
        </w:rPr>
        <w:t xml:space="preserve">Caveat. </w:t>
      </w:r>
      <w:r>
        <w:rPr>
          <w:color w:val="15181F"/>
          <w:sz w:val="18"/>
          <w:szCs w:val="18"/>
        </w:rPr>
        <w:t xml:space="preserve">The median overall survival gain over observation was 2.6 months; the durable difference is in the 5- and 10-year rates. Eligibility required postoperative CEA and CA 19-9 both below 2.5 times the upper limit of normal — about 92.5 kU/L for CA 19-9 — which ESPAC-4 later showed silently removes the 17% of resected patients whose median survival is 13.1 months, so the curves describe a favourably selected population.</w:t>
      </w:r>
    </w:p>
    <w:p>
      <w:pPr>
        <w:spacing w:after="60" w:line="276"/>
        <w:ind w:left="240"/>
      </w:pPr>
      <w:r>
        <w:rPr>
          <w:color w:val="5A6069"/>
          <w:sz w:val="16"/>
          <w:szCs w:val="16"/>
        </w:rPr>
        <w:t xml:space="preserve">Sources: CONKO-001</w:t>
      </w:r>
    </w:p>
    <w:p>
      <w:pPr>
        <w:spacing w:after="50" w:before="120"/>
        <w:ind w:left="240"/>
      </w:pPr>
      <w:r>
        <w:rPr>
          <w:b/>
          <w:bCs/>
          <w:color w:val="15181F"/>
          <w:sz w:val="19"/>
          <w:szCs w:val="19"/>
        </w:rPr>
        <w:t xml:space="preserve">A fluoropyrimidine alone</w:t>
      </w:r>
      <w:r>
        <w:rPr>
          <w:color w:val="5A6069"/>
          <w:sz w:val="15"/>
          <w:szCs w:val="15"/>
        </w:rPr>
        <w:t xml:space="preserve">   grade D</w:t>
      </w:r>
    </w:p>
    <w:p>
      <w:pPr>
        <w:spacing w:after="50" w:line="276"/>
        <w:ind w:left="240"/>
      </w:pPr>
      <w:r>
        <w:rPr>
          <w:color w:val="15181F"/>
          <w:sz w:val="18"/>
          <w:szCs w:val="18"/>
        </w:rPr>
        <w:t xml:space="preserve">NCCN lists fluorouracil with leucovorin and continuous-infusion fluorouracil as other recommended adjuvant options, and capecitabine monotherapy as a treatment option.</w:t>
      </w:r>
    </w:p>
    <w:p>
      <w:pPr>
        <w:spacing w:after="50" w:line="276"/>
        <w:ind w:left="240"/>
      </w:pPr>
      <w:r>
        <w:rPr>
          <w:color w:val="15181F"/>
          <w:sz w:val="18"/>
          <w:szCs w:val="18"/>
        </w:rPr>
        <w:t xml:space="preserve">Where gemcitabine is contraindicated or the patient will not tolerate it.</w:t>
      </w:r>
    </w:p>
    <w:p>
      <w:pPr>
        <w:spacing w:after="50"/>
        <w:ind w:left="240"/>
      </w:pPr>
      <w:r>
        <w:rPr>
          <w:b/>
          <w:bCs/>
          <w:color w:val="8C2F26"/>
          <w:sz w:val="18"/>
          <w:szCs w:val="18"/>
        </w:rPr>
        <w:t xml:space="preserve">Caveat. </w:t>
      </w:r>
      <w:r>
        <w:rPr>
          <w:color w:val="15181F"/>
          <w:sz w:val="18"/>
          <w:szCs w:val="18"/>
        </w:rPr>
        <w:t xml:space="preserve">No trial establishes a fluoropyrimidine alone as equivalent to the combinations above. The arms that support it sit inside ESPAC-1 and ESPAC-3, neither of which was retrieved or read in full for this depot; their medians (20.1 and 23.0 months) are in the same range as every other single-agent arm from that era, and NCCN notes scepticism about the efficacy of the fluorouracil and folinic acid regimens used in those trials.</w:t>
      </w:r>
    </w:p>
    <w:p>
      <w:pPr>
        <w:spacing w:after="60" w:line="276"/>
        <w:ind w:left="240"/>
      </w:pPr>
      <w:r>
        <w:rPr>
          <w:i/>
          <w:iCs/>
          <w:color w:val="5A6069"/>
          <w:sz w:val="16"/>
          <w:szCs w:val="16"/>
        </w:rPr>
        <w:t xml:space="preserve">Ratification item 4: is mFOLFIRINOX the local default for every recovered good-performance-status patient who had no neoadjuvant therapy, given 75.9% grade 3–4 toxicity, a relative dose intensity of 0.80 or more in only 33.6% of patients, no significant benefit in the 101 patients aged 70 or older (HR 0.86, 0.53–1.39) and post-relapse survival numerically worse than in the gemcitabine arm — and what performance-status or recovery threshold moves a patient to gemcitabine with capecitabine? Ratification item 5: what is the local rule for adjuvant therapy </w:t>
      </w:r>
      <w:r>
        <w:rPr>
          <w:b/>
          <w:bCs/>
          <w:i/>
          <w:iCs/>
          <w:color w:val="5A6069"/>
          <w:sz w:val="16"/>
          <w:szCs w:val="16"/>
        </w:rPr>
        <w:t xml:space="preserve">after</w:t>
      </w:r>
      <w:r>
        <w:rPr>
          <w:i/>
          <w:iCs/>
          <w:color w:val="5A6069"/>
          <w:sz w:val="16"/>
          <w:szCs w:val="16"/>
        </w:rPr>
        <w:t xml:space="preserve"> neoadjuvant therapy? NCCN says only that the options depend on the response to neoadjuvant therapy and other clinical factors, and ESMO states plainly that the benefit of adjuvant chemotherapy following neoadjuvant therapy and pancreatectomy remains to be established with randomised data lacking. No trial defines total duration, whether to continue the same regimen or switch, or what to do after a complete pathologic response — and PREOPANC-2's FOLFIRINOX arm gave no adjuvant treatment at all. Audit: regimen, cycles completed, dose intensity, time from surgery to first cycle, and grade 3–4 toxicity.</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Restage before the first cycle — a proportion of patients have already relapsed.</w:t>
      </w:r>
    </w:p>
    <w:p>
      <w:pPr>
        <w:spacing w:after="50" w:line="276"/>
        <w:ind w:left="240"/>
      </w:pPr>
      <w:r>
        <w:rPr>
          <w:color w:val="15181F"/>
          <w:sz w:val="18"/>
          <w:szCs w:val="18"/>
        </w:rPr>
        <w:t xml:space="preserve">Every patient. NCCN states it is important to evaluate for disease recurrence before initiating adjuvant therapy because of the risk of early relapse. A patient who has relapsed is on the metastatic gate, not this one.</w:t>
      </w:r>
    </w:p>
    <w:p>
      <w:pPr>
        <w:spacing w:after="50"/>
        <w:ind w:left="240"/>
      </w:pPr>
      <w:r>
        <w:rPr>
          <w:b/>
          <w:bCs/>
          <w:color w:val="8C2F26"/>
          <w:sz w:val="18"/>
          <w:szCs w:val="18"/>
        </w:rPr>
        <w:t xml:space="preserve">Caveat. </w:t>
      </w:r>
      <w:r>
        <w:rPr>
          <w:color w:val="15181F"/>
          <w:sz w:val="18"/>
          <w:szCs w:val="18"/>
        </w:rPr>
        <w:t xml:space="preserve">Do not start a 24-week adjuvant course on the assumption that the postoperative scan will be clean.</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Prioritise completing the course over starting it quickly.</w:t>
      </w:r>
    </w:p>
    <w:p>
      <w:pPr>
        <w:spacing w:after="50" w:line="276"/>
        <w:ind w:left="240"/>
      </w:pPr>
      <w:r>
        <w:rPr>
          <w:color w:val="15181F"/>
          <w:sz w:val="18"/>
          <w:szCs w:val="18"/>
        </w:rPr>
        <w:t xml:space="preserve">A retrospective analysis of ESPAC-3 found that completion of the six-course chemotherapy, but </w:t>
      </w:r>
      <w:r>
        <w:rPr>
          <w:b/>
          <w:bCs/>
          <w:color w:val="15181F"/>
          <w:sz w:val="18"/>
          <w:szCs w:val="18"/>
        </w:rPr>
        <w:t xml:space="preserve">not</w:t>
      </w:r>
      <w:r>
        <w:rPr>
          <w:color w:val="15181F"/>
          <w:sz w:val="18"/>
          <w:szCs w:val="18"/>
        </w:rPr>
        <w:t xml:space="preserve"> the time to initiate it, was an independent prognostic factor for survival. NCCN's inference is that delaying until the patient has fully recovered from surgery may allow completion of the full course and improve outcomes.</w:t>
      </w:r>
    </w:p>
    <w:p>
      <w:pPr>
        <w:spacing w:after="50"/>
        <w:ind w:left="240"/>
      </w:pPr>
      <w:r>
        <w:rPr>
          <w:b/>
          <w:bCs/>
          <w:color w:val="8C2F26"/>
          <w:sz w:val="18"/>
          <w:szCs w:val="18"/>
        </w:rPr>
        <w:t xml:space="preserve">Caveat. </w:t>
      </w:r>
      <w:r>
        <w:rPr>
          <w:color w:val="15181F"/>
          <w:sz w:val="18"/>
          <w:szCs w:val="18"/>
        </w:rPr>
        <w:t xml:space="preserve">This is a retrospective analysis of a randomised trial, not a randomised comparison of timing, and it is vulnerable to the obvious confounder — patients who complete treatment are patients who were well enough to complete it. Do not use it to justify an open-ended delay. The same confounding appears in PRODIGE-24's own mature report, where completing all cycles predicted survival (HR 0.64, 95% CI 0.49–0.84, P=.002; 5-year overall survival 41.9% versus 27.4%) in a landmark analysis while achieving a relative dose intensity of 0.80 or more did </w:t>
      </w:r>
      <w:r>
        <w:rPr>
          <w:b/>
          <w:bCs/>
          <w:color w:val="15181F"/>
          <w:sz w:val="18"/>
          <w:szCs w:val="18"/>
        </w:rPr>
        <w:t xml:space="preserve">not</w:t>
      </w:r>
      <w:r>
        <w:rPr>
          <w:color w:val="15181F"/>
          <w:sz w:val="18"/>
          <w:szCs w:val="18"/>
        </w:rPr>
        <w:t xml:space="preserve"> (HR 1.01, 0.80–1.28, P=.93) — which is the clue that completion marks patient fitness rather than drug effect, and that pushing a patient through all 12 cycles is not what the finding supports.</w:t>
      </w:r>
    </w:p>
    <w:p>
      <w:pPr>
        <w:spacing w:after="50" w:line="276"/>
        <w:ind w:left="240"/>
      </w:pPr>
      <w:r>
        <w:rPr>
          <w:i/>
          <w:iCs/>
          <w:color w:val="5A6069"/>
          <w:sz w:val="17"/>
          <w:szCs w:val="17"/>
        </w:rPr>
        <w:t xml:space="preserve">Downgraded from C to D. The primary report for the ESPAC-3 analysis is carried only in the NCCN discussion text supplied to this page; it was not retrieved or read in full for this depot, so none of its figures has been checked. The PRODIGE-24 landmark analysis quoted above is post hoc, with variables selected by stepwise procedures and no multiplicity correction.</w:t>
      </w:r>
    </w:p>
    <w:p>
      <w:pPr>
        <w:spacing w:after="60" w:line="276"/>
        <w:ind w:left="240"/>
      </w:pPr>
      <w:r>
        <w:rPr>
          <w:color w:val="5A6069"/>
          <w:sz w:val="16"/>
          <w:szCs w:val="16"/>
        </w:rPr>
        <w:t xml:space="preserve">Sources: PRODIGE 24 five-year</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Adjuvant nab-paclitaxel with gemcitabine — only if both halves of APACT are stated.</w:t>
      </w:r>
    </w:p>
    <w:p>
      <w:pPr>
        <w:spacing w:after="50" w:line="276"/>
        <w:ind w:left="240"/>
      </w:pPr>
      <w:r>
        <w:rPr>
          <w:color w:val="15181F"/>
          <w:sz w:val="18"/>
          <w:szCs w:val="18"/>
        </w:rPr>
        <w:t xml:space="preserve">A patient who cannot take mFOLFIRINOX and in whom a taxane doublet is preferred to gemcitabine with capecitabine. At the 5-year cutoff, with 88% data maturity, median overall survival was 41.8 versus 37.7 months against gemcitabine, hazard ratio 0.80 (95% CI 0.678–0.947), P=.0091, with 5-year overall survival 38% versus 31%.</w:t>
      </w:r>
    </w:p>
    <w:p>
      <w:pPr>
        <w:spacing w:after="50"/>
        <w:ind w:left="240"/>
      </w:pPr>
      <w:r>
        <w:rPr>
          <w:b/>
          <w:bCs/>
          <w:color w:val="8C2F26"/>
          <w:sz w:val="18"/>
          <w:szCs w:val="18"/>
        </w:rPr>
        <w:t xml:space="preserve">Caveat. </w:t>
      </w:r>
      <w:r>
        <w:rPr>
          <w:color w:val="15181F"/>
          <w:sz w:val="18"/>
          <w:szCs w:val="18"/>
        </w:rPr>
        <w:t xml:space="preserve">APACT (n=866) </w:t>
      </w:r>
      <w:r>
        <w:rPr>
          <w:b/>
          <w:bCs/>
          <w:color w:val="15181F"/>
          <w:sz w:val="18"/>
          <w:szCs w:val="18"/>
        </w:rPr>
        <w:t xml:space="preserve">missed its primary endpoint</w:t>
      </w:r>
      <w:r>
        <w:rPr>
          <w:color w:val="15181F"/>
          <w:sz w:val="18"/>
          <w:szCs w:val="18"/>
        </w:rPr>
        <w:t xml:space="preserve">: independently assessed disease-free survival 19.4 months (95% CI 16.62–21.91) versus 18.8 months (13.83–20.30), hazard ratio 0.88 (0.729–1.063), P=.18. The trial's own statement is that because the primary endpoint was not met, all other comparisons are descriptive, and the journal's relevance note calls it a negative phase 3 study that fails to change the standard of care. The overall survival figure comes from the </w:t>
      </w:r>
      <w:r>
        <w:rPr>
          <w:b/>
          <w:bCs/>
          <w:color w:val="15181F"/>
          <w:sz w:val="18"/>
          <w:szCs w:val="18"/>
        </w:rPr>
        <w:t xml:space="preserve">third of three successive cutoffs</w:t>
      </w:r>
      <w:r>
        <w:rPr>
          <w:color w:val="15181F"/>
          <w:sz w:val="18"/>
          <w:szCs w:val="18"/>
        </w:rPr>
        <w:t xml:space="preserve">, with the P value improving from .045 to .0232 to .0091 across December 2018, April 2020 and April 2021 with no prespecified plan for repeated testing and no multiplicity adjustment anywhere. Grade 3 or worse treatment-emergent events occurred in 371 of 429 (86%) versus 286 of 423 (68%), serious events in 41% versus 23%, and two treatment-emergent deaths occurred in each arm.</w:t>
      </w:r>
    </w:p>
    <w:p>
      <w:pPr>
        <w:spacing w:after="50" w:line="276"/>
        <w:ind w:left="240"/>
      </w:pPr>
      <w:r>
        <w:rPr>
          <w:i/>
          <w:iCs/>
          <w:color w:val="5A6069"/>
          <w:sz w:val="17"/>
          <w:szCs w:val="17"/>
        </w:rPr>
        <w:t xml:space="preserve">Downgraded from B to C. The unpriced cost is neurological: grade 3 or worse peripheral neuropathy in 15% of the combination arm and </w:t>
      </w:r>
      <w:r>
        <w:rPr>
          <w:b/>
          <w:bCs/>
          <w:i/>
          <w:iCs/>
          <w:color w:val="5A6069"/>
          <w:sz w:val="17"/>
          <w:szCs w:val="17"/>
        </w:rPr>
        <w:t xml:space="preserve">0%</w:t>
      </w:r>
      <w:r>
        <w:rPr>
          <w:i/>
          <w:iCs/>
          <w:color w:val="5A6069"/>
          <w:sz w:val="17"/>
          <w:szCs w:val="17"/>
        </w:rPr>
        <w:t xml:space="preserve"> of the gemcitabine arm, with 84% of those affected not improved to grade 1 or less at the primary cutoff and a median 195 days to improve by one grade — in a trial that collected no quality-of-life data at all. Only 287 of 432 patients completed six cycles against 310 of 434 on gemcitabine, 64% needed a dose reduction, and the population is the most selected in the adjuvant literature: CA 19-9 below 100 U/mL with a median of 13.6 U/mL, a clear screening scan, ECOG 0–1, and 1,226 patients screened to randomise 866, which is why the gemcitabine arm reached 37.7 months. The trial's most durable contribution has nothing to do with the regimen: in the same gemcitabine arm, blinded independent review gave a median disease-free survival of 18.8 months and the unblinded investigators gave 13.7 months, with 77% concordance and 48% to 51% of patients censored. Every other adjuvant trial on this page used unblinded investigator-assessed disease-free survival and reported 12.8 to 13.4 months, so disease-free survival differences in open-label adjuvant trials are partly a detection artefact.</w:t>
      </w:r>
    </w:p>
    <w:p>
      <w:pPr>
        <w:spacing w:after="60" w:line="276"/>
        <w:ind w:left="240"/>
      </w:pPr>
      <w:r>
        <w:rPr>
          <w:color w:val="5A6069"/>
          <w:sz w:val="16"/>
          <w:szCs w:val="16"/>
        </w:rPr>
        <w:t xml:space="preserve">Sources: APACT</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Adjuvant chemoradiation after chemotherapy, in a node-negative patient, as a discussion rather than a recommendation.</w:t>
      </w:r>
    </w:p>
    <w:p>
      <w:pPr>
        <w:spacing w:after="50" w:line="276"/>
        <w:ind w:left="240"/>
      </w:pPr>
      <w:r>
        <w:rPr>
          <w:color w:val="15181F"/>
          <w:sz w:val="18"/>
          <w:szCs w:val="18"/>
        </w:rPr>
        <w:t xml:space="preserve">RTOG 0848 randomised the addition of fluoropyrimidine-based chemoradiation after adjuvant gemcitabine-based chemotherapy in resected pancreatic head cancer. Patients with node-negative disease had longer overall and disease-free survival with the addition; patients with node-positive disease did not.</w:t>
      </w:r>
    </w:p>
    <w:p>
      <w:pPr>
        <w:spacing w:after="50"/>
        <w:ind w:left="240"/>
      </w:pPr>
      <w:r>
        <w:rPr>
          <w:b/>
          <w:bCs/>
          <w:color w:val="8C2F26"/>
          <w:sz w:val="18"/>
          <w:szCs w:val="18"/>
        </w:rPr>
        <w:t xml:space="preserve">Caveat. </w:t>
      </w:r>
      <w:r>
        <w:rPr>
          <w:color w:val="15181F"/>
          <w:sz w:val="18"/>
          <w:szCs w:val="18"/>
        </w:rPr>
        <w:t xml:space="preserve">Do not extend this to node-positive disease — in RTOG 0848 chemoradiation did not improve overall or disease-free survival in that group, which is the opposite of the intuition. The benefit was seen in patients who received </w:t>
      </w:r>
      <w:r>
        <w:rPr>
          <w:b/>
          <w:bCs/>
          <w:color w:val="15181F"/>
          <w:sz w:val="18"/>
          <w:szCs w:val="18"/>
        </w:rPr>
        <w:t xml:space="preserve">single-agent gemcitabine</w:t>
      </w:r>
      <w:r>
        <w:rPr>
          <w:color w:val="15181F"/>
          <w:sz w:val="18"/>
          <w:szCs w:val="18"/>
        </w:rPr>
        <w:t xml:space="preserve"> as their systemic therapy, so it does not transfer to a patient who had mFOLFIRINOX, and no study has shown superiority of chemoradiation before versus after chemotherapy in the adjuvant setting.</w:t>
      </w:r>
    </w:p>
    <w:p>
      <w:pPr>
        <w:spacing w:after="50" w:line="276"/>
        <w:ind w:left="240"/>
      </w:pPr>
      <w:r>
        <w:rPr>
          <w:i/>
          <w:iCs/>
          <w:color w:val="5A6069"/>
          <w:sz w:val="17"/>
          <w:szCs w:val="17"/>
        </w:rPr>
        <w:t xml:space="preserve">Downgraded from C to D: the RTOG 0848 primary publication was not retrieved or read in full for this depot, and the result is carried only in the NCCN discussion text supplied to this page. Adjuvant chemoradiation remains a controversial topic in resected pancreatic cancer, and NCCN warns that RTOG 9704 cannot be compared directly with CONKO-001, ESPAC-1 or ESPAC-3 because of differences in design, imaging timing and patient characteristics. The margin-status subset analyses are retrospective and carried in the same extraction: pooled analyses report benefit in both R0 and R1 subsets, with a relative risk of 0.52 (95% CI 0.36–0.74, P&lt;.001) in one R1 analysis and a non-significant hazard ratio of 0.72 (0.47–1.10) in a four-study meta-analysis. None of these figures has been checked against a primary report.</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Surveillance after resection — history and examination, CA 19-9 and contrast CT of the abdomen and pelvis — offered with an explicit statement of what it is for.</w:t>
      </w:r>
    </w:p>
    <w:p>
      <w:pPr>
        <w:spacing w:after="50" w:line="276"/>
        <w:ind w:left="240"/>
      </w:pPr>
      <w:r>
        <w:rPr>
          <w:color w:val="15181F"/>
          <w:sz w:val="18"/>
          <w:szCs w:val="18"/>
        </w:rPr>
        <w:t xml:space="preserve">NCCN's stated rationale is consensus-based: earlier identification of recurrence may allow enrolment in investigational studies or other treatment. CA 19-9 is listed as category 2B.</w:t>
      </w:r>
    </w:p>
    <w:p>
      <w:pPr>
        <w:spacing w:after="50"/>
        <w:ind w:left="240"/>
      </w:pPr>
      <w:r>
        <w:rPr>
          <w:b/>
          <w:bCs/>
          <w:color w:val="8C2F26"/>
          <w:sz w:val="18"/>
          <w:szCs w:val="18"/>
        </w:rPr>
        <w:t xml:space="preserve">Caveat. </w:t>
      </w:r>
      <w:r>
        <w:rPr>
          <w:color w:val="15181F"/>
          <w:sz w:val="18"/>
          <w:szCs w:val="18"/>
        </w:rPr>
        <w:t xml:space="preserve">Say what is known. A SEER-Medicare analysis showed no significant survival benefit for patients who received regular surveillance CT scans. There are no data that a rising tumour marker leads to earlier intervention and better outcomes, and no evidence that serial ctDNA monitoring improves outcomes.</w:t>
      </w:r>
    </w:p>
    <w:p>
      <w:pPr>
        <w:spacing w:after="50" w:line="276"/>
        <w:ind w:left="240"/>
      </w:pPr>
      <w:r>
        <w:rPr>
          <w:i/>
          <w:iCs/>
          <w:color w:val="5A6069"/>
          <w:sz w:val="17"/>
          <w:szCs w:val="17"/>
        </w:rPr>
        <w:t xml:space="preserve">Downgraded from C to D: the rationale is consensus and the only outcome data quoted are negative. The surveillance </w:t>
      </w:r>
      <w:r>
        <w:rPr>
          <w:b/>
          <w:bCs/>
          <w:i/>
          <w:iCs/>
          <w:color w:val="5A6069"/>
          <w:sz w:val="17"/>
          <w:szCs w:val="17"/>
        </w:rPr>
        <w:t xml:space="preserve">interval</w:t>
      </w:r>
      <w:r>
        <w:rPr>
          <w:i/>
          <w:iCs/>
          <w:color w:val="5A6069"/>
          <w:sz w:val="17"/>
          <w:szCs w:val="17"/>
        </w:rPr>
        <w:t xml:space="preserve"> is a local decision on this page. The guideline footnote that defines it did not survive the machine extraction supplied to the programme, so no interval is quoted here; confirm it against the current published guideline before publication and record which version was used. [PAYER]</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start adjuvant therapy without restaging.</w:t>
      </w:r>
    </w:p>
    <w:p>
      <w:pPr>
        <w:spacing w:after="50" w:line="276"/>
        <w:ind w:left="240"/>
      </w:pPr>
      <w:r>
        <w:rPr>
          <w:color w:val="15181F"/>
          <w:sz w:val="18"/>
          <w:szCs w:val="18"/>
        </w:rPr>
        <w:t xml:space="preserve">Scan, then start.</w:t>
      </w:r>
    </w:p>
    <w:p>
      <w:pPr>
        <w:spacing w:after="50"/>
        <w:ind w:left="240"/>
      </w:pPr>
      <w:r>
        <w:rPr>
          <w:b/>
          <w:bCs/>
          <w:color w:val="8C2F26"/>
          <w:sz w:val="18"/>
          <w:szCs w:val="18"/>
        </w:rPr>
        <w:t xml:space="preserve">Caveat. </w:t>
      </w:r>
      <w:r>
        <w:rPr>
          <w:color w:val="15181F"/>
          <w:sz w:val="18"/>
          <w:szCs w:val="18"/>
        </w:rPr>
        <w:t xml:space="preserve">This is a sequence error rather than a judgement call: a patient with radiologic recurrence is on a different pathway and a different conversation.</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give adjuvant chemoradiation to a node-positive patient on the strength of RTOG 0848.</w:t>
      </w:r>
    </w:p>
    <w:p>
      <w:pPr>
        <w:spacing w:after="50" w:line="276"/>
        <w:ind w:left="240"/>
      </w:pPr>
      <w:r>
        <w:rPr>
          <w:color w:val="15181F"/>
          <w:sz w:val="18"/>
          <w:szCs w:val="18"/>
        </w:rPr>
        <w:t xml:space="preserve">Where the discussion is being had at all, have it in node-negative disease, after chemotherapy, with radiation oncology review.</w:t>
      </w:r>
    </w:p>
    <w:p>
      <w:pPr>
        <w:spacing w:after="50"/>
        <w:ind w:left="240"/>
      </w:pPr>
      <w:r>
        <w:rPr>
          <w:b/>
          <w:bCs/>
          <w:color w:val="8C2F26"/>
          <w:sz w:val="18"/>
          <w:szCs w:val="18"/>
        </w:rPr>
        <w:t xml:space="preserve">Caveat. </w:t>
      </w:r>
      <w:r>
        <w:rPr>
          <w:color w:val="15181F"/>
          <w:sz w:val="18"/>
          <w:szCs w:val="18"/>
        </w:rPr>
        <w:t xml:space="preserve">The trial's node-positive subgroup showed no improvement in overall or disease-free survival. Extending a subgroup result to the subgroup it excluded is the specific error here — and the subgroup result itself is carried only in the NCCN discussion text supplied to this page, with no primary report read for this depot.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present adjuvant nab-paclitaxel with gemcitabine as established.</w:t>
      </w:r>
    </w:p>
    <w:p>
      <w:pPr>
        <w:spacing w:after="50" w:line="276"/>
        <w:ind w:left="240"/>
      </w:pPr>
      <w:r>
        <w:rPr>
          <w:color w:val="15181F"/>
          <w:sz w:val="18"/>
          <w:szCs w:val="18"/>
        </w:rPr>
        <w:t xml:space="preserve">Where a doublet is needed, gemcitabine with capecitabine has a positive primary endpoint and NCCN's preferred label; nab-paclitaxel with gemcitabine does not.</w:t>
      </w:r>
    </w:p>
    <w:p>
      <w:pPr>
        <w:spacing w:after="50"/>
        <w:ind w:left="240"/>
      </w:pPr>
      <w:r>
        <w:rPr>
          <w:b/>
          <w:bCs/>
          <w:color w:val="8C2F26"/>
          <w:sz w:val="18"/>
          <w:szCs w:val="18"/>
        </w:rPr>
        <w:t xml:space="preserve">Caveat. </w:t>
      </w:r>
      <w:r>
        <w:rPr>
          <w:color w:val="15181F"/>
          <w:sz w:val="18"/>
          <w:szCs w:val="18"/>
        </w:rPr>
        <w:t xml:space="preserve">APACT's blinded independently assessed primary endpoint was negative, hazard ratio 0.88 (0.729–1.063), P=.18, and the trial states that all other comparisons are therefore descriptive. The overall survival signal that followed came from the third of three successive data cutoffs with no prespecified repeated-testing plan, at the cost of 86% grade 3 or worse treatment-emergent events and 15% grade 3 or worse peripheral neuropathy against 0%, 84% of it unresolved at the primary cutoff, with no quality-of-life data.</w:t>
      </w:r>
    </w:p>
    <w:p>
      <w:pPr>
        <w:spacing w:after="60" w:line="276"/>
        <w:ind w:left="240"/>
      </w:pPr>
      <w:r>
        <w:rPr>
          <w:color w:val="5A6069"/>
          <w:sz w:val="16"/>
          <w:szCs w:val="16"/>
        </w:rPr>
        <w:t xml:space="preserve">Sources: APACT</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7 · Locally advanced — induction therapy and the conversion question</w:t>
      </w:r>
    </w:p>
    <w:p>
      <w:pPr>
        <w:spacing w:after="140"/>
      </w:pPr>
      <w:r>
        <w:rPr>
          <w:b/>
          <w:bCs/>
          <w:color w:val="176A87"/>
          <w:sz w:val="19"/>
          <w:szCs w:val="19"/>
        </w:rPr>
        <w:t xml:space="preserve">The question. </w:t>
      </w:r>
      <w:r>
        <w:rPr>
          <w:sz w:val="19"/>
          <w:szCs w:val="19"/>
        </w:rPr>
        <w:t xml:space="preserve">Can induction therapy turn this into an operation, and does adding radiation help me get there?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Head or uncinate: solid tumour contact of &gt;180° with the SMA or celiac axis</w:t>
      </w:r>
    </w:p>
    <w:p>
      <w:pPr>
        <w:pStyle w:val="ListParagraph"/>
        <w:numPr>
          <w:ilvl w:val="0"/>
          <w:numId w:val="2"/>
        </w:numPr>
        <w:spacing w:after="60" w:line="268"/>
      </w:pPr>
      <w:r>
        <w:rPr>
          <w:color w:val="15181F"/>
          <w:sz w:val="18"/>
          <w:szCs w:val="18"/>
        </w:rPr>
        <w:t xml:space="preserve">Body or tail: solid tumour contact of &gt;180° with the SMA or celiac axis, or contact with the celiac axis and aortic involvement</w:t>
      </w:r>
    </w:p>
    <w:p>
      <w:pPr>
        <w:pStyle w:val="ListParagraph"/>
        <w:numPr>
          <w:ilvl w:val="0"/>
          <w:numId w:val="2"/>
        </w:numPr>
        <w:spacing w:after="60" w:line="268"/>
      </w:pPr>
      <w:r>
        <w:rPr>
          <w:color w:val="15181F"/>
          <w:sz w:val="18"/>
          <w:szCs w:val="18"/>
        </w:rPr>
        <w:t xml:space="preserve">Complete occlusion of the SMV or portal vein not amenable to resection and primary reconstruction</w:t>
      </w:r>
    </w:p>
    <w:p>
      <w:pPr>
        <w:pStyle w:val="ListParagraph"/>
        <w:numPr>
          <w:ilvl w:val="0"/>
          <w:numId w:val="2"/>
        </w:numPr>
        <w:spacing w:after="60" w:line="268"/>
      </w:pPr>
      <w:r>
        <w:rPr>
          <w:color w:val="15181F"/>
          <w:sz w:val="18"/>
          <w:szCs w:val="18"/>
        </w:rPr>
        <w:t xml:space="preserve">No distant metastasis</w:t>
      </w:r>
    </w:p>
    <w:p>
      <w:pPr>
        <w:pStyle w:val="ListParagraph"/>
        <w:numPr>
          <w:ilvl w:val="0"/>
          <w:numId w:val="2"/>
        </w:numPr>
        <w:spacing w:after="60" w:line="268"/>
      </w:pPr>
      <w:r>
        <w:rPr>
          <w:color w:val="15181F"/>
          <w:sz w:val="18"/>
          <w:szCs w:val="18"/>
        </w:rPr>
        <w:t xml:space="preserve">Performance status and biliary drainage adequate for multiagent therapy, or not</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Multiagent induction chemotherapy for a patient with adequate performance status, good biliary drainage and adequate nutritional intake — with the reassessment date set when it starts.</w:t>
      </w:r>
    </w:p>
    <w:p>
      <w:pPr>
        <w:spacing w:after="50" w:line="276"/>
        <w:ind w:left="240"/>
      </w:pPr>
      <w:r>
        <w:rPr>
          <w:color w:val="15181F"/>
          <w:sz w:val="18"/>
          <w:szCs w:val="18"/>
        </w:rPr>
        <w:t xml:space="preserve">ECOG 0–1, or ECOG 2 with intermediate performance status, treated per the metastatic first-line options. In the patient-level meta-analysis of FOLFIRINOX in locally advanced disease (13 studies, 689 patients; 11 studies and 315 locally advanced patients with survival data), pooled median overall survival from the start of FOLFIRINOX was 24.2 months (95% CI 21.7–26.8) and median progression-free survival 15.0 months (13.8–16.3), with 1-year survival 79.5% and 2-year survival 50.1%. Resection followed in a pooled 25.9% (20.2–31.9), and 60 of the 81 resected patients with margin data were R0, pooled 78.4% (60.2–92.2).</w:t>
      </w:r>
    </w:p>
    <w:p>
      <w:pPr>
        <w:spacing w:after="50"/>
        <w:ind w:left="240"/>
      </w:pPr>
      <w:r>
        <w:rPr>
          <w:b/>
          <w:bCs/>
          <w:color w:val="8C2F26"/>
          <w:sz w:val="18"/>
          <w:szCs w:val="18"/>
        </w:rPr>
        <w:t xml:space="preserve">Caveat. </w:t>
      </w:r>
      <w:r>
        <w:rPr>
          <w:color w:val="15181F"/>
          <w:sz w:val="18"/>
          <w:szCs w:val="18"/>
        </w:rPr>
        <w:t xml:space="preserve">Every one of those figures comes from single-arm cohorts with no randomised comparator, eleven of thirteen retrospective, and the pooled population is selected — median overall survival across the individual studies ranged from 10.0 to 32.7 months. Survival was measured from the start of FOLFIRINOX, so every patient had to survive diagnosis, staging, biliary drainage and the decision to treat before entering the analysis; LAP07's 7.7-month median for patients who progressed during induction shows how large the invisible group is. A pooled 63.5% of patients also received radiotherapy or chemoradiotherapy (I² 90%, per-study range 31% to 100%), so the resection rate cannot be attributed to chemotherapy alone. The 78.4% R0 figure has a resected-only denominator — 81 of 325 patients, so it describes 19% of the cohort. Grade 3 or 4 events ran at 60.4 per 100 patients, and the report of </w:t>
      </w:r>
      <w:r>
        <w:rPr>
          <w:b/>
          <w:bCs/>
          <w:color w:val="15181F"/>
          <w:sz w:val="18"/>
          <w:szCs w:val="18"/>
        </w:rPr>
        <w:t xml:space="preserve">no</w:t>
      </w:r>
      <w:r>
        <w:rPr>
          <w:color w:val="15181F"/>
          <w:sz w:val="18"/>
          <w:szCs w:val="18"/>
        </w:rPr>
        <w:t xml:space="preserve"> deaths attributed to FOLFIRINOX toxicity across 490 patients is a retrospective-records artefact rather than a safety finding.</w:t>
      </w:r>
    </w:p>
    <w:p>
      <w:pPr>
        <w:spacing w:after="50" w:line="276"/>
        <w:ind w:left="240"/>
      </w:pPr>
      <w:r>
        <w:rPr>
          <w:i/>
          <w:iCs/>
          <w:color w:val="5A6069"/>
          <w:sz w:val="17"/>
          <w:szCs w:val="17"/>
        </w:rPr>
        <w:t xml:space="preserve">Downgraded from C to D on the full-text read. Because patient-level data were pooled into a single Kaplan-Meier curve rather than meta-analysed, no I² or prediction interval is reported for overall survival at all, so the narrow 95% CI of 21.7 to 26.8 months reflects the number of patients and not the three-fold disagreement between studies. The pooled population is not one population: only three of thirteen studies enrolled exclusively locally advanced patients, seven had no formal resectability criteria, and none used staging laparoscopy. Across studies there was no correlation between overall survival and radiotherapy use (p=0.12), resection rate (p=0.39) or number of FOLFIRINOX cycles (p=0.95), so none of the obvious explanations for the 24.2-month figure can be shown to drive it. The comparator the authors offer, 6 to 13 months with gemcitabine, is a narrative historical range and not a synthesis. Their own conclusion is that these results need testing in a randomised controlled trial and that it remains unestablished which patients benefit from radiotherapy or resection afterwards. [EXPERTISE]</w:t>
      </w:r>
    </w:p>
    <w:p>
      <w:pPr>
        <w:spacing w:after="60" w:line="276"/>
        <w:ind w:left="240"/>
      </w:pPr>
      <w:r>
        <w:rPr>
          <w:color w:val="5A6069"/>
          <w:sz w:val="16"/>
          <w:szCs w:val="16"/>
        </w:rPr>
        <w:t xml:space="preserve">Sources: FOLFIRINOX in LAPC</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Re-ask the resectability question on biological response, not on the label the patient arrived with.</w:t>
      </w:r>
    </w:p>
    <w:p>
      <w:pPr>
        <w:spacing w:after="50" w:line="276"/>
        <w:ind w:left="240"/>
      </w:pPr>
      <w:r>
        <w:rPr>
          <w:color w:val="15181F"/>
          <w:sz w:val="18"/>
          <w:szCs w:val="18"/>
        </w:rPr>
        <w:t xml:space="preserve">NCCN states the term </w:t>
      </w:r>
      <w:r>
        <w:rPr>
          <w:i/>
          <w:iCs/>
          <w:color w:val="15181F"/>
          <w:sz w:val="18"/>
          <w:szCs w:val="18"/>
        </w:rPr>
        <w:t xml:space="preserve">locally advanced</w:t>
      </w:r>
      <w:r>
        <w:rPr>
          <w:color w:val="15181F"/>
          <w:sz w:val="18"/>
          <w:szCs w:val="18"/>
        </w:rPr>
        <w:t xml:space="preserve"> should only be used at initial diagnosis, that locally advanced does not imply unresectable tumour, and that once neoadjuvant therapy has been delivered the criteria for resection should be based on the biological response. Where there is a response, a second opinion at a centre with expertise in vascular resection and reconstruction is recommended even if the patient is considered technically unresectable locally.</w:t>
      </w:r>
    </w:p>
    <w:p>
      <w:pPr>
        <w:spacing w:after="50"/>
        <w:ind w:left="240"/>
      </w:pPr>
      <w:r>
        <w:rPr>
          <w:b/>
          <w:bCs/>
          <w:color w:val="8C2F26"/>
          <w:sz w:val="18"/>
          <w:szCs w:val="18"/>
        </w:rPr>
        <w:t xml:space="preserve">Caveat. </w:t>
      </w:r>
      <w:r>
        <w:rPr>
          <w:color w:val="15181F"/>
          <w:sz w:val="18"/>
          <w:szCs w:val="18"/>
        </w:rPr>
        <w:t xml:space="preserve">Do not let the second opinion be the step that is skipped because the first assessment was done by the person who would have to do the operation.</w:t>
      </w:r>
    </w:p>
    <w:p>
      <w:pPr>
        <w:spacing w:after="50" w:line="276"/>
        <w:ind w:left="240"/>
      </w:pPr>
      <w:r>
        <w:rPr>
          <w:i/>
          <w:iCs/>
          <w:color w:val="5A6069"/>
          <w:sz w:val="17"/>
          <w:szCs w:val="17"/>
        </w:rPr>
        <w:t xml:space="preserve">The response assessment and the resection criteria are those in the borderline resectable gate — two of three metrics, and the rule that a riskier operation needs a bigger response to justify it.</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Offer conversion surgery only where R0 is achievable, and only after an objective response.</w:t>
      </w:r>
    </w:p>
    <w:p>
      <w:pPr>
        <w:spacing w:after="50" w:line="276"/>
        <w:ind w:left="240"/>
      </w:pPr>
      <w:r>
        <w:rPr>
          <w:color w:val="15181F"/>
          <w:sz w:val="18"/>
          <w:szCs w:val="18"/>
        </w:rPr>
        <w:t xml:space="preserve">A responder in whom en bloc resection to a negative margin, re-established arterial inflow and venous outflow, gastrointestinal continuity and biliary drainage are all achievable — assessed partly intraoperatively, because imaging distinguishes viable tumour from scar poorly.</w:t>
      </w:r>
    </w:p>
    <w:p>
      <w:pPr>
        <w:spacing w:after="50"/>
        <w:ind w:left="240"/>
      </w:pPr>
      <w:r>
        <w:rPr>
          <w:b/>
          <w:bCs/>
          <w:color w:val="8C2F26"/>
          <w:sz w:val="18"/>
          <w:szCs w:val="18"/>
        </w:rPr>
        <w:t xml:space="preserve">Caveat. </w:t>
      </w:r>
      <w:r>
        <w:rPr>
          <w:color w:val="15181F"/>
          <w:sz w:val="18"/>
          <w:szCs w:val="18"/>
        </w:rPr>
        <w:t xml:space="preserve">Arterial resection in this group is the highest-risk operation on the page and NCCN restricts it to specialist centres, highly selected patients, extensive neoadjuvant therapy and objective response, with explicit counselling that the chance of cure is unknown.</w:t>
      </w:r>
    </w:p>
    <w:p>
      <w:pPr>
        <w:spacing w:after="50" w:line="276"/>
        <w:ind w:left="240"/>
      </w:pPr>
      <w:r>
        <w:rPr>
          <w:i/>
          <w:iCs/>
          <w:color w:val="5A6069"/>
          <w:sz w:val="17"/>
          <w:szCs w:val="17"/>
        </w:rPr>
        <w:t xml:space="preserve">CONKO-007 gives the one randomised figure on how often conversion actually happens from this starting point, and the one randomised figure on what it costs. Of 336 patients randomised after 3 months of induction chemotherapy without progression, 62 of 169 in the chemoradiotherapy arm and 60 of 167 in the chemotherapy arm underwent surgery — 36% to 37%, with no difference between arms (P=.91) — and R0 was achieved in 43 of 169 (25%) and 30 of 167 (18%). </w:t>
      </w:r>
      <w:r>
        <w:rPr>
          <w:b/>
          <w:bCs/>
          <w:i/>
          <w:iCs/>
          <w:color w:val="5A6069"/>
          <w:sz w:val="17"/>
          <w:szCs w:val="17"/>
        </w:rPr>
        <w:t xml:space="preserve">Thirty-day postoperative mortality was 5 of 60 and 5 of 62, 8% in both arms.</w:t>
      </w:r>
      <w:r>
        <w:rPr>
          <w:i/>
          <w:iCs/>
          <w:color w:val="5A6069"/>
          <w:sz w:val="17"/>
          <w:szCs w:val="17"/>
        </w:rPr>
        <w:t xml:space="preserve"> One operative death in twelve is the number to put in the consent conversation, and the trial's conclusion that conversion surgery did not increase postsurgical mortality means only that it did not differ between the randomised arms. Those 336 patients are also the 64% of enrolled patients who survived and did not progress through 3 months of chemotherapy: the 159 of 495 (32.1%) who progressed during induction had a median survival of 9 months with no 5-year survivors.</w:t>
      </w:r>
    </w:p>
    <w:p>
      <w:pPr>
        <w:spacing w:after="60" w:line="276"/>
        <w:ind w:left="240"/>
      </w:pPr>
      <w:r>
        <w:rPr>
          <w:color w:val="5A6069"/>
          <w:sz w:val="16"/>
          <w:szCs w:val="16"/>
        </w:rPr>
        <w:t xml:space="preserve">Sources: CONKO-007</w:t>
      </w:r>
    </w:p>
    <w:p>
      <w:pPr>
        <w:spacing w:after="60" w:before="180"/>
      </w:pPr>
      <w:r>
        <w:rPr>
          <w:b/>
          <w:bCs/>
          <w:color w:val="176A87"/>
          <w:spacing w:val="16"/>
          <w:sz w:val="16"/>
          <w:szCs w:val="16"/>
        </w:rPr>
        <w:t xml:space="preserve">REASONABLE</w:t>
      </w:r>
      <w:r>
        <w:rPr>
          <w:color w:val="5A6069"/>
          <w:sz w:val="16"/>
          <w:szCs w:val="16"/>
        </w:rPr>
        <w:t xml:space="preserve">   grade B</w:t>
      </w:r>
    </w:p>
    <w:p>
      <w:pPr>
        <w:spacing w:after="100" w:line="276"/>
      </w:pPr>
      <w:r>
        <w:rPr>
          <w:i/>
          <w:iCs/>
          <w:color w:val="5A6069"/>
          <w:sz w:val="17"/>
          <w:szCs w:val="17"/>
        </w:rPr>
        <w:t xml:space="preserve">Ordered by what each option is </w:t>
      </w:r>
      <w:r>
        <w:rPr>
          <w:i/>
          <w:iCs/>
          <w:color w:val="5A6069"/>
          <w:sz w:val="17"/>
          <w:szCs w:val="17"/>
        </w:rPr>
        <w:t xml:space="preserve">for</w:t>
      </w:r>
      <w:r>
        <w:rPr>
          <w:i/>
          <w:iCs/>
          <w:color w:val="5A6069"/>
          <w:sz w:val="17"/>
          <w:szCs w:val="17"/>
        </w:rPr>
        <w:t xml:space="preserve">, not by survival, because no option here improves survival over another: both randomised trials of adding radiation after induction therapy were null for overall survival, and one of them was stopped early for futility while the other failed a primary endpoint it had rewritten mid-trial from its own unblinded interim data. Continuing chemotherapy is first because it is what the negative trials support; chemoradiotherapy is second because its demonstrated gains are local control (CONKO-007 locoregional recurrence HR 0.33, P&lt;.001; LAP07 32% versus 46%, P=.03) and margin quality in the operated subgroup (69.4% versus 50.0%, P=.04), both legitimate objectives and neither of which is survival; upfront radiotherapy without induction is last because it treats the organ and not the disease.</w:t>
      </w:r>
    </w:p>
    <w:p>
      <w:pPr>
        <w:spacing w:after="50" w:before="120"/>
        <w:ind w:left="240"/>
      </w:pPr>
      <w:r>
        <w:rPr>
          <w:b/>
          <w:bCs/>
          <w:color w:val="15181F"/>
          <w:sz w:val="19"/>
          <w:szCs w:val="19"/>
        </w:rPr>
        <w:t xml:space="preserve">Continue chemotherapy alone after induction</w:t>
      </w:r>
      <w:r>
        <w:rPr>
          <w:color w:val="5A6069"/>
          <w:sz w:val="15"/>
          <w:szCs w:val="15"/>
        </w:rPr>
        <w:t xml:space="preserve">   grade B</w:t>
      </w:r>
    </w:p>
    <w:p>
      <w:pPr>
        <w:spacing w:after="50" w:line="276"/>
        <w:ind w:left="240"/>
      </w:pPr>
      <w:r>
        <w:rPr>
          <w:color w:val="15181F"/>
          <w:sz w:val="18"/>
          <w:szCs w:val="18"/>
        </w:rPr>
        <w:t xml:space="preserve">LAP07 (449 enrolled, 442 eligible, 269 randomised after 4 months of gemcitabine-based induction without progression) found no overall survival difference between continuing chemotherapy and adding chemoradiotherapy: median overall survival from first randomisation 16.5 months (95% CI 14.5–18.5) with chemotherapy versus 15.2 months (13.9–17.3) with chemoradiotherapy, hazard ratio 1.03 (0.79–1.34), P=.83. The independent data monitoring committee stopped accrual when the interim analysis crossed the futility boundary at 221 deaths.</w:t>
      </w:r>
    </w:p>
    <w:p>
      <w:pPr>
        <w:spacing w:after="50" w:line="276"/>
        <w:ind w:left="240"/>
      </w:pPr>
      <w:r>
        <w:rPr>
          <w:color w:val="15181F"/>
          <w:sz w:val="18"/>
          <w:szCs w:val="18"/>
        </w:rPr>
        <w:t xml:space="preserve">The default after induction for a patient in whom the objective is survival rather than local control or conversion to resection.</w:t>
      </w:r>
    </w:p>
    <w:p>
      <w:pPr>
        <w:spacing w:after="50"/>
        <w:ind w:left="240"/>
      </w:pPr>
      <w:r>
        <w:rPr>
          <w:b/>
          <w:bCs/>
          <w:color w:val="8C2F26"/>
          <w:sz w:val="18"/>
          <w:szCs w:val="18"/>
        </w:rPr>
        <w:t xml:space="preserve">Caveat. </w:t>
      </w:r>
      <w:r>
        <w:rPr>
          <w:color w:val="15181F"/>
          <w:sz w:val="18"/>
          <w:szCs w:val="18"/>
        </w:rPr>
        <w:t xml:space="preserve">LAP07's chemotherapy backbone was gemcitabine with or without erlotinib, not FOLFIRINOX, so it does not test chemoradiotherapy after a modern triplet; CONKO-007 later did and was also null. Read the null carefully: the trial was stopped at its interim analysis for futility and that analysis was declared final, so it never reached its planned 392 deaths, and a confidence interval of 0.79 to 1.34 cannot exclude a clinically meaningful 20% benefit or harm — this is underpowered, not equivalent. Survival was measured from the </w:t>
      </w:r>
      <w:r>
        <w:rPr>
          <w:b/>
          <w:bCs/>
          <w:color w:val="15181F"/>
          <w:sz w:val="18"/>
          <w:szCs w:val="18"/>
        </w:rPr>
        <w:t xml:space="preserve">first</w:t>
      </w:r>
      <w:r>
        <w:rPr>
          <w:color w:val="15181F"/>
          <w:sz w:val="18"/>
          <w:szCs w:val="18"/>
        </w:rPr>
        <w:t xml:space="preserve"> randomisation while the intervention was allocated at the second, so four months are common to both arms by construction and any true effect is diluted toward the null.</w:t>
      </w:r>
    </w:p>
    <w:p>
      <w:pPr>
        <w:spacing w:after="60" w:line="276"/>
        <w:ind w:left="240"/>
      </w:pPr>
      <w:r>
        <w:rPr>
          <w:color w:val="5A6069"/>
          <w:sz w:val="16"/>
          <w:szCs w:val="16"/>
        </w:rPr>
        <w:t xml:space="preserve">Sources: LAP07</w:t>
      </w:r>
    </w:p>
    <w:p>
      <w:pPr>
        <w:spacing w:after="50" w:before="120"/>
        <w:ind w:left="240"/>
      </w:pPr>
      <w:r>
        <w:rPr>
          <w:b/>
          <w:bCs/>
          <w:color w:val="15181F"/>
          <w:sz w:val="19"/>
          <w:szCs w:val="19"/>
        </w:rPr>
        <w:t xml:space="preserve">Chemoradiotherapy after induction, for local control or to raise the chance of R0</w:t>
      </w:r>
      <w:r>
        <w:rPr>
          <w:color w:val="5A6069"/>
          <w:sz w:val="15"/>
          <w:szCs w:val="15"/>
        </w:rPr>
        <w:t xml:space="preserve">   grade C</w:t>
      </w:r>
    </w:p>
    <w:p>
      <w:pPr>
        <w:spacing w:after="50" w:line="276"/>
        <w:ind w:left="240"/>
      </w:pPr>
      <w:r>
        <w:rPr>
          <w:color w:val="15181F"/>
          <w:sz w:val="18"/>
          <w:szCs w:val="18"/>
        </w:rPr>
        <w:t xml:space="preserve">CONKO-007 (525 enrolled, 495 received induction — 402 FOLFIRINOX, 93 gemcitabine — and 336 randomised without progression at 3 months to continuing chemotherapy or to 50.4 Gy in 28 fractions with concurrent gemcitabine) </w:t>
      </w:r>
      <w:r>
        <w:rPr>
          <w:b/>
          <w:bCs/>
          <w:color w:val="15181F"/>
          <w:sz w:val="18"/>
          <w:szCs w:val="18"/>
        </w:rPr>
        <w:t xml:space="preserve">missed its primary endpoint</w:t>
      </w:r>
      <w:r>
        <w:rPr>
          <w:color w:val="15181F"/>
          <w:sz w:val="18"/>
          <w:szCs w:val="18"/>
        </w:rPr>
        <w:t xml:space="preserve">: overall R0 resection rate 43 of 169 (25%) with chemoradiotherapy versus 30 of 167 (18%) with chemotherapy, P=.113. Among the patients who actually underwent surgery, R0 was 43 of 62 (69.4%) versus 30 of 60 (50.0%), P=.04, and the overall distribution of R0, R1, R2 and no resection also favoured it, P=.02. Median follow-up was 76 months.</w:t>
      </w:r>
    </w:p>
    <w:p>
      <w:pPr>
        <w:spacing w:after="50" w:line="276"/>
        <w:ind w:left="240"/>
      </w:pPr>
      <w:r>
        <w:rPr>
          <w:color w:val="15181F"/>
          <w:sz w:val="18"/>
          <w:szCs w:val="18"/>
        </w:rPr>
        <w:t xml:space="preserve">Where the board's objective is specifically local control, or a clear margin in a patient who has responded and in whom surgery is planned. The local-control effect is the most solid finding in either trial: in CONKO-007, locoregional recurrence as a first event at 5 years was 29.9% versus 40.9%, hazard ratio 0.41 (95% CI 0.227–0.746), P=.004, and all locoregional recurrence 46.9% versus 63.2%, hazard ratio 0.33 (0.206–0.530), P&lt;.001, with distant metastasis identical (82.7% versus 84.7%, P=.52). LAP07 found the same direction (locoregional progression 32% versus 46%, P=.03) and a longer delay to reintroduction of any treatment (6.1 versus 3.7 months, P=.02).</w:t>
      </w:r>
    </w:p>
    <w:p>
      <w:pPr>
        <w:spacing w:after="50"/>
        <w:ind w:left="240"/>
      </w:pPr>
      <w:r>
        <w:rPr>
          <w:b/>
          <w:bCs/>
          <w:color w:val="8C2F26"/>
          <w:sz w:val="18"/>
          <w:szCs w:val="18"/>
        </w:rPr>
        <w:t xml:space="preserve">Caveat. </w:t>
      </w:r>
      <w:r>
        <w:rPr>
          <w:color w:val="15181F"/>
          <w:sz w:val="18"/>
          <w:szCs w:val="18"/>
        </w:rPr>
        <w:t xml:space="preserve">Neither trial shows a survival benefit. CONKO-007 found no overall survival difference, hazard ratio 0.937 (95% CI 0.747–1.174), P=.57, with 151 deaths in each arm, and surgery was performed equally often in the two arms (P=.91). Its 5-year survival claim (10.1% versus 3.8%) is a tail comparison inside a null trial, reported without a p value and with standard errors of 2.5% and 1.8% on 8 and 4 patients at risk. The R0 advantage that did reach significance is conditional on reaching theatre, which was not randomised, and the authors state that physicians' knowledge of the R0 endpoint changed their behaviour — which is exactly the mechanism that produces an R0 difference in the operated subgroup and none in the randomised population. Surgery itself was strongly associated with longer survival (hazard ratio 0.525, 0.408–0.676, P&lt;.001, median 19 versus 13 months), which in a non-randomised comparison of operated against non-operated patients is selection, not treatment effect.</w:t>
      </w:r>
    </w:p>
    <w:p>
      <w:pPr>
        <w:spacing w:after="60" w:line="276"/>
        <w:ind w:left="240"/>
      </w:pPr>
      <w:r>
        <w:rPr>
          <w:color w:val="5A6069"/>
          <w:sz w:val="16"/>
          <w:szCs w:val="16"/>
        </w:rPr>
        <w:t xml:space="preserve">Sources: CONKO-007; LAP07</w:t>
      </w:r>
    </w:p>
    <w:p>
      <w:pPr>
        <w:spacing w:after="50" w:before="120"/>
        <w:ind w:left="240"/>
      </w:pPr>
      <w:r>
        <w:rPr>
          <w:b/>
          <w:bCs/>
          <w:color w:val="15181F"/>
          <w:sz w:val="19"/>
          <w:szCs w:val="19"/>
        </w:rPr>
        <w:t xml:space="preserve">Upfront chemoradiation or SBRT, without induction chemotherapy</w:t>
      </w:r>
      <w:r>
        <w:rPr>
          <w:color w:val="5A6069"/>
          <w:sz w:val="15"/>
          <w:szCs w:val="15"/>
        </w:rPr>
        <w:t xml:space="preserve">   grade D</w:t>
      </w:r>
      <w:r>
        <w:rPr>
          <w:b/>
          <w:bCs/>
          <w:color w:val="8E5008"/>
          <w:spacing w:val="12"/>
          <w:sz w:val="14"/>
          <w:szCs w:val="14"/>
        </w:rPr>
        <w:t xml:space="preserve">   EXPERTISE</w:t>
      </w:r>
    </w:p>
    <w:p>
      <w:pPr>
        <w:spacing w:after="50" w:line="276"/>
        <w:ind w:left="240"/>
      </w:pPr>
      <w:r>
        <w:rPr>
          <w:color w:val="15181F"/>
          <w:sz w:val="18"/>
          <w:szCs w:val="18"/>
        </w:rPr>
        <w:t xml:space="preserve">NCCN permits upfront chemoradiation or SBRT in select patients with locally advanced disease. If disease progresses, the options are a clinical trial (preferred), systemic therapy, or chemoradiation or SBRT if radiation was not previously given and the primary site is the sole site of progression.</w:t>
      </w:r>
    </w:p>
    <w:p>
      <w:pPr>
        <w:spacing w:after="50" w:line="276"/>
        <w:ind w:left="240"/>
      </w:pPr>
      <w:r>
        <w:rPr>
          <w:color w:val="15181F"/>
          <w:sz w:val="18"/>
          <w:szCs w:val="18"/>
        </w:rPr>
        <w:t xml:space="preserve">A narrow group — a patient who cannot have multiagent chemotherapy, or in whom a local problem dominates. SBRT should be delivered at an experienced high-volume centre with image-guided radiotherapy, or in a trial.</w:t>
      </w:r>
    </w:p>
    <w:p>
      <w:pPr>
        <w:spacing w:after="50"/>
        <w:ind w:left="240"/>
      </w:pPr>
      <w:r>
        <w:rPr>
          <w:b/>
          <w:bCs/>
          <w:color w:val="8C2F26"/>
          <w:sz w:val="18"/>
          <w:szCs w:val="18"/>
        </w:rPr>
        <w:t xml:space="preserve">Caveat. </w:t>
      </w:r>
      <w:r>
        <w:rPr>
          <w:color w:val="15181F"/>
          <w:sz w:val="18"/>
          <w:szCs w:val="18"/>
        </w:rPr>
        <w:t xml:space="preserve">Do not use it as the default first treatment for a fit locally advanced patient. Systemic therapy addresses the occult metastatic disease that is the usual cause of death in this group, and NCCN states further studies are needed before SBRT is recommended even in borderline resectable disease.</w:t>
      </w:r>
    </w:p>
    <w:p>
      <w:pPr>
        <w:spacing w:after="60" w:line="276"/>
        <w:ind w:left="240"/>
      </w:pPr>
      <w:r>
        <w:rPr>
          <w:i/>
          <w:iCs/>
          <w:color w:val="5A6069"/>
          <w:sz w:val="16"/>
          <w:szCs w:val="16"/>
        </w:rPr>
        <w:t xml:space="preserve">Ratification item 6: does this programme offer consolidative chemoradiotherapy after induction in locally advanced disease routinely, only where conversion to resection is the explicit objective, or not at all? The two randomised trials are both null for overall survival; CONKO-007's R0 benefit is confined to patients who reached theatre, its primary endpoint was changed mid-trial and powered from its own unblinded interim data, and its radiotherapy was never centrally reviewed; LAP07 was stopped at interim for futility with 18% major radiotherapy protocol deviations. Neither trial tested radiotherapy after a FOLFIRINOX backbone followed by modern surgery with modern adjuvant therapy. Ratification item 14 covers the operation itself: CONKO-007's 30-day postoperative mortality after conversion surgery was 8% in both arms. Audit: induction regimen, proportion reaching exploration, resection rate, R0 rate with millimetre clearance, 30- and 90-day postoperative mortality, local progression, and overall survival from the start of induction.</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Palliative and best supportive care, single-agent chemotherapy, or palliative radiotherapy, for a patient with poor performance status.</w:t>
      </w:r>
    </w:p>
    <w:p>
      <w:pPr>
        <w:spacing w:after="50" w:line="276"/>
        <w:ind w:left="240"/>
      </w:pPr>
      <w:r>
        <w:rPr>
          <w:color w:val="15181F"/>
          <w:sz w:val="18"/>
          <w:szCs w:val="18"/>
        </w:rPr>
        <w:t xml:space="preserve">NCCN's options for ECOG 3 in locally advanced disease. Select patients with poor performance status may still benefit from single-agent chemotherapy or from targeted therapy based on molecular profiling.</w:t>
      </w:r>
    </w:p>
    <w:p>
      <w:pPr>
        <w:spacing w:after="50"/>
        <w:ind w:left="240"/>
      </w:pPr>
      <w:r>
        <w:rPr>
          <w:b/>
          <w:bCs/>
          <w:color w:val="8C2F26"/>
          <w:sz w:val="18"/>
          <w:szCs w:val="18"/>
        </w:rPr>
        <w:t xml:space="preserve">Caveat. </w:t>
      </w:r>
      <w:r>
        <w:rPr>
          <w:color w:val="15181F"/>
          <w:sz w:val="18"/>
          <w:szCs w:val="18"/>
        </w:rPr>
        <w:t xml:space="preserve">Do not put a patient with ECOG 3 through a triplet to avoid the conversation. Survival benefit from systemic therapy in this disease is largely confined to patients with adequate performance status, good biliary drainage and adequate nutritional intake.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promise an operation at the start of induction therapy.</w:t>
      </w:r>
    </w:p>
    <w:p>
      <w:pPr>
        <w:spacing w:after="50" w:line="276"/>
        <w:ind w:left="240"/>
      </w:pPr>
      <w:r>
        <w:rPr>
          <w:color w:val="15181F"/>
          <w:sz w:val="18"/>
          <w:szCs w:val="18"/>
        </w:rPr>
        <w:t xml:space="preserve">Say what the numbers are: about a quarter of locally advanced patients treated with FOLFIRINOX in the pooled single-arm data went on to resection, and in the one randomised trial starting from unresectable disease, 122 of 336 patients randomised after 3 months without progression reached theatre (36% to 37%) and 73 of 336 (22%) achieved R0 — with 30-day postoperative mortality of 8% in both arms. Of the 495 patients who started induction, 159 (32.1%) progressed before randomisation and had a median survival of 9 months.</w:t>
      </w:r>
    </w:p>
    <w:p>
      <w:pPr>
        <w:spacing w:after="50"/>
        <w:ind w:left="240"/>
      </w:pPr>
      <w:r>
        <w:rPr>
          <w:b/>
          <w:bCs/>
          <w:color w:val="8C2F26"/>
          <w:sz w:val="18"/>
          <w:szCs w:val="18"/>
        </w:rPr>
        <w:t xml:space="preserve">Caveat. </w:t>
      </w:r>
      <w:r>
        <w:rPr>
          <w:color w:val="15181F"/>
          <w:sz w:val="18"/>
          <w:szCs w:val="18"/>
        </w:rPr>
        <w:t xml:space="preserve">A patient who was told the chemotherapy was </w:t>
      </w:r>
      <w:r>
        <w:rPr>
          <w:i/>
          <w:iCs/>
          <w:color w:val="15181F"/>
          <w:sz w:val="18"/>
          <w:szCs w:val="18"/>
        </w:rPr>
        <w:t xml:space="preserve">to shrink it so we can operate</w:t>
      </w:r>
      <w:r>
        <w:rPr>
          <w:color w:val="15181F"/>
          <w:sz w:val="18"/>
          <w:szCs w:val="18"/>
        </w:rPr>
        <w:t xml:space="preserve"> and who then does not reach an operation has been given the wrong frame for most of their remaining time.</w:t>
      </w:r>
    </w:p>
    <w:p>
      <w:pPr>
        <w:spacing w:after="60" w:line="276"/>
        <w:ind w:left="240"/>
      </w:pPr>
      <w:r>
        <w:rPr>
          <w:color w:val="5A6069"/>
          <w:sz w:val="16"/>
          <w:szCs w:val="16"/>
        </w:rPr>
        <w:t xml:space="preserve">Sources: FOLFIRINOX in LAPC; CONKO-007</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treat an unresectable label applied at diagnosis as final.</w:t>
      </w:r>
    </w:p>
    <w:p>
      <w:pPr>
        <w:spacing w:after="50" w:line="276"/>
        <w:ind w:left="240"/>
      </w:pPr>
      <w:r>
        <w:rPr>
          <w:color w:val="15181F"/>
          <w:sz w:val="18"/>
          <w:szCs w:val="18"/>
        </w:rPr>
        <w:t xml:space="preserve">Re-ask on biological response, and send responders for a second opinion at a vascular-resection centre as NCCN recommends.</w:t>
      </w:r>
    </w:p>
    <w:p>
      <w:pPr>
        <w:spacing w:after="50"/>
        <w:ind w:left="240"/>
      </w:pPr>
      <w:r>
        <w:rPr>
          <w:b/>
          <w:bCs/>
          <w:color w:val="8C2F26"/>
          <w:sz w:val="18"/>
          <w:szCs w:val="18"/>
        </w:rPr>
        <w:t xml:space="preserve">Caveat. </w:t>
      </w:r>
      <w:r>
        <w:rPr>
          <w:color w:val="15181F"/>
          <w:sz w:val="18"/>
          <w:szCs w:val="18"/>
        </w:rPr>
        <w:t xml:space="preserve">This is the commonest way a potentially convertible patient is lost, and NCCN addresses it twice — in the instruction that the term should only be used at diagnosis, and in the explicit second-opinion recommendation.</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offer radiotherapy as a survival-prolonging treatment in locally advanced disease.</w:t>
      </w:r>
    </w:p>
    <w:p>
      <w:pPr>
        <w:spacing w:after="50" w:line="276"/>
        <w:ind w:left="240"/>
      </w:pPr>
      <w:r>
        <w:rPr>
          <w:color w:val="15181F"/>
          <w:sz w:val="18"/>
          <w:szCs w:val="18"/>
        </w:rPr>
        <w:t xml:space="preserve">Offer it, where it is offered, for local control or for margin quality in a patient heading to theatre, and say which. The local-control effect is real and randomised: locoregional recurrence hazard ratio 0.33 (95% CI 0.206–0.530), P&lt;.001, in CONKO-007 and 32% versus 46% locoregional progression in LAP07.</w:t>
      </w:r>
    </w:p>
    <w:p>
      <w:pPr>
        <w:spacing w:after="50"/>
        <w:ind w:left="240"/>
      </w:pPr>
      <w:r>
        <w:rPr>
          <w:b/>
          <w:bCs/>
          <w:color w:val="8C2F26"/>
          <w:sz w:val="18"/>
          <w:szCs w:val="18"/>
        </w:rPr>
        <w:t xml:space="preserve">Caveat. </w:t>
      </w:r>
      <w:r>
        <w:rPr>
          <w:color w:val="15181F"/>
          <w:sz w:val="18"/>
          <w:szCs w:val="18"/>
        </w:rPr>
        <w:t xml:space="preserve">LAP07: hazard ratio 1.03 (0.79–1.34), P=.83, stopped early for futility at its interim analysis, which then became the final one. CONKO-007: hazard ratio 0.937 (0.747–1.174), P=.57, primary endpoint not met. Two randomised trials, both null for overall survival, and neither powered to exclude a clinically meaningful difference.</w:t>
      </w:r>
    </w:p>
    <w:p>
      <w:pPr>
        <w:spacing w:after="60" w:line="276"/>
        <w:ind w:left="240"/>
      </w:pPr>
      <w:r>
        <w:rPr>
          <w:color w:val="5A6069"/>
          <w:sz w:val="16"/>
          <w:szCs w:val="16"/>
        </w:rPr>
        <w:t xml:space="preserve">Sources: LAP07; CONKO-007</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8 · Metastatic disease — the line, and what the molecular report changes</w:t>
      </w:r>
    </w:p>
    <w:p>
      <w:pPr>
        <w:spacing w:after="140"/>
      </w:pPr>
      <w:r>
        <w:rPr>
          <w:b/>
          <w:bCs/>
          <w:color w:val="176A87"/>
          <w:sz w:val="19"/>
          <w:szCs w:val="19"/>
        </w:rPr>
        <w:t xml:space="preserve">The question. </w:t>
      </w:r>
      <w:r>
        <w:rPr>
          <w:sz w:val="19"/>
          <w:szCs w:val="19"/>
        </w:rPr>
        <w:t xml:space="preserve">What is the right first-line regimen for this performance status, and what will the molecular report actually change?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Distant metastasis on imaging, or positive peritoneal cytology</w:t>
      </w:r>
    </w:p>
    <w:p>
      <w:pPr>
        <w:pStyle w:val="ListParagraph"/>
        <w:numPr>
          <w:ilvl w:val="0"/>
          <w:numId w:val="2"/>
        </w:numPr>
        <w:spacing w:after="60" w:line="268"/>
      </w:pPr>
      <w:r>
        <w:rPr>
          <w:color w:val="15181F"/>
          <w:sz w:val="18"/>
          <w:szCs w:val="18"/>
        </w:rPr>
        <w:t xml:space="preserve">A tissue diagnosis with enough material banked for next-generation sequencing</w:t>
      </w:r>
    </w:p>
    <w:p>
      <w:pPr>
        <w:pStyle w:val="ListParagraph"/>
        <w:numPr>
          <w:ilvl w:val="0"/>
          <w:numId w:val="2"/>
        </w:numPr>
        <w:spacing w:after="60" w:line="268"/>
      </w:pPr>
      <w:r>
        <w:rPr>
          <w:color w:val="15181F"/>
          <w:sz w:val="18"/>
          <w:szCs w:val="18"/>
        </w:rPr>
        <w:t xml:space="preserve">Performance status graded: ECOG 0–1 with good biliary drainage and nutrition, ECOG 2, or poor</w:t>
      </w:r>
    </w:p>
    <w:p>
      <w:pPr>
        <w:pStyle w:val="ListParagraph"/>
        <w:numPr>
          <w:ilvl w:val="0"/>
          <w:numId w:val="2"/>
        </w:numPr>
        <w:spacing w:after="60" w:line="268"/>
      </w:pPr>
      <w:r>
        <w:rPr>
          <w:color w:val="15181F"/>
          <w:sz w:val="18"/>
          <w:szCs w:val="18"/>
        </w:rPr>
        <w:t xml:space="preserve">Germline testing and comprehensive genomic profiling ordered, with HER2 immunohistochemistry</w:t>
      </w:r>
    </w:p>
    <w:p>
      <w:pPr>
        <w:pStyle w:val="ListParagraph"/>
        <w:numPr>
          <w:ilvl w:val="0"/>
          <w:numId w:val="2"/>
        </w:numPr>
        <w:spacing w:after="60" w:line="268"/>
      </w:pPr>
      <w:r>
        <w:rPr>
          <w:color w:val="15181F"/>
          <w:sz w:val="18"/>
          <w:szCs w:val="18"/>
        </w:rPr>
        <w:t xml:space="preserve">Biliary and gastric outlet patency, pain, nutrition and thrombosis addressed as treatment, not afterthoughts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100" w:line="276"/>
      </w:pPr>
      <w:r>
        <w:rPr>
          <w:i/>
          <w:iCs/>
          <w:color w:val="5A6069"/>
          <w:sz w:val="17"/>
          <w:szCs w:val="17"/>
        </w:rPr>
        <w:t xml:space="preserve">Ordered by performance-status fit and by the comparator each trial beat, not by head-to-head data. There is no randomised comparison of NALIRIFOX with FOLFIRINOX, and NCCN says so; the two triplets sit at the same median (11.1 months) against different comparators in different eras. The sequence down the list tracks declining fitness, which is the variable that actually decides.</w:t>
      </w:r>
    </w:p>
    <w:p>
      <w:pPr>
        <w:spacing w:after="50" w:before="120"/>
        <w:ind w:left="240"/>
      </w:pPr>
      <w:r>
        <w:rPr>
          <w:b/>
          <w:bCs/>
          <w:color w:val="15181F"/>
          <w:sz w:val="19"/>
          <w:szCs w:val="19"/>
        </w:rPr>
        <w:t xml:space="preserve">FOLFIRINOX or mFOLFIRINOX</w:t>
      </w:r>
      <w:r>
        <w:rPr>
          <w:color w:val="5A6069"/>
          <w:sz w:val="15"/>
          <w:szCs w:val="15"/>
        </w:rPr>
        <w:t xml:space="preserve">   grade A</w:t>
      </w:r>
    </w:p>
    <w:p>
      <w:pPr>
        <w:spacing w:after="50" w:line="276"/>
        <w:ind w:left="240"/>
      </w:pPr>
      <w:r>
        <w:rPr>
          <w:color w:val="15181F"/>
          <w:sz w:val="18"/>
          <w:szCs w:val="18"/>
        </w:rPr>
        <w:t xml:space="preserve">PRODIGE 4 / ACCORD 11 (n=342, ECOG 0–1) established the triplet: median overall survival 11.1 months (95% CI 9.0–13.1) versus 6.8 months (5.5–7.6) against gemcitabine, hazard ratio 0.57 (0.45–0.73), P&lt;0.001, with median progression-free survival 6.4 months (5.5–7.2) versus 3.3 months (2.2–3.6), hazard ratio 0.47 (0.37–0.59), and an objective response rate of 31.6% versus 9.4%.</w:t>
      </w:r>
    </w:p>
    <w:p>
      <w:pPr>
        <w:spacing w:after="50" w:line="276"/>
        <w:ind w:left="240"/>
      </w:pPr>
      <w:r>
        <w:rPr>
          <w:color w:val="15181F"/>
          <w:sz w:val="18"/>
          <w:szCs w:val="18"/>
        </w:rPr>
        <w:t xml:space="preserve">A patient with ECOG 0–1, good biliary drainage and adequate nutritional intake. It is the regimen with the largest relative survival effect in this disease and the one whose population is best defined, and it is the only first-line triplet with quality-of-life data: definitive deterioration of global health status at 6 months in 31% versus 66%, hazard ratio 0.47 (0.30–0.70), P&lt;0.001 — a time-to-event measure that a regimen delaying progression by 3.1 months will improve almost mechanically, so read it as consistent with the survival result rather than as independent evidence.</w:t>
      </w:r>
    </w:p>
    <w:p>
      <w:pPr>
        <w:spacing w:after="50"/>
        <w:ind w:left="240"/>
      </w:pPr>
      <w:r>
        <w:rPr>
          <w:b/>
          <w:bCs/>
          <w:color w:val="8C2F26"/>
          <w:sz w:val="18"/>
          <w:szCs w:val="18"/>
        </w:rPr>
        <w:t xml:space="preserve">Caveat. </w:t>
      </w:r>
      <w:r>
        <w:rPr>
          <w:color w:val="15181F"/>
          <w:sz w:val="18"/>
          <w:szCs w:val="18"/>
        </w:rPr>
        <w:t xml:space="preserve">The toxicity excluded ECOG 2 patients for a reason: grade 3–4 neutropenia 45.7% versus 21.0% with filgrastim given to 42.5% versus 5.3%, febrile neutropenia 5.4%, diarrhoea 12.7% versus 1.8%, sensory neuropathy 9.0% versus 0%, with one treatment-related death in each arm. Do not give it to a jaundiced, undrained or malnourished patient — eligibility required bilirubin at or below 1.5 times the upper limit, age under 76, no cardiac disease and measurable disease, and NCCN's definition of good performance status for this disease includes biliary drainage and nutritional intake, not just the ECOG number.</w:t>
      </w:r>
    </w:p>
    <w:p>
      <w:pPr>
        <w:spacing w:after="60" w:line="276"/>
        <w:ind w:left="240"/>
      </w:pPr>
      <w:r>
        <w:rPr>
          <w:color w:val="5A6069"/>
          <w:sz w:val="16"/>
          <w:szCs w:val="16"/>
        </w:rPr>
        <w:t xml:space="preserve">Sources: PRODIGE 4 / ACCORD 11; PREOPANC-2; NORPACT-1</w:t>
      </w:r>
    </w:p>
    <w:p>
      <w:pPr>
        <w:spacing w:after="50" w:before="120"/>
        <w:ind w:left="240"/>
      </w:pPr>
      <w:r>
        <w:rPr>
          <w:b/>
          <w:bCs/>
          <w:color w:val="15181F"/>
          <w:sz w:val="19"/>
          <w:szCs w:val="19"/>
        </w:rPr>
        <w:t xml:space="preserve">NALIRIFOX</w:t>
      </w:r>
      <w:r>
        <w:rPr>
          <w:color w:val="5A6069"/>
          <w:sz w:val="15"/>
          <w:szCs w:val="15"/>
        </w:rPr>
        <w:t xml:space="preserve">   grade A</w:t>
      </w:r>
    </w:p>
    <w:p>
      <w:pPr>
        <w:spacing w:after="50" w:line="276"/>
        <w:ind w:left="240"/>
      </w:pPr>
      <w:r>
        <w:rPr>
          <w:color w:val="15181F"/>
          <w:sz w:val="18"/>
          <w:szCs w:val="18"/>
        </w:rPr>
        <w:t xml:space="preserve">NAPOLI 3 (n=770, 187 sites, 18 countries) gave median overall survival 11.1 months (95% CI 10.0–12.1) versus 9.2 months (8.3–10.6) with nab-paclitaxel and gemcitabine, hazard ratio 0.83 (0.70–0.99), p=0.036, with median progression-free survival 7.4 versus 5.6 months, hazard ratio 0.69 (0.58–0.83), p&lt;0.0001. NCCN recognises high-level evidence supporting NALIRIFOX over nab-paclitaxel with gemcitabine.</w:t>
      </w:r>
    </w:p>
    <w:p>
      <w:pPr>
        <w:spacing w:after="50" w:line="276"/>
        <w:ind w:left="240"/>
      </w:pPr>
      <w:r>
        <w:rPr>
          <w:color w:val="15181F"/>
          <w:sz w:val="18"/>
          <w:szCs w:val="18"/>
        </w:rPr>
        <w:t xml:space="preserve">The same population as FOLFIRINOX, where the liposomal-irinotecan schedule is preferred on toxicity or logistics. Eligibility was deliberately broad, with no upper age limit and no exclusion for clinical ascites, which is the one axis on which it is less selected than PRODIGE 4.</w:t>
      </w:r>
    </w:p>
    <w:p>
      <w:pPr>
        <w:spacing w:after="50"/>
        <w:ind w:left="240"/>
      </w:pPr>
      <w:r>
        <w:rPr>
          <w:b/>
          <w:bCs/>
          <w:color w:val="8C2F26"/>
          <w:sz w:val="18"/>
          <w:szCs w:val="18"/>
        </w:rPr>
        <w:t xml:space="preserve">Caveat. </w:t>
      </w:r>
      <w:r>
        <w:rPr>
          <w:color w:val="15181F"/>
          <w:sz w:val="18"/>
          <w:szCs w:val="18"/>
        </w:rPr>
        <w:t xml:space="preserve">NCCN states plainly that this regimen does not appear to have clear advantages compared with FOLFIRINOX or mFOLFIRINOX, and there is no randomised comparison between them — NALIRIFOX is FOLFIRINOX with liposomal irinotecan substituted and lower oxaliplatin, and PRODIGE 4's median was also 11.1 months. Grade 3 or worse treatment-emergent events occurred in 322 of 370 (87%) versus 326 of 379 (86%), with treatment-related deaths in 2% of each arm — this is not a gentler triplet, though grade 3–4 peripheral neuropathy was lower (3.2% versus 5.8%). The margin is narrow: the design required a hazard ratio below 0.844 at a final-analysis alpha of 0.048, and the point estimate sits just inside it.</w:t>
      </w:r>
    </w:p>
    <w:p>
      <w:pPr>
        <w:spacing w:after="60" w:line="276"/>
        <w:ind w:left="240"/>
      </w:pPr>
      <w:r>
        <w:rPr>
          <w:color w:val="5A6069"/>
          <w:sz w:val="16"/>
          <w:szCs w:val="16"/>
        </w:rPr>
        <w:t xml:space="preserve">Sources: NAPOLI 3; PRODIGE 4 / ACCORD 11</w:t>
      </w:r>
    </w:p>
    <w:p>
      <w:pPr>
        <w:spacing w:after="50" w:before="120"/>
        <w:ind w:left="240"/>
      </w:pPr>
      <w:r>
        <w:rPr>
          <w:b/>
          <w:bCs/>
          <w:color w:val="15181F"/>
          <w:sz w:val="19"/>
          <w:szCs w:val="19"/>
        </w:rPr>
        <w:t xml:space="preserve">Nab-paclitaxel with gemcitabine</w:t>
      </w:r>
      <w:r>
        <w:rPr>
          <w:color w:val="5A6069"/>
          <w:sz w:val="15"/>
          <w:szCs w:val="15"/>
        </w:rPr>
        <w:t xml:space="preserve">   grade A</w:t>
      </w:r>
    </w:p>
    <w:p>
      <w:pPr>
        <w:spacing w:after="50" w:line="276"/>
        <w:ind w:left="240"/>
      </w:pPr>
      <w:r>
        <w:rPr>
          <w:color w:val="15181F"/>
          <w:sz w:val="18"/>
          <w:szCs w:val="18"/>
        </w:rPr>
        <w:t xml:space="preserve">MPACT (n=861) gave median overall survival 8.5 months (95% CI 7.89–9.53) versus 6.7 months (6.01–7.23) against gemcitabine alone, hazard ratio 0.72 (0.62–0.83), P&lt;0.001, with 1-year survival 35% versus 22% and 2-year 9% versus 4%.</w:t>
      </w:r>
    </w:p>
    <w:p>
      <w:pPr>
        <w:spacing w:after="50" w:line="276"/>
        <w:ind w:left="240"/>
      </w:pPr>
      <w:r>
        <w:rPr>
          <w:color w:val="15181F"/>
          <w:sz w:val="18"/>
          <w:szCs w:val="18"/>
        </w:rPr>
        <w:t xml:space="preserve">A patient who cannot take a triplet — ECOG 2 equivalent, significant neuropathy, or a preference against a 46-hour infusion — but who is fit for a doublet. Its floor was a Karnofsky score of 70, so it admits frailer patients than PRODIGE 4, and the largest reductions in risk of death were in patients with worse disease.</w:t>
      </w:r>
    </w:p>
    <w:p>
      <w:pPr>
        <w:spacing w:after="50"/>
        <w:ind w:left="240"/>
      </w:pPr>
      <w:r>
        <w:rPr>
          <w:b/>
          <w:bCs/>
          <w:color w:val="8C2F26"/>
          <w:sz w:val="18"/>
          <w:szCs w:val="18"/>
        </w:rPr>
        <w:t xml:space="preserve">Caveat. </w:t>
      </w:r>
      <w:r>
        <w:rPr>
          <w:color w:val="15181F"/>
          <w:sz w:val="18"/>
          <w:szCs w:val="18"/>
        </w:rPr>
        <w:t xml:space="preserve">It was the comparator NALIRIFOX beat in NAPOLI 3, so do not choose it for a triplet-eligible patient on the grounds of equivalence. State both halves of its own result: a 1.8-month median gain, grade 3 or worse peripheral neuropathy in 17% versus 1% and fatigue in 17% versus 7%, and </w:t>
      </w:r>
      <w:r>
        <w:rPr>
          <w:b/>
          <w:bCs/>
          <w:color w:val="15181F"/>
          <w:sz w:val="18"/>
          <w:szCs w:val="18"/>
        </w:rPr>
        <w:t xml:space="preserve">no quality-of-life data collected at all</w:t>
      </w:r>
      <w:r>
        <w:rPr>
          <w:color w:val="15181F"/>
          <w:sz w:val="18"/>
          <w:szCs w:val="18"/>
        </w:rPr>
        <w:t xml:space="preserve"> — PRODIGE 4, run in the same era, did collect it. The combination arm also received a higher median cumulative gemcitabine dose than the monotherapy arm (11,400 versus 9,000 mg/m²) because patients stayed on treatment longer, so part of the benefit is more gemcitabine and the trial cannot separate the two.</w:t>
      </w:r>
    </w:p>
    <w:p>
      <w:pPr>
        <w:spacing w:after="60" w:line="276"/>
        <w:ind w:left="240"/>
      </w:pPr>
      <w:r>
        <w:rPr>
          <w:color w:val="5A6069"/>
          <w:sz w:val="16"/>
          <w:szCs w:val="16"/>
        </w:rPr>
        <w:t xml:space="preserve">Sources: MPACT; NAPOLI 3; APACT</w:t>
      </w:r>
    </w:p>
    <w:p>
      <w:pPr>
        <w:spacing w:after="50" w:before="120"/>
        <w:ind w:left="240"/>
      </w:pPr>
      <w:r>
        <w:rPr>
          <w:b/>
          <w:bCs/>
          <w:color w:val="15181F"/>
          <w:sz w:val="19"/>
          <w:szCs w:val="19"/>
        </w:rPr>
        <w:t xml:space="preserve">Gemcitabine alone, or palliative and best supportive care</w:t>
      </w:r>
      <w:r>
        <w:rPr>
          <w:color w:val="5A6069"/>
          <w:sz w:val="15"/>
          <w:szCs w:val="15"/>
        </w:rPr>
        <w:t xml:space="preserve">   grade B</w:t>
      </w:r>
    </w:p>
    <w:p>
      <w:pPr>
        <w:spacing w:after="50" w:line="276"/>
        <w:ind w:left="240"/>
      </w:pPr>
      <w:r>
        <w:rPr>
          <w:color w:val="15181F"/>
          <w:sz w:val="18"/>
          <w:szCs w:val="18"/>
        </w:rPr>
        <w:t xml:space="preserve">NCCN recommends systemic therapy for patients with good or intermediate performance status, and makes palliative and best supportive care including palliative radiotherapy the preferred option for poor performance status; patients with ECOG 4 should be supported exclusively by palliative and best supportive care.</w:t>
      </w:r>
    </w:p>
    <w:p>
      <w:pPr>
        <w:spacing w:after="50" w:line="276"/>
        <w:ind w:left="240"/>
      </w:pPr>
      <w:r>
        <w:rPr>
          <w:color w:val="15181F"/>
          <w:sz w:val="18"/>
          <w:szCs w:val="18"/>
        </w:rPr>
        <w:t xml:space="preserve">A frail patient in whom single-agent treatment is the ceiling, or one for whom the honest offer is symptom control. Select patients with poor performance status may still benefit from single-agent chemotherapy or from a targeted agent identified on molecular profiling.</w:t>
      </w:r>
    </w:p>
    <w:p>
      <w:pPr>
        <w:spacing w:after="50"/>
        <w:ind w:left="240"/>
      </w:pPr>
      <w:r>
        <w:rPr>
          <w:b/>
          <w:bCs/>
          <w:color w:val="8C2F26"/>
          <w:sz w:val="18"/>
          <w:szCs w:val="18"/>
        </w:rPr>
        <w:t xml:space="preserve">Caveat. </w:t>
      </w:r>
      <w:r>
        <w:rPr>
          <w:color w:val="15181F"/>
          <w:sz w:val="18"/>
          <w:szCs w:val="18"/>
        </w:rPr>
        <w:t xml:space="preserve">Do not treat a declining patient with a doublet to avoid the conversation. NCCN notes that patients with advanced disease can deteriorate abruptly — bleeding, thromboembolism, escalating pain, stent occlusion, cholangitis — and that new symptoms are often wrongly attributed to chemotherapy when the cause is gastric outlet obstruction or carcinomatosis.</w:t>
      </w:r>
    </w:p>
    <w:p>
      <w:pPr>
        <w:spacing w:after="60" w:line="276"/>
        <w:ind w:left="240"/>
      </w:pPr>
      <w:r>
        <w:rPr>
          <w:i/>
          <w:iCs/>
          <w:color w:val="5A6069"/>
          <w:sz w:val="16"/>
          <w:szCs w:val="16"/>
        </w:rPr>
        <w:t xml:space="preserve">Ratification item 7: which triplet is the local first-line standard — (m)FOLFIRINOX or NALIRIFOX — and on what grounds, given no comparative trial, identical medians (11.1 months) against different comparators in different eras, and a cost difference? The full-text read adds that the cross-trial comparison is not like for like either: PRODIGE 4 capped age at 76 and allowed bilirubin up to 1.5 times normal, MPACT had no age cap but required bilirubin within normal limits, and NAPOLI 3 had neither cap and allowed ascites, so the three populations are selected differently on opposite axes. NAPOLI 3's margin is narrow (HR 0.83, upper bound 0.99, against a design threshold of 0.844) and its hierarchical testing broke at the response-rate step. The group should also decide what counts locally as </w:t>
      </w:r>
      <w:r>
        <w:rPr>
          <w:i/>
          <w:iCs/>
          <w:color w:val="5A6069"/>
          <w:sz w:val="16"/>
          <w:szCs w:val="16"/>
        </w:rPr>
        <w:t xml:space="preserve">good biliary drainage and adequate nutritional intake</w:t>
      </w:r>
      <w:r>
        <w:rPr>
          <w:i/>
          <w:iCs/>
          <w:color w:val="5A6069"/>
          <w:sz w:val="16"/>
          <w:szCs w:val="16"/>
        </w:rPr>
        <w:t xml:space="preserve">, since that phrase, not the ECOG score alone, is NCCN's eligibility definition. Audit: first-line regimen, performance status at start, drainage and nutritional status, dose intensity, cycles delivered, and reason for discontinuation.</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Order comprehensive genomic profiling and germline testing at the first visit, and bank enough tissue for it.</w:t>
      </w:r>
    </w:p>
    <w:p>
      <w:pPr>
        <w:spacing w:after="50" w:line="276"/>
        <w:ind w:left="240"/>
      </w:pPr>
      <w:r>
        <w:rPr>
          <w:color w:val="15181F"/>
          <w:sz w:val="18"/>
          <w:szCs w:val="18"/>
        </w:rPr>
        <w:t xml:space="preserve">Every patient with metastatic disease. NCCN asks for testing for fusions (</w:t>
      </w:r>
      <w:r>
        <w:rPr>
          <w:i/>
          <w:iCs/>
          <w:color w:val="15181F"/>
          <w:sz w:val="18"/>
          <w:szCs w:val="18"/>
        </w:rPr>
        <w:t xml:space="preserve">ALK</w:t>
      </w:r>
      <w:r>
        <w:rPr>
          <w:color w:val="15181F"/>
          <w:sz w:val="18"/>
          <w:szCs w:val="18"/>
        </w:rPr>
        <w:t xml:space="preserve">, </w:t>
      </w:r>
      <w:r>
        <w:rPr>
          <w:i/>
          <w:iCs/>
          <w:color w:val="15181F"/>
          <w:sz w:val="18"/>
          <w:szCs w:val="18"/>
        </w:rPr>
        <w:t xml:space="preserve">NRG1</w:t>
      </w:r>
      <w:r>
        <w:rPr>
          <w:color w:val="15181F"/>
          <w:sz w:val="18"/>
          <w:szCs w:val="18"/>
        </w:rPr>
        <w:t xml:space="preserve">, </w:t>
      </w:r>
      <w:r>
        <w:rPr>
          <w:i/>
          <w:iCs/>
          <w:color w:val="15181F"/>
          <w:sz w:val="18"/>
          <w:szCs w:val="18"/>
        </w:rPr>
        <w:t xml:space="preserve">NTRK</w:t>
      </w:r>
      <w:r>
        <w:rPr>
          <w:color w:val="15181F"/>
          <w:sz w:val="18"/>
          <w:szCs w:val="18"/>
        </w:rPr>
        <w:t xml:space="preserve">, </w:t>
      </w:r>
      <w:r>
        <w:rPr>
          <w:i/>
          <w:iCs/>
          <w:color w:val="15181F"/>
          <w:sz w:val="18"/>
          <w:szCs w:val="18"/>
        </w:rPr>
        <w:t xml:space="preserve">ROS1</w:t>
      </w:r>
      <w:r>
        <w:rPr>
          <w:color w:val="15181F"/>
          <w:sz w:val="18"/>
          <w:szCs w:val="18"/>
        </w:rPr>
        <w:t xml:space="preserve">, </w:t>
      </w:r>
      <w:r>
        <w:rPr>
          <w:i/>
          <w:iCs/>
          <w:color w:val="15181F"/>
          <w:sz w:val="18"/>
          <w:szCs w:val="18"/>
        </w:rPr>
        <w:t xml:space="preserve">FGFR2</w:t>
      </w:r>
      <w:r>
        <w:rPr>
          <w:color w:val="15181F"/>
          <w:sz w:val="18"/>
          <w:szCs w:val="18"/>
        </w:rPr>
        <w:t xml:space="preserve">, </w:t>
      </w:r>
      <w:r>
        <w:rPr>
          <w:i/>
          <w:iCs/>
          <w:color w:val="15181F"/>
          <w:sz w:val="18"/>
          <w:szCs w:val="18"/>
        </w:rPr>
        <w:t xml:space="preserve">RET</w:t>
      </w:r>
      <w:r>
        <w:rPr>
          <w:color w:val="15181F"/>
          <w:sz w:val="18"/>
          <w:szCs w:val="18"/>
        </w:rPr>
        <w:t xml:space="preserve">), mutations (</w:t>
      </w:r>
      <w:r>
        <w:rPr>
          <w:i/>
          <w:iCs/>
          <w:color w:val="15181F"/>
          <w:sz w:val="18"/>
          <w:szCs w:val="18"/>
        </w:rPr>
        <w:t xml:space="preserve">BRAF</w:t>
      </w:r>
      <w:r>
        <w:rPr>
          <w:color w:val="15181F"/>
          <w:sz w:val="18"/>
          <w:szCs w:val="18"/>
        </w:rPr>
        <w:t xml:space="preserve">, </w:t>
      </w:r>
      <w:r>
        <w:rPr>
          <w:i/>
          <w:iCs/>
          <w:color w:val="15181F"/>
          <w:sz w:val="18"/>
          <w:szCs w:val="18"/>
        </w:rPr>
        <w:t xml:space="preserve">BRCA1/2</w:t>
      </w:r>
      <w:r>
        <w:rPr>
          <w:color w:val="15181F"/>
          <w:sz w:val="18"/>
          <w:szCs w:val="18"/>
        </w:rPr>
        <w:t xml:space="preserve">, </w:t>
      </w:r>
      <w:r>
        <w:rPr>
          <w:i/>
          <w:iCs/>
          <w:color w:val="15181F"/>
          <w:sz w:val="18"/>
          <w:szCs w:val="18"/>
        </w:rPr>
        <w:t xml:space="preserve">KRAS</w:t>
      </w:r>
      <w:r>
        <w:rPr>
          <w:color w:val="15181F"/>
          <w:sz w:val="18"/>
          <w:szCs w:val="18"/>
        </w:rPr>
        <w:t xml:space="preserve">, </w:t>
      </w:r>
      <w:r>
        <w:rPr>
          <w:i/>
          <w:iCs/>
          <w:color w:val="15181F"/>
          <w:sz w:val="18"/>
          <w:szCs w:val="18"/>
        </w:rPr>
        <w:t xml:space="preserve">PALB2</w:t>
      </w:r>
      <w:r>
        <w:rPr>
          <w:color w:val="15181F"/>
          <w:sz w:val="18"/>
          <w:szCs w:val="18"/>
        </w:rPr>
        <w:t xml:space="preserve">), amplifications (</w:t>
      </w:r>
      <w:r>
        <w:rPr>
          <w:i/>
          <w:iCs/>
          <w:color w:val="15181F"/>
          <w:sz w:val="18"/>
          <w:szCs w:val="18"/>
        </w:rPr>
        <w:t xml:space="preserve">HER2</w:t>
      </w:r>
      <w:r>
        <w:rPr>
          <w:color w:val="15181F"/>
          <w:sz w:val="18"/>
          <w:szCs w:val="18"/>
        </w:rPr>
        <w:t xml:space="preserve">), microsatellite instability, mismatch repair deficiency and tumour mutational burden, using an FDA-approved or validated NGS assay, plus HER2 by immunohistochemistry with or without FISH. In metastatic disease, enough tissue for sequencing should be obtained at biopsy, with two extra needle passes banked.</w:t>
      </w:r>
    </w:p>
    <w:p>
      <w:pPr>
        <w:spacing w:after="50"/>
        <w:ind w:left="240"/>
      </w:pPr>
      <w:r>
        <w:rPr>
          <w:b/>
          <w:bCs/>
          <w:color w:val="8C2F26"/>
          <w:sz w:val="18"/>
          <w:szCs w:val="18"/>
        </w:rPr>
        <w:t xml:space="preserve">Caveat. </w:t>
      </w:r>
      <w:r>
        <w:rPr>
          <w:color w:val="15181F"/>
          <w:sz w:val="18"/>
          <w:szCs w:val="18"/>
        </w:rPr>
        <w:t xml:space="preserve">Do not wait for the result before starting treatment. NCCN is explicit that if </w:t>
      </w:r>
      <w:r>
        <w:rPr>
          <w:i/>
          <w:iCs/>
          <w:color w:val="15181F"/>
          <w:sz w:val="18"/>
          <w:szCs w:val="18"/>
        </w:rPr>
        <w:t xml:space="preserve">BRCA1/2</w:t>
      </w:r>
      <w:r>
        <w:rPr>
          <w:color w:val="15181F"/>
          <w:sz w:val="18"/>
          <w:szCs w:val="18"/>
        </w:rPr>
        <w:t xml:space="preserve"> status is unknown, the patient is treated with systemic therapy as clinically indicated. The sequencing changes the maintenance and later-line decisions, not usually the first-line one. And do not quote the 5.5% germline figure as the proportion with an actionable result: it is driven mostly by </w:t>
      </w:r>
      <w:r>
        <w:rPr>
          <w:i/>
          <w:iCs/>
          <w:color w:val="15181F"/>
          <w:sz w:val="18"/>
          <w:szCs w:val="18"/>
        </w:rPr>
        <w:t xml:space="preserve">ATM</w:t>
      </w:r>
      <w:r>
        <w:rPr>
          <w:color w:val="15181F"/>
          <w:sz w:val="18"/>
          <w:szCs w:val="18"/>
        </w:rPr>
        <w:t xml:space="preserve"> and </w:t>
      </w:r>
      <w:r>
        <w:rPr>
          <w:i/>
          <w:iCs/>
          <w:color w:val="15181F"/>
          <w:sz w:val="18"/>
          <w:szCs w:val="18"/>
        </w:rPr>
        <w:t xml:space="preserve">BRCA2</w:t>
      </w:r>
      <w:r>
        <w:rPr>
          <w:color w:val="15181F"/>
          <w:sz w:val="18"/>
          <w:szCs w:val="18"/>
        </w:rPr>
        <w:t xml:space="preserve">, and of the six genes it covers only </w:t>
      </w:r>
      <w:r>
        <w:rPr>
          <w:i/>
          <w:iCs/>
          <w:color w:val="15181F"/>
          <w:sz w:val="18"/>
          <w:szCs w:val="18"/>
        </w:rPr>
        <w:t xml:space="preserve">BRCA1/2</w:t>
      </w:r>
      <w:r>
        <w:rPr>
          <w:color w:val="15181F"/>
          <w:sz w:val="18"/>
          <w:szCs w:val="18"/>
        </w:rPr>
        <w:t xml:space="preserve"> has a randomised treatment consequence in this disease.</w:t>
      </w:r>
    </w:p>
    <w:p>
      <w:pPr>
        <w:spacing w:after="50" w:line="276"/>
        <w:ind w:left="240"/>
      </w:pPr>
      <w:r>
        <w:rPr>
          <w:i/>
          <w:iCs/>
          <w:color w:val="5A6069"/>
          <w:sz w:val="17"/>
          <w:szCs w:val="17"/>
        </w:rPr>
        <w:t xml:space="preserve">Downgraded from A to B. The recommendation is NCCN's; the evidence under it is mixed. The germline prevalence estimate comes from a clinic-based case series compared with public sequencing databases rather than a recruited control group, and carriage was not associated with survival (HR 0.86, P=.09). What is randomised is narrower: a phase 3 progression-free survival result in germline </w:t>
      </w:r>
      <w:r>
        <w:rPr>
          <w:i/>
          <w:iCs/>
          <w:color w:val="5A6069"/>
          <w:sz w:val="17"/>
          <w:szCs w:val="17"/>
        </w:rPr>
        <w:t xml:space="preserve">BRCA1/2</w:t>
      </w:r>
      <w:r>
        <w:rPr>
          <w:i/>
          <w:iCs/>
          <w:color w:val="5A6069"/>
          <w:sz w:val="17"/>
          <w:szCs w:val="17"/>
        </w:rPr>
        <w:t xml:space="preserve"> after platinum, and a phase 3 survival result in RAS G12 disease after prior therapy. Everything else on the molecular list is single-arm, in alterations reaching 1% to 2% of the disease or less, with pancreatic subsets of 10 to 40 patients and no screening denominators reported — so the testing is justified by the small number of large effects, not by the length of the panel. Screen for clinical-trial eligibility at the same visit; NCCN strongly encourages enrolment at every stage. [PAYER]</w:t>
      </w:r>
    </w:p>
    <w:p>
      <w:pPr>
        <w:spacing w:after="60" w:line="276"/>
        <w:ind w:left="240"/>
      </w:pPr>
      <w:r>
        <w:rPr>
          <w:color w:val="5A6069"/>
          <w:sz w:val="16"/>
          <w:szCs w:val="16"/>
        </w:rPr>
        <w:t xml:space="preserve">Sources: Hu 2018 germline; POLO; RASolute 302</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Treat biliary and gastric outlet patency, pain, nutrition and thrombosis as part of the treatment plan, with named owners.</w:t>
      </w:r>
    </w:p>
    <w:p>
      <w:pPr>
        <w:spacing w:after="50" w:line="276"/>
        <w:ind w:left="240"/>
      </w:pPr>
      <w:r>
        <w:rPr>
          <w:color w:val="15181F"/>
          <w:sz w:val="18"/>
          <w:szCs w:val="18"/>
        </w:rPr>
        <w:t xml:space="preserve">For biliary obstruction NCCN prefers an endoscopic biliary metal stent, with percutaneous biliary drainage and subsequent internalisation as the alternative. For gastric outlet obstruction, EUS-guided gastrojejunostomy at a high-volume centre is an option. Exocrine insufficiency, pain and nutrition need active management because NCCN's own definition of a treatable performance status depends on them.</w:t>
      </w:r>
    </w:p>
    <w:p>
      <w:pPr>
        <w:spacing w:after="50"/>
        <w:ind w:left="240"/>
      </w:pPr>
      <w:r>
        <w:rPr>
          <w:b/>
          <w:bCs/>
          <w:color w:val="8C2F26"/>
          <w:sz w:val="18"/>
          <w:szCs w:val="18"/>
        </w:rPr>
        <w:t xml:space="preserve">Caveat. </w:t>
      </w:r>
      <w:r>
        <w:rPr>
          <w:color w:val="15181F"/>
          <w:sz w:val="18"/>
          <w:szCs w:val="18"/>
        </w:rPr>
        <w:t xml:space="preserve">Do not attribute intractable nausea and vomiting to chemotherapy without excluding gastric outlet obstruction, or abdominal bloating and reduced intake without considering peritoneal carcinomatosis — NCCN names both as recognised misattributions.</w:t>
      </w:r>
    </w:p>
    <w:p>
      <w:pPr>
        <w:spacing w:after="50" w:line="276"/>
        <w:ind w:left="240"/>
      </w:pPr>
      <w:r>
        <w:rPr>
          <w:i/>
          <w:iCs/>
          <w:color w:val="5A6069"/>
          <w:sz w:val="17"/>
          <w:szCs w:val="17"/>
        </w:rPr>
        <w:t xml:space="preserve">A short course of radiotherapy may be given to painful metastatic sites such as bone. Plastic biliary stents may be considered for palliation where predicted survival is under 3 months. [EXPERTISE]</w:t>
      </w:r>
    </w:p>
    <w:p>
      <w:pPr>
        <w:spacing w:after="60" w:before="180"/>
      </w:pPr>
      <w:r>
        <w:rPr>
          <w:b/>
          <w:bCs/>
          <w:color w:val="176A87"/>
          <w:spacing w:val="16"/>
          <w:sz w:val="16"/>
          <w:szCs w:val="16"/>
        </w:rPr>
        <w:t xml:space="preserve">REASONABLE</w:t>
      </w:r>
      <w:r>
        <w:rPr>
          <w:color w:val="5A6069"/>
          <w:sz w:val="16"/>
          <w:szCs w:val="16"/>
        </w:rPr>
        <w:t xml:space="preserve">   grade B</w:t>
      </w:r>
    </w:p>
    <w:p>
      <w:pPr>
        <w:spacing w:after="100" w:line="276"/>
      </w:pPr>
      <w:r>
        <w:rPr>
          <w:i/>
          <w:iCs/>
          <w:color w:val="5A6069"/>
          <w:sz w:val="17"/>
          <w:szCs w:val="17"/>
        </w:rPr>
        <w:t xml:space="preserve">Ordered by the strength of the evidence in pancreatic cancer specifically and by how many patients the alteration reaches, not by response rate. Daraxonrasib is first because it is the only randomised phase 3 result here, and the only one with a survival endpoint — but its benefit is established in the RAS </w:t>
      </w:r>
      <w:r>
        <w:rPr>
          <w:b/>
          <w:bCs/>
          <w:i/>
          <w:iCs/>
          <w:color w:val="5A6069"/>
          <w:sz w:val="17"/>
          <w:szCs w:val="17"/>
        </w:rPr>
        <w:t xml:space="preserve">G12</w:t>
      </w:r>
      <w:r>
        <w:rPr>
          <w:i/>
          <w:iCs/>
          <w:color w:val="5A6069"/>
          <w:sz w:val="17"/>
          <w:szCs w:val="17"/>
        </w:rPr>
        <w:t xml:space="preserve"> population that was its primary analysis set, and the non-G12 subgroup points the other way (HR 1.38, 0.60–3.17). Olaparib is second because POLO is randomised and double-blind but in 154 patients found from 3,315 screened, against placebo rather than continued chemotherapy, and positive only for progression-free survival with no overall survival or quality-of-life difference at interim. Everything below is single-arm, in rare alterations, with pancreatic subsets of 21 to 38 patients, no control groups, and in two cases no prespecified efficacy threshold at all.</w:t>
      </w:r>
    </w:p>
    <w:p>
      <w:pPr>
        <w:spacing w:after="50" w:before="120"/>
        <w:ind w:left="240"/>
      </w:pPr>
      <w:r>
        <w:rPr>
          <w:b/>
          <w:bCs/>
          <w:color w:val="15181F"/>
          <w:sz w:val="19"/>
          <w:szCs w:val="19"/>
        </w:rPr>
        <w:t xml:space="preserve">Daraxonrasib, for RAS-mutated disease after prior therapy</w:t>
      </w:r>
      <w:r>
        <w:rPr>
          <w:color w:val="5A6069"/>
          <w:sz w:val="15"/>
          <w:szCs w:val="15"/>
        </w:rPr>
        <w:t xml:space="preserve">   grade A</w:t>
      </w:r>
    </w:p>
    <w:p>
      <w:pPr>
        <w:spacing w:after="50" w:line="276"/>
        <w:ind w:left="240"/>
      </w:pPr>
      <w:r>
        <w:rPr>
          <w:color w:val="15181F"/>
          <w:sz w:val="18"/>
          <w:szCs w:val="18"/>
        </w:rPr>
        <w:t xml:space="preserve">RASolute 302 (phase 3, n=500 randomised, 248 daraxonrasib and 252 investigator's-choice chemotherapy, more than 90% with RAS G12 mutations) had dual primary endpoints in the RAS G12 population and met both: median overall survival 13.2 versus 6.6 months, hazard ratio 0.40, P&lt;0.001, and median progression-free survival by blinded independent central review 7.3 versus 3.5 months, hazard ratio 0.45.</w:t>
      </w:r>
    </w:p>
    <w:p>
      <w:pPr>
        <w:spacing w:after="50" w:line="276"/>
        <w:ind w:left="240"/>
      </w:pPr>
      <w:r>
        <w:rPr>
          <w:color w:val="15181F"/>
          <w:sz w:val="18"/>
          <w:szCs w:val="18"/>
        </w:rPr>
        <w:t xml:space="preserve">A previously treated patient with a documented RAS </w:t>
      </w:r>
      <w:r>
        <w:rPr>
          <w:b/>
          <w:bCs/>
          <w:color w:val="15181F"/>
          <w:sz w:val="18"/>
          <w:szCs w:val="18"/>
        </w:rPr>
        <w:t xml:space="preserve">G12</w:t>
      </w:r>
      <w:r>
        <w:rPr>
          <w:color w:val="15181F"/>
          <w:sz w:val="18"/>
          <w:szCs w:val="18"/>
        </w:rPr>
        <w:t xml:space="preserve"> mutation, which is the population in which benefit is established. Grade 3 or higher adverse events were less frequent than with chemotherapy, 61.8% versus 69.6%, treatment-related discontinuation far less, 1.2% versus 11.2%, and time to deterioration in quality of life and in pain favoured daraxonrasib.</w:t>
      </w:r>
    </w:p>
    <w:p>
      <w:pPr>
        <w:spacing w:after="50"/>
        <w:ind w:left="240"/>
      </w:pPr>
      <w:r>
        <w:rPr>
          <w:b/>
          <w:bCs/>
          <w:color w:val="8C2F26"/>
          <w:sz w:val="18"/>
          <w:szCs w:val="18"/>
        </w:rPr>
        <w:t xml:space="preserve">Caveat. </w:t>
      </w:r>
      <w:r>
        <w:rPr>
          <w:color w:val="15181F"/>
          <w:sz w:val="18"/>
          <w:szCs w:val="18"/>
        </w:rPr>
        <w:t xml:space="preserve">Check availability, regulatory status and coverage before raising it with a patient, and state three limits. The benefit is established only for RAS G12 disease: in patients </w:t>
      </w:r>
      <w:r>
        <w:rPr>
          <w:b/>
          <w:bCs/>
          <w:color w:val="15181F"/>
          <w:sz w:val="18"/>
          <w:szCs w:val="18"/>
        </w:rPr>
        <w:t xml:space="preserve">without</w:t>
      </w:r>
      <w:r>
        <w:rPr>
          <w:color w:val="15181F"/>
          <w:sz w:val="18"/>
          <w:szCs w:val="18"/>
        </w:rPr>
        <w:t xml:space="preserve"> a G12 mutation the hazard ratio was 1.38 (95% CI 0.60–3.17), a point estimate favouring chemotherapy. The effect size is inseparable from the comparator's delivery — 38 of 252 patients (15.1%) assigned to chemotherapy never received it against 7 of 248 (2.8%) assigned daraxonrasib, 29 of them withdrawing, and some no longer met eligibility because ECOG had risen above 1 by the time treatment was due, which an oral agent started the same day does not face. And the result is in the previously treated setting only — it says nothing about first line, about the adjuvant setting, or about use around an operation.</w:t>
      </w:r>
    </w:p>
    <w:p>
      <w:pPr>
        <w:spacing w:after="60" w:line="276"/>
        <w:ind w:left="240"/>
      </w:pPr>
      <w:r>
        <w:rPr>
          <w:color w:val="5A6069"/>
          <w:sz w:val="16"/>
          <w:szCs w:val="16"/>
        </w:rPr>
        <w:t xml:space="preserve">Sources: RASolute 302; Daraxonrasib phase 1–2</w:t>
      </w:r>
    </w:p>
    <w:p>
      <w:pPr>
        <w:spacing w:after="50" w:before="120"/>
        <w:ind w:left="240"/>
      </w:pPr>
      <w:r>
        <w:rPr>
          <w:b/>
          <w:bCs/>
          <w:color w:val="15181F"/>
          <w:sz w:val="19"/>
          <w:szCs w:val="19"/>
        </w:rPr>
        <w:t xml:space="preserve">Olaparib maintenance, for germline BRCA1/2 after platinum</w:t>
      </w:r>
      <w:r>
        <w:rPr>
          <w:color w:val="5A6069"/>
          <w:sz w:val="15"/>
          <w:szCs w:val="15"/>
        </w:rPr>
        <w:t xml:space="preserve">   grade B</w:t>
      </w:r>
    </w:p>
    <w:p>
      <w:pPr>
        <w:spacing w:after="50" w:line="276"/>
        <w:ind w:left="240"/>
      </w:pPr>
      <w:r>
        <w:rPr>
          <w:color w:val="15181F"/>
          <w:sz w:val="18"/>
          <w:szCs w:val="18"/>
        </w:rPr>
        <w:t xml:space="preserve">The POLO trial (n=154 randomised 3:2 from 3,315 screened) randomised patients with metastatic disease and a germline </w:t>
      </w:r>
      <w:r>
        <w:rPr>
          <w:i/>
          <w:iCs/>
          <w:color w:val="15181F"/>
          <w:sz w:val="18"/>
          <w:szCs w:val="18"/>
        </w:rPr>
        <w:t xml:space="preserve">BRCA1/2</w:t>
      </w:r>
      <w:r>
        <w:rPr>
          <w:color w:val="15181F"/>
          <w:sz w:val="18"/>
          <w:szCs w:val="18"/>
        </w:rPr>
        <w:t xml:space="preserve"> mutation who had not progressed after at least 16 weeks of first-line platinum-based therapy to olaparib or placebo. Median progression-free survival by blinded independent central review was 7.4 versus 3.8 months, hazard ratio 0.53 (95% CI 0.35–0.82), P=0.004.</w:t>
      </w:r>
    </w:p>
    <w:p>
      <w:pPr>
        <w:spacing w:after="50" w:line="276"/>
        <w:ind w:left="240"/>
      </w:pPr>
      <w:r>
        <w:rPr>
          <w:color w:val="15181F"/>
          <w:sz w:val="18"/>
          <w:szCs w:val="18"/>
        </w:rPr>
        <w:t xml:space="preserve">Exactly that population: germline </w:t>
      </w:r>
      <w:r>
        <w:rPr>
          <w:i/>
          <w:iCs/>
          <w:color w:val="15181F"/>
          <w:sz w:val="18"/>
          <w:szCs w:val="18"/>
        </w:rPr>
        <w:t xml:space="preserve">BRCA1/2</w:t>
      </w:r>
      <w:r>
        <w:rPr>
          <w:color w:val="15181F"/>
          <w:sz w:val="18"/>
          <w:szCs w:val="18"/>
        </w:rPr>
        <w:t xml:space="preserve">, platinum-exposed, no progression at 16 weeks. This is the clearest reason to have the germline result early.</w:t>
      </w:r>
    </w:p>
    <w:p>
      <w:pPr>
        <w:spacing w:after="50"/>
        <w:ind w:left="240"/>
      </w:pPr>
      <w:r>
        <w:rPr>
          <w:b/>
          <w:bCs/>
          <w:color w:val="8C2F26"/>
          <w:sz w:val="18"/>
          <w:szCs w:val="18"/>
        </w:rPr>
        <w:t xml:space="preserve">Caveat. </w:t>
      </w:r>
      <w:r>
        <w:rPr>
          <w:color w:val="15181F"/>
          <w:sz w:val="18"/>
          <w:szCs w:val="18"/>
        </w:rPr>
        <w:t xml:space="preserve">Say the other half. At the interim analysis, at 46% data maturity against a final analysis planned at 69%, there was </w:t>
      </w:r>
      <w:r>
        <w:rPr>
          <w:b/>
          <w:bCs/>
          <w:color w:val="15181F"/>
          <w:sz w:val="18"/>
          <w:szCs w:val="18"/>
        </w:rPr>
        <w:t xml:space="preserve">no overall survival difference</w:t>
      </w:r>
      <w:r>
        <w:rPr>
          <w:color w:val="15181F"/>
          <w:sz w:val="18"/>
          <w:szCs w:val="18"/>
        </w:rPr>
        <w:t xml:space="preserve"> — 18.9 versus 18.1 months, hazard ratio 0.91 (0.56–1.46), P=0.68 — there was no difference in health-related quality of life (between-group difference in global health status −2.47, 95% CI −7.27 to 2.33), and grade 3 or worse adverse events were more frequent with olaparib, 40% versus 23%. Objective response was 23% versus 12%, and time to second progression was also non-significant (HR 0.76, 0.46–1.23).</w:t>
      </w:r>
    </w:p>
    <w:p>
      <w:pPr>
        <w:spacing w:after="60" w:line="276"/>
        <w:ind w:left="240"/>
      </w:pPr>
      <w:r>
        <w:rPr>
          <w:color w:val="5A6069"/>
          <w:sz w:val="16"/>
          <w:szCs w:val="16"/>
        </w:rPr>
        <w:t xml:space="preserve">Sources: POLO</w:t>
      </w:r>
    </w:p>
    <w:p>
      <w:pPr>
        <w:spacing w:after="50" w:before="120"/>
        <w:ind w:left="240"/>
      </w:pPr>
      <w:r>
        <w:rPr>
          <w:b/>
          <w:bCs/>
          <w:color w:val="15181F"/>
          <w:sz w:val="19"/>
          <w:szCs w:val="19"/>
        </w:rPr>
        <w:t xml:space="preserve">Pembrolizumab or dostarlimab, for MSI-high or dMMR disease</w:t>
      </w:r>
      <w:r>
        <w:rPr>
          <w:color w:val="5A6069"/>
          <w:sz w:val="15"/>
          <w:szCs w:val="15"/>
        </w:rPr>
        <w:t xml:space="preserve">   grade D</w:t>
      </w:r>
    </w:p>
    <w:p>
      <w:pPr>
        <w:spacing w:after="50" w:line="276"/>
        <w:ind w:left="240"/>
      </w:pPr>
      <w:r>
        <w:rPr>
          <w:color w:val="15181F"/>
          <w:sz w:val="18"/>
          <w:szCs w:val="18"/>
        </w:rPr>
        <w:t xml:space="preserve">NCCN lists pembrolizumab for MSI-high, dMMR or TMB-high (≥10 mutations/Mb) disease across lines, and dostarlimab for MSI-high or dMMR as subsequent therapy.</w:t>
      </w:r>
    </w:p>
    <w:p>
      <w:pPr>
        <w:spacing w:after="50" w:line="276"/>
        <w:ind w:left="240"/>
      </w:pPr>
      <w:r>
        <w:rPr>
          <w:color w:val="15181F"/>
          <w:sz w:val="18"/>
          <w:szCs w:val="18"/>
        </w:rPr>
        <w:t xml:space="preserve">The small minority of pancreatic tumours that are MSI-high or mismatch-repair deficient. It is the one alteration on this list that can produce a durable response.</w:t>
      </w:r>
    </w:p>
    <w:p>
      <w:pPr>
        <w:spacing w:after="50"/>
        <w:ind w:left="240"/>
      </w:pPr>
      <w:r>
        <w:rPr>
          <w:b/>
          <w:bCs/>
          <w:color w:val="8C2F26"/>
          <w:sz w:val="18"/>
          <w:szCs w:val="18"/>
        </w:rPr>
        <w:t xml:space="preserve">Caveat. </w:t>
      </w:r>
      <w:r>
        <w:rPr>
          <w:color w:val="15181F"/>
          <w:sz w:val="18"/>
          <w:szCs w:val="18"/>
        </w:rPr>
        <w:t xml:space="preserve">Do not test for it late. A patient who has exhausted chemotherapy before anyone checked mismatch repair status has lost the opportunity, and the frequency in PDAC is low enough that nobody finds it by clinical suspicion. Graded D because no trial in pancreatic cancer supports either agent: both are tumour-agnostic approvals carried here through the NCCN listing, and no primary report was retrieved or read in full for this depot.</w:t>
      </w:r>
    </w:p>
    <w:p>
      <w:pPr>
        <w:spacing w:after="50" w:before="120"/>
        <w:ind w:left="240"/>
      </w:pPr>
      <w:r>
        <w:rPr>
          <w:b/>
          <w:bCs/>
          <w:color w:val="15181F"/>
          <w:sz w:val="19"/>
          <w:szCs w:val="19"/>
        </w:rPr>
        <w:t xml:space="preserve">Sotorasib or adagrasib, for KRAS G12C</w:t>
      </w:r>
      <w:r>
        <w:rPr>
          <w:color w:val="5A6069"/>
          <w:sz w:val="15"/>
          <w:szCs w:val="15"/>
        </w:rPr>
        <w:t xml:space="preserve">   grade D</w:t>
      </w:r>
    </w:p>
    <w:p>
      <w:pPr>
        <w:spacing w:after="50" w:line="276"/>
        <w:ind w:left="240"/>
      </w:pPr>
      <w:r>
        <w:rPr>
          <w:color w:val="15181F"/>
          <w:sz w:val="18"/>
          <w:szCs w:val="18"/>
        </w:rPr>
        <w:t xml:space="preserve">NCCN lists both as subsequent therapy options at any performance status. KRAS p.G12C occurs in approximately 1 to 2% of pancreatic cancers.</w:t>
      </w:r>
    </w:p>
    <w:p>
      <w:pPr>
        <w:spacing w:after="50" w:line="276"/>
        <w:ind w:left="240"/>
      </w:pPr>
      <w:r>
        <w:rPr>
          <w:color w:val="15181F"/>
          <w:sz w:val="18"/>
          <w:szCs w:val="18"/>
        </w:rPr>
        <w:t xml:space="preserve">A previously treated patient with a G12C mutation where daraxonrasib is unavailable. Sotorasib in the pooled phase 1–2 CodeBreaK 100 pancreatic cohort (n=38, all previously treated, about 79% with two or more prior lines): centrally confirmed objective response in 8 of 38 (21%, 95% CI 10–37) with no complete responses, median progression-free survival 4.0 months (2.8–5.6), median overall survival 6.9 months (5.0–9.1). Adagrasib in the KRYSTAL-1 phase 2 non-lung, non-colorectal cohort: objective response in </w:t>
      </w:r>
      <w:r>
        <w:rPr>
          <w:b/>
          <w:bCs/>
          <w:color w:val="15181F"/>
          <w:sz w:val="18"/>
          <w:szCs w:val="18"/>
        </w:rPr>
        <w:t xml:space="preserve">7 of 21</w:t>
      </w:r>
      <w:r>
        <w:rPr>
          <w:color w:val="15181F"/>
          <w:sz w:val="18"/>
          <w:szCs w:val="18"/>
        </w:rPr>
        <w:t xml:space="preserve"> pancreatic patients (33.3%) by blinded central review, median progression-free survival 5.4 months, median overall survival 8.0 months.</w:t>
      </w:r>
    </w:p>
    <w:p>
      <w:pPr>
        <w:spacing w:after="50"/>
        <w:ind w:left="240"/>
      </w:pPr>
      <w:r>
        <w:rPr>
          <w:b/>
          <w:bCs/>
          <w:color w:val="8C2F26"/>
          <w:sz w:val="18"/>
          <w:szCs w:val="18"/>
        </w:rPr>
        <w:t xml:space="preserve">Caveat. </w:t>
      </w:r>
      <w:r>
        <w:rPr>
          <w:color w:val="15181F"/>
          <w:sz w:val="18"/>
          <w:szCs w:val="18"/>
        </w:rPr>
        <w:t xml:space="preserve">Downgraded to D, and correct the denominators: these are single-arm results in 38 and </w:t>
      </w:r>
      <w:r>
        <w:rPr>
          <w:b/>
          <w:bCs/>
          <w:color w:val="15181F"/>
          <w:sz w:val="18"/>
          <w:szCs w:val="18"/>
        </w:rPr>
        <w:t xml:space="preserve">21</w:t>
      </w:r>
      <w:r>
        <w:rPr>
          <w:color w:val="15181F"/>
          <w:sz w:val="18"/>
          <w:szCs w:val="18"/>
        </w:rPr>
        <w:t xml:space="preserve"> pancreatic patients, not in the larger numbers this page previously implied. The sotorasib cohort had </w:t>
      </w:r>
      <w:r>
        <w:rPr>
          <w:b/>
          <w:bCs/>
          <w:color w:val="15181F"/>
          <w:sz w:val="18"/>
          <w:szCs w:val="18"/>
        </w:rPr>
        <w:t xml:space="preserve">no prespecified response benchmark and no hypothesis test at all</w:t>
      </w:r>
      <w:r>
        <w:rPr>
          <w:color w:val="15181F"/>
          <w:sz w:val="18"/>
          <w:szCs w:val="18"/>
        </w:rPr>
        <w:t xml:space="preserve">, so there is no threshold it could have failed, and its 10% to 37% confidence interval is compatible with the under-10% historical second-line benchmark the authors invoke. Adagrasib's prespecified 10% null applies to the pooled tumour-agnostic cohort, not to the pancreatic subgroup, and six patients counted as evaluable by investigators were excluded by central review for having no measurable disease at baseline, moving the denominator in the favourable direction. Median overall survival of 6.9 and 8.0 months in third-line-or-later populations with ECOG 0–1 and a life expectancy requirement is indistinguishable from the natural history of those populations. The allele covers 1% to 2% of the disease, and neither report gives a screening denominator. Do not present them as comparable to the RASolute 302 result.</w:t>
      </w:r>
    </w:p>
    <w:p>
      <w:pPr>
        <w:spacing w:after="60" w:line="276"/>
        <w:ind w:left="240"/>
      </w:pPr>
      <w:r>
        <w:rPr>
          <w:color w:val="5A6069"/>
          <w:sz w:val="16"/>
          <w:szCs w:val="16"/>
        </w:rPr>
        <w:t xml:space="preserve">Sources: Sotorasib CodeBreaK 100; Adagrasib KRYSTAL-1</w:t>
      </w:r>
    </w:p>
    <w:p>
      <w:pPr>
        <w:spacing w:after="50" w:before="120"/>
        <w:ind w:left="240"/>
      </w:pPr>
      <w:r>
        <w:rPr>
          <w:b/>
          <w:bCs/>
          <w:color w:val="15181F"/>
          <w:sz w:val="19"/>
          <w:szCs w:val="19"/>
        </w:rPr>
        <w:t xml:space="preserve">Zenocutuzumab, for NRG1 fusions</w:t>
      </w:r>
      <w:r>
        <w:rPr>
          <w:color w:val="5A6069"/>
          <w:sz w:val="15"/>
          <w:szCs w:val="15"/>
        </w:rPr>
        <w:t xml:space="preserve">   grade D</w:t>
      </w:r>
    </w:p>
    <w:p>
      <w:pPr>
        <w:spacing w:after="50" w:line="276"/>
        <w:ind w:left="240"/>
      </w:pPr>
      <w:r>
        <w:rPr>
          <w:color w:val="15181F"/>
          <w:sz w:val="18"/>
          <w:szCs w:val="18"/>
        </w:rPr>
        <w:t xml:space="preserve">NCCN lists zenocutuzumab-zbco as a subsequent therapy option for NRG1 fusion-positive disease at performance status 0–2. In the eNRGy basket trial, 36 of 158 patients in the primary efficacy population had pancreatic ductal adenocarcinoma, and </w:t>
      </w:r>
      <w:r>
        <w:rPr>
          <w:b/>
          <w:bCs/>
          <w:color w:val="15181F"/>
          <w:sz w:val="18"/>
          <w:szCs w:val="18"/>
        </w:rPr>
        <w:t xml:space="preserve">all 36 were KRAS wild-type</w:t>
      </w:r>
      <w:r>
        <w:rPr>
          <w:color w:val="15181F"/>
          <w:sz w:val="18"/>
          <w:szCs w:val="18"/>
        </w:rPr>
        <w:t xml:space="preserve">: 15 of 36 (42%, 95% CI 25–59) responded by investigator assessment and 16 of 36 (44%, 28–62) by blinded independent central review, with median duration of response 7.4 months (4.0–11.2) investigator-assessed and 9.1 months centrally. Twenty-four of 31 pancreatic patients with baseline data (77%) had a CA 19-9 fall of at least 50%.</w:t>
      </w:r>
    </w:p>
    <w:p>
      <w:pPr>
        <w:spacing w:after="50" w:line="276"/>
        <w:ind w:left="240"/>
      </w:pPr>
      <w:r>
        <w:rPr>
          <w:color w:val="15181F"/>
          <w:sz w:val="18"/>
          <w:szCs w:val="18"/>
        </w:rPr>
        <w:t xml:space="preserve">A patient with KRAS wild-type disease, where NRG1 fusions are enriched — in a single-institution series the median age of 10 patients with a detectable NRG1 fusion was 48.5 years, and KRAS wild-type status is the practical trigger to look.</w:t>
      </w:r>
    </w:p>
    <w:p>
      <w:pPr>
        <w:spacing w:after="50"/>
        <w:ind w:left="240"/>
      </w:pPr>
      <w:r>
        <w:rPr>
          <w:b/>
          <w:bCs/>
          <w:color w:val="8C2F26"/>
          <w:sz w:val="18"/>
          <w:szCs w:val="18"/>
        </w:rPr>
        <w:t xml:space="preserve">Caveat. </w:t>
      </w:r>
      <w:r>
        <w:rPr>
          <w:color w:val="15181F"/>
          <w:sz w:val="18"/>
          <w:szCs w:val="18"/>
        </w:rPr>
        <w:t xml:space="preserve">Downgraded to D. Single-arm, 36 pancreatic patients inside a basket trial sized only for the pooled estimate, with a 95% CI of 25% to 59% that cannot distinguish a major advance from a modest one. </w:t>
      </w:r>
      <w:r>
        <w:rPr>
          <w:b/>
          <w:bCs/>
          <w:color w:val="15181F"/>
          <w:sz w:val="18"/>
          <w:szCs w:val="18"/>
        </w:rPr>
        <w:t xml:space="preserve">No progression-free or overall survival is reported for the pancreatic subgroup</w:t>
      </w:r>
      <w:r>
        <w:rPr>
          <w:color w:val="15181F"/>
          <w:sz w:val="18"/>
          <w:szCs w:val="18"/>
        </w:rPr>
        <w:t xml:space="preserve">, so no survival claim can be derived from it. The primary endpoint was investigator-assessed response in an open-label trial with blinded central review only as a secondary endpoint, and the primary efficacy population is a post-enrolment construct — 204 treated patients become 158 evaluable, with exclusions for short follow-up falling disproportionately on early progressors. Only 9 of 47 responses across the whole trial were ongoing at a median follow-up of 7.1 months. Adverse events were mostly grade 1 or 2 with treatment-related grade 3–4 in 7%, so the risk is low — but NRG1 fusions occur in well under 1% of PDAC, no screening denominator is given, and the sponsor designed the trial, analysed the data and drafted the manuscript.</w:t>
      </w:r>
    </w:p>
    <w:p>
      <w:pPr>
        <w:spacing w:after="60" w:line="276"/>
        <w:ind w:left="240"/>
      </w:pPr>
      <w:r>
        <w:rPr>
          <w:color w:val="5A6069"/>
          <w:sz w:val="16"/>
          <w:szCs w:val="16"/>
        </w:rPr>
        <w:t xml:space="preserve">Sources: eNRGy zenocutuzumab</w:t>
      </w:r>
    </w:p>
    <w:p>
      <w:pPr>
        <w:spacing w:after="50" w:before="120"/>
        <w:ind w:left="240"/>
      </w:pPr>
      <w:r>
        <w:rPr>
          <w:b/>
          <w:bCs/>
          <w:color w:val="15181F"/>
          <w:sz w:val="19"/>
          <w:szCs w:val="19"/>
        </w:rPr>
        <w:t xml:space="preserve">An NTRK, RET, BRAF or FGFR-directed agent, by alteration</w:t>
      </w:r>
      <w:r>
        <w:rPr>
          <w:color w:val="5A6069"/>
          <w:sz w:val="15"/>
          <w:szCs w:val="15"/>
        </w:rPr>
        <w:t xml:space="preserve">   grade D</w:t>
      </w:r>
    </w:p>
    <w:p>
      <w:pPr>
        <w:spacing w:after="50" w:line="276"/>
        <w:ind w:left="240"/>
      </w:pPr>
      <w:r>
        <w:rPr>
          <w:color w:val="15181F"/>
          <w:sz w:val="18"/>
          <w:szCs w:val="18"/>
        </w:rPr>
        <w:t xml:space="preserve">NCCN lists entrectinib, larotrectinib or repotrectinib for NTRK fusion-positive disease; selpercatinib for RET fusions (11 pancreatic patients, at least half with an objective response); dabrafenib with trametinib for BRAF V600E, with ORR 38–47% across the NCI-MATCH subprotocol and the ROAR basket trial; and erdafitinib for FGFR alterations, with response in 10 of 18 pancreatic patients (56%) in RAGNAR.</w:t>
      </w:r>
    </w:p>
    <w:p>
      <w:pPr>
        <w:spacing w:after="50" w:line="276"/>
        <w:ind w:left="240"/>
      </w:pPr>
      <w:r>
        <w:rPr>
          <w:color w:val="15181F"/>
          <w:sz w:val="18"/>
          <w:szCs w:val="18"/>
        </w:rPr>
        <w:t xml:space="preserve">Rare alterations where the alternative is further cytotoxic chemotherapy in a previously treated patient. Each is a basket-trial or subgroup result in single-digit to low-double-digit pancreatic numbers.</w:t>
      </w:r>
    </w:p>
    <w:p>
      <w:pPr>
        <w:spacing w:after="50"/>
        <w:ind w:left="240"/>
      </w:pPr>
      <w:r>
        <w:rPr>
          <w:b/>
          <w:bCs/>
          <w:color w:val="8C2F26"/>
          <w:sz w:val="18"/>
          <w:szCs w:val="18"/>
        </w:rPr>
        <w:t xml:space="preserve">Caveat. </w:t>
      </w:r>
      <w:r>
        <w:rPr>
          <w:color w:val="15181F"/>
          <w:sz w:val="18"/>
          <w:szCs w:val="18"/>
        </w:rPr>
        <w:t xml:space="preserve">Downgraded to D: none of these reports was retrieved or read in full for this depot, and all the figures are carried in the NCCN listing supplied to this page. Do not treat the gene as the target. The pancreatic subsets in these trials are tiny — one patient with pancreatic cancer in the larotrectinib analysis, two of three responders among pancreatic patients in the entrectinib trials — and response rates from mixed-tumour baskets do not transfer cleanly to this disease.</w:t>
      </w:r>
    </w:p>
    <w:p>
      <w:pPr>
        <w:spacing w:after="60" w:line="276"/>
        <w:ind w:left="240"/>
      </w:pPr>
      <w:r>
        <w:rPr>
          <w:i/>
          <w:iCs/>
          <w:color w:val="5A6069"/>
          <w:sz w:val="16"/>
          <w:szCs w:val="16"/>
        </w:rPr>
        <w:t xml:space="preserve">Ratification item 8: what is the local sequence after first-line failure, and where does daraxonrasib sit in it given its availability, cost, the absence of any first-line or perioperative data, and the fact that 15.1% of its comparator arm never received the chemotherapy it was allocated? The group should also agree who owns chasing the molecular report, because the commonest failure in this disease is a result that arrives after the patient is too unwell to act on it. Audit: proportion of metastatic patients with a completed germline result and a completed genomic profile before second line, time from biopsy to report, and proportion of actionable results acted on. [PAYER]</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A chemotherapy holiday or maintenance therapy for a patient doing well on first-line treatment.</w:t>
      </w:r>
    </w:p>
    <w:p>
      <w:pPr>
        <w:spacing w:after="50" w:line="276"/>
        <w:ind w:left="240"/>
      </w:pPr>
      <w:r>
        <w:rPr>
          <w:color w:val="15181F"/>
          <w:sz w:val="18"/>
          <w:szCs w:val="18"/>
        </w:rPr>
        <w:t xml:space="preserve">NCCN offers either for patients who do well on initial therapy. Set the reassessment interval and the trigger for restarting when the holiday begins.</w:t>
      </w:r>
    </w:p>
    <w:p>
      <w:pPr>
        <w:spacing w:after="50"/>
        <w:ind w:left="240"/>
      </w:pPr>
      <w:r>
        <w:rPr>
          <w:b/>
          <w:bCs/>
          <w:color w:val="8C2F26"/>
          <w:sz w:val="18"/>
          <w:szCs w:val="18"/>
        </w:rPr>
        <w:t xml:space="preserve">Caveat. </w:t>
      </w:r>
      <w:r>
        <w:rPr>
          <w:color w:val="15181F"/>
          <w:sz w:val="18"/>
          <w:szCs w:val="18"/>
        </w:rPr>
        <w:t xml:space="preserve">Do not drift into a holiday without a date for the next scan.</w:t>
      </w:r>
    </w:p>
    <w:p>
      <w:pPr>
        <w:spacing w:after="60" w:before="180"/>
      </w:pPr>
      <w:r>
        <w:rPr>
          <w:b/>
          <w:bCs/>
          <w:color w:val="176A87"/>
          <w:spacing w:val="16"/>
          <w:sz w:val="16"/>
          <w:szCs w:val="16"/>
        </w:rPr>
        <w:t xml:space="preserve">REASONABLE</w:t>
      </w:r>
      <w:r>
        <w:rPr>
          <w:color w:val="5A6069"/>
          <w:sz w:val="16"/>
          <w:szCs w:val="16"/>
        </w:rPr>
        <w:t xml:space="preserve">   grade D</w:t>
      </w:r>
    </w:p>
    <w:p>
      <w:pPr>
        <w:spacing w:after="60" w:line="276"/>
      </w:pPr>
      <w:r>
        <w:rPr>
          <w:color w:val="15181F"/>
          <w:sz w:val="19"/>
          <w:szCs w:val="19"/>
        </w:rPr>
        <w:t xml:space="preserve">Rucaparib maintenance for germline or somatic BRCA1, BRCA2 or PALB2 variants, as a second option after platinum.</w:t>
      </w:r>
    </w:p>
    <w:p>
      <w:pPr>
        <w:spacing w:after="50" w:line="276"/>
        <w:ind w:left="240"/>
      </w:pPr>
      <w:r>
        <w:rPr>
          <w:color w:val="15181F"/>
          <w:sz w:val="18"/>
          <w:szCs w:val="18"/>
        </w:rPr>
        <w:t xml:space="preserve">A phase 2 trial of maintenance rucaparib after at least 16 weeks of platinum-based chemotherapy in advanced disease with germline or somatic pathogenic variants in </w:t>
      </w:r>
      <w:r>
        <w:rPr>
          <w:i/>
          <w:iCs/>
          <w:color w:val="15181F"/>
          <w:sz w:val="18"/>
          <w:szCs w:val="18"/>
        </w:rPr>
        <w:t xml:space="preserve">BRCA1</w:t>
      </w:r>
      <w:r>
        <w:rPr>
          <w:color w:val="15181F"/>
          <w:sz w:val="18"/>
          <w:szCs w:val="18"/>
        </w:rPr>
        <w:t xml:space="preserve">, </w:t>
      </w:r>
      <w:r>
        <w:rPr>
          <w:i/>
          <w:iCs/>
          <w:color w:val="15181F"/>
          <w:sz w:val="18"/>
          <w:szCs w:val="18"/>
        </w:rPr>
        <w:t xml:space="preserve">BRCA2</w:t>
      </w:r>
      <w:r>
        <w:rPr>
          <w:color w:val="15181F"/>
          <w:sz w:val="18"/>
          <w:szCs w:val="18"/>
        </w:rPr>
        <w:t xml:space="preserve"> or </w:t>
      </w:r>
      <w:r>
        <w:rPr>
          <w:i/>
          <w:iCs/>
          <w:color w:val="15181F"/>
          <w:sz w:val="18"/>
          <w:szCs w:val="18"/>
        </w:rPr>
        <w:t xml:space="preserve">PALB2</w:t>
      </w:r>
      <w:r>
        <w:rPr>
          <w:color w:val="15181F"/>
          <w:sz w:val="18"/>
          <w:szCs w:val="18"/>
        </w:rPr>
        <w:t xml:space="preserve"> reported median progression-free survival of 13.1 months and median duration of response 17.3 months, with no new safety signal.</w:t>
      </w:r>
    </w:p>
    <w:p>
      <w:pPr>
        <w:spacing w:after="50"/>
        <w:ind w:left="240"/>
      </w:pPr>
      <w:r>
        <w:rPr>
          <w:b/>
          <w:bCs/>
          <w:color w:val="8C2F26"/>
          <w:sz w:val="18"/>
          <w:szCs w:val="18"/>
        </w:rPr>
        <w:t xml:space="preserve">Caveat. </w:t>
      </w:r>
      <w:r>
        <w:rPr>
          <w:color w:val="15181F"/>
          <w:sz w:val="18"/>
          <w:szCs w:val="18"/>
        </w:rPr>
        <w:t xml:space="preserve">Downgraded to D: single-arm phase 2 with no control, and the primary report was not retrieved or read in full for this depot — the figures are carried in the NCCN discussion text supplied to this page. The 13.1-month progression-free survival figure cannot be compared with POLO's 7.4 months. Its one advantage over the POLO population is that it included somatic as well as germline variants and </w:t>
      </w:r>
      <w:r>
        <w:rPr>
          <w:i/>
          <w:iCs/>
          <w:color w:val="15181F"/>
          <w:sz w:val="18"/>
          <w:szCs w:val="18"/>
        </w:rPr>
        <w:t xml:space="preserve">PALB2</w:t>
      </w:r>
      <w:r>
        <w:rPr>
          <w:color w:val="15181F"/>
          <w:sz w:val="18"/>
          <w:szCs w:val="18"/>
        </w:rPr>
        <w:t xml:space="preserv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treat metastatic pancreatic cancer without a tissue diagnosis.</w:t>
      </w:r>
    </w:p>
    <w:p>
      <w:pPr>
        <w:spacing w:after="50" w:line="276"/>
        <w:ind w:left="240"/>
      </w:pPr>
      <w:r>
        <w:rPr>
          <w:color w:val="15181F"/>
          <w:sz w:val="18"/>
          <w:szCs w:val="18"/>
        </w:rPr>
        <w:t xml:space="preserve">Biopsy the lesion that gives the highest stage, with image guidance for liver lesions, and bank material for sequencing at the same sitting.</w:t>
      </w:r>
    </w:p>
    <w:p>
      <w:pPr>
        <w:spacing w:after="50"/>
        <w:ind w:left="240"/>
      </w:pPr>
      <w:r>
        <w:rPr>
          <w:b/>
          <w:bCs/>
          <w:color w:val="8C2F26"/>
          <w:sz w:val="18"/>
          <w:szCs w:val="18"/>
        </w:rPr>
        <w:t xml:space="preserve">Caveat. </w:t>
      </w:r>
      <w:r>
        <w:rPr>
          <w:color w:val="15181F"/>
          <w:sz w:val="18"/>
          <w:szCs w:val="18"/>
        </w:rPr>
        <w:t xml:space="preserve">NCCN requires a pathologic diagnosis before systemic therapy in metastatic disease. Treating on imaging alone commits a patient to months of cytotoxic therapy on an assumption.</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offer prophylactic low-molecular-weight heparin routinely.</w:t>
      </w:r>
    </w:p>
    <w:p>
      <w:pPr>
        <w:spacing w:after="50" w:line="276"/>
        <w:ind w:left="240"/>
      </w:pPr>
      <w:r>
        <w:rPr>
          <w:color w:val="15181F"/>
          <w:sz w:val="18"/>
          <w:szCs w:val="18"/>
        </w:rPr>
        <w:t xml:space="preserve">Treat established venous thromboembolism, and keep a low threshold for investigating it — the risk in pancreatic cancer is substantially raised.</w:t>
      </w:r>
    </w:p>
    <w:p>
      <w:pPr>
        <w:spacing w:after="50"/>
        <w:ind w:left="240"/>
      </w:pPr>
      <w:r>
        <w:rPr>
          <w:b/>
          <w:bCs/>
          <w:color w:val="8C2F26"/>
          <w:sz w:val="18"/>
          <w:szCs w:val="18"/>
        </w:rPr>
        <w:t xml:space="preserve">Caveat. </w:t>
      </w:r>
      <w:r>
        <w:rPr>
          <w:color w:val="15181F"/>
          <w:sz w:val="18"/>
          <w:szCs w:val="18"/>
        </w:rPr>
        <w:t xml:space="preserve">CONKO-004 showed that prophylactic enoxaparin lowered symptomatic venous thromboembolism (hazard ratio 0.40, 95% CI 0.19–0.83, P=0.01, n=160 versus 152) but </w:t>
      </w:r>
      <w:r>
        <w:rPr>
          <w:b/>
          <w:bCs/>
          <w:color w:val="15181F"/>
          <w:sz w:val="18"/>
          <w:szCs w:val="18"/>
        </w:rPr>
        <w:t xml:space="preserve">progression-free and overall survival did not differ</w:t>
      </w:r>
      <w:r>
        <w:rPr>
          <w:color w:val="15181F"/>
          <w:sz w:val="18"/>
          <w:szCs w:val="18"/>
        </w:rPr>
        <w:t xml:space="preserve">. NCCN does not recommend prophylactic LMWH at this time, citing the absence of a survival effect. Graded D because the trial was not retrieved or read in full for this depot; the figures are carried in the NCCN discussion text supplied to this page.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resect the primary tumour, or a metastasis, for metastatic disease outside a prospective protocol.</w:t>
      </w:r>
    </w:p>
    <w:p>
      <w:pPr>
        <w:spacing w:after="50" w:line="276"/>
        <w:ind w:left="240"/>
      </w:pPr>
      <w:r>
        <w:rPr>
          <w:color w:val="15181F"/>
          <w:sz w:val="18"/>
          <w:szCs w:val="18"/>
        </w:rPr>
        <w:t xml:space="preserve">NCCN's wording is the ceiling of what can be said: in select rare cases, surgery can be considered in patients with a sustained and deep response to systemic therapy, ideally at high-volume centres, and patients with indolent or oligometastatic disease should be referred to a high-volume centre for evaluation.</w:t>
      </w:r>
    </w:p>
    <w:p>
      <w:pPr>
        <w:spacing w:after="50"/>
        <w:ind w:left="240"/>
      </w:pPr>
      <w:r>
        <w:rPr>
          <w:b/>
          <w:bCs/>
          <w:color w:val="8C2F26"/>
          <w:sz w:val="18"/>
          <w:szCs w:val="18"/>
        </w:rPr>
        <w:t xml:space="preserve">Caveat. </w:t>
      </w:r>
      <w:r>
        <w:rPr>
          <w:color w:val="15181F"/>
          <w:sz w:val="18"/>
          <w:szCs w:val="18"/>
        </w:rPr>
        <w:t xml:space="preserve">Everything beyond that sentence is retrospective and selected. The liver-only question has its own gate on this page and is protocol-only.</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let the molecular report arrive after it can be used.</w:t>
      </w:r>
    </w:p>
    <w:p>
      <w:pPr>
        <w:spacing w:after="50" w:line="276"/>
        <w:ind w:left="240"/>
      </w:pPr>
      <w:r>
        <w:rPr>
          <w:color w:val="15181F"/>
          <w:sz w:val="18"/>
          <w:szCs w:val="18"/>
        </w:rPr>
        <w:t xml:space="preserve">Order profiling at the first visit, bank the extra passes at the index biopsy, and name the person who chases the result.</w:t>
      </w:r>
    </w:p>
    <w:p>
      <w:pPr>
        <w:spacing w:after="50"/>
        <w:ind w:left="240"/>
      </w:pPr>
      <w:r>
        <w:rPr>
          <w:b/>
          <w:bCs/>
          <w:color w:val="8C2F26"/>
          <w:sz w:val="18"/>
          <w:szCs w:val="18"/>
        </w:rPr>
        <w:t xml:space="preserve">Caveat. </w:t>
      </w:r>
      <w:r>
        <w:rPr>
          <w:color w:val="15181F"/>
          <w:sz w:val="18"/>
          <w:szCs w:val="18"/>
        </w:rPr>
        <w:t xml:space="preserve">This is an operational failure, not a clinical judgement, and it is the one that most often costs a patient a targeted option in this disease — including the two options on this page with randomised support.</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Resectability criteria at diagnosis</w:t>
      </w:r>
    </w:p>
    <w:p>
      <w:pPr>
        <w:spacing w:after="120" w:line="276"/>
      </w:pPr>
      <w:r>
        <w:rPr>
          <w:i/>
          <w:iCs/>
          <w:color w:val="5A6069"/>
          <w:sz w:val="18"/>
          <w:szCs w:val="18"/>
        </w:rPr>
        <w:t xml:space="preserve">The arterial and venous thresholds, in degrees, that decide which gate this patient is 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Resectable — arterial</w:t>
            </w:r>
          </w:p>
        </w:tc>
        <w:tc>
          <w:tcPr>
            <w:tcW w:type="dxa" w:w="5260"/>
            <w:tcMar>
              <w:top w:type="dxa" w:w="70"/>
              <w:left w:type="dxa" w:w="110"/>
              <w:bottom w:type="dxa" w:w="70"/>
              <w:right w:type="dxa" w:w="110"/>
            </w:tcMar>
            <w:vAlign w:val="top"/>
          </w:tcPr>
          <w:p>
            <w:pPr>
              <w:spacing w:after="0" w:line="276"/>
            </w:pPr>
            <w:r>
              <w:rPr>
                <w:color w:val="15181F"/>
                <w:sz w:val="17"/>
                <w:szCs w:val="17"/>
              </w:rPr>
              <w:t xml:space="preserve">No tumour contact with the celiac axis, superior mesenteric artery or common hepatic artery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Resectable — venous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No contact with the SMV or portal vein, or ≤180° contact without vein contour irregularity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Borderline — head/uncinate arterial</w:t>
            </w:r>
          </w:p>
        </w:tc>
        <w:tc>
          <w:tcPr>
            <w:tcW w:type="dxa" w:w="5260"/>
            <w:tcMar>
              <w:top w:type="dxa" w:w="70"/>
              <w:left w:type="dxa" w:w="110"/>
              <w:bottom w:type="dxa" w:w="70"/>
              <w:right w:type="dxa" w:w="110"/>
            </w:tcMar>
            <w:vAlign w:val="top"/>
          </w:tcPr>
          <w:p>
            <w:pPr>
              <w:spacing w:after="0" w:line="276"/>
            </w:pPr>
            <w:r>
              <w:rPr>
                <w:color w:val="15181F"/>
                <w:sz w:val="17"/>
                <w:szCs w:val="17"/>
              </w:rPr>
              <w:t xml:space="preserve">Contact with the common hepatic artery without extension to the celiac axis or hepatic artery bifurcation, allowing safe complete resection and reconstruction; or SMA contact ≤180°; or contact with variant arterial anatomy (accessory or replaced right hepatic artery, replaced common hepatic artery, and the origin of the replaced or accessory vessel), with the degree recorded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Borderline — body/tail arterial</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Celiac axis contact ≤180°</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Borderline — venous</w:t>
            </w:r>
          </w:p>
        </w:tc>
        <w:tc>
          <w:tcPr>
            <w:tcW w:type="dxa" w:w="5260"/>
            <w:tcMar>
              <w:top w:type="dxa" w:w="70"/>
              <w:left w:type="dxa" w:w="110"/>
              <w:bottom w:type="dxa" w:w="70"/>
              <w:right w:type="dxa" w:w="110"/>
            </w:tcMar>
            <w:vAlign w:val="top"/>
          </w:tcPr>
          <w:p>
            <w:pPr>
              <w:spacing w:after="0" w:line="276"/>
            </w:pPr>
            <w:r>
              <w:rPr>
                <w:color w:val="15181F"/>
                <w:sz w:val="17"/>
                <w:szCs w:val="17"/>
              </w:rPr>
              <w:t xml:space="preserve">SMV or portal vein contact &gt;180°; or ≤180° with vein contour irregularity; or vein thrombosis with suitable vessel proximal and distal allowing safe complete resection and vein reconstruction; or contact with the inferior vena cava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Locally advanced — head/uncinate arterial</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SMA or celiac axis contact &gt;180°</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Locally advanced — body/tail arterial</w:t>
            </w:r>
          </w:p>
        </w:tc>
        <w:tc>
          <w:tcPr>
            <w:tcW w:type="dxa" w:w="5260"/>
            <w:tcMar>
              <w:top w:type="dxa" w:w="70"/>
              <w:left w:type="dxa" w:w="110"/>
              <w:bottom w:type="dxa" w:w="70"/>
              <w:right w:type="dxa" w:w="110"/>
            </w:tcMar>
            <w:vAlign w:val="top"/>
          </w:tcPr>
          <w:p>
            <w:pPr>
              <w:spacing w:after="0" w:line="276"/>
            </w:pPr>
            <w:r>
              <w:rPr>
                <w:color w:val="15181F"/>
                <w:sz w:val="17"/>
                <w:szCs w:val="17"/>
              </w:rPr>
              <w:t xml:space="preserve">SMA or celiac axis contact &gt;180°; or celiac axis contact with aortic involvement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Locally advanced — venous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Complete SMV or portal vein occlusion, not amenable to resection and primary reconstruction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Metastatic</w:t>
            </w:r>
          </w:p>
        </w:tc>
        <w:tc>
          <w:tcPr>
            <w:tcW w:type="dxa" w:w="5260"/>
            <w:tcMar>
              <w:top w:type="dxa" w:w="70"/>
              <w:left w:type="dxa" w:w="110"/>
              <w:bottom w:type="dxa" w:w="70"/>
              <w:right w:type="dxa" w:w="110"/>
            </w:tcMar>
            <w:vAlign w:val="top"/>
          </w:tcPr>
          <w:p>
            <w:pPr>
              <w:spacing w:after="0" w:line="276"/>
            </w:pPr>
            <w:r>
              <w:rPr>
                <w:color w:val="15181F"/>
                <w:sz w:val="17"/>
                <w:szCs w:val="17"/>
              </w:rPr>
              <w:t xml:space="preserve">Any distant metastasis, including non-regional nodal metastasis, or positive peritoneal cytology</w:t>
            </w:r>
          </w:p>
        </w:tc>
      </w:tr>
    </w:tbl>
    <w:p>
      <w:pPr>
        <w:spacing w:after="200" w:line="276"/>
      </w:pPr>
      <w:r>
        <w:rPr>
          <w:i/>
          <w:iCs/>
          <w:color w:val="5A6069"/>
          <w:sz w:val="16"/>
          <w:szCs w:val="16"/>
        </w:rPr>
        <w:t xml:space="preserve">Decisions about resectability status should be made in consensus at a multidisciplinary meeting, not by a single reader. Three caveats sit on this table. First, nobody derived these thresholds: the 180-degree cut-point was adopted into the Society of Abdominal Radiology and American Pancreatic Association consensus statement from the NCCN criteria of the time, at a single meeting in November 2011 with no Delphi process, no voting and no described literature search, and that statement reports no inter-reader reproducibility data for measuring circumferential contact and no validation that using it changes report completeness, board decisions, resection rates or margins. Second, the category is assigned less reliably than the degrees imply: in SWOG S1505, at experienced US trial centres with a protocol scan and formal surgical consultation, central radiology review found 29% of patients called resectable did not meet the criteria — 51% with arterial interface, 35% with venous interface of 180 degrees or more and 65% with suspicion of distant disease — and a site radiologist checklist moved that only from 33% to 26%. Third, the criteria for resectable disease deliberately favour specificity over sensitivity so that no potentially resectable patient is denied an operation — occult metastatic disease is therefore expected rather than surprising, and CT sensitivity for small hepatic and peritoneal deposits is limited. After neoadjuvant therapy solid tumour contact may be replaced by increased hazy density or stranding around the peripancreatic vessels, and NCCN asks for this to be reported on both the staging and follow-up scans; mild increases in perivascular soft tissue do not alone represent progression, and ESMO states that imaging performance after chemotherapy is lower than in treatment-naive settings. Distant metastasis, regardless of anatomic resectability, implies disease that should not be treated with upfront resection. </w:t>
      </w:r>
      <w:r>
        <w:rPr>
          <w:i/>
          <w:iCs/>
          <w:color w:val="5A6069"/>
          <w:sz w:val="16"/>
          <w:szCs w:val="16"/>
        </w:rPr>
        <w:t xml:space="preserve">Locally advanced</w:t>
      </w:r>
      <w:r>
        <w:rPr>
          <w:i/>
          <w:iCs/>
          <w:color w:val="5A6069"/>
          <w:sz w:val="16"/>
          <w:szCs w:val="16"/>
        </w:rPr>
        <w:t xml:space="preserve"> is a term for the time of diagnosis only and does not imply unresectable tumour. Imaging protocol: pancreatic parenchymal phase at 40–50 seconds and portal venous phase at 65–70 seconds, sections under 3 mm and preferably submillimetre, neutral oral contrast, with multiplanar reformats and a maximum-intensity-projection or 3D volumetric reconstruction for the vessels; high-quality CT no more than 4 weeks before surgery.</w:t>
      </w:r>
    </w:p>
    <w:p>
      <w:pPr>
        <w:pStyle w:val="Heading3"/>
        <w:keepNext/>
        <w:spacing w:after="110" w:before="240"/>
      </w:pPr>
      <w:r>
        <w:rPr>
          <w:rFonts w:ascii="Cambria" w:cs="Cambria" w:eastAsia="Cambria" w:hAnsi="Cambria"/>
          <w:b/>
          <w:bCs/>
          <w:color w:val="17365D"/>
          <w:sz w:val="22"/>
          <w:szCs w:val="22"/>
        </w:rPr>
        <w:t xml:space="preserve">The neoadjuvant trials, side by side — and what each one's control arm got</w:t>
      </w:r>
    </w:p>
    <w:p>
      <w:pPr>
        <w:spacing w:after="120" w:line="276"/>
      </w:pPr>
      <w:r>
        <w:rPr>
          <w:i/>
          <w:iCs/>
          <w:color w:val="5A6069"/>
          <w:sz w:val="18"/>
          <w:szCs w:val="18"/>
        </w:rPr>
        <w:t xml:space="preserve">What each trial actually compared, in which population, what it showed and what its comparator was — because they do not agree, and because only one of them gave its control arm modern adjuvant chemotherapy.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PREOPANC (n=246, resectable + borderline)</w:t>
            </w:r>
          </w:p>
        </w:tc>
        <w:tc>
          <w:tcPr>
            <w:tcW w:type="dxa" w:w="5260"/>
            <w:tcMar>
              <w:top w:type="dxa" w:w="70"/>
              <w:left w:type="dxa" w:w="110"/>
              <w:bottom w:type="dxa" w:w="70"/>
              <w:right w:type="dxa" w:w="110"/>
            </w:tcMar>
            <w:vAlign w:val="top"/>
          </w:tcPr>
          <w:p>
            <w:pPr>
              <w:spacing w:after="0" w:line="276"/>
            </w:pPr>
            <w:r>
              <w:rPr>
                <w:color w:val="15181F"/>
                <w:sz w:val="17"/>
                <w:szCs w:val="17"/>
              </w:rPr>
              <w:t xml:space="preserve">Neoadjuvant gemcitabine chemoradiotherapy vs upfront surgery, </w:t>
            </w:r>
            <w:r>
              <w:rPr>
                <w:b/>
                <w:bCs/>
                <w:color w:val="15181F"/>
                <w:sz w:val="17"/>
                <w:szCs w:val="17"/>
              </w:rPr>
              <w:t xml:space="preserve">both arms adjuvant gemcitabine monotherapy</w:t>
            </w:r>
            <w:r>
              <w:rPr>
                <w:color w:val="15181F"/>
                <w:sz w:val="17"/>
                <w:szCs w:val="17"/>
              </w:rPr>
              <w:t xml:space="preserve"> — and only 65 of 127 (51%) of the surgery arm received any chemotherapy. First report negative: median OS 16.0 vs 14.3 months, HR 0.78 (0.58–1.05), P=.096; resection 61% vs 72% (P=.058). Long-term positive at a second, unplanned look: HR 0.73 (0.56–0.96), P=.025, medians 15.7 vs 14.3, 5-year OS 20.5% vs 6.5%. Resectable subgroup HR 0.79 (0.54–1.16), P=.23; borderline 0.67 (0.45–0.99), P=.045; no significant interaction. 24% of the neoadjuvant arm never started it; staging laparoscopy mandatory in that arm only</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PREOPANC-2 (n=369, resectable + borderline)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Neoadjuvant FOLFIRINOX with </w:t>
            </w:r>
            <w:r>
              <w:rPr>
                <w:b/>
                <w:bCs/>
                <w:color w:val="15181F"/>
                <w:sz w:val="17"/>
                <w:szCs w:val="17"/>
              </w:rPr>
              <w:t xml:space="preserve">no adjuvant treatment</w:t>
            </w:r>
            <w:r>
              <w:rPr>
                <w:color w:val="15181F"/>
                <w:sz w:val="17"/>
                <w:szCs w:val="17"/>
              </w:rPr>
              <w:t xml:space="preserve"> vs the PREOPANC chemoradiotherapy regimen with adjuvant gemcitabine. </w:t>
            </w:r>
            <w:r>
              <w:rPr>
                <w:b/>
                <w:bCs/>
                <w:color w:val="15181F"/>
                <w:sz w:val="17"/>
                <w:szCs w:val="17"/>
              </w:rPr>
              <w:t xml:space="preserve">No upfront-surgery arm at all.</w:t>
            </w:r>
            <w:r>
              <w:rPr>
                <w:color w:val="15181F"/>
                <w:sz w:val="17"/>
                <w:szCs w:val="17"/>
              </w:rPr>
              <w:t xml:space="preserve"> Failed superiority: median OS 21.9 vs 21.3 months, HR 0.88 (0.69–1.13), p=0.32 — the interval reaches 1.13, so this is not a demonstration of equivalence. Only 114 of 185 (62%) completed eight FOLFIRINOX cycles, 82% needed dose reductions. One significant secondary endpoint, favouring chemoradiotherapy: ypN0 58% vs 47%, p=0.0073</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NORPACT-1 (n=140, resectable head only)</w:t>
            </w:r>
          </w:p>
        </w:tc>
        <w:tc>
          <w:tcPr>
            <w:tcW w:type="dxa" w:w="5260"/>
            <w:tcMar>
              <w:top w:type="dxa" w:w="70"/>
              <w:left w:type="dxa" w:w="110"/>
              <w:bottom w:type="dxa" w:w="70"/>
              <w:right w:type="dxa" w:w="110"/>
            </w:tcMar>
            <w:vAlign w:val="top"/>
          </w:tcPr>
          <w:p>
            <w:pPr>
              <w:spacing w:after="0" w:line="276"/>
            </w:pPr>
            <w:r>
              <w:rPr>
                <w:color w:val="15181F"/>
                <w:sz w:val="17"/>
                <w:szCs w:val="17"/>
              </w:rPr>
              <w:t xml:space="preserve">Neoadjuvant FOLFIRINOX vs upfront surgery. </w:t>
            </w:r>
            <w:r>
              <w:rPr>
                <w:b/>
                <w:bCs/>
                <w:color w:val="15181F"/>
                <w:sz w:val="17"/>
                <w:szCs w:val="17"/>
              </w:rPr>
              <w:t xml:space="preserve">The only trial whose control arm partly received modern adjuvant therapy — 19 of 44 resected control patients (43%) got adjuvant mFOLFIRINOX.</w:t>
            </w:r>
            <w:r>
              <w:rPr>
                <w:color w:val="15181F"/>
                <w:sz w:val="17"/>
                <w:szCs w:val="17"/>
              </w:rPr>
              <w:t xml:space="preserve"> Primary endpoint significant in favour of </w:t>
            </w:r>
            <w:r>
              <w:rPr>
                <w:b/>
                <w:bCs/>
                <w:color w:val="15181F"/>
                <w:sz w:val="17"/>
                <w:szCs w:val="17"/>
              </w:rPr>
              <w:t xml:space="preserve">upfront surgery</w:t>
            </w:r>
            <w:r>
              <w:rPr>
                <w:color w:val="15181F"/>
                <w:sz w:val="17"/>
                <w:szCs w:val="17"/>
              </w:rPr>
              <w:t xml:space="preserve">: 18-month survival 60% vs 73% (p=0.032); median OS 25.1 vs 38.5 months, HR 1.52 (1.00–2.33), log-rank p=0.050 by ITT. Phase 2, designed at two-sided </w:t>
            </w:r>
            <w:r>
              <w:rPr>
                <w:b/>
                <w:bCs/>
                <w:color w:val="15181F"/>
                <w:sz w:val="17"/>
                <w:szCs w:val="17"/>
              </w:rPr>
              <w:t xml:space="preserve">alpha 0.15</w:t>
            </w:r>
            <w:r>
              <w:rPr>
                <w:color w:val="15181F"/>
                <w:sz w:val="17"/>
                <w:szCs w:val="17"/>
              </w:rPr>
              <w:t xml:space="preserve">; nothing significant per protocol (p=0.14; HR 1.46, 0.99–2.17, p=0.058). 16 of 77 (21%) never received FOLFIRINOX and </w:t>
            </w:r>
            <w:r>
              <w:rPr>
                <w:b/>
                <w:bCs/>
                <w:color w:val="15181F"/>
                <w:sz w:val="17"/>
                <w:szCs w:val="17"/>
              </w:rPr>
              <w:t xml:space="preserve">all 16 went straight to resection</w:t>
            </w:r>
            <w:r>
              <w:rPr>
                <w:color w:val="15181F"/>
                <w:sz w:val="17"/>
                <w:szCs w:val="17"/>
              </w:rPr>
              <w:t xml:space="preserve">; only 37 of 61 who started (61%) completed four cycles. The 38.5-month control-arm median exceeds every comparable upfront-surgery arm</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ESPAC5 (n=90 randomised, 86 analysed, borderline only)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Four arms: immediate surgery vs gemcitabine+capecitabine vs FOLFIRINOX vs capecitabine chemoradiotherapy. Adjuvant therapy anywhere in the trial was gemcitabine-based in 41 of 43 patients (95%). </w:t>
            </w:r>
            <w:r>
              <w:rPr>
                <w:b/>
                <w:bCs/>
                <w:color w:val="15181F"/>
                <w:sz w:val="17"/>
                <w:szCs w:val="17"/>
              </w:rPr>
              <w:t xml:space="preserve">Both primary endpoints negative</w:t>
            </w:r>
            <w:r>
              <w:rPr>
                <w:color w:val="15181F"/>
                <w:sz w:val="17"/>
                <w:szCs w:val="17"/>
              </w:rPr>
              <w:t xml:space="preserve"> — recruitment 90 of a 100 target at 2.16/month, resection 68% vs 55% (P=0.33, favouring immediate surgery), R0 14% vs 23% (P=0.49). 1-year OS 39% vs 78% vs 84% vs 60% (P=0.0028), pooled HR 0.29 (0.14–0.60): a secondary endpoint, 31 deaths, follow-up capped at 12 months, control-arm CA 19-9 802 vs 322–623 kU/L unadjusted. The chemoradiotherapy arm had the best pathology and the worst survival</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SWOG S1505 (n=147 enrolled, 102 analysed, resectable)</w:t>
            </w:r>
          </w:p>
        </w:tc>
        <w:tc>
          <w:tcPr>
            <w:tcW w:type="dxa" w:w="5260"/>
            <w:tcMar>
              <w:top w:type="dxa" w:w="70"/>
              <w:left w:type="dxa" w:w="110"/>
              <w:bottom w:type="dxa" w:w="70"/>
              <w:right w:type="dxa" w:w="110"/>
            </w:tcMar>
            <w:vAlign w:val="top"/>
          </w:tcPr>
          <w:p>
            <w:pPr>
              <w:spacing w:after="0" w:line="276"/>
            </w:pPr>
            <w:r>
              <w:rPr>
                <w:color w:val="15181F"/>
                <w:sz w:val="17"/>
                <w:szCs w:val="17"/>
              </w:rPr>
              <w:t xml:space="preserve">Perioperative mFOLFIRINOX vs perioperative gemcitabine/nab-paclitaxel. </w:t>
            </w:r>
            <w:r>
              <w:rPr>
                <w:b/>
                <w:bCs/>
                <w:color w:val="15181F"/>
                <w:sz w:val="17"/>
                <w:szCs w:val="17"/>
              </w:rPr>
              <w:t xml:space="preserve">No randomised control</w:t>
            </w:r>
            <w:r>
              <w:rPr>
                <w:color w:val="15181F"/>
                <w:sz w:val="17"/>
                <w:szCs w:val="17"/>
              </w:rPr>
              <w:t xml:space="preserve"> — each arm tested against a historical 2-year survival of 40% from adjuvant trials, and </w:t>
            </w:r>
            <w:r>
              <w:rPr>
                <w:b/>
                <w:bCs/>
                <w:color w:val="15181F"/>
                <w:sz w:val="17"/>
                <w:szCs w:val="17"/>
              </w:rPr>
              <w:t xml:space="preserve">both arms missed it</w:t>
            </w:r>
            <w:r>
              <w:rPr>
                <w:color w:val="15181F"/>
                <w:sz w:val="17"/>
                <w:szCs w:val="17"/>
              </w:rPr>
              <w:t xml:space="preserve">: 47% (P=.15) and 48% (P=.14). Median OS 23.2 and 23.6 months. No winner picked. 45 of 147 (31%) removed from the analysed population after treatment, 43 of them on central radiology review. Its durable finding is that </w:t>
            </w:r>
            <w:r>
              <w:rPr>
                <w:b/>
                <w:bCs/>
                <w:color w:val="15181F"/>
                <w:sz w:val="17"/>
                <w:szCs w:val="17"/>
              </w:rPr>
              <w:t xml:space="preserve">29% of patients called resectable by their own centres did not meet the criteria</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Alliance A021501 (n=126 registered, borderline only)</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Neoadjuvant mFOLFIRINOX vs mFOLFIRINOX plus hypofractionated radiotherapy, each against a historical 18-month survival of 50% at one-sided alpha 0.07; postoperative therapy was FOLFOX6, reaching 34% and 24%. </w:t>
            </w:r>
            <w:r>
              <w:rPr>
                <w:b/>
                <w:bCs/>
                <w:color w:val="15181F"/>
                <w:sz w:val="17"/>
                <w:szCs w:val="17"/>
              </w:rPr>
              <w:t xml:space="preserve">No randomised control, and the design forbids comparing the arms.</w:t>
            </w:r>
            <w:r>
              <w:rPr>
                <w:color w:val="15181F"/>
                <w:sz w:val="17"/>
                <w:szCs w:val="17"/>
              </w:rPr>
              <w:t xml:space="preserve"> Arm 1 met its benchmark (18-month OS 66.7%, 56.1–79.4; median 29.8 months); arm 2 closed early for futility on R0 rate in the first 30 patients (10 of 30 vs 17 of 30) with 18-month OS 47.3% and median 17.1 months. 16 of arm 1's 70 patients were registered </w:t>
            </w:r>
            <w:r>
              <w:rPr>
                <w:b/>
                <w:bCs/>
                <w:color w:val="15181F"/>
                <w:sz w:val="17"/>
                <w:szCs w:val="17"/>
              </w:rPr>
              <w:t xml:space="preserve">without randomisation</w:t>
            </w:r>
            <w:r>
              <w:rPr>
                <w:color w:val="15181F"/>
                <w:sz w:val="17"/>
                <w:szCs w:val="17"/>
              </w:rPr>
              <w:t xml:space="preserve"> after arm 2 closed; 27% of arm 2 never received radiotherapy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Alliance A021806 (n=358, resectable)</w:t>
            </w:r>
          </w:p>
        </w:tc>
        <w:tc>
          <w:tcPr>
            <w:tcW w:type="dxa" w:w="5260"/>
            <w:tcMar>
              <w:top w:type="dxa" w:w="70"/>
              <w:left w:type="dxa" w:w="110"/>
              <w:bottom w:type="dxa" w:w="70"/>
              <w:right w:type="dxa" w:w="110"/>
            </w:tcMar>
            <w:vAlign w:val="top"/>
          </w:tcPr>
          <w:p>
            <w:pPr>
              <w:spacing w:after="0" w:line="276"/>
            </w:pPr>
            <w:r>
              <w:rPr>
                <w:color w:val="15181F"/>
                <w:sz w:val="17"/>
                <w:szCs w:val="17"/>
              </w:rPr>
              <w:t xml:space="preserve">Perioperative vs adjuvant mFOLFIRINOX, primary endpoint overall survival — the only trial that asks the question this gate faces. </w:t>
            </w:r>
            <w:r>
              <w:rPr>
                <w:b/>
                <w:bCs/>
                <w:color w:val="15181F"/>
                <w:sz w:val="17"/>
                <w:szCs w:val="17"/>
              </w:rPr>
              <w:t xml:space="preserve">No results.</w:t>
            </w:r>
            <w:r>
              <w:rPr>
                <w:color w:val="15181F"/>
                <w:sz w:val="17"/>
                <w:szCs w:val="17"/>
              </w:rPr>
              <w:t xml:space="preserve"> Active, not recruiting; primary completion scheduled December 2028</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Pooled, 9 randomised trials (n=1,194)</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Overall HR 0.73 (0.55–0.98), I² 55.8%; by subgroup borderline resectable 0.60 (0.38–0.96) and resectable 0.90 (0.63–1.28) — but the </w:t>
            </w:r>
            <w:r>
              <w:rPr>
                <w:b/>
                <w:bCs/>
                <w:color w:val="15181F"/>
                <w:sz w:val="17"/>
                <w:szCs w:val="17"/>
              </w:rPr>
              <w:t xml:space="preserve">between-subgroup test was not significant (p=0.081)</w:t>
            </w:r>
            <w:r>
              <w:rPr>
                <w:color w:val="15181F"/>
                <w:sz w:val="17"/>
                <w:szCs w:val="17"/>
              </w:rPr>
              <w:t xml:space="preserve">. Resection rate lower (72.6% vs 80.6%, RR 0.94); R0 higher (43.8% vs 33.0%, RR 1.35); N0 higher (30.9% vs 15.0%, RR 2.03); serious adverse events roughly doubled (56.1% vs 27.0%, RR reported as 1.92 with a 95% CI of 1.28–1.89 that does not contain its own point estimate). </w:t>
            </w:r>
            <w:r>
              <w:rPr>
                <w:b/>
                <w:bCs/>
                <w:color w:val="15181F"/>
                <w:sz w:val="17"/>
                <w:szCs w:val="17"/>
              </w:rPr>
              <w:t xml:space="preserve">Adjuvant therapy initiation did not differ (57.7% vs 55.6%, p=0.353)</w:t>
            </w:r>
            <w:r>
              <w:rPr>
                <w:color w:val="15181F"/>
                <w:sz w:val="17"/>
                <w:szCs w:val="17"/>
              </w:rPr>
              <w:t xml:space="preserve">, which undercuts the mechanism the strategy rests on. The pooled comparator is overwhelmingly adjuvant gemcitabine or S-1; the headline estimate depends on </w:t>
            </w:r>
            <w:r>
              <w:rPr>
                <w:b/>
                <w:bCs/>
                <w:color w:val="15181F"/>
                <w:sz w:val="17"/>
                <w:szCs w:val="17"/>
              </w:rPr>
              <w:t xml:space="preserve">post hoc removal of NORPACT-1</w:t>
            </w:r>
            <w:r>
              <w:rPr>
                <w:color w:val="15181F"/>
                <w:sz w:val="17"/>
                <w:szCs w:val="17"/>
              </w:rPr>
              <w:t xml:space="preserve">, the only trial with a partly modern comparator and the only one favouring upfront surgery</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ESMO 2023 guideline</w:t>
            </w:r>
          </w:p>
        </w:tc>
        <w:tc>
          <w:tcPr>
            <w:tcW w:type="dxa" w:w="5260"/>
            <w:tcMar>
              <w:top w:type="dxa" w:w="70"/>
              <w:left w:type="dxa" w:w="110"/>
              <w:bottom w:type="dxa" w:w="70"/>
              <w:right w:type="dxa" w:w="110"/>
            </w:tcMar>
            <w:vAlign w:val="top"/>
          </w:tcPr>
          <w:p>
            <w:pPr>
              <w:spacing w:after="0" w:line="276"/>
            </w:pPr>
            <w:r>
              <w:rPr>
                <w:b/>
                <w:bCs/>
                <w:color w:val="15181F"/>
                <w:sz w:val="17"/>
                <w:szCs w:val="17"/>
              </w:rPr>
              <w:t xml:space="preserve">Neoadjuvant therapy is not recommended for resectable pancreatic cancer due to limited phase III evidence, except in the context of clinical trials — [II, E]</w:t>
            </w:r>
            <w:r>
              <w:rPr>
                <w:color w:val="15181F"/>
                <w:sz w:val="17"/>
                <w:szCs w:val="17"/>
              </w:rPr>
              <w:t xml:space="preserve">, a recommendation against. Induction is favoured over upfront surgery in borderline resectable disease on weaker language (</w:t>
            </w:r>
            <w:r>
              <w:rPr>
                <w:i/>
                <w:iCs/>
                <w:color w:val="15181F"/>
                <w:sz w:val="17"/>
                <w:szCs w:val="17"/>
              </w:rPr>
              <w:t xml:space="preserve">impact on OS seems promising</w:t>
            </w:r>
            <w:r>
              <w:rPr>
                <w:color w:val="15181F"/>
                <w:sz w:val="17"/>
                <w:szCs w:val="17"/>
              </w:rPr>
              <w:t xml:space="preserve">). The guideline predates PREOPANC-2, NORPACT-1 and the 2025 meta-analyses, and describes no literature search strategy</w:t>
            </w:r>
          </w:p>
        </w:tc>
      </w:tr>
    </w:tbl>
    <w:p>
      <w:pPr>
        <w:spacing w:after="200" w:line="276"/>
      </w:pPr>
      <w:r>
        <w:rPr>
          <w:i/>
          <w:iCs/>
          <w:color w:val="5A6069"/>
          <w:sz w:val="16"/>
          <w:szCs w:val="16"/>
        </w:rPr>
        <w:t xml:space="preserve">Reading the table by resectability category is the most coherent way to hold it together — in </w:t>
      </w:r>
      <w:r>
        <w:rPr>
          <w:b/>
          <w:bCs/>
          <w:i/>
          <w:iCs/>
          <w:color w:val="5A6069"/>
          <w:sz w:val="16"/>
          <w:szCs w:val="16"/>
        </w:rPr>
        <w:t xml:space="preserve">borderline resectable</w:t>
      </w:r>
      <w:r>
        <w:rPr>
          <w:i/>
          <w:iCs/>
          <w:color w:val="5A6069"/>
          <w:sz w:val="16"/>
          <w:szCs w:val="16"/>
        </w:rPr>
        <w:t xml:space="preserve"> disease the randomised evidence leans toward neoadjuvant chemotherapy (pooled HR 0.60, and ESPAC5's survival signal), while in </w:t>
      </w:r>
      <w:r>
        <w:rPr>
          <w:b/>
          <w:bCs/>
          <w:i/>
          <w:iCs/>
          <w:color w:val="5A6069"/>
          <w:sz w:val="16"/>
          <w:szCs w:val="16"/>
        </w:rPr>
        <w:t xml:space="preserve">anatomically resectable</w:t>
      </w:r>
      <w:r>
        <w:rPr>
          <w:i/>
          <w:iCs/>
          <w:color w:val="5A6069"/>
          <w:sz w:val="16"/>
          <w:szCs w:val="16"/>
        </w:rPr>
        <w:t xml:space="preserve"> disease it does not (pooled HR 0.90, NORPACT-1 pointing the other way, and ESMO recommending against at [II, E]). But the full-text read says that reading is a hypothesis, not a result: the between-subgroup test in the pooled analysis was </w:t>
      </w:r>
      <w:r>
        <w:rPr>
          <w:b/>
          <w:bCs/>
          <w:i/>
          <w:iCs/>
          <w:color w:val="5A6069"/>
          <w:sz w:val="16"/>
          <w:szCs w:val="16"/>
        </w:rPr>
        <w:t xml:space="preserve">not</w:t>
      </w:r>
      <w:r>
        <w:rPr>
          <w:i/>
          <w:iCs/>
          <w:color w:val="5A6069"/>
          <w:sz w:val="16"/>
          <w:szCs w:val="16"/>
        </w:rPr>
        <w:t xml:space="preserve"> significant (p=0.081), PREOPANC's interaction test was not significant in either report, and PREOPANC-2 found no treatment-effect heterogeneity in any subgroup. Five traps. </w:t>
      </w:r>
      <w:r>
        <w:rPr>
          <w:b/>
          <w:bCs/>
          <w:i/>
          <w:iCs/>
          <w:color w:val="5A6069"/>
          <w:sz w:val="16"/>
          <w:szCs w:val="16"/>
        </w:rPr>
        <w:t xml:space="preserve">The comparator.</w:t>
      </w:r>
      <w:r>
        <w:rPr>
          <w:i/>
          <w:iCs/>
          <w:color w:val="5A6069"/>
          <w:sz w:val="16"/>
          <w:szCs w:val="16"/>
        </w:rPr>
        <w:t xml:space="preserve"> Only NORPACT-1 gave its control arm modern adjuvant therapy, and there only 43% of resected control patients received adjuvant mFOLFIRINOX — so the question a board actually faces, neoadjuvant chemotherapy against upfront surgery with adjuvant mFOLFIRINOX, has never been tested; A021806 will test it and has published nothing. </w:t>
      </w:r>
      <w:r>
        <w:rPr>
          <w:b/>
          <w:bCs/>
          <w:i/>
          <w:iCs/>
          <w:color w:val="5A6069"/>
          <w:sz w:val="16"/>
          <w:szCs w:val="16"/>
        </w:rPr>
        <w:t xml:space="preserve">PREOPANC.</w:t>
      </w:r>
      <w:r>
        <w:rPr>
          <w:i/>
          <w:iCs/>
          <w:color w:val="5A6069"/>
          <w:sz w:val="16"/>
          <w:szCs w:val="16"/>
        </w:rPr>
        <w:t xml:space="preserve"> Its positive result came from a second, unplanned look at a trial whose primary analysis was negative, in a mixed population, against adjuvant gemcitabine monotherapy half of whose arm received no chemotherapy at all; the median difference is 1.4 months and the separation is in the 5-year tail. </w:t>
      </w:r>
      <w:r>
        <w:rPr>
          <w:b/>
          <w:bCs/>
          <w:i/>
          <w:iCs/>
          <w:color w:val="5A6069"/>
          <w:sz w:val="16"/>
          <w:szCs w:val="16"/>
        </w:rPr>
        <w:t xml:space="preserve">NORPACT-1.</w:t>
      </w:r>
      <w:r>
        <w:rPr>
          <w:i/>
          <w:iCs/>
          <w:color w:val="5A6069"/>
          <w:sz w:val="16"/>
          <w:szCs w:val="16"/>
        </w:rPr>
        <w:t xml:space="preserve"> Phase 2, designed at a two-sided alpha of 0.15, non-significant per protocol, with 21% of allocated patients never receiving the regimen and all of them going straight to resection, and a control-arm median of 38.5 months that exceeds every comparable arm in the literature. </w:t>
      </w:r>
      <w:r>
        <w:rPr>
          <w:b/>
          <w:bCs/>
          <w:i/>
          <w:iCs/>
          <w:color w:val="5A6069"/>
          <w:sz w:val="16"/>
          <w:szCs w:val="16"/>
        </w:rPr>
        <w:t xml:space="preserve">ESPAC5.</w:t>
      </w:r>
      <w:r>
        <w:rPr>
          <w:i/>
          <w:iCs/>
          <w:color w:val="5A6069"/>
          <w:sz w:val="16"/>
          <w:szCs w:val="16"/>
        </w:rPr>
        <w:t xml:space="preserve"> It failed both primary endpoints and its resection rate numerically favoured immediate surgery, so its survival figures are a secondary endpoint at 12 months of follow-up with 31 deaths and an unadjusted three-fold CA 19-9 imbalance against the control arm. </w:t>
      </w:r>
      <w:r>
        <w:rPr>
          <w:b/>
          <w:bCs/>
          <w:i/>
          <w:iCs/>
          <w:color w:val="5A6069"/>
          <w:sz w:val="16"/>
          <w:szCs w:val="16"/>
        </w:rPr>
        <w:t xml:space="preserve">The pooled analysis.</w:t>
      </w:r>
      <w:r>
        <w:rPr>
          <w:i/>
          <w:iCs/>
          <w:color w:val="5A6069"/>
          <w:sz w:val="16"/>
          <w:szCs w:val="16"/>
        </w:rPr>
        <w:t xml:space="preserve"> Its headline estimate depends on post hoc removal of NORPACT-1 — the only trial with a partly modern comparator and the only one favouring upfront surgery — and its serious-adverse-event risk ratio of 1.92 is published with a 95% CI of 1.28 to 1.89 that does not contain its own point estimate. The surrogates do not help: R0 and N0 rates improved with neoadjuvant therapy in the pooled data and in NORPACT-1, nodal status improved with chemoradiotherapy in PREOPANC-2, and ESPAC5's chemoradiotherapy arm had the best pathology and the worst survival — in none of these did the pathology move survival.</w:t>
      </w:r>
    </w:p>
    <w:p>
      <w:pPr>
        <w:pStyle w:val="Heading3"/>
        <w:keepNext/>
        <w:spacing w:after="110" w:before="240"/>
      </w:pPr>
      <w:r>
        <w:rPr>
          <w:rFonts w:ascii="Cambria" w:cs="Cambria" w:eastAsia="Cambria" w:hAnsi="Cambria"/>
          <w:b/>
          <w:bCs/>
          <w:color w:val="17365D"/>
          <w:sz w:val="22"/>
          <w:szCs w:val="22"/>
        </w:rPr>
        <w:t xml:space="preserve">What the molecular result changes</w:t>
      </w:r>
    </w:p>
    <w:p>
      <w:pPr>
        <w:spacing w:after="120" w:line="276"/>
      </w:pPr>
      <w:r>
        <w:rPr>
          <w:i/>
          <w:iCs/>
          <w:color w:val="5A6069"/>
          <w:sz w:val="18"/>
          <w:szCs w:val="18"/>
        </w:rPr>
        <w:t xml:space="preserve">Which alteration leads to which agent, with the figure that justifies it and the population it was measured in.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Germline, any patient</w:t>
            </w:r>
          </w:p>
        </w:tc>
        <w:tc>
          <w:tcPr>
            <w:tcW w:type="dxa" w:w="5260"/>
            <w:tcMar>
              <w:top w:type="dxa" w:w="70"/>
              <w:left w:type="dxa" w:w="110"/>
              <w:bottom w:type="dxa" w:w="70"/>
              <w:right w:type="dxa" w:w="110"/>
            </w:tcMar>
            <w:vAlign w:val="top"/>
          </w:tcPr>
          <w:p>
            <w:pPr>
              <w:spacing w:after="0" w:line="276"/>
            </w:pPr>
            <w:r>
              <w:rPr>
                <w:color w:val="15181F"/>
                <w:sz w:val="17"/>
                <w:szCs w:val="17"/>
              </w:rPr>
              <w:t xml:space="preserve">Test everyone, regardless of family history: deleterious variants in </w:t>
            </w:r>
            <w:r>
              <w:rPr>
                <w:i/>
                <w:iCs/>
                <w:color w:val="15181F"/>
                <w:sz w:val="17"/>
                <w:szCs w:val="17"/>
              </w:rPr>
              <w:t xml:space="preserve">CDKN2A</w:t>
            </w:r>
            <w:r>
              <w:rPr>
                <w:color w:val="15181F"/>
                <w:sz w:val="17"/>
                <w:szCs w:val="17"/>
              </w:rPr>
              <w:t xml:space="preserve">, </w:t>
            </w:r>
            <w:r>
              <w:rPr>
                <w:i/>
                <w:iCs/>
                <w:color w:val="15181F"/>
                <w:sz w:val="17"/>
                <w:szCs w:val="17"/>
              </w:rPr>
              <w:t xml:space="preserve">TP53</w:t>
            </w:r>
            <w:r>
              <w:rPr>
                <w:color w:val="15181F"/>
                <w:sz w:val="17"/>
                <w:szCs w:val="17"/>
              </w:rPr>
              <w:t xml:space="preserve">, </w:t>
            </w:r>
            <w:r>
              <w:rPr>
                <w:i/>
                <w:iCs/>
                <w:color w:val="15181F"/>
                <w:sz w:val="17"/>
                <w:szCs w:val="17"/>
              </w:rPr>
              <w:t xml:space="preserve">MLH1</w:t>
            </w:r>
            <w:r>
              <w:rPr>
                <w:color w:val="15181F"/>
                <w:sz w:val="17"/>
                <w:szCs w:val="17"/>
              </w:rPr>
              <w:t xml:space="preserve">, </w:t>
            </w:r>
            <w:r>
              <w:rPr>
                <w:i/>
                <w:iCs/>
                <w:color w:val="15181F"/>
                <w:sz w:val="17"/>
                <w:szCs w:val="17"/>
              </w:rPr>
              <w:t xml:space="preserve">BRCA2</w:t>
            </w:r>
            <w:r>
              <w:rPr>
                <w:color w:val="15181F"/>
                <w:sz w:val="17"/>
                <w:szCs w:val="17"/>
              </w:rPr>
              <w:t xml:space="preserve">, </w:t>
            </w:r>
            <w:r>
              <w:rPr>
                <w:i/>
                <w:iCs/>
                <w:color w:val="15181F"/>
                <w:sz w:val="17"/>
                <w:szCs w:val="17"/>
              </w:rPr>
              <w:t xml:space="preserve">ATM</w:t>
            </w:r>
            <w:r>
              <w:rPr>
                <w:color w:val="15181F"/>
                <w:sz w:val="17"/>
                <w:szCs w:val="17"/>
              </w:rPr>
              <w:t xml:space="preserve"> or </w:t>
            </w:r>
            <w:r>
              <w:rPr>
                <w:i/>
                <w:iCs/>
                <w:color w:val="15181F"/>
                <w:sz w:val="17"/>
                <w:szCs w:val="17"/>
              </w:rPr>
              <w:t xml:space="preserve">BRCA1</w:t>
            </w:r>
            <w:r>
              <w:rPr>
                <w:color w:val="15181F"/>
                <w:sz w:val="17"/>
                <w:szCs w:val="17"/>
              </w:rPr>
              <w:t xml:space="preserve"> in 5.5% of 3,030 registry patients — 7.9% with a family history, 5.2% without. A clinic-based case series against public sequencing databases, not a recruited control group; carriage was not associated with survival (HR 0.86, P=.09); and of the six genes only </w:t>
            </w:r>
            <w:r>
              <w:rPr>
                <w:i/>
                <w:iCs/>
                <w:color w:val="15181F"/>
                <w:sz w:val="17"/>
                <w:szCs w:val="17"/>
              </w:rPr>
              <w:t xml:space="preserve">BRCA1/2</w:t>
            </w:r>
            <w:r>
              <w:rPr>
                <w:color w:val="15181F"/>
                <w:sz w:val="17"/>
                <w:szCs w:val="17"/>
              </w:rPr>
              <w:t xml:space="preserve"> has a randomised treatment consequence in this disease, so 5.5% is not the actionable fraction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RAS G12 mutation, previously treated</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Daraxonrasib: median OS 13.2 vs 6.6 months in the RAS G12 population, HR 0.40, P&lt;0.001; PFS by blinded central review 7.3 vs 3.5 months, HR 0.45. Phase 3, n=500, open label, unconstrained investigator's-choice comparator. </w:t>
            </w:r>
            <w:r>
              <w:rPr>
                <w:b/>
                <w:bCs/>
                <w:color w:val="15181F"/>
                <w:sz w:val="17"/>
                <w:szCs w:val="17"/>
              </w:rPr>
              <w:t xml:space="preserve">Non-G12 patients: HR 1.38 (0.60–3.17)</w:t>
            </w:r>
            <w:r>
              <w:rPr>
                <w:color w:val="15181F"/>
                <w:sz w:val="17"/>
                <w:szCs w:val="17"/>
              </w:rPr>
              <w:t xml:space="preserve">, favouring chemotherapy. 38 of 252 (15.1%) of the chemotherapy arm never received it, against 7 of 248 (2.8%) on daraxonrasib</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Germline BRCA1/2, platinum-exposed</w:t>
            </w:r>
          </w:p>
        </w:tc>
        <w:tc>
          <w:tcPr>
            <w:tcW w:type="dxa" w:w="5260"/>
            <w:tcMar>
              <w:top w:type="dxa" w:w="70"/>
              <w:left w:type="dxa" w:w="110"/>
              <w:bottom w:type="dxa" w:w="70"/>
              <w:right w:type="dxa" w:w="110"/>
            </w:tcMar>
            <w:vAlign w:val="top"/>
          </w:tcPr>
          <w:p>
            <w:pPr>
              <w:spacing w:after="0" w:line="276"/>
            </w:pPr>
            <w:r>
              <w:rPr>
                <w:color w:val="15181F"/>
                <w:sz w:val="17"/>
                <w:szCs w:val="17"/>
              </w:rPr>
              <w:t xml:space="preserve">Olaparib maintenance after ≥16 weeks platinum without progression: PFS 7.4 vs 3.8 months, HR 0.53 (0.35–0.82), P=.004; </w:t>
            </w:r>
            <w:r>
              <w:rPr>
                <w:b/>
                <w:bCs/>
                <w:color w:val="15181F"/>
                <w:sz w:val="17"/>
                <w:szCs w:val="17"/>
              </w:rPr>
              <w:t xml:space="preserve">no OS difference</w:t>
            </w:r>
            <w:r>
              <w:rPr>
                <w:color w:val="15181F"/>
                <w:sz w:val="17"/>
                <w:szCs w:val="17"/>
              </w:rPr>
              <w:t xml:space="preserve"> at interim (46% maturity), 18.9 vs 18.1 months, HR 0.91 (0.56–1.46), P=.68; no quality-of-life difference; grade ≥3 AEs 40% vs 23%. Comparator was placebo, not continued chemotherapy; 154 randomised from 3,315 screened (4.6%)</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BRCA1/2 or PALB2, germline or somatic</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Rucaparib maintenance after ≥16 weeks platinum: median PFS 13.1 months, median duration of response 17.3 months — single-arm phase 2, no control, primary report not read for this depot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MSI-high or dMMR</w:t>
            </w:r>
          </w:p>
        </w:tc>
        <w:tc>
          <w:tcPr>
            <w:tcW w:type="dxa" w:w="5260"/>
            <w:tcMar>
              <w:top w:type="dxa" w:w="70"/>
              <w:left w:type="dxa" w:w="110"/>
              <w:bottom w:type="dxa" w:w="70"/>
              <w:right w:type="dxa" w:w="110"/>
            </w:tcMar>
            <w:vAlign w:val="top"/>
          </w:tcPr>
          <w:p>
            <w:pPr>
              <w:spacing w:after="0" w:line="276"/>
            </w:pPr>
            <w:r>
              <w:rPr>
                <w:color w:val="15181F"/>
                <w:sz w:val="17"/>
                <w:szCs w:val="17"/>
              </w:rPr>
              <w:t xml:space="preserve">Pembrolizumab, or dostarlimab as subsequent therapy. Pembrolizumab also for TMB-high (≥10 mut/Mb). Tumour-agnostic approvals; no pancreatic trial read for this depot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KRAS G12C (1–2% of PDAC)</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Sotorasib: 8 of 38 responded (21%, 10–37), PFS 4.0 months, OS 6.9 months — </w:t>
            </w:r>
            <w:r>
              <w:rPr>
                <w:b/>
                <w:bCs/>
                <w:color w:val="15181F"/>
                <w:sz w:val="17"/>
                <w:szCs w:val="17"/>
              </w:rPr>
              <w:t xml:space="preserve">no prespecified benchmark and no hypothesis test</w:t>
            </w:r>
            <w:r>
              <w:rPr>
                <w:color w:val="15181F"/>
                <w:sz w:val="17"/>
                <w:szCs w:val="17"/>
              </w:rPr>
              <w:t xml:space="preserve">. Adagrasib: 7 of </w:t>
            </w:r>
            <w:r>
              <w:rPr>
                <w:b/>
                <w:bCs/>
                <w:color w:val="15181F"/>
                <w:sz w:val="17"/>
                <w:szCs w:val="17"/>
              </w:rPr>
              <w:t xml:space="preserve">21</w:t>
            </w:r>
            <w:r>
              <w:rPr>
                <w:color w:val="15181F"/>
                <w:sz w:val="17"/>
                <w:szCs w:val="17"/>
              </w:rPr>
              <w:t xml:space="preserve"> pancreatic patients responded (33.3%) on central review, PFS 5.4 months, OS 8.0 months, against a 10% null that applies to the pooled basket and not to this subgroup. Both single-arm, no screening denominator</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NRG1 fusion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Zenocutuzumab: 15 of 36 pancreatic patients responded by investigator assessment (42%, 25–59) and 16 of 36 centrally (44%); median duration of response 7.4 months (4.0–11.2) investigator-assessed, 9.1 months centrally. </w:t>
            </w:r>
            <w:r>
              <w:rPr>
                <w:b/>
                <w:bCs/>
                <w:color w:val="15181F"/>
                <w:sz w:val="17"/>
                <w:szCs w:val="17"/>
              </w:rPr>
              <w:t xml:space="preserve">All 36 were KRAS wild-type, and no PFS or OS is reported for this subgroup.</w:t>
            </w:r>
            <w:r>
              <w:rPr>
                <w:color w:val="15181F"/>
                <w:sz w:val="17"/>
                <w:szCs w:val="17"/>
              </w:rPr>
              <w:t xml:space="preserve"> Enriched in younger KRAS wild-type patients — median age 48.5 years in a 10-patient series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NTRK fusion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Entrectinib, larotrectinib or repotrectinib — basket-trial results with 1 to 3 pancreatic patients each; no primary report read for this depot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RET fusion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Selpercatinib — 11 pancreatic patients, at least half with an objective response; no primary report read for this depot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BRAF V600E</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Dabrafenib with trametinib — ORR 38–47% across the NCI-MATCH subprotocol and the ROAR basket trial, in mixed tumour types; no primary report read for this depot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FGFR alteration</w:t>
            </w:r>
          </w:p>
        </w:tc>
        <w:tc>
          <w:tcPr>
            <w:tcW w:type="dxa" w:w="5260"/>
            <w:tcMar>
              <w:top w:type="dxa" w:w="70"/>
              <w:left w:type="dxa" w:w="110"/>
              <w:bottom w:type="dxa" w:w="70"/>
              <w:right w:type="dxa" w:w="110"/>
            </w:tcMar>
            <w:vAlign w:val="top"/>
          </w:tcPr>
          <w:p>
            <w:pPr>
              <w:spacing w:after="0" w:line="276"/>
            </w:pPr>
            <w:r>
              <w:rPr>
                <w:color w:val="15181F"/>
                <w:sz w:val="17"/>
                <w:szCs w:val="17"/>
              </w:rPr>
              <w:t xml:space="preserve">Erdafitinib — 10 of 18 pancreatic patients responded (56%) in RAGNAR; no primary report read for this depot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HER2</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Test by IHC ± FISH as well as on the NGS panel; fam-trastuzumab deruxtecan was studied in 25 pancreatic patients in DESTINY-PanTumor2, under 20% of whom were IHC 3+; no primary report read for this depot</w:t>
            </w:r>
          </w:p>
        </w:tc>
      </w:tr>
    </w:tbl>
    <w:p>
      <w:pPr>
        <w:spacing w:after="200" w:line="276"/>
      </w:pPr>
      <w:r>
        <w:rPr>
          <w:i/>
          <w:iCs/>
          <w:color w:val="5A6069"/>
          <w:sz w:val="16"/>
          <w:szCs w:val="16"/>
        </w:rPr>
        <w:t xml:space="preserve">Two operational points matter more than any single row. Order profiling and germline testing at the first visit and bank two extra needle passes at the index biopsy, because the commonest failure in this disease is a report that arrives after the patient is too unwell to act on it — and do not wait for the result to start treatment, since NCCN states that if BRCA1/2 status is unknown the patient is treated as clinically indicated. Then read the denominators. Apart from daraxonrasib and olaparib, every row here is a single-arm result in a pancreatic subset of between one and thirty-eight patients, usually drawn from a mixed-tumour basket trial, with no screening denominator reported, and response rates from baskets do not transfer cleanly to this disease; two of the rows — sotorasib's pancreatic cohort and the subgroup reads from the adagrasib basket — had no prespecified efficacy threshold applying to pancreatic patients at all, so there was nothing they could have failed. Read the germline row the same way: 5.5% is a prevalence estimate from a clinic-based case series compared with public sequencing databases rather than a recruited control group, carriage was not associated with survival, and of the six genes only </w:t>
      </w:r>
      <w:r>
        <w:rPr>
          <w:i/>
          <w:iCs/>
          <w:color w:val="5A6069"/>
          <w:sz w:val="16"/>
          <w:szCs w:val="16"/>
        </w:rPr>
        <w:t xml:space="preserve">BRCA1/2</w:t>
      </w:r>
      <w:r>
        <w:rPr>
          <w:i/>
          <w:iCs/>
          <w:color w:val="5A6069"/>
          <w:sz w:val="16"/>
          <w:szCs w:val="16"/>
        </w:rPr>
        <w:t xml:space="preserve"> carries a randomised treatment consequence in this disease — so 5.5% is not the actionable fraction. Do not treat the gene as the target; different alterations in the same gene do not predict the same response, which is the point the non-G12 subgroup of RASolute 302 makes (HR 1.38, 0.60–3.17).</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The single most important thing the full-text read changed: </w:t>
      </w:r>
      <w:r>
        <w:rPr>
          <w:b/>
          <w:bCs/>
          <w:sz w:val="19"/>
          <w:szCs w:val="19"/>
        </w:rPr>
        <w:t xml:space="preserve">almost no trial on this page compared its intervention with the therapy this page recommends.</w:t>
      </w:r>
      <w:r>
        <w:rPr>
          <w:b/>
          <w:bCs/>
          <w:sz w:val="19"/>
          <w:szCs w:val="19"/>
        </w:rPr>
        <w:t xml:space="preserve"> Every adjuvant comparator is gemcitabine monotherapy or observation, and every neoadjuvant comparator is upfront surgery followed by adjuvant gemcitabine — except one.</w:t>
      </w:r>
    </w:p>
    <w:p>
      <w:pPr>
        <w:spacing w:after="40" w:line="276"/>
        <w:ind w:left="260"/>
      </w:pPr>
      <w:r>
        <w:rPr>
          <w:color w:val="15181F"/>
          <w:sz w:val="18"/>
          <w:szCs w:val="18"/>
        </w:rPr>
        <w:t xml:space="preserve">In the nine randomised neoadjuvant trials pooled in the 2025 meta-analysis, the upfront-surgery arms received adjuvant gemcitabine monotherapy, S-1, gemcitabine with nab-paclitaxel or PEXG, and </w:t>
      </w:r>
      <w:r>
        <w:rPr>
          <w:b/>
          <w:bCs/>
          <w:color w:val="15181F"/>
          <w:sz w:val="18"/>
          <w:szCs w:val="18"/>
        </w:rPr>
        <w:t xml:space="preserve">only NORPACT-1 used mFOLFIRINOX</w:t>
      </w:r>
      <w:r>
        <w:rPr>
          <w:color w:val="15181F"/>
          <w:sz w:val="18"/>
          <w:szCs w:val="18"/>
        </w:rPr>
        <w:t xml:space="preserve"> — where in turn only 19 of 44 resected control patients (43%) actually received it and 25 of 44 received a gemcitabine-based regimen. PREOPANC gave adjuvant gemcitabine in both arms and only 65 of 127 patients (51%) in the surgery arm received any chemotherapy at all. ESPAC5's adjuvant therapy was gemcitabine or gemcitabine with capecitabine in 41 of 43 patients. PREOPANC-2 has no upfront-surgery arm and gave its FOLFIRINOX arm no adjuvant treatment. S1505 and A021501 had no randomised control at all. On the adjuvant side, PRODIGE-24, ESPAC-4 and APACT all ran against gemcitabine monotherapy, and CONKO-001 against observation. So the sequencing question — neoadjuvant chemotherapy against upfront surgery with adjuvant mFOLFIRINOX delivered to everyone who can take it — </w:t>
      </w:r>
      <w:r>
        <w:rPr>
          <w:b/>
          <w:bCs/>
          <w:color w:val="15181F"/>
          <w:sz w:val="18"/>
          <w:szCs w:val="18"/>
        </w:rPr>
        <w:t xml:space="preserve">has never been tested</w:t>
      </w:r>
      <w:r>
        <w:rPr>
          <w:color w:val="15181F"/>
          <w:sz w:val="18"/>
          <w:szCs w:val="18"/>
        </w:rPr>
        <w:t xml:space="preserve">. A021806 is the trial that will test it, and it has reported nothing.</w:t>
      </w:r>
    </w:p>
    <w:p>
      <w:pPr>
        <w:spacing w:after="60" w:before="160"/>
      </w:pPr>
      <w:r>
        <w:rPr>
          <w:b/>
          <w:bCs/>
          <w:color w:val="8E5008"/>
          <w:sz w:val="19"/>
          <w:szCs w:val="19"/>
        </w:rPr>
        <w:t xml:space="preserve">2. </w:t>
      </w:r>
      <w:r>
        <w:rPr>
          <w:b/>
          <w:bCs/>
          <w:sz w:val="19"/>
          <w:szCs w:val="19"/>
        </w:rPr>
        <w:t xml:space="preserve">NORPACT-1's primary endpoint was statistically significant in favour of </w:t>
      </w:r>
      <w:r>
        <w:rPr>
          <w:b/>
          <w:bCs/>
          <w:sz w:val="19"/>
          <w:szCs w:val="19"/>
        </w:rPr>
        <w:t xml:space="preserve">upfront surgery</w:t>
      </w:r>
      <w:r>
        <w:rPr>
          <w:b/>
          <w:bCs/>
          <w:sz w:val="19"/>
          <w:szCs w:val="19"/>
        </w:rPr>
        <w:t xml:space="preserve">, and that is still not evidence that neoadjuvant chemotherapy is harmful.</w:t>
      </w:r>
    </w:p>
    <w:p>
      <w:pPr>
        <w:spacing w:after="40" w:line="276"/>
        <w:ind w:left="260"/>
      </w:pPr>
      <w:r>
        <w:rPr>
          <w:color w:val="15181F"/>
          <w:sz w:val="18"/>
          <w:szCs w:val="18"/>
        </w:rPr>
        <w:t xml:space="preserve">18-month survival was 60% (95% CI 49–71) with neoadjuvant FOLFIRINOX against 73% (62–84) with upfront surgery, p=0.032, with median overall survival 25.1 against 38.5 months, hazard ratio 1.52 (1.00–2.33), log-rank p=0.050 by intention to treat. Four things bound that result. The trial was designed as an exploratory phase 2 study at a two-sided alpha of </w:t>
      </w:r>
      <w:r>
        <w:rPr>
          <w:b/>
          <w:bCs/>
          <w:color w:val="15181F"/>
          <w:sz w:val="18"/>
          <w:szCs w:val="18"/>
        </w:rPr>
        <w:t xml:space="preserve">0.15</w:t>
      </w:r>
      <w:r>
        <w:rPr>
          <w:color w:val="15181F"/>
          <w:sz w:val="18"/>
          <w:szCs w:val="18"/>
        </w:rPr>
        <w:t xml:space="preserve">. Nothing is significant per protocol (18-month p=0.14; hazard ratio 1.46, 0.99–2.17, p=0.058). Sixteen of 77 patients (21%) allocated to neoadjuvant FOLFIRINOX never received it and </w:t>
      </w:r>
      <w:r>
        <w:rPr>
          <w:b/>
          <w:bCs/>
          <w:color w:val="15181F"/>
          <w:sz w:val="18"/>
          <w:szCs w:val="18"/>
        </w:rPr>
        <w:t xml:space="preserve">all 16 went straight to resection</w:t>
      </w:r>
      <w:r>
        <w:rPr>
          <w:color w:val="15181F"/>
          <w:sz w:val="18"/>
          <w:szCs w:val="18"/>
        </w:rPr>
        <w:t xml:space="preserve">, so the intention-to-treat comparison is not a comparison of two delivered strategies; of the 61 who did start, only 37 (61%) completed four cycles and 16 (26%) received one or two. And the control arm's 38.5-month median exceeds every comparable upfront-surgery arm in the literature (14.3 months in PREOPANC), in 63 patients with 28 deaths, with 3 cholangiocarcinomas and 2 neuroendocrine tumours among the 11 non-PDAC diagnoses left in its denominator. Read it as a failure to show benefit in a trial that failed to deliver its intervention, which is what the authors say.</w:t>
      </w:r>
    </w:p>
    <w:p>
      <w:pPr>
        <w:spacing w:after="60" w:before="160"/>
      </w:pPr>
      <w:r>
        <w:rPr>
          <w:b/>
          <w:bCs/>
          <w:color w:val="8E5008"/>
          <w:sz w:val="19"/>
          <w:szCs w:val="19"/>
        </w:rPr>
        <w:t xml:space="preserve">3. </w:t>
      </w:r>
      <w:r>
        <w:rPr>
          <w:b/>
          <w:bCs/>
          <w:sz w:val="19"/>
          <w:szCs w:val="19"/>
        </w:rPr>
        <w:t xml:space="preserve">The meta-analysis most likely to be cited as settling the sequencing question excludes, post hoc, the one trial whose control arm resembles current practice — and reports a harm estimate whose confidence interval does not contain its own point estimate.</w:t>
      </w:r>
    </w:p>
    <w:p>
      <w:pPr>
        <w:spacing w:after="40" w:line="276"/>
        <w:ind w:left="260"/>
      </w:pPr>
      <w:r>
        <w:rPr>
          <w:color w:val="15181F"/>
          <w:sz w:val="18"/>
          <w:szCs w:val="18"/>
        </w:rPr>
        <w:t xml:space="preserve">The 2025 pooled analysis of nine trials and 1,194 patients gives an overall hazard ratio of 0.73 (0.55–0.98) with I² 55.8%, borderline resectable 0.60 (0.38–0.96) and resectable 0.90 (0.63–1.28). It then removes NORPACT-1 and the pooled ESPAC5 chemotherapy comparison as influence outliers, which collapses heterogeneity to I² 0% by construction and tightens the overall estimate to 0.74 (0.64–0.85) — while removing the only included trial that gave its control arm adjuvant mFOLFIRINOX and the only one favouring upfront surgery. The honest reading is that the pooled estimate is unstable and depends on whether the modern comparator is included. Separately, its serious-adverse-event estimate is reported in both the abstract and the table as a risk ratio of 1.92 with a 95% CI of 1.28 to 1.89 — an interval that does not contain 1.92 — so the magnitude of that harm as published cannot be relied on, although its direction (56.1% versus 27.0%) is clear and clinically important. ESPAC5's four arms are also entered in multiple ways and PREOPANC three times, and survival for several trials was reconstructed from Kaplan-Meier curves.</w:t>
      </w:r>
    </w:p>
    <w:p>
      <w:pPr>
        <w:spacing w:after="60" w:before="160"/>
      </w:pPr>
      <w:r>
        <w:rPr>
          <w:b/>
          <w:bCs/>
          <w:color w:val="8E5008"/>
          <w:sz w:val="19"/>
          <w:szCs w:val="19"/>
        </w:rPr>
        <w:t xml:space="preserve">4. </w:t>
      </w:r>
      <w:r>
        <w:rPr>
          <w:b/>
          <w:bCs/>
          <w:sz w:val="19"/>
          <w:szCs w:val="19"/>
        </w:rPr>
        <w:t xml:space="preserve">The resectable-versus-borderline split that this entire page is organised around is not statistically established.</w:t>
      </w:r>
    </w:p>
    <w:p>
      <w:pPr>
        <w:spacing w:after="40" w:line="276"/>
        <w:ind w:left="260"/>
      </w:pPr>
      <w:r>
        <w:rPr>
          <w:color w:val="15181F"/>
          <w:sz w:val="18"/>
          <w:szCs w:val="18"/>
        </w:rPr>
        <w:t xml:space="preserve">Every test of it has failed. In the pooled analysis the between-subgroup test was p=0.081, and the paper nonetheless concludes that neoadjuvant therapy should be regarded as standard of care in borderline resectable disease. In PREOPANC's initial report the interaction test was P=.14, and in the long-term report no interaction test was significant across any of seven prespecified subgroups. In PREOPANC-2 no subgroup showed treatment-effect heterogeneity at all (every interaction p at or above 0.23). The split is a coherent and probably correct clinical hypothesis — it matches the biology and the pathology data — but it is a hypothesis, and the page uses it to route patients to different gates.</w:t>
      </w:r>
    </w:p>
    <w:p>
      <w:pPr>
        <w:spacing w:after="60" w:before="160"/>
      </w:pPr>
      <w:r>
        <w:rPr>
          <w:b/>
          <w:bCs/>
          <w:color w:val="8E5008"/>
          <w:sz w:val="19"/>
          <w:szCs w:val="19"/>
        </w:rPr>
        <w:t xml:space="preserve">5. </w:t>
      </w:r>
      <w:r>
        <w:rPr>
          <w:b/>
          <w:bCs/>
          <w:sz w:val="19"/>
          <w:szCs w:val="19"/>
        </w:rPr>
        <w:t xml:space="preserve">ESMO's 2023 guideline recommends </w:t>
      </w:r>
      <w:r>
        <w:rPr>
          <w:b/>
          <w:bCs/>
          <w:sz w:val="19"/>
          <w:szCs w:val="19"/>
        </w:rPr>
        <w:t xml:space="preserve">against</w:t>
      </w:r>
      <w:r>
        <w:rPr>
          <w:b/>
          <w:bCs/>
          <w:sz w:val="19"/>
          <w:szCs w:val="19"/>
        </w:rPr>
        <w:t xml:space="preserve"> neoadjuvant therapy in resectable disease, at grade II, E — and this page had not said so.</w:t>
      </w:r>
    </w:p>
    <w:p>
      <w:pPr>
        <w:spacing w:after="40" w:line="276"/>
        <w:ind w:left="260"/>
      </w:pPr>
      <w:r>
        <w:rPr>
          <w:color w:val="15181F"/>
          <w:sz w:val="18"/>
          <w:szCs w:val="18"/>
        </w:rPr>
        <w:t xml:space="preserve">The wording is </w:t>
      </w:r>
      <w:r>
        <w:rPr>
          <w:i/>
          <w:iCs/>
          <w:color w:val="15181F"/>
          <w:sz w:val="18"/>
          <w:szCs w:val="18"/>
        </w:rPr>
        <w:t xml:space="preserve">neoadjuvant therapy is not recommended for resectable PC due to limited phase III evidence, except in the context of clinical trials</w:t>
      </w:r>
      <w:r>
        <w:rPr>
          <w:color w:val="15181F"/>
          <w:sz w:val="18"/>
          <w:szCs w:val="18"/>
        </w:rPr>
        <w:t xml:space="preserve">, graded [II, E]. That is the most authoritative European statement on the question and it is a recommendation against, not a permission. Two qualifications belong with it: the guideline is a September 2023 snapshot that predates PREOPANC-2, NORPACT-1 and the 2025 meta-analyses, and its literature was selected by the authors with no described search strategy, no date limits and no screening flow, with statements the panel considered justified standard practice published ungraded. Its support for induction in borderline resectable disease rests on a five-study meta-analysis (OS HR 0.61, 0.44–0.85) and on PREOPANC's 113-patient borderline subgroup, and is worded as </w:t>
      </w:r>
      <w:r>
        <w:rPr>
          <w:i/>
          <w:iCs/>
          <w:color w:val="15181F"/>
          <w:sz w:val="18"/>
          <w:szCs w:val="18"/>
        </w:rPr>
        <w:t xml:space="preserve">impact on OS seems promising</w:t>
      </w:r>
      <w:r>
        <w:rPr>
          <w:color w:val="15181F"/>
          <w:sz w:val="18"/>
          <w:szCs w:val="18"/>
        </w:rPr>
        <w:t xml:space="preserve"> rather than graded like its [I, A] adjuvant recommendations.</w:t>
      </w:r>
    </w:p>
    <w:p>
      <w:pPr>
        <w:spacing w:after="60" w:before="160"/>
      </w:pPr>
      <w:r>
        <w:rPr>
          <w:b/>
          <w:bCs/>
          <w:color w:val="8E5008"/>
          <w:sz w:val="19"/>
          <w:szCs w:val="19"/>
        </w:rPr>
        <w:t xml:space="preserve">6. </w:t>
      </w:r>
      <w:r>
        <w:rPr>
          <w:b/>
          <w:bCs/>
          <w:sz w:val="19"/>
          <w:szCs w:val="19"/>
        </w:rPr>
        <w:t xml:space="preserve">The attrition argument — that a third of resected patients never get adjuvant therapy, so chemotherapy should come first — is the main mechanistic case for neoadjuvant sequencing, and the randomised data do not support it.</w:t>
      </w:r>
    </w:p>
    <w:p>
      <w:pPr>
        <w:spacing w:after="40" w:line="276"/>
        <w:ind w:left="260"/>
      </w:pPr>
      <w:r>
        <w:rPr>
          <w:color w:val="15181F"/>
          <w:sz w:val="18"/>
          <w:szCs w:val="18"/>
        </w:rPr>
        <w:t xml:space="preserve">Pooled across the nine randomised trials, the proportion of patients who started adjuvant therapy was no different between the two strategies: 57.7% after neoadjuvant treatment against 55.6% after upfront surgery, RR 0.92 (95% CI 0.76–1.12), p=0.353. NORPACT-1 shows the same pattern in detail: any chemotherapy was more often received with the neoadjuvant strategy (95% versus 75%, p=0.0006) but adjuvant initiation (66% versus 75%, p=0.21) and completion (53% versus 49%, p=0.40) did not differ. PREOPANC's neoadjuvant arm had more total chemotherapy exposure, but that is a design artefact: the comparator arm was allowed only postoperative chemotherapy, which half of it never received. The up-to-30% attrition figure is real and is a system failure worth fixing with a named owner — it is just not an argument that these trials settle.</w:t>
      </w:r>
    </w:p>
    <w:p>
      <w:pPr>
        <w:spacing w:after="60" w:before="160"/>
      </w:pPr>
      <w:r>
        <w:rPr>
          <w:b/>
          <w:bCs/>
          <w:color w:val="8E5008"/>
          <w:sz w:val="19"/>
          <w:szCs w:val="19"/>
        </w:rPr>
        <w:t xml:space="preserve">7. </w:t>
      </w:r>
      <w:r>
        <w:rPr>
          <w:b/>
          <w:bCs/>
          <w:sz w:val="19"/>
          <w:szCs w:val="19"/>
        </w:rPr>
        <w:t xml:space="preserve">Roughly a third of patients called resectable are not, and that misclassification sits under every gate on this page.</w:t>
      </w:r>
    </w:p>
    <w:p>
      <w:pPr>
        <w:spacing w:after="40" w:line="276"/>
        <w:ind w:left="260"/>
      </w:pPr>
      <w:r>
        <w:rPr>
          <w:color w:val="15181F"/>
          <w:sz w:val="18"/>
          <w:szCs w:val="18"/>
        </w:rPr>
        <w:t xml:space="preserve">SWOG S1505 required a pancreas-protocol scan within 28 days, formal surgical consultation confirming resectability within 21 days, and enrolment at experienced US trial centres. Central radiology review then found that 43 of 146 patients reviewed (29%) did not meet the trial's own resectability criteria: 22 (51%) had arterial interface, 15 (35%) venous interface of 180 degrees or more, and 28 (65%) suspicion of distant disease. All of them had already started protocol therapy, because the review was retrospective. Adding a mandatory site radiologist checklist after the interim analysis moved the rate only from 33% to 26%. Nothing on this page assumes a misclassification rate at all, and the resectability category is what decides which gate a patient enters.</w:t>
      </w:r>
    </w:p>
    <w:p>
      <w:pPr>
        <w:spacing w:after="60" w:before="160"/>
      </w:pPr>
      <w:r>
        <w:rPr>
          <w:b/>
          <w:bCs/>
          <w:color w:val="8E5008"/>
          <w:sz w:val="19"/>
          <w:szCs w:val="19"/>
        </w:rPr>
        <w:t xml:space="preserve">8. </w:t>
      </w:r>
      <w:r>
        <w:rPr>
          <w:b/>
          <w:bCs/>
          <w:sz w:val="19"/>
          <w:szCs w:val="19"/>
        </w:rPr>
        <w:t xml:space="preserve">The resectability thresholds are a shared language, not a biological boundary, and nobody derived them. A tumour with 181 degrees of SMA contact is not categorically different from one with 179.</w:t>
      </w:r>
    </w:p>
    <w:p>
      <w:pPr>
        <w:spacing w:after="40" w:line="276"/>
        <w:ind w:left="260"/>
      </w:pPr>
      <w:r>
        <w:rPr>
          <w:color w:val="15181F"/>
          <w:sz w:val="18"/>
          <w:szCs w:val="18"/>
        </w:rPr>
        <w:t xml:space="preserve">The degrees come from the Society of Abdominal Radiology and American Pancreatic Association consensus reporting statement, which was produced at a single meeting in November 2011 with no Delphi process, no voting, no reported level of agreement and no described literature search; the 180-degree cut-point was adopted from the NCCN criteria of the time rather than derived or validated in it. The statement reports no inter-reader reproducibility data for measuring circumferential contact, which is the measurement everything else rests on, and no validation that using the template changes report completeness, inter-reader agreement, board decisions, resection rates or margins. NCCN states the criteria for resectable disease were written to favour specificity over sensitivity so that no potentially resectable patient is denied an operation. Their value is that they make boards and trials comparable, which is real but different from prognostic validity — and the S1505 finding above shows how imperfectly even that works.</w:t>
      </w:r>
    </w:p>
    <w:p>
      <w:pPr>
        <w:spacing w:after="60" w:before="160"/>
      </w:pPr>
      <w:r>
        <w:rPr>
          <w:b/>
          <w:bCs/>
          <w:color w:val="8E5008"/>
          <w:sz w:val="19"/>
          <w:szCs w:val="19"/>
        </w:rPr>
        <w:t xml:space="preserve">9. </w:t>
      </w:r>
      <w:r>
        <w:rPr>
          <w:b/>
          <w:bCs/>
          <w:sz w:val="19"/>
          <w:szCs w:val="19"/>
        </w:rPr>
        <w:t xml:space="preserve">R0 is defined on this page as more than 1 mm of clearance, that number is borrowed, and the study behind it answered its own question in the null.</w:t>
      </w:r>
    </w:p>
    <w:p>
      <w:pPr>
        <w:spacing w:after="40" w:line="276"/>
        <w:ind w:left="260"/>
      </w:pPr>
      <w:r>
        <w:rPr>
          <w:color w:val="15181F"/>
          <w:sz w:val="18"/>
          <w:szCs w:val="18"/>
        </w:rPr>
        <w:t xml:space="preserve">NCCN states the CAP protocol's 1 mm rule is based primarily on extrapolation from rectal adenocarcinoma data and that there is currently a lack of definitive evidence for what constitutes an adequate margin in pancreatic resection specimens; ESMO uses the same definition. The single study that supplied the clinical argument, 163 consecutive pancreatoduodenectomies at one centre, found median survival 15.4 months for equivocal R1 (within 1 mm, not reaching the margin) against 12.6 months for unequivocal R1 at </w:t>
      </w:r>
      <w:r>
        <w:rPr>
          <w:b/>
          <w:bCs/>
          <w:color w:val="15181F"/>
          <w:sz w:val="18"/>
          <w:szCs w:val="18"/>
        </w:rPr>
        <w:t xml:space="preserve">P=0.102</w:t>
      </w:r>
      <w:r>
        <w:rPr>
          <w:color w:val="15181F"/>
          <w:sz w:val="18"/>
          <w:szCs w:val="18"/>
        </w:rPr>
        <w:t xml:space="preserve">, and concluded the two should be treated as one category on the strength of that non-significant test; equivocal R1 versus R0 was also non-significant (P=0.114), so the study cannot separate the intermediate group from either neighbour. Its R0 group was 35 patients with a median of 25.4 months and a 95% CI from 10.5 to 40.8 months, margin status did not survive multivariable adjustment (adjusted HR 1.443, 0.896–2.324, P=0.132) while lymph node ratio, tumour size and adjuvant chemotherapy did, and only 27% of the cohort received adjuvant chemotherapy. The practical consequence is larger than the prognostic one: applying the rule moved the R1 rate at that centre from 44% to 79%, so </w:t>
      </w:r>
      <w:r>
        <w:rPr>
          <w:b/>
          <w:bCs/>
          <w:color w:val="15181F"/>
          <w:sz w:val="18"/>
          <w:szCs w:val="18"/>
        </w:rPr>
        <w:t xml:space="preserve">R0 rates are substantially a function of local pathology protocol</w:t>
      </w:r>
      <w:r>
        <w:rPr>
          <w:color w:val="15181F"/>
          <w:sz w:val="18"/>
          <w:szCs w:val="18"/>
        </w:rPr>
        <w:t xml:space="preserve"> and the R0 figures quoted across the trials on this page are not comparable with one another. Reporting in millimetres is still how the field will eventually get a derived threshold.</w:t>
      </w:r>
    </w:p>
    <w:p>
      <w:pPr>
        <w:spacing w:after="60" w:before="160"/>
      </w:pPr>
      <w:r>
        <w:rPr>
          <w:b/>
          <w:bCs/>
          <w:color w:val="8E5008"/>
          <w:sz w:val="19"/>
          <w:szCs w:val="19"/>
        </w:rPr>
        <w:t xml:space="preserve">10. </w:t>
      </w:r>
      <w:r>
        <w:rPr>
          <w:b/>
          <w:bCs/>
          <w:sz w:val="19"/>
          <w:szCs w:val="19"/>
        </w:rPr>
        <w:t xml:space="preserve">Disease-free survival in the open-label adjuvant trials this page relies on is partly a detection artefact, and the trial that showed it is the one this page treats as the weakest.</w:t>
      </w:r>
    </w:p>
    <w:p>
      <w:pPr>
        <w:spacing w:after="40" w:line="276"/>
        <w:ind w:left="260"/>
      </w:pPr>
      <w:r>
        <w:rPr>
          <w:color w:val="15181F"/>
          <w:sz w:val="18"/>
          <w:szCs w:val="18"/>
        </w:rPr>
        <w:t xml:space="preserve">APACT is the only adjuvant pancreatic trial to use blinded independently assessed disease-free survival as its primary endpoint, and in the same gemcitabine arm, central review gave a median of 18.8 months while the unblinded investigators gave 13.7 months, with 77% concordance and 48% to 51% of patients censored. The investigator figure matches the gemcitabine arms of ESPAC-4 (13.4 months) and PRODIGE-24 (12.8 months), both of which used unblinded investigator assessment, as did CONKO-001 — where recurrence was dated from the first subjective symptom and assessed in part by abdominal ultrasound with no central review. That is why CONKO-001 can show a 2.4-fold disease-free survival difference beside a 2.6-month median survival difference. Every adjuvant disease-free survival hazard ratio on this page should be read with a five-month detection allowance.</w:t>
      </w:r>
    </w:p>
    <w:p>
      <w:pPr>
        <w:spacing w:after="60" w:before="160"/>
      </w:pPr>
      <w:r>
        <w:rPr>
          <w:b/>
          <w:bCs/>
          <w:color w:val="8E5008"/>
          <w:sz w:val="19"/>
          <w:szCs w:val="19"/>
        </w:rPr>
        <w:t xml:space="preserve">11. </w:t>
      </w:r>
      <w:r>
        <w:rPr>
          <w:b/>
          <w:bCs/>
          <w:sz w:val="19"/>
          <w:szCs w:val="19"/>
        </w:rPr>
        <w:t xml:space="preserve">PRODIGE-24's 54.4-month median was an artefact of an immature database, and the mature data are a smaller result than the headline.</w:t>
      </w:r>
    </w:p>
    <w:p>
      <w:pPr>
        <w:spacing w:after="40" w:line="276"/>
        <w:ind w:left="260"/>
      </w:pPr>
      <w:r>
        <w:rPr>
          <w:color w:val="15181F"/>
          <w:sz w:val="18"/>
          <w:szCs w:val="18"/>
        </w:rPr>
        <w:t xml:space="preserve">The trial was stopped early for efficacy at 91.8% of expected disease-free survival events, and with mature 5-year data the disease-free survival hazard ratio moved from 0.58 to 0.66, overall survival from 0.64 to 0.68, and the median from 54.4 to 53.5 months. Five-year disease-free survival differs by only 7.1 percentage points (26.1% versus 19.0%) against 11.8 points at 5-year overall survival, so part of the survival gain accrues after relapse — and post-relapse survival was numerically </w:t>
      </w:r>
      <w:r>
        <w:rPr>
          <w:b/>
          <w:bCs/>
          <w:color w:val="15181F"/>
          <w:sz w:val="18"/>
          <w:szCs w:val="18"/>
        </w:rPr>
        <w:t xml:space="preserve">worse</w:t>
      </w:r>
      <w:r>
        <w:rPr>
          <w:color w:val="15181F"/>
          <w:sz w:val="18"/>
          <w:szCs w:val="18"/>
        </w:rPr>
        <w:t xml:space="preserve"> in the mFOLFIRINOX arm (13.1 versus 15.0 months), with chemotherapy at relapse reaching 66.9% of its relapsing patients against 83.0% of the control arm's, 74.2% of whom received FOLFIRINOX. Delivery was poor: 67.2% completed all 12 cycles and only 33.6% achieved a relative dose intensity of 0.80 or more. The population was age 18 to 79, no coronary disease, WHO 0–1, fully recovered, with a clear postoperative scan and postoperative CA 19-9 below 180 U/mL; in the 101 patients aged 70 or older the benefit did not reach significance (HR 0.86, 0.53–1.39), and the median age of this disease is around 70. Quality of life was never collected.</w:t>
      </w:r>
    </w:p>
    <w:p>
      <w:pPr>
        <w:spacing w:after="60" w:before="160"/>
      </w:pPr>
      <w:r>
        <w:rPr>
          <w:b/>
          <w:bCs/>
          <w:color w:val="8E5008"/>
          <w:sz w:val="19"/>
          <w:szCs w:val="19"/>
        </w:rPr>
        <w:t xml:space="preserve">12. </w:t>
      </w:r>
      <w:r>
        <w:rPr>
          <w:b/>
          <w:bCs/>
          <w:sz w:val="19"/>
          <w:szCs w:val="19"/>
        </w:rPr>
        <w:t xml:space="preserve">APACT was a negative trial. Its overall survival result is a descriptive secondary endpoint read at the third of three successive data cutoffs.</w:t>
      </w:r>
    </w:p>
    <w:p>
      <w:pPr>
        <w:spacing w:after="40" w:line="276"/>
        <w:ind w:left="260"/>
      </w:pPr>
      <w:r>
        <w:rPr>
          <w:color w:val="15181F"/>
          <w:sz w:val="18"/>
          <w:szCs w:val="18"/>
        </w:rPr>
        <w:t xml:space="preserve">The blinded independently assessed primary endpoint failed — disease-free survival 19.4 versus 18.8 months, hazard ratio 0.88 (0.729–1.063), P=.18 — and the paper itself states that because the primary endpoint was not met, all other comparisons are descriptive. The overall survival P value improved from .045 to .0232 to .0091 across cutoffs in December 2018, April 2020 and April 2021, with no prespecified plan for repeated testing and no multiplicity adjustment anywhere in the trial. The price was 86% grade 3 or worse treatment-emergent events against 68%, and grade 3 or worse peripheral neuropathy in 15% against </w:t>
      </w:r>
      <w:r>
        <w:rPr>
          <w:b/>
          <w:bCs/>
          <w:color w:val="15181F"/>
          <w:sz w:val="18"/>
          <w:szCs w:val="18"/>
        </w:rPr>
        <w:t xml:space="preserve">0%</w:t>
      </w:r>
      <w:r>
        <w:rPr>
          <w:color w:val="15181F"/>
          <w:sz w:val="18"/>
          <w:szCs w:val="18"/>
        </w:rPr>
        <w:t xml:space="preserve">, of which 84% had not improved to grade 1 or less at the primary cutoff — in a trial that collected no quality-of-life data. The population was the most selected in the adjuvant literature: CA 19-9 below 100 U/mL with a median of 13.6 U/mL, 1,226 screened to randomise 866, which is why its gemcitabine arm reached 37.7 months.</w:t>
      </w:r>
    </w:p>
    <w:p>
      <w:pPr>
        <w:spacing w:after="60" w:before="160"/>
      </w:pPr>
      <w:r>
        <w:rPr>
          <w:b/>
          <w:bCs/>
          <w:color w:val="8E5008"/>
          <w:sz w:val="19"/>
          <w:szCs w:val="19"/>
        </w:rPr>
        <w:t xml:space="preserve">13. </w:t>
      </w:r>
      <w:r>
        <w:rPr>
          <w:b/>
          <w:bCs/>
          <w:sz w:val="19"/>
          <w:szCs w:val="19"/>
        </w:rPr>
        <w:t xml:space="preserve">The randomised trials of consolidative radiotherapy are null for survival, and the one that produced a positive margin result rewrote its primary endpoint mid-trial using its own unblinded interim data.</w:t>
      </w:r>
    </w:p>
    <w:p>
      <w:pPr>
        <w:spacing w:after="40" w:line="276"/>
        <w:ind w:left="260"/>
      </w:pPr>
      <w:r>
        <w:rPr>
          <w:color w:val="15181F"/>
          <w:sz w:val="18"/>
          <w:szCs w:val="18"/>
        </w:rPr>
        <w:t xml:space="preserve">LAP07 gave a hazard ratio of 1.03 (0.79–1.34), P=.83, was stopped at its interim analysis for futility with that analysis declared final, never reached its planned 392 deaths, and measured survival from the first randomisation while allocating the intervention at the second — so it is underpowered rather than equivalent, and half its radiotherapy plans had minor and 18% major protocol deviations. CONKO-007 gave a hazard ratio of 0.937 (0.747–1.174), P=.57, and missed its primary endpoint (R0 25% versus 18%, P=.113) — an endpoint changed mid-trial from overall survival to R0 rate, with the new effect size </w:t>
      </w:r>
      <w:r>
        <w:rPr>
          <w:b/>
          <w:bCs/>
          <w:color w:val="15181F"/>
          <w:sz w:val="18"/>
          <w:szCs w:val="18"/>
        </w:rPr>
        <w:t xml:space="preserve">calculated from unblinded interim data on 180 already-enrolled patients</w:t>
      </w:r>
      <w:r>
        <w:rPr>
          <w:color w:val="15181F"/>
          <w:sz w:val="18"/>
          <w:szCs w:val="18"/>
        </w:rPr>
        <w:t xml:space="preserve"> in which one arm's R0 rate was already nearly double the other's, and with no central radiotherapy review at all for stated financial reasons. Its significant R0 advantage (69.4% versus 50.0%, P=.04) is confined to the patients who reached theatre, which was not randomised, and the authors state that physicians' knowledge of the R0 endpoint changed their behaviour. What both trials do show, consistently, is better local control: locoregional recurrence hazard ratio 0.33 (0.206–0.530), P&lt;.001, in CONKO-007 and 32% versus 46% locoregional progression in LAP07. Offer radiotherapy for that, and say so.</w:t>
      </w:r>
    </w:p>
    <w:p>
      <w:pPr>
        <w:spacing w:after="60" w:before="160"/>
      </w:pPr>
      <w:r>
        <w:rPr>
          <w:b/>
          <w:bCs/>
          <w:color w:val="8E5008"/>
          <w:sz w:val="19"/>
          <w:szCs w:val="19"/>
        </w:rPr>
        <w:t xml:space="preserve">14. </w:t>
      </w:r>
      <w:r>
        <w:rPr>
          <w:b/>
          <w:bCs/>
          <w:sz w:val="19"/>
          <w:szCs w:val="19"/>
        </w:rPr>
        <w:t xml:space="preserve">Conversion surgery after induction therapy for locally advanced disease carries an 8% 30-day mortality in the only randomised trial that reports it, and this page had not said so.</w:t>
      </w:r>
    </w:p>
    <w:p>
      <w:pPr>
        <w:spacing w:after="40" w:line="276"/>
        <w:ind w:left="260"/>
      </w:pPr>
      <w:r>
        <w:rPr>
          <w:color w:val="15181F"/>
          <w:sz w:val="18"/>
          <w:szCs w:val="18"/>
        </w:rPr>
        <w:t xml:space="preserve">In CONKO-007, 30-day postoperative mortality was 5 of 60 and 5 of 62 — 8% in both arms. The trial's conclusion that chemoradiotherapy did not increase postsurgical mortality means only that it did not differ between the randomised arms. One operative death in twelve belongs in the consent conversation for an operation whose benefit, within that trial, rests on a non-randomised comparison of operated with non-operated patients (HR 0.525, 0.408–0.676). The denominator also matters: those 336 randomised patients are the 64% of enrolled patients who survived and did not progress through three months of chemotherapy, and the 159 of 495 (32.1%) who did progress had a median survival of 9 months with no 5-year survivors. LAP07, from gemcitabine-based induction, achieved curative-intent resection in 18 of 442 patients (4%).</w:t>
      </w:r>
    </w:p>
    <w:p>
      <w:pPr>
        <w:spacing w:after="60" w:before="160"/>
      </w:pPr>
      <w:r>
        <w:rPr>
          <w:b/>
          <w:bCs/>
          <w:color w:val="8E5008"/>
          <w:sz w:val="19"/>
          <w:szCs w:val="19"/>
        </w:rPr>
        <w:t xml:space="preserve">15. </w:t>
      </w:r>
      <w:r>
        <w:rPr>
          <w:b/>
          <w:bCs/>
          <w:sz w:val="19"/>
          <w:szCs w:val="19"/>
        </w:rPr>
        <w:t xml:space="preserve">The 24.2-month median survival quoted for FOLFIRINOX in locally advanced disease, and the 25.9% resection rate that goes with it, come from single-arm cohorts with no control group — and none of the obvious explanations for the figure can be shown to drive it.</w:t>
      </w:r>
    </w:p>
    <w:p>
      <w:pPr>
        <w:spacing w:after="40" w:line="276"/>
        <w:ind w:left="260"/>
      </w:pPr>
      <w:r>
        <w:rPr>
          <w:color w:val="15181F"/>
          <w:sz w:val="18"/>
          <w:szCs w:val="18"/>
        </w:rPr>
        <w:t xml:space="preserve">The patient-level meta-analysis pooled 11 studies and 315 locally advanced patients, eleven of the thirteen included studies retrospective, none using staging laparoscopy, and only three enrolling exclusively locally advanced patients while seven had no formal resectability criteria. Individual-study medians ranged from 10.0 to 32.7 months, and because patient-level data were pooled into a single Kaplan-Meier curve rather than meta-analysed, no I² or prediction interval is reported for survival — the narrow 95% CI of 21.7 to 26.8 months reflects patient numbers, not the disagreement between studies. A pooled 63.5% also received radiotherapy or chemoradiotherapy (I² 90%, range 31% to 100%), yet across studies there was no correlation between survival and radiotherapy use (p=0.12), resection rate (p=0.39) or number of cycles (p=0.95). Survival was measured from the start of FOLFIRINOX, so everyone who deteriorated or was found metastatic before chemotherapy could start is invisible; LAP07's 7.7-month median for patients who progressed during induction indicates the size of that group. The 78.4% R0 rate has a resected-only denominator of 81 of 325 patients, so it describes 19% of the cohort. The comparator offered for 24.2 months — 6 to 13 months with gemcitabine — is a narrative historical range. The authors' own conclusion is that the result needs a randomised trial and that it remains unestablished who benefits from radiotherapy or resection afterwards.</w:t>
      </w:r>
    </w:p>
    <w:p>
      <w:pPr>
        <w:spacing w:after="60" w:before="160"/>
      </w:pPr>
      <w:r>
        <w:rPr>
          <w:b/>
          <w:bCs/>
          <w:color w:val="8E5008"/>
          <w:sz w:val="19"/>
          <w:szCs w:val="19"/>
        </w:rPr>
        <w:t xml:space="preserve">16. </w:t>
      </w:r>
      <w:r>
        <w:rPr>
          <w:b/>
          <w:bCs/>
          <w:sz w:val="19"/>
          <w:szCs w:val="19"/>
        </w:rPr>
        <w:t xml:space="preserve">The DROP trial does not say what this page used it to say about drainage before neoadjuvant therapy, and it did not show that drainage makes the operation less safe.</w:t>
      </w:r>
    </w:p>
    <w:p>
      <w:pPr>
        <w:spacing w:after="40" w:line="276"/>
        <w:ind w:left="260"/>
      </w:pPr>
      <w:r>
        <w:rPr>
          <w:color w:val="15181F"/>
          <w:sz w:val="18"/>
          <w:szCs w:val="18"/>
        </w:rPr>
        <w:t xml:space="preserve">It randomised 202 patients to a </w:t>
      </w:r>
      <w:r>
        <w:rPr>
          <w:b/>
          <w:bCs/>
          <w:color w:val="15181F"/>
          <w:sz w:val="18"/>
          <w:szCs w:val="18"/>
        </w:rPr>
        <w:t xml:space="preserve">plastic</w:t>
      </w:r>
      <w:r>
        <w:rPr>
          <w:color w:val="15181F"/>
          <w:sz w:val="18"/>
          <w:szCs w:val="18"/>
        </w:rPr>
        <w:t xml:space="preserve"> stent for 4 to 6 weeks or to surgery within one week, excluded patients receiving neoadjuvant chemotherapy by protocol, and capped bilirubin at 250 micromol/L. Serious complications within 120 days were 74% versus 39% (RR 0.54, 0.41–0.71, P&lt;0.001), but that total bundles drainage complications with surgical complications, which guarantees the direction: complications attributable to drainage occurred in 46% versus 2%, while </w:t>
      </w:r>
      <w:r>
        <w:rPr>
          <w:b/>
          <w:bCs/>
          <w:color w:val="15181F"/>
          <w:sz w:val="18"/>
          <w:szCs w:val="18"/>
        </w:rPr>
        <w:t xml:space="preserve">surgical</w:t>
      </w:r>
      <w:r>
        <w:rPr>
          <w:color w:val="15181F"/>
          <w:sz w:val="18"/>
          <w:szCs w:val="18"/>
        </w:rPr>
        <w:t xml:space="preserve"> complications did not differ significantly (37% versus 47%, RR 0.79, 0.57–1.11), nor did mortality (4% versus 9%, RR 0.48, 0.15–1.51) or resection rate (67% versus 56%, P=0.11). Its 26% cholangitis and 30% stent-exchange rates are largely properties of plastic endoprostheses; every neoadjuvant protocol in this depot specifies or prefers self-expanding metal stents, which were not tested. And its control strategy required dedicated theatre capacity at all 13 hospitals to operate within seven days — a unit that cannot deliver that has not got the comparator the trial tested, because delay without drainage is not what was studied. Fifteen of 196 patients (8%) did not have adenocarcinoma on final pathology, and overall mortality was 7%.</w:t>
      </w:r>
    </w:p>
    <w:p>
      <w:pPr>
        <w:spacing w:after="60" w:before="160"/>
      </w:pPr>
      <w:r>
        <w:rPr>
          <w:b/>
          <w:bCs/>
          <w:color w:val="8E5008"/>
          <w:sz w:val="19"/>
          <w:szCs w:val="19"/>
        </w:rPr>
        <w:t xml:space="preserve">17. </w:t>
      </w:r>
      <w:r>
        <w:rPr>
          <w:b/>
          <w:bCs/>
          <w:sz w:val="19"/>
          <w:szCs w:val="19"/>
        </w:rPr>
        <w:t xml:space="preserve">Whether to offer arterial resection or arterial divestment for PDAC at this centre has not been decided, and no number for minimum annual volume has been set.</w:t>
      </w:r>
    </w:p>
    <w:p>
      <w:pPr>
        <w:spacing w:after="40" w:line="276"/>
        <w:ind w:left="260"/>
      </w:pPr>
      <w:r>
        <w:rPr>
          <w:color w:val="15181F"/>
          <w:sz w:val="18"/>
          <w:szCs w:val="18"/>
        </w:rPr>
        <w:t xml:space="preserve">NCCN restricts arterial resection to centres with proven experience in pancreatectomy with vascular resection and reconstruction, in highly selected patients after extensive neoadjuvant therapy with objective response, and requires that patients be told the long-term benefit — the chance of cure — is currently unknown. It names no volume threshold, and nor does this page. The one randomised dataset here that touched volume found it in a post hoc multivariable model of PRODIGE-24's 77 hospitals (10 or more patients enrolled, HR 0.77, 0.61–0.98, P=.03), selected by a stepwise procedure with no multiplicity correction and confounded with case mix, surgical quality, access to relapse therapy and country. Volume-outcome relationships in pancreatic surgery are observational and consistent; the threshold is a governance choice, not a measurable one. [EXPERTISE]</w:t>
      </w:r>
    </w:p>
    <w:p>
      <w:pPr>
        <w:spacing w:after="60" w:before="160"/>
      </w:pPr>
      <w:r>
        <w:rPr>
          <w:b/>
          <w:bCs/>
          <w:color w:val="8E5008"/>
          <w:sz w:val="19"/>
          <w:szCs w:val="19"/>
        </w:rPr>
        <w:t xml:space="preserve">18. </w:t>
      </w:r>
      <w:r>
        <w:rPr>
          <w:b/>
          <w:bCs/>
          <w:sz w:val="19"/>
          <w:szCs w:val="19"/>
        </w:rPr>
        <w:t xml:space="preserve">What counts as a </w:t>
      </w:r>
      <w:r>
        <w:rPr>
          <w:b/>
          <w:bCs/>
          <w:i/>
          <w:iCs/>
          <w:sz w:val="19"/>
          <w:szCs w:val="19"/>
        </w:rPr>
        <w:t xml:space="preserve">significant</w:t>
      </w:r>
      <w:r>
        <w:rPr>
          <w:b/>
          <w:bCs/>
          <w:sz w:val="19"/>
          <w:szCs w:val="19"/>
        </w:rPr>
        <w:t xml:space="preserve"> response after neoadjuvant therapy is a local definition, and until it is written down it is being applied inconsistently — and the metrics it rests on are poor surrogates.</w:t>
      </w:r>
    </w:p>
    <w:p>
      <w:pPr>
        <w:spacing w:after="40" w:line="276"/>
        <w:ind w:left="260"/>
      </w:pPr>
      <w:r>
        <w:rPr>
          <w:color w:val="15181F"/>
          <w:sz w:val="18"/>
          <w:szCs w:val="18"/>
        </w:rPr>
        <w:t xml:space="preserve">NCCN hands the definition to the local treatment team in the footnote to its own response table, offering only examples: CA 19-9 normalisation, near-normalisation or at least a 50% decrease, and a complete or near-complete metabolic response on PET. Since the response category determines whether a vascular resection is offered, an unwritten definition means the same patient gets different answers from different surgeons on different weeks. The full-text read adds that the surrogates themselves do not track survival. NORPACT-1 improved R0 (56% versus 39%, p=0.018) and N0 (29% versus 14%, p&lt;0.0001) and survival went the other way. PREOPANC-2's one significant secondary endpoint was nodal (ypN0 58% versus 47%) and survival did not move. ESPAC5's chemoradiotherapy arm had the best R0 and nodal results and the worst survival. The one metric with supporting data is biochemical: ESMO cites a pooled analysis of 17 studies and 2,242 patients in which a CA 19-9 fall of more than 50% or normalisation was associated with better overall survival (P&lt;0.0001), and ESMO also states that imaging performance after chemotherapy is lower than in treatment-naive settings.</w:t>
      </w:r>
    </w:p>
    <w:p>
      <w:pPr>
        <w:spacing w:after="60" w:before="160"/>
      </w:pPr>
      <w:r>
        <w:rPr>
          <w:b/>
          <w:bCs/>
          <w:color w:val="8E5008"/>
          <w:sz w:val="19"/>
          <w:szCs w:val="19"/>
        </w:rPr>
        <w:t xml:space="preserve">19. </w:t>
      </w:r>
      <w:r>
        <w:rPr>
          <w:b/>
          <w:bCs/>
          <w:sz w:val="19"/>
          <w:szCs w:val="19"/>
        </w:rPr>
        <w:t xml:space="preserve">The surveillance schedule after resection is not stated on this page, because the guideline footnote that defines the interval did not survive the machine extraction supplied to the programme.</w:t>
      </w:r>
    </w:p>
    <w:p>
      <w:pPr>
        <w:spacing w:after="40" w:line="276"/>
        <w:ind w:left="260"/>
      </w:pPr>
      <w:r>
        <w:rPr>
          <w:color w:val="15181F"/>
          <w:sz w:val="18"/>
          <w:szCs w:val="18"/>
        </w:rPr>
        <w:t xml:space="preserve">Rather than quote an interval from memory, this page quotes what the guideline says about the value of surveillance: a SEER-Medicare analysis showed no significant survival benefit from regular surveillance CT, there are no data that a rising tumour marker leads to earlier intervention or better outcomes, CA 19-9 is graded category 2B, and there is no evidence that serial ctDNA monitoring improves outcomes. The stated rationale is consensus — that earlier identification may allow enrolment in trials or other treatment. Confirm the interval against the current published guideline and record the version used.</w:t>
      </w:r>
    </w:p>
    <w:p>
      <w:pPr>
        <w:spacing w:after="60" w:before="160"/>
      </w:pPr>
      <w:r>
        <w:rPr>
          <w:b/>
          <w:bCs/>
          <w:color w:val="8E5008"/>
          <w:sz w:val="19"/>
          <w:szCs w:val="19"/>
        </w:rPr>
        <w:t xml:space="preserve">20. </w:t>
      </w:r>
      <w:r>
        <w:rPr>
          <w:b/>
          <w:bCs/>
          <w:sz w:val="19"/>
          <w:szCs w:val="19"/>
        </w:rPr>
        <w:t xml:space="preserve">Adjuvant therapy after neoadjuvant therapy is improvised, everywhere, including here — and the guidelines now say so in as many words.</w:t>
      </w:r>
    </w:p>
    <w:p>
      <w:pPr>
        <w:spacing w:after="40" w:line="276"/>
        <w:ind w:left="260"/>
      </w:pPr>
      <w:r>
        <w:rPr>
          <w:color w:val="15181F"/>
          <w:sz w:val="18"/>
          <w:szCs w:val="18"/>
        </w:rPr>
        <w:t xml:space="preserve">NCCN says only that the options depend on the response to neoadjuvant therapy and other clinical factors. ESMO states that the benefit of adjuvant chemotherapy following neoadjuvant therapy and pancreatectomy </w:t>
      </w:r>
      <w:r>
        <w:rPr>
          <w:i/>
          <w:iCs/>
          <w:color w:val="15181F"/>
          <w:sz w:val="18"/>
          <w:szCs w:val="18"/>
        </w:rPr>
        <w:t xml:space="preserve">remains to be established</w:t>
      </w:r>
      <w:r>
        <w:rPr>
          <w:color w:val="15181F"/>
          <w:sz w:val="18"/>
          <w:szCs w:val="18"/>
        </w:rPr>
        <w:t xml:space="preserve"> and that randomised data are lacking. No trial defines total perioperative duration, whether to continue the same regimen or switch, or what to do after a complete pathologic response — and the trials do not even agree on the shape of the sequence: PREOPANC-2's FOLFIRINOX arm gave no adjuvant treatment at all while its chemoradiotherapy arm gave four cycles of gemcitabine, S1505 continued the same regimen and reached only 55% to 56% of eligible patients, and A021501 gave four cycles of FOLFOX6 to 24% to 34%. There is no defensible default, which is why this is an approvals item rather than a recommendation.</w:t>
      </w:r>
    </w:p>
    <w:p>
      <w:pPr>
        <w:spacing w:after="60" w:before="160"/>
      </w:pPr>
      <w:r>
        <w:rPr>
          <w:b/>
          <w:bCs/>
          <w:color w:val="8E5008"/>
          <w:sz w:val="19"/>
          <w:szCs w:val="19"/>
        </w:rPr>
        <w:t xml:space="preserve">21. </w:t>
      </w:r>
      <w:r>
        <w:rPr>
          <w:b/>
          <w:bCs/>
          <w:sz w:val="19"/>
          <w:szCs w:val="19"/>
        </w:rPr>
        <w:t xml:space="preserve">The targeted agents below daraxonrasib and olaparib rest on pancreatic subsets of 21 to 38 patients, and two of them had no efficacy threshold they could have failed.</w:t>
      </w:r>
    </w:p>
    <w:p>
      <w:pPr>
        <w:spacing w:after="40" w:line="276"/>
        <w:ind w:left="260"/>
      </w:pPr>
      <w:r>
        <w:rPr>
          <w:color w:val="15181F"/>
          <w:sz w:val="18"/>
          <w:szCs w:val="18"/>
        </w:rPr>
        <w:t xml:space="preserve">The sotorasib pancreatic cohort pooled 38 patients across phase 1 dose exploration, phase 1 expansion and phase 2, with </w:t>
      </w:r>
      <w:r>
        <w:rPr>
          <w:b/>
          <w:bCs/>
          <w:color w:val="15181F"/>
          <w:sz w:val="18"/>
          <w:szCs w:val="18"/>
        </w:rPr>
        <w:t xml:space="preserve">no prespecified response benchmark and no hypothesis test</w:t>
      </w:r>
      <w:r>
        <w:rPr>
          <w:color w:val="15181F"/>
          <w:sz w:val="18"/>
          <w:szCs w:val="18"/>
        </w:rPr>
        <w:t xml:space="preserve">, and its response interval (10% to 37%) is compatible with the under-10% historical benchmark the authors invoke. Adagrasib's prespecified 10% null applies to the pooled tumour-agnostic cohort of 57 evaluable patients, not to its 21 pancreatic patients, and six patients counted as evaluable by investigators were removed by central review for having no measurable disease, moving the denominator favourably. Zenocutuzumab's 36 pancreatic patients were </w:t>
      </w:r>
      <w:r>
        <w:rPr>
          <w:b/>
          <w:bCs/>
          <w:color w:val="15181F"/>
          <w:sz w:val="18"/>
          <w:szCs w:val="18"/>
        </w:rPr>
        <w:t xml:space="preserve">all KRAS wild-type</w:t>
      </w:r>
      <w:r>
        <w:rPr>
          <w:color w:val="15181F"/>
          <w:sz w:val="18"/>
          <w:szCs w:val="18"/>
        </w:rPr>
        <w:t xml:space="preserve">, its primary endpoint was investigator-assessed response with blinded central review only secondary, its primary efficacy population is a post-enrolment construct (204 treated to 158 evaluable, with short-follow-up exclusions falling on early progressors), and no progression-free or overall survival is reported for the pancreatic subgroup at all. None of the three reports a screening denominator, so the testing burden implied by any of them is invisible. The NTRK, RET, BRAF and FGFR entries were not retrieved for this depot.</w:t>
      </w:r>
    </w:p>
    <w:p>
      <w:pPr>
        <w:spacing w:after="60" w:before="160"/>
      </w:pPr>
      <w:r>
        <w:rPr>
          <w:b/>
          <w:bCs/>
          <w:color w:val="8E5008"/>
          <w:sz w:val="19"/>
          <w:szCs w:val="19"/>
        </w:rPr>
        <w:t xml:space="preserve">22. </w:t>
      </w:r>
      <w:r>
        <w:rPr>
          <w:b/>
          <w:bCs/>
          <w:sz w:val="19"/>
          <w:szCs w:val="19"/>
        </w:rPr>
        <w:t xml:space="preserve">RASolute 302's hazard ratio of 0.40 is the largest effect on this page, it is established only in RAS G12 disease, and it is inseparable from how badly its comparator arm was delivered.</w:t>
      </w:r>
    </w:p>
    <w:p>
      <w:pPr>
        <w:spacing w:after="40" w:line="276"/>
        <w:ind w:left="260"/>
      </w:pPr>
      <w:r>
        <w:rPr>
          <w:color w:val="15181F"/>
          <w:sz w:val="18"/>
          <w:szCs w:val="18"/>
        </w:rPr>
        <w:t xml:space="preserve">The dual primary endpoints were met in the RAS G12 population: median overall survival 13.2 versus 6.6 months, hazard ratio 0.40, P&lt;0.001, and progression-free survival by blinded central review 7.3 versus 3.5 months, hazard ratio 0.45. In patients </w:t>
      </w:r>
      <w:r>
        <w:rPr>
          <w:b/>
          <w:bCs/>
          <w:color w:val="15181F"/>
          <w:sz w:val="18"/>
          <w:szCs w:val="18"/>
        </w:rPr>
        <w:t xml:space="preserve">without</w:t>
      </w:r>
      <w:r>
        <w:rPr>
          <w:color w:val="15181F"/>
          <w:sz w:val="18"/>
          <w:szCs w:val="18"/>
        </w:rPr>
        <w:t xml:space="preserve"> a G12 mutation the hazard ratio was 1.38 (95% CI 0.60–3.17), a point estimate favouring chemotherapy. And 38 of 252 patients (15.1%) allocated to chemotherapy never received it, against 7 of 248 (2.8%) allocated daraxonrasib — 29 of them withdrawing, and some no longer eligible because ECOG had risen above 1 by the time treatment was due, which an oral agent started the same day does not face. Those patients remain in the comparator's intention-to-treat survival curve. The comparator itself was unconstrained investigator's choice given per local prescribing practice, with a 6.6-month median at the low end of published second-line outcomes, and its quality is not auditable from the report. The sponsor supported the trial and performed and validated the analyses. The direction of the result is not in doubt; the magnitude should be read with the comparator in view.</w:t>
      </w:r>
    </w:p>
    <w:p>
      <w:pPr>
        <w:spacing w:after="60" w:before="160"/>
      </w:pPr>
      <w:r>
        <w:rPr>
          <w:b/>
          <w:bCs/>
          <w:color w:val="8E5008"/>
          <w:sz w:val="19"/>
          <w:szCs w:val="19"/>
        </w:rPr>
        <w:t xml:space="preserve">26. </w:t>
      </w:r>
      <w:r>
        <w:rPr>
          <w:b/>
          <w:bCs/>
          <w:sz w:val="19"/>
          <w:szCs w:val="19"/>
        </w:rPr>
        <w:t xml:space="preserve">The pooled hazard ratio of 0.41 for resecting liver-only metastatic PDAC appears twice in the 2025 literature from largely the same patients, and the better of the two analyses shows it tracks chemotherapy rather than surgery.</w:t>
      </w:r>
    </w:p>
    <w:p>
      <w:pPr>
        <w:spacing w:after="40" w:line="276"/>
        <w:ind w:left="260"/>
      </w:pPr>
      <w:r>
        <w:rPr>
          <w:color w:val="15181F"/>
          <w:sz w:val="18"/>
          <w:szCs w:val="18"/>
        </w:rPr>
        <w:t xml:space="preserve">Two 2025 meta-analyses report 0.41 (0.31–0.53) and 0.41 (0.32–0.52) from substantially overlapping study sets, so citing both double-counts one evidence base. The first pooled only </w:t>
      </w:r>
      <w:r>
        <w:rPr>
          <w:b/>
          <w:bCs/>
          <w:color w:val="15181F"/>
          <w:sz w:val="18"/>
          <w:szCs w:val="18"/>
        </w:rPr>
        <w:t xml:space="preserve">univariate</w:t>
      </w:r>
      <w:r>
        <w:rPr>
          <w:color w:val="15181F"/>
          <w:sz w:val="18"/>
          <w:szCs w:val="18"/>
        </w:rPr>
        <w:t xml:space="preserve"> hazard ratios by explicit design, reported I² of 12% from seven retrospective studies with different definitions of oligometastasis, and never mentions immortal-time bias; the second found I² of 64.5% in the same literature. The second's meta-regression is the finding: the relative rate of chemotherapy between arms explained 87.1% of between-study heterogeneity, roughly half the non-surgical patients received gemcitabine monotherapy against multi-agent regimens in the surgical arm, and the adjusted effect reached HR 0.18 (0.08–0.40) only where both pre- and postoperative chemotherapy were given, with no difference in any other scenario — an estimate fitted to 7 comparisons with 11 candidate covariates that its own authors call mathematical rather than empirical. The first review's own data say the same thing: a 32.5-versus-9.2-month gap generated by a RECIST response criterion, and the best outcomes in the whole review coming from 52 patients whose liver metastases had completely regressed and who had only the primary resected. Nationally, 891 of 47,785 patients with liver-only stage IV disease (1.9%) had the primary resected, only 137 (0.29%) had a metastasectomy, only 13.5% had preoperative chemotherapy, 85% had the primary removed without touching the liver metastases, and the whole surgical cohort's median survival was 10.74 months — no better than chemotherapy alone in unselected metastatic disease.</w:t>
      </w:r>
    </w:p>
    <w:p>
      <w:pPr>
        <w:spacing w:after="60" w:before="160"/>
      </w:pPr>
      <w:r>
        <w:rPr>
          <w:b/>
          <w:bCs/>
          <w:color w:val="8E5008"/>
          <w:sz w:val="19"/>
          <w:szCs w:val="19"/>
        </w:rPr>
        <w:t xml:space="preserve">28. </w:t>
      </w:r>
      <w:r>
        <w:rPr>
          <w:b/>
          <w:bCs/>
          <w:sz w:val="19"/>
          <w:szCs w:val="19"/>
        </w:rPr>
        <w:t xml:space="preserve">Three of the references on this page are still cited from abstract only, and several more are carried only in the machine-extracted guideline text.</w:t>
      </w:r>
    </w:p>
    <w:p>
      <w:pPr>
        <w:spacing w:after="60" w:before="160"/>
      </w:pPr>
      <w:r>
        <w:rPr>
          <w:b/>
          <w:bCs/>
          <w:color w:val="8E5008"/>
          <w:sz w:val="19"/>
          <w:szCs w:val="19"/>
        </w:rPr>
        <w:t xml:space="preserve">29. </w:t>
      </w:r>
      <w:r>
        <w:rPr>
          <w:b/>
          <w:bCs/>
          <w:sz w:val="19"/>
          <w:szCs w:val="19"/>
        </w:rPr>
        <w:t xml:space="preserve">Industry sponsors chose the comparator in four of the trials this page cites, and in each case the choice was the one most favourable to the sponsor.</w:t>
      </w:r>
    </w:p>
    <w:p>
      <w:pPr>
        <w:spacing w:after="40" w:line="276"/>
        <w:ind w:left="260"/>
      </w:pPr>
      <w:r>
        <w:rPr>
          <w:color w:val="15181F"/>
          <w:sz w:val="18"/>
          <w:szCs w:val="18"/>
        </w:rPr>
        <w:t xml:space="preserve">APACT tested the sponsor's proprietary nab-paclitaxel added to a generic backbone against that backbone alone, in a trial the sponsor designed, monitored and analysed with a sponsor-employed statistician, after ESPAC-4 and PRODIGE-24 had already superseded gemcitabine monotherapy. MPACT did the same, continuing against gemcitabine alone for 11 months after FOLFIRINOX was published, with the sponsor designing the protocol, supplying the drug, monitoring the study and employing the statistician who vouched for the data. NAPOLI 3 tested a proprietary liposomal irinotecan against nab-paclitaxel with gemcitabine rather than against generic FOLFIRINOX, with the sponsor participating in design, collection, analysis, interpretation and manuscript approval, and reported neither cost nor quality of life. RASolute 302 used unconstrained investigator's-choice chemotherapy as its comparator, with the sponsor performing and validating the analyses. None of this makes the results wrong; it does mean the comparator in each case is the weakest defensible one, which is exactly what inflates a hazard ratio.</w:t>
      </w:r>
    </w:p>
    <w:p>
      <w:pPr>
        <w:spacing w:after="60" w:before="160"/>
      </w:pPr>
      <w:r>
        <w:rPr>
          <w:b/>
          <w:bCs/>
          <w:color w:val="8E5008"/>
          <w:sz w:val="19"/>
          <w:szCs w:val="19"/>
        </w:rPr>
        <w:t xml:space="preserve">30. </w:t>
      </w:r>
      <w:r>
        <w:rPr>
          <w:b/>
          <w:bCs/>
          <w:sz w:val="19"/>
          <w:szCs w:val="19"/>
        </w:rPr>
        <w:t xml:space="preserve">The tumour board operating model below is reproduced from the programme's other disease roadmaps so that there is one operating standard rather than seven. It is evidence grade D by construction.</w:t>
      </w:r>
    </w:p>
    <w:p>
      <w:pPr>
        <w:spacing w:after="40" w:line="276"/>
        <w:ind w:left="260"/>
      </w:pPr>
      <w:r>
        <w:rPr>
          <w:color w:val="15181F"/>
          <w:sz w:val="18"/>
          <w:szCs w:val="18"/>
        </w:rPr>
        <w:t xml:space="preserve">These are stakeholder-derived operating requirements, labelled Standard because the programme has chosen them, not because trials support them. Audit them for adherence, not for effectiveness. What is specific to this disease is the pace — a staging scan expires in 4 weeks, so a case that waits two board cycles needs re-imaging — and, after the full-text read, the need for someone to adjudicate the resectability category, because roughly a third of patients called resectable by their own centres are not.</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For an anatomically resectable tumour with no high-risk features, is the local default upfront resection with adjuvant mFOLFIRINOX, or a neoadjuvant route — and if neoadjuvant, which regimen?</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trials disagree and the page does not resolve them, and the full-text read made the disagreement worse rather than better. </w:t>
            </w:r>
            <w:r>
              <w:rPr>
                <w:b/>
                <w:bCs/>
                <w:color w:val="15181F"/>
                <w:sz w:val="17"/>
                <w:szCs w:val="17"/>
              </w:rPr>
              <w:t xml:space="preserve">No neoadjuvant trial gave its control arm modern adjuvant therapy except NORPACT-1, and there only 19 of 44 resected control patients (43%) received adjuvant mFOLFIRINOX</w:t>
            </w:r>
            <w:r>
              <w:rPr>
                <w:color w:val="15181F"/>
                <w:sz w:val="17"/>
                <w:szCs w:val="17"/>
              </w:rPr>
              <w:t xml:space="preserve">; PREOPANC's control arm received adjuvant gemcitabine and only 51% of it received any chemotherapy; PREOPANC-2 has no upfront-surgery arm; S1505 and A021501 had no randomised control at all. Pooled across nine randomised trials the resectable subgroup shows no benefit (HR 0.90, 0.63–1.28) and the borderline resectable subgroup does (HR 0.60, 0.38–0.96), but the between-subgroup test is not significant (p=0.081) and the pooled estimate depends on post hoc removal of NORPACT-1. NORPACT-1's primary endpoint favoured upfront surgery at a two-sided alpha of 0.15, was non-significant per protocol, and had 21% of its neoadjuvant arm go straight to resection without the drug. ESMO recommends against neoadjuvant therapy in resectable disease at [II, E]. The pooled data also show no gain in adjuvant initiation (57.7% versus 55.6%, p=0.353), which removes the main mechanistic argument. A021806 has not reported. This has to be a local decision because there is no guideline answer to copy and no trial of the comparison that matters.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this programme offer arterial resection, or arterial divestment, for PDAC — and if so at what minimum volume, by which surgeons, and under what consent document?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NCCN restricts it to centres with proven experience in pancreatectomy with vascular resection and reconstruction, in highly selected patients after extensive neoadjuvant therapy with objective response, and requires patients to be told that the long-term benefit is currently unknown. It names no threshold. This is a governance decision taken once, not a decision taken in the room.</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counts locally as a </w:t>
            </w:r>
            <w:r>
              <w:rPr>
                <w:i/>
                <w:iCs/>
                <w:color w:val="15181F"/>
                <w:sz w:val="17"/>
                <w:szCs w:val="17"/>
              </w:rPr>
              <w:t xml:space="preserve">significant</w:t>
            </w:r>
            <w:r>
              <w:rPr>
                <w:color w:val="15181F"/>
                <w:sz w:val="17"/>
                <w:szCs w:val="17"/>
              </w:rPr>
              <w:t xml:space="preserve"> response after neoadjuvant therapy, and who decides?</w:t>
            </w:r>
          </w:p>
        </w:tc>
        <w:tc>
          <w:tcPr>
            <w:tcW w:type="dxa" w:w="4740"/>
            <w:tcMar>
              <w:top w:type="dxa" w:w="70"/>
              <w:left w:type="dxa" w:w="110"/>
              <w:bottom w:type="dxa" w:w="70"/>
              <w:right w:type="dxa" w:w="110"/>
            </w:tcMar>
            <w:vAlign w:val="top"/>
          </w:tcPr>
          <w:p>
            <w:pPr>
              <w:spacing w:after="0" w:line="276"/>
            </w:pPr>
            <w:r>
              <w:rPr>
                <w:color w:val="15181F"/>
                <w:sz w:val="17"/>
                <w:szCs w:val="17"/>
              </w:rPr>
              <w:t xml:space="preserve">NCCN hands the definition to the local treatment team and offers only examples — CA 19-9 normalisation, near-normalisation or at least a 50% decrease, and a complete or near-complete metabolic response on PET. Since the response category determines whether a vascular resection is offered, an unwritten definition is applied inconsistently.</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mFOLFIRINOX the adjuvant default for every recovered good-performance-status patient, and what threshold moves a patient to gemcitabine with capecitabine?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On mature 5-year data PRODIGE 24 gives median overall survival 53.5 versus 35.5 months and 5-year survival 43.2% versus 31.4%, at the cost of grade 3–4 adverse events in 75.9% versus 52.9%, in a trial restricted to age under 80, no coronary disease, WHO performance status 0–1, full surgical recovery and postoperative CA 19-9 below 180 U/mL. The effect attenuated from the 3-year report (DFS HR 0.58 to 0.66, OS 0.64 to 0.68), 5-year disease-free survival differs by only 7.1 points, only 33.6% of patients achieved a relative dose intensity of 0.80 or more, post-relapse survival was numerically worse in the mFOLFIRINOX arm (13.1 versus 15.0 months) with fewer of its relapsing patients receiving any chemotherapy (66.9% versus 83.0%), and in the 101 patients aged 70 or older the benefit did not reach significance (HR 0.86, 0.53–1.39). Nothing in it describes the patient who has not recovered from a pancreatoduodenectomy, which is a substantial fraction of the real population, and quality of life was never collected.</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is the local rule for adjuvant therapy after neoadjuvant therapy — total duration, same regimen or switch, and what to do after a complete pathologic response?</w:t>
            </w:r>
          </w:p>
        </w:tc>
        <w:tc>
          <w:tcPr>
            <w:tcW w:type="dxa" w:w="4740"/>
            <w:tcMar>
              <w:top w:type="dxa" w:w="70"/>
              <w:left w:type="dxa" w:w="110"/>
              <w:bottom w:type="dxa" w:w="70"/>
              <w:right w:type="dxa" w:w="110"/>
            </w:tcMar>
            <w:vAlign w:val="top"/>
          </w:tcPr>
          <w:p>
            <w:pPr>
              <w:spacing w:after="0" w:line="276"/>
            </w:pPr>
            <w:r>
              <w:rPr>
                <w:color w:val="15181F"/>
                <w:sz w:val="17"/>
                <w:szCs w:val="17"/>
              </w:rPr>
              <w:t xml:space="preserve">NCCN says only that the options depend on response and other clinical factors, and no trial defines any of it. PREOPANC-2's FOLFIRINOX arm gave no adjuvant treatment at all while its chemoradiotherapy arm gave four cycles of gemcitabine, so even the trials do not agree on the shape of the sequence.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consolidative chemoradiotherapy after induction therapy in locally advanced disease offered routinely, only where conversion to resection is the stated objective, or not at all?</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LAP07 (HR 1.03, P=.83, stopped at interim for futility with that analysis declared final, 18% major radiotherapy protocol deviations, survival measured from the first of two randomisations) and CONKO-007 (HR 0.937, P=.57, primary endpoint not met at 25% versus 18% R0) are both null for overall survival. CONKO-007's primary endpoint was changed mid-trial from overall survival to R0 rate with the new effect size calculated from its own unblinded interim data on 180 already-enrolled patients, its radiotherapy was never centrally reviewed for stated financial reasons, and its significant R0 advantage (69.4% versus 50.0%) is confined to patients who reached theatre, which was not randomised. What both trials do show is better local control (CONKO-007 locoregional recurrence HR 0.33, 0.206–0.530, P&lt;.001; LAP07 32% versus 46%, P=.03). Neither tested radiotherapy after a FOLFIRINOX backbone followed by modern surgery and modern adjuvant therapy, so the local position has to be a judgement about objectives rather than a reading of evidence.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triplet is the local first-line standard in metastatic disease — (m)FOLFIRINOX or NALIRIFOX — and what counts locally as </w:t>
            </w:r>
            <w:r>
              <w:rPr>
                <w:i/>
                <w:iCs/>
                <w:color w:val="15181F"/>
                <w:sz w:val="17"/>
                <w:szCs w:val="17"/>
              </w:rPr>
              <w:t xml:space="preserve">good biliary drainage and adequate nutritional intake</w:t>
            </w:r>
            <w:r>
              <w:rPr>
                <w:color w:val="15181F"/>
                <w:sz w:val="17"/>
                <w:szCs w:val="17"/>
              </w:rPr>
              <w:t xml:space="preserve">?</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two triplets sit at the same median overall survival (11.1 months) against different comparators in different eras, there is no randomised comparison between them, and NCCN states NALIRIFOX does not appear to have clear advantages over FOLFIRINOX or mFOLFIRINOX. The second half matters as much: NCCN's eligibility definition for intensive therapy is ECOG 0–1 </w:t>
            </w:r>
            <w:r>
              <w:rPr>
                <w:b/>
                <w:bCs/>
                <w:color w:val="15181F"/>
                <w:sz w:val="17"/>
                <w:szCs w:val="17"/>
              </w:rPr>
              <w:t xml:space="preserve">with</w:t>
            </w:r>
            <w:r>
              <w:rPr>
                <w:color w:val="15181F"/>
                <w:sz w:val="17"/>
                <w:szCs w:val="17"/>
              </w:rPr>
              <w:t xml:space="preserve"> good biliary drainage and adequate nutritional intake, and the latter two are not currently recorded in a way that can be audited. [PAYER]</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chasing the molecular report, and where does daraxonrasib sit in the local second-line sequence?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commonest failure in metastatic PDAC is a genomic report that arrives after the patient is too unwell to act on it, which is an operational problem with a named-owner solution. The sequencing question is separate: RASolute 302 is a phase 3 result with dual primary endpoints met in the RAS </w:t>
            </w:r>
            <w:r>
              <w:rPr>
                <w:b/>
                <w:bCs/>
                <w:color w:val="15181F"/>
                <w:sz w:val="17"/>
                <w:szCs w:val="17"/>
              </w:rPr>
              <w:t xml:space="preserve">G12</w:t>
            </w:r>
            <w:r>
              <w:rPr>
                <w:color w:val="15181F"/>
                <w:sz w:val="17"/>
                <w:szCs w:val="17"/>
              </w:rPr>
              <w:t xml:space="preserve"> population (median overall survival 13.2 versus 6.6 months, HR 0.40; progression-free survival 7.3 versus 3.5 months, HR 0.45), but the benefit is not established outside G12 (non-G12 HR 1.38, 0.60–3.17), 38 of 252 patients (15.1%) allocated to the comparator never received it against 7 of 248 (2.8%) on daraxonrasib, and the comparator was unconstrained investigator's choice with a 6.6-month median at the low end of published second-line outcomes. The local position depends on availability, regulatory status and cost, and should state which RAS alterations it covers. [PAYER]</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is the surveillance schedule after resection, and who owns the NCCN update check?</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guideline footnote defining the surveillance interval did not survive the machine extraction supplied to this page, so no interval is quoted here. What is known is that regular surveillance CT showed no significant survival benefit in a SEER-Medicare analysis, CA 19-9 is category 2B, and serial ctDNA monitoring has no evidence of benefit — so the interval is a local choice about what surveillance is for. Separately, every numeric criterion on this page needs an owner for re-verification against the next guideline edition and the current OPTN policy text.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adjudicates the resectability category before it is used to route a patient, given that roughly a third of patients called resectable by their own centres do not meet the criteria?</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In SWOG S1505, at experienced US trial centres with a mandatory pancreas-protocol scan within 28 days and formal surgical consultation within 21 days, central radiology review found 43 of 146 patients (29%) did not meet the resectability criteria — 51% with arterial interface, 35% with venous interface of 180 degrees or more, 65% with suspicion of distant disease — and all had already started protocol therapy. A site radiologist checklist moved the rate only from 33% to 26%. The category decides which gate on this page a patient enters, so the group must decide whether a second independent read, a radiology lead sign-off or an external review is required, and for which categories.</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What is the local rule for biliary drainage in a patient going on to neoadjuvant therapy — stent type, expected duration, who re-images and who owns the jaundice if it does not settle?</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only randomised trial of preoperative drainage used plastic stents for 4 to 6 weeks, capped bilirubin at 250 micromol/L, </w:t>
            </w:r>
            <w:r>
              <w:rPr>
                <w:b/>
                <w:bCs/>
                <w:color w:val="15181F"/>
                <w:sz w:val="17"/>
                <w:szCs w:val="17"/>
              </w:rPr>
              <w:t xml:space="preserve">excluded neoadjuvant chemotherapy by protocol</w:t>
            </w:r>
            <w:r>
              <w:rPr>
                <w:color w:val="15181F"/>
                <w:sz w:val="17"/>
                <w:szCs w:val="17"/>
              </w:rPr>
              <w:t xml:space="preserve">, and required an operation within one week in its control arm, guaranteed by dedicated theatre capacity at all 13 hospitals. It showed that the drainage strategy caused more complications overall (74% versus 39%) while surgical complications did not differ (37% versus 47%, RR 0.79, 0.57–1.11), so it says nothing about bridging a patient through months of preoperative treatment. That situation is where drainage is now most often needed and where it most often derails treatment: NORPACT-1 stented 57% of its neoadjuvant arm against 16% of the surgery arm, and two of the 16 patients who never received neoadjuvant FOLFIRINOX were lost to persistent jaundice after stenting and two to biliary infection; PREOPANC had 10 patients whose treatment was delayed by persistent jaundice.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this programme offer conversion surgery after induction therapy in locally advanced disease, and what operative mortality is quoted in the consent conversation?</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CONKO-007 is the only randomised trial that reports it: of 336 patients randomised after three months of induction without progression, 122 (36% to 37%) reached theatre, 73 of 336 (22%) achieved R0, and </w:t>
            </w:r>
            <w:r>
              <w:rPr>
                <w:b/>
                <w:bCs/>
                <w:color w:val="15181F"/>
                <w:sz w:val="17"/>
                <w:szCs w:val="17"/>
              </w:rPr>
              <w:t xml:space="preserve">30-day postoperative mortality was 8% in both arms</w:t>
            </w:r>
            <w:r>
              <w:rPr>
                <w:color w:val="15181F"/>
                <w:sz w:val="17"/>
                <w:szCs w:val="17"/>
              </w:rPr>
              <w:t xml:space="preserve"> (5 of 60 and 5 of 62). The survival advantage of surgery within that trial (HR 0.525, 0.408–0.676) is a non-randomised comparison of operated with non-operated patients. LAP07, from gemcitabine-based induction, reached resection in 18 of 442 patients (4%). The 159 of 495 patients (32.1%) who progressed during induction had a median survival of 9 months with no 5-year survivors. The group must decide whether it offers this at all, to whom, and with what number on the consent form.</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pStyle w:val="Heading1"/>
        <w:widowControl/>
        <w:keepNext/>
      </w:pPr>
      <w:r>
        <w:t xml:space="preserve">Systemic treatment matrix — full-text integration, 25 October 2026</w:t>
      </w:r>
    </w:p>
    <w:p>
      <w:pPr>
        <w:pStyle w:val="Normal"/>
        <w:widowControl/>
        <w:spacing w:after="120"/>
      </w:pPr>
      <w:r>
        <w:t xml:space="preserve">This is a cancer-treatment roadmap update only. The withdrawn PDAC liver-transplant pathway remains closed; chemotherapy response does not reopen it.</w:t>
      </w:r>
    </w:p>
    <w:p>
      <w:pPr>
        <w:pStyle w:val="Heading2"/>
        <w:widowControl/>
        <w:keepNext/>
      </w:pPr>
      <w:r>
        <w:t xml:space="preserve">Regimen, setting and 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Option / setting</w:t>
            </w:r>
          </w:p>
        </w:tc>
        <w:tc>
          <w:tcPr>
            <w:tcW w:w="4000" w:type="dxa"/>
            <w:vAlign w:val="top"/>
            <w:shd w:fill="17365D"/>
          </w:tcPr>
          <w:p>
            <w:pPr>
              <w:pStyle w:val="Normal"/>
              <w:widowControl/>
              <w:spacing w:after="55" w:line="240" w:lineRule="auto"/>
              <w:keepNext w:val="0"/>
              <w:keepLines/>
            </w:pPr>
            <w:r>
              <w:rPr>
                <w:sz w:val="21"/>
                <w:szCs w:val="21"/>
                <w:b/>
                <w:color w:val="FFFFFF"/>
              </w:rPr>
              <w:t xml:space="preserve">Selection and safety</w:t>
            </w:r>
          </w:p>
        </w:tc>
        <w:tc>
          <w:tcPr>
            <w:tcW w:w="4180" w:type="dxa"/>
            <w:vAlign w:val="top"/>
            <w:shd w:fill="17365D"/>
          </w:tcPr>
          <w:p>
            <w:pPr>
              <w:pStyle w:val="Normal"/>
              <w:widowControl/>
              <w:spacing w:after="55" w:line="240" w:lineRule="auto"/>
              <w:keepNext w:val="0"/>
              <w:keepLines/>
            </w:pPr>
            <w:r>
              <w:rPr>
                <w:sz w:val="21"/>
                <w:szCs w:val="21"/>
                <w:b/>
                <w:color w:val="FFFFFF"/>
              </w:rPr>
              <w:t xml:space="preserve">Evidence and limitations</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Modified FOLFIRINOX</w:t>
            </w:r>
          </w:p>
          <w:p>
            <w:pPr>
              <w:pStyle w:val="Normal"/>
              <w:widowControl/>
              <w:spacing w:after="55" w:line="240" w:lineRule="auto"/>
              <w:keepNext w:val="0"/>
              <w:keepLines/>
            </w:pPr>
            <w:r>
              <w:rPr>
                <w:sz w:val="21"/>
                <w:szCs w:val="21"/>
              </w:rPr>
              <w:t xml:space="preserve">Adjuvant</w:t>
            </w:r>
          </w:p>
        </w:tc>
        <w:tc>
          <w:tcPr>
            <w:tcW w:w="4000" w:type="dxa"/>
            <w:vAlign w:val="top"/>
            <w:shd w:fill="F1F5F8"/>
          </w:tcPr>
          <w:p>
            <w:pPr>
              <w:pStyle w:val="Normal"/>
              <w:widowControl/>
              <w:spacing w:after="55" w:line="240" w:lineRule="auto"/>
              <w:keepNext w:val="0"/>
              <w:keepLines/>
            </w:pPr>
            <w:r>
              <w:rPr>
                <w:sz w:val="21"/>
                <w:szCs w:val="21"/>
              </w:rPr>
              <w:t xml:space="preserve">Fit patient recovered after R0/R1 resection, with adequate performance status and organ function. Plan approximately six months, adjusted for prior neoadjuvant exposure and recovery.</w:t>
            </w:r>
          </w:p>
        </w:tc>
        <w:tc>
          <w:tcPr>
            <w:tcW w:w="4180" w:type="dxa"/>
            <w:vAlign w:val="top"/>
            <w:shd w:fill="F1F5F8"/>
          </w:tcPr>
          <w:p>
            <w:pPr>
              <w:pStyle w:val="Normal"/>
              <w:widowControl/>
              <w:spacing w:after="55" w:line="240" w:lineRule="auto"/>
              <w:keepNext w:val="0"/>
              <w:keepLines/>
            </w:pPr>
            <w:r>
              <w:rPr>
                <w:sz w:val="21"/>
                <w:szCs w:val="21"/>
              </w:rPr>
              <w:t xml:space="preserve">PRODIGE 24 provides randomized survival evidence over gemcitabine in selected postoperative patients. It does not establish tolerability in every postoperative patient or prove neoadjuvant superiority.</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wMS9qYW1hb25jb2wuMjAyMi4zODI5PC91cmw+PC9yZWxhdGVkLXVybHM+PHBkZi11cmxzLz48L3VybHM+PC9yZWNvcmQ+PC9DaXRlPjwvRW5kTm90ZT4=</w:fldData>
              </w:fldChar>
            </w:r>
            <w:r>
              <w:instrText xml:space="preserve"> ADDIN EN.CITE.DATA </w:instrText>
            </w:r>
            <w:r>
              <w:fldChar w:fldCharType="end"/>
            </w:r>
            <w:r>
              <w:fldChar w:fldCharType="separate"/>
            </w:r>
            <w:r>
              <w:t xml:space="preserve">[V12-1]</w:t>
            </w:r>
            <w:r>
              <w:fldChar w:fldCharType="end"/>
            </w:r>
            <w:r>
              <w:t xml:space="preserve"> </w:t>
            </w:r>
            <w:r>
              <w:fldChar w:fldCharType="begin"/>
            </w:r>
            <w:r>
              <w:instrText xml:space="preserve"> ADDIN EN.CITE </w:instrText>
            </w:r>
            <w:r>
              <w:fldChar w:fldCharType="begin">
                <w:fldData>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PHllYXI+MjAyMzwveWVhcj48L2RhdGVzPjx2b2x1bWU+MzQ8L3ZvbHVtZT48bnVtYmVyPjExPC9udW1iZXI+PHBhZ2VzPjk4Ny0xMDAyPC9wYWdlcz48ZWxlY3Ryb25pYy1yZXNvdXJjZS1udW0+MTAuMTAxNi9qLmFubm9uYy4yMDIzLjA4LjAwO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hbm5vbmMuMjAyMy4wOC4wMDk8L3VybD48L3JlbGF0ZWQtdXJscz48cGRmLXVybHMvPjwvdXJscz48L3JlY29yZD48L0NpdGU+PC9FbmROb3RlPg==</w:fldData>
              </w:fldChar>
            </w:r>
            <w:r>
              <w:instrText xml:space="preserve"> ADDIN EN.CITE.DATA </w:instrText>
            </w:r>
            <w:r>
              <w:fldChar w:fldCharType="end"/>
            </w:r>
            <w:r>
              <w:fldChar w:fldCharType="separate"/>
            </w:r>
            <w:r>
              <w:t xml:space="preserve">[V12-2]</w:t>
            </w:r>
            <w:r>
              <w:fldChar w:fldCharType="end"/>
            </w:r>
            <w:r>
              <w:br/>
            </w:r>
            <w:hyperlink r:id="rId9">
              <w:r>
                <w:rPr>
                  <w:color w:val="0563C1"/>
                  <w:u w:val="single"/>
                </w:rPr>
                <w:t>Source</w:t>
              </w:r>
            </w:hyperlink>
            <w:r>
              <w:t xml:space="preserve"> · </w:t>
            </w:r>
            <w:hyperlink r:id="rId10">
              <w:r>
                <w:rPr>
                  <w:color w:val="0563C1"/>
                  <w:u w:val="single"/>
                </w:rPr>
                <w:t>PDF</w:t>
              </w:r>
            </w:hyperlink>
            <w:r>
              <w:br/>
            </w:r>
            <w:hyperlink r:id="rId11">
              <w:r>
                <w:rPr>
                  <w:color w:val="0563C1"/>
                  <w:u w:val="single"/>
                </w:rPr>
                <w:t>Source</w:t>
              </w:r>
            </w:hyperlink>
            <w:r>
              <w:t xml:space="preserve"> · </w:t>
            </w:r>
            <w:hyperlink r:id="rId12">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Gemcitabine capecitabine or single agent</w:t>
            </w:r>
          </w:p>
          <w:p>
            <w:pPr>
              <w:pStyle w:val="Normal"/>
              <w:widowControl/>
              <w:spacing w:after="55" w:line="240" w:lineRule="auto"/>
              <w:keepNext w:val="0"/>
              <w:keepLines/>
            </w:pPr>
            <w:r>
              <w:rPr>
                <w:sz w:val="21"/>
                <w:szCs w:val="21"/>
              </w:rPr>
              <w:t xml:space="preserve">Adjuvant alternatives</w:t>
            </w:r>
          </w:p>
        </w:tc>
        <w:tc>
          <w:tcPr>
            <w:tcW w:w="4000" w:type="dxa"/>
            <w:vAlign w:val="top"/>
            <w:shd w:fill="FFFFFF"/>
          </w:tcPr>
          <w:p>
            <w:pPr>
              <w:pStyle w:val="Normal"/>
              <w:widowControl/>
              <w:spacing w:after="55" w:line="240" w:lineRule="auto"/>
              <w:keepNext w:val="0"/>
              <w:keepLines/>
            </w:pPr>
            <w:r>
              <w:rPr>
                <w:sz w:val="21"/>
                <w:szCs w:val="21"/>
              </w:rPr>
              <w:t xml:space="preserve">GemCap when mFOLFIRINOX is unsuitable; gemcitabine or a fluoropyrimidine for patients unable to tolerate a combination. Check renal function, hand-foot toxicity and fluoropyrimidine safety.</w:t>
            </w:r>
          </w:p>
        </w:tc>
        <w:tc>
          <w:tcPr>
            <w:tcW w:w="4180" w:type="dxa"/>
            <w:vAlign w:val="top"/>
            <w:shd w:fill="FFFFFF"/>
          </w:tcPr>
          <w:p>
            <w:pPr>
              <w:pStyle w:val="Normal"/>
              <w:widowControl/>
              <w:spacing w:after="55" w:line="240" w:lineRule="auto"/>
              <w:keepNext w:val="0"/>
              <w:keepLines/>
            </w:pPr>
            <w:r>
              <w:rPr>
                <w:sz w:val="21"/>
                <w:szCs w:val="21"/>
              </w:rPr>
              <w:t xml:space="preserve">ESPAC-4 supports GemCap over gemcitabine; these are PDAC trials. Applying them to ampullary or mixed histology is extrapolation, not direct evidence.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DE0MC02NzM2KDE2KTMyNDA5LTY8L3VybD48L3JlbGF0ZWQtdXJscz48cGRmLXVybHMvPjwvdXJscz48L3JlY29yZD48L0NpdGU+PC9FbmROb3RlPg==</w:fldData>
              </w:fldChar>
            </w:r>
            <w:r>
              <w:instrText xml:space="preserve"> ADDIN EN.CITE.DATA </w:instrText>
            </w:r>
            <w:r>
              <w:fldChar w:fldCharType="end"/>
            </w:r>
            <w:r>
              <w:fldChar w:fldCharType="separate"/>
            </w:r>
            <w:r>
              <w:t xml:space="preserve">[V12-3]</w:t>
            </w:r>
            <w:r>
              <w:fldChar w:fldCharType="end"/>
            </w:r>
            <w:r>
              <w:t xml:space="preserve"> </w:t>
            </w:r>
            <w:r>
              <w:fldChar w:fldCharType="begin"/>
            </w:r>
            <w:r>
              <w:instrText xml:space="preserve"> ADDIN EN.CITE </w:instrText>
            </w:r>
            <w:r>
              <w:fldChar w:fldCharType="begin">
                <w:fldData>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PHllYXI+MjAyMzwveWVhcj48L2RhdGVzPjx2b2x1bWU+MzQ8L3ZvbHVtZT48bnVtYmVyPjExPC9udW1iZXI+PHBhZ2VzPjk4Ny0xMDAyPC9wYWdlcz48ZWxlY3Ryb25pYy1yZXNvdXJjZS1udW0+MTAuMTAxNi9qLmFubm9uYy4yMDIzLjA4LjAwO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hbm5vbmMuMjAyMy4wOC4wMDk8L3VybD48L3JlbGF0ZWQtdXJscz48cGRmLXVybHMvPjwvdXJscz48L3JlY29yZD48L0NpdGU+PC9FbmROb3RlPg==</w:fldData>
              </w:fldChar>
            </w:r>
            <w:r>
              <w:instrText xml:space="preserve"> ADDIN EN.CITE.DATA </w:instrText>
            </w:r>
            <w:r>
              <w:fldChar w:fldCharType="end"/>
            </w:r>
            <w:r>
              <w:fldChar w:fldCharType="separate"/>
            </w:r>
            <w:r>
              <w:t xml:space="preserve">[V12-2]</w:t>
            </w:r>
            <w:r>
              <w:fldChar w:fldCharType="end"/>
            </w:r>
            <w:r>
              <w:br/>
            </w:r>
            <w:hyperlink r:id="rId13">
              <w:r>
                <w:rPr>
                  <w:color w:val="0563C1"/>
                  <w:u w:val="single"/>
                </w:rPr>
                <w:t>Source</w:t>
              </w:r>
            </w:hyperlink>
            <w:r>
              <w:t xml:space="preserve"> · </w:t>
            </w:r>
            <w:hyperlink r:id="rId14">
              <w:r>
                <w:rPr>
                  <w:color w:val="0563C1"/>
                  <w:u w:val="single"/>
                </w:rPr>
                <w:t>PDF</w:t>
              </w:r>
            </w:hyperlink>
            <w:r>
              <w:br/>
            </w:r>
            <w:hyperlink r:id="rId15">
              <w:r>
                <w:rPr>
                  <w:color w:val="0563C1"/>
                  <w:u w:val="single"/>
                </w:rPr>
                <w:t>Source</w:t>
              </w:r>
            </w:hyperlink>
            <w:r>
              <w:t xml:space="preserve"> · </w:t>
            </w:r>
            <w:hyperlink r:id="rId16">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mFOLFIRINOX or gemcitabine nab-paclitaxel</w:t>
            </w:r>
          </w:p>
          <w:p>
            <w:pPr>
              <w:pStyle w:val="Normal"/>
              <w:widowControl/>
              <w:spacing w:after="55" w:line="240" w:lineRule="auto"/>
              <w:keepNext w:val="0"/>
              <w:keepLines/>
            </w:pPr>
            <w:r>
              <w:rPr>
                <w:sz w:val="21"/>
                <w:szCs w:val="21"/>
              </w:rPr>
              <w:t xml:space="preserve">Neoadjuvant or induction</w:t>
            </w:r>
          </w:p>
        </w:tc>
        <w:tc>
          <w:tcPr>
            <w:tcW w:w="4000" w:type="dxa"/>
            <w:vAlign w:val="top"/>
            <w:shd w:fill="F1F5F8"/>
          </w:tcPr>
          <w:p>
            <w:pPr>
              <w:pStyle w:val="Normal"/>
              <w:widowControl/>
              <w:spacing w:after="55" w:line="240" w:lineRule="auto"/>
              <w:keepNext w:val="0"/>
              <w:keepLines/>
            </w:pPr>
            <w:r>
              <w:rPr>
                <w:sz w:val="21"/>
                <w:szCs w:val="21"/>
              </w:rPr>
              <w:t xml:space="preserve">Tissue-confirmed borderline resectable or locally advanced disease after MDT review; define anatomical and biological reassessment points. Clearly resectable PDAC needs a separate surgery-first versus neoadjuvant discussion.</w:t>
            </w:r>
          </w:p>
        </w:tc>
        <w:tc>
          <w:tcPr>
            <w:tcW w:w="4180" w:type="dxa"/>
            <w:vAlign w:val="top"/>
            <w:shd w:fill="F1F5F8"/>
          </w:tcPr>
          <w:p>
            <w:pPr>
              <w:pStyle w:val="Normal"/>
              <w:widowControl/>
              <w:spacing w:after="55" w:line="240" w:lineRule="auto"/>
              <w:keepNext w:val="0"/>
              <w:keepLines/>
            </w:pPr>
            <w:r>
              <w:rPr>
                <w:sz w:val="21"/>
                <w:szCs w:val="21"/>
              </w:rPr>
              <w:t xml:space="preserve">A021501 supports a chemotherapy-first approach in its borderline-resectable setting but is not a definitive head-to-head proof against all radiation. NORPACT-1 did not establish benefit of routine neoadjuvant FOLFIRINOX in resectable pancreatic-head cancer.</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wMS9qYW1hb25jb2wuMjAyMi4yMzE5PC91cmw+PC9yZWxhdGVkLXVybHM+PHBkZi11cmxzLz48L3VybHM+PC9yZWNvcmQ+PC9DaXRlPjwvRW5kTm90ZT4=</w:fldData>
              </w:fldChar>
            </w:r>
            <w:r>
              <w:instrText xml:space="preserve"> ADDIN EN.CITE.DATA </w:instrText>
            </w:r>
            <w:r>
              <w:fldChar w:fldCharType="end"/>
            </w:r>
            <w:r>
              <w:fldChar w:fldCharType="separate"/>
            </w:r>
            <w:r>
              <w:t xml:space="preserve">[V12-4]</w:t>
            </w:r>
            <w:r>
              <w:fldChar w:fldCharType="end"/>
            </w:r>
            <w:r>
              <w:t xml:space="preserve"> </w:t>
            </w:r>
            <w:r>
              <w:fldChar w:fldCharType="begin"/>
            </w:r>
            <w:r>
              <w:instrText xml:space="preserve"> ADDIN EN.CITE </w:instrText>
            </w:r>
            <w:r>
              <w:fldChar w:fldCharType="begin">
                <w:fldData>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UzI0NjgtMTI1MygyMykwMDQwNS0zPC91cmw+PC9yZWxhdGVkLXVybHM+PHBkZi11cmxzLz48L3VybHM+PC9yZWNvcmQ+PC9DaXRlPjwvRW5kTm90ZT4=</w:fldData>
              </w:fldChar>
            </w:r>
            <w:r>
              <w:instrText xml:space="preserve"> ADDIN EN.CITE.DATA </w:instrText>
            </w:r>
            <w:r>
              <w:fldChar w:fldCharType="end"/>
            </w:r>
            <w:r>
              <w:fldChar w:fldCharType="separate"/>
            </w:r>
            <w:r>
              <w:t xml:space="preserve">[V12-5]</w:t>
            </w:r>
            <w:r>
              <w:fldChar w:fldCharType="end"/>
            </w:r>
            <w:r>
              <w:t xml:space="preserve"> </w:t>
            </w:r>
            <w:r>
              <w:fldChar w:fldCharType="begin"/>
            </w:r>
            <w:r>
              <w:instrText xml:space="preserve"> ADDIN EN.CITE </w:instrText>
            </w:r>
            <w:r>
              <w:fldChar w:fldCharType="begin">
                <w:fldData>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PHllYXI+MjAyMzwveWVhcj48L2RhdGVzPjx2b2x1bWU+MzQ8L3ZvbHVtZT48bnVtYmVyPjExPC9udW1iZXI+PHBhZ2VzPjk4Ny0xMDAyPC9wYWdlcz48ZWxlY3Ryb25pYy1yZXNvdXJjZS1udW0+MTAuMTAxNi9qLmFubm9uYy4yMDIzLjA4LjAwO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hbm5vbmMuMjAyMy4wOC4wMDk8L3VybD48L3JlbGF0ZWQtdXJscz48cGRmLXVybHMvPjwvdXJscz48L3JlY29yZD48L0NpdGU+PC9FbmROb3RlPg==</w:fldData>
              </w:fldChar>
            </w:r>
            <w:r>
              <w:instrText xml:space="preserve"> ADDIN EN.CITE.DATA </w:instrText>
            </w:r>
            <w:r>
              <w:fldChar w:fldCharType="end"/>
            </w:r>
            <w:r>
              <w:fldChar w:fldCharType="separate"/>
            </w:r>
            <w:r>
              <w:t xml:space="preserve">[V12-2]</w:t>
            </w:r>
            <w:r>
              <w:fldChar w:fldCharType="end"/>
            </w:r>
            <w:r>
              <w:br/>
            </w:r>
            <w:hyperlink r:id="rId17">
              <w:r>
                <w:rPr>
                  <w:color w:val="0563C1"/>
                  <w:u w:val="single"/>
                </w:rPr>
                <w:t>Source</w:t>
              </w:r>
            </w:hyperlink>
            <w:r>
              <w:t xml:space="preserve"> · </w:t>
            </w:r>
            <w:hyperlink r:id="rId18">
              <w:r>
                <w:rPr>
                  <w:color w:val="0563C1"/>
                  <w:u w:val="single"/>
                </w:rPr>
                <w:t>PDF</w:t>
              </w:r>
            </w:hyperlink>
            <w:r>
              <w:br/>
            </w:r>
            <w:hyperlink r:id="rId19">
              <w:r>
                <w:rPr>
                  <w:color w:val="0563C1"/>
                  <w:u w:val="single"/>
                </w:rPr>
                <w:t>Source</w:t>
              </w:r>
            </w:hyperlink>
            <w:r>
              <w:t xml:space="preserve"> · </w:t>
            </w:r>
            <w:hyperlink r:id="rId20">
              <w:r>
                <w:rPr>
                  <w:color w:val="0563C1"/>
                  <w:u w:val="single"/>
                </w:rPr>
                <w:t>PDF</w:t>
              </w:r>
            </w:hyperlink>
            <w:r>
              <w:br/>
            </w:r>
            <w:hyperlink r:id="rId21">
              <w:r>
                <w:rPr>
                  <w:color w:val="0563C1"/>
                  <w:u w:val="single"/>
                </w:rPr>
                <w:t>Source</w:t>
              </w:r>
            </w:hyperlink>
            <w:r>
              <w:t xml:space="preserve"> · </w:t>
            </w:r>
            <w:hyperlink r:id="rId22">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PAXG</w:t>
            </w:r>
          </w:p>
          <w:p>
            <w:pPr>
              <w:pStyle w:val="Normal"/>
              <w:widowControl/>
              <w:spacing w:after="55" w:line="240" w:lineRule="auto"/>
              <w:keepNext w:val="0"/>
              <w:keepLines/>
            </w:pPr>
            <w:r>
              <w:rPr>
                <w:sz w:val="21"/>
                <w:szCs w:val="21"/>
              </w:rPr>
              <w:t xml:space="preserve">Selected neoadjuvant use</w:t>
            </w:r>
          </w:p>
        </w:tc>
        <w:tc>
          <w:tcPr>
            <w:tcW w:w="4000" w:type="dxa"/>
            <w:vAlign w:val="top"/>
            <w:shd w:fill="FFFFFF"/>
          </w:tcPr>
          <w:p>
            <w:pPr>
              <w:pStyle w:val="Normal"/>
              <w:widowControl/>
              <w:spacing w:after="55" w:line="240" w:lineRule="auto"/>
              <w:keepNext w:val="0"/>
              <w:keepLines/>
            </w:pPr>
            <w:r>
              <w:rPr>
                <w:sz w:val="21"/>
                <w:szCs w:val="21"/>
              </w:rPr>
              <w:t xml:space="preserve">Cisplatin, nab-paclitaxel, capecitabine and gemcitabine. Consider only with regimen-specific expertise and explicit multidisciplinary agreement; not an automatic replacement for established induction options.</w:t>
            </w:r>
          </w:p>
          <w:p>
            <w:pPr>
              <w:pStyle w:val="Normal"/>
              <w:widowControl/>
              <w:spacing w:after="55" w:line="240" w:lineRule="auto"/>
              <w:keepNext w:val="0"/>
              <w:keepLines/>
            </w:pPr>
            <w:r>
              <w:rPr>
                <w:sz w:val="21"/>
                <w:szCs w:val="21"/>
              </w:rPr>
              <w:t xml:space="preserve">Discuss PAXG as an evidence-supported preoperative option for selected patients, with local MDT/formulary adoption still OPEN. Not a blanket replacement for mFOLFIRINOX, not a metastatic comparison, and not a PDAC transplant indication.</w:t>
            </w:r>
          </w:p>
        </w:tc>
        <w:tc>
          <w:tcPr>
            <w:tcW w:w="4180" w:type="dxa"/>
            <w:vAlign w:val="top"/>
            <w:shd w:fill="FFFFFF"/>
          </w:tcPr>
          <w:p>
            <w:pPr>
              <w:pStyle w:val="Normal"/>
              <w:widowControl/>
              <w:spacing w:after="55" w:line="240" w:lineRule="auto"/>
              <w:keepNext w:val="0"/>
              <w:keepLines/>
            </w:pPr>
            <w:r>
              <w:rPr>
                <w:sz w:val="21"/>
                <w:szCs w:val="21"/>
              </w:rPr>
              <w:t xml:space="preserve">Median event-free survival 16.0 versus 10.2 months, HR 0.63 (0.47–0.84). EFS included confirmed CA19-9 rises and unresectability, not just progression/death. Resection 75% versus 67% (not significant); R0 rates similar. Grade ≥3 toxicity 66% versus 61%. OS immature; no established OS superiority. Open-label, high-volume Italian centers, all White population, age cap. Converted phase II to III after 86% enrollment; no independent monitoring committee. Thirty-three EFS events were marker-only. Do not relabel EFS as OS or PFS.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</w:fldData>
              </w:fldChar>
            </w:r>
            <w:r>
              <w:instrText xml:space="preserve"> ADDIN EN.CITE.DATA </w:instrText>
            </w:r>
            <w:r>
              <w:fldChar w:fldCharType="end"/>
            </w:r>
            <w:r>
              <w:fldChar w:fldCharType="separate"/>
            </w:r>
            <w:r>
              <w:t xml:space="preserve">[V12-6]</w:t>
            </w:r>
            <w:r>
              <w:fldChar w:fldCharType="end"/>
            </w:r>
            <w:r>
              <w:br/>
            </w:r>
            <w:hyperlink r:id="rId23">
              <w:r>
                <w:rPr>
                  <w:color w:val="0563C1"/>
                  <w:u w:val="single"/>
                </w:rPr>
                <w:t>Source</w:t>
              </w:r>
            </w:hyperlink>
            <w:r>
              <w:t xml:space="preserve"> · </w:t>
            </w:r>
            <w:hyperlink r:id="rId24">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FOLFIRINOX or NALIRIFOX</w:t>
            </w:r>
          </w:p>
          <w:p>
            <w:pPr>
              <w:pStyle w:val="Normal"/>
              <w:widowControl/>
              <w:spacing w:after="55" w:line="240" w:lineRule="auto"/>
              <w:keepNext w:val="0"/>
              <w:keepLines/>
            </w:pPr>
            <w:r>
              <w:rPr>
                <w:sz w:val="21"/>
                <w:szCs w:val="21"/>
              </w:rPr>
              <w:t xml:space="preserve">Metastatic first line</w:t>
            </w:r>
          </w:p>
        </w:tc>
        <w:tc>
          <w:tcPr>
            <w:tcW w:w="4000" w:type="dxa"/>
            <w:vAlign w:val="top"/>
            <w:shd w:fill="F1F5F8"/>
          </w:tcPr>
          <w:p>
            <w:pPr>
              <w:pStyle w:val="Normal"/>
              <w:widowControl/>
              <w:spacing w:after="55" w:line="240" w:lineRule="auto"/>
              <w:keepNext w:val="0"/>
              <w:keepLines/>
            </w:pPr>
            <w:r>
              <w:rPr>
                <w:sz w:val="21"/>
                <w:szCs w:val="21"/>
              </w:rPr>
              <w:t xml:space="preserve">For fit patients with adequate hepatic function and controlled biliary obstruction. The irinotecan formulations are different; do not interchange milligram doses. Assess neuropathy, diarrhea and nutrition.</w:t>
            </w:r>
          </w:p>
        </w:tc>
        <w:tc>
          <w:tcPr>
            <w:tcW w:w="4180" w:type="dxa"/>
            <w:vAlign w:val="top"/>
            <w:shd w:fill="F1F5F8"/>
          </w:tcPr>
          <w:p>
            <w:pPr>
              <w:pStyle w:val="Normal"/>
              <w:widowControl/>
              <w:spacing w:after="55" w:line="240" w:lineRule="auto"/>
              <w:keepNext w:val="0"/>
              <w:keepLines/>
            </w:pPr>
            <w:r>
              <w:rPr>
                <w:sz w:val="21"/>
                <w:szCs w:val="21"/>
              </w:rPr>
              <w:t xml:space="preserve">FOLFIRINOX improved OS over gemcitabine. NAPOLI-3 showed NALIRIFOX OS 11.1 versus 9.2 months with gemcitabine-nab-paclitaxel; this does not compare NALIRIFOX directly with FOLFIRINOX.</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NTYvTkVKTW9hMTAxMTkyMzwvdXJsPjwvcmVsYXRlZC11cmxzPjxwZGYtdXJscy8+PC91cmxzPjwvcmVjb3JkPjwvQ2l0ZT48L0VuZE5vdGU+</w:fldData>
              </w:fldChar>
            </w:r>
            <w:r>
              <w:instrText xml:space="preserve"> ADDIN EN.CITE.DATA </w:instrText>
            </w:r>
            <w:r>
              <w:fldChar w:fldCharType="end"/>
            </w:r>
            <w:r>
              <w:fldChar w:fldCharType="separate"/>
            </w:r>
            <w:r>
              <w:t xml:space="preserve">[V12-7]</w:t>
            </w:r>
            <w:r>
              <w:fldChar w:fldCharType="end"/>
            </w:r>
            <w:r>
              <w:t xml:space="preserve"> </w:t>
            </w:r>
            <w:r>
              <w:fldChar w:fldCharType="begin"/>
            </w:r>
            <w:r>
              <w:instrText xml:space="preserve"> ADDIN EN.CITE </w:instrText>
            </w:r>
            <w:r>
              <w:fldChar w:fldCharType="begin">
                <w:fldData>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DE0MC02NzM2KDIzKTAxMzY2LTE8L3VybD48L3JlbGF0ZWQtdXJscz48cGRmLXVybHMvPjwvdXJscz48L3JlY29yZD48L0NpdGU+PC9FbmROb3RlPg==</w:fldData>
              </w:fldChar>
            </w:r>
            <w:r>
              <w:instrText xml:space="preserve"> ADDIN EN.CITE.DATA </w:instrText>
            </w:r>
            <w:r>
              <w:fldChar w:fldCharType="end"/>
            </w:r>
            <w:r>
              <w:fldChar w:fldCharType="separate"/>
            </w:r>
            <w:r>
              <w:t xml:space="preserve">[V12-8]</w:t>
            </w:r>
            <w:r>
              <w:fldChar w:fldCharType="end"/>
            </w:r>
            <w:r>
              <w:br/>
            </w:r>
            <w:hyperlink r:id="rId25">
              <w:r>
                <w:rPr>
                  <w:color w:val="0563C1"/>
                  <w:u w:val="single"/>
                </w:rPr>
                <w:t>Source</w:t>
              </w:r>
            </w:hyperlink>
            <w:r>
              <w:t xml:space="preserve"> · </w:t>
            </w:r>
            <w:hyperlink r:id="rId26">
              <w:r>
                <w:rPr>
                  <w:color w:val="0563C1"/>
                  <w:u w:val="single"/>
                </w:rPr>
                <w:t>PDF</w:t>
              </w:r>
            </w:hyperlink>
            <w:r>
              <w:br/>
            </w:r>
            <w:hyperlink r:id="rId27">
              <w:r>
                <w:rPr>
                  <w:color w:val="0563C1"/>
                  <w:u w:val="single"/>
                </w:rPr>
                <w:t>Source</w:t>
              </w:r>
            </w:hyperlink>
            <w:r>
              <w:t xml:space="preserve"> · </w:t>
            </w:r>
            <w:hyperlink r:id="rId28">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Gemcitabine nab-paclitaxel</w:t>
            </w:r>
          </w:p>
          <w:p>
            <w:pPr>
              <w:pStyle w:val="Normal"/>
              <w:widowControl/>
              <w:spacing w:after="55" w:line="240" w:lineRule="auto"/>
              <w:keepNext w:val="0"/>
              <w:keepLines/>
            </w:pPr>
            <w:r>
              <w:rPr>
                <w:sz w:val="21"/>
                <w:szCs w:val="21"/>
              </w:rPr>
              <w:t xml:space="preserve">Metastatic first line</w:t>
            </w:r>
          </w:p>
        </w:tc>
        <w:tc>
          <w:tcPr>
            <w:tcW w:w="4000" w:type="dxa"/>
            <w:vAlign w:val="top"/>
            <w:shd w:fill="FFFFFF"/>
          </w:tcPr>
          <w:p>
            <w:pPr>
              <w:pStyle w:val="Normal"/>
              <w:widowControl/>
              <w:spacing w:after="55" w:line="240" w:lineRule="auto"/>
              <w:keepNext w:val="0"/>
              <w:keepLines/>
            </w:pPr>
            <w:r>
              <w:rPr>
                <w:sz w:val="21"/>
                <w:szCs w:val="21"/>
              </w:rPr>
              <w:t xml:space="preserve">Alternative multiagent treatment based on fitness, neuropathy, bilirubin and patient priorities. Gemcitabine alone or symptom-focused care may be more appropriate when combinations are not tolerable.</w:t>
            </w:r>
          </w:p>
        </w:tc>
        <w:tc>
          <w:tcPr>
            <w:tcW w:w="4180" w:type="dxa"/>
            <w:vAlign w:val="top"/>
            <w:shd w:fill="FFFFFF"/>
          </w:tcPr>
          <w:p>
            <w:pPr>
              <w:pStyle w:val="Normal"/>
              <w:widowControl/>
              <w:spacing w:after="55" w:line="240" w:lineRule="auto"/>
              <w:keepNext w:val="0"/>
              <w:keepLines/>
            </w:pPr>
            <w:r>
              <w:rPr>
                <w:sz w:val="21"/>
                <w:szCs w:val="21"/>
              </w:rPr>
              <w:t xml:space="preserve">MPACT improved OS over gemcitabine. Avoid ranking it against FOLFIRINOX by comparing medians from different trials; NAPOLI-3 supplies a direct comparison only with NALIRIFOX.</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EzMDQzNjk8L3VybD48L3JlbGF0ZWQtdXJscz48cGRmLXVybHMvPjwvdXJscz48L3JlY29yZD48L0NpdGU+PC9FbmROb3RlPg==</w:fldData>
              </w:fldChar>
            </w:r>
            <w:r>
              <w:instrText xml:space="preserve"> ADDIN EN.CITE.DATA </w:instrText>
            </w:r>
            <w:r>
              <w:fldChar w:fldCharType="end"/>
            </w:r>
            <w:r>
              <w:fldChar w:fldCharType="separate"/>
            </w:r>
            <w:r>
              <w:t xml:space="preserve">[V12-9]</w:t>
            </w:r>
            <w:r>
              <w:fldChar w:fldCharType="end"/>
            </w:r>
            <w:r>
              <w:t xml:space="preserve"> </w:t>
            </w:r>
            <w:r>
              <w:fldChar w:fldCharType="begin"/>
            </w:r>
            <w:r>
              <w:instrText xml:space="preserve"> ADDIN EN.CITE </w:instrText>
            </w:r>
            <w:r>
              <w:fldChar w:fldCharType="begin">
                <w:fldData>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</w:fldData>
              </w:fldChar>
            </w:r>
            <w:r>
              <w:instrText xml:space="preserve"> ADDIN EN.CITE.DATA </w:instrText>
            </w:r>
            <w:r>
              <w:fldChar w:fldCharType="end"/>
            </w:r>
            <w:r>
              <w:fldChar w:fldCharType="separate"/>
            </w:r>
            <w:r>
              <w:t xml:space="preserve">[V12-8]</w:t>
            </w:r>
            <w:r>
              <w:fldChar w:fldCharType="end"/>
            </w:r>
            <w:r>
              <w:t xml:space="preserve"> </w:t>
            </w:r>
            <w:r>
              <w:fldChar w:fldCharType="begin"/>
            </w:r>
            <w:r>
              <w:instrText xml:space="preserve"> ADDIN EN.CITE </w:instrText>
            </w:r>
            <w:r>
              <w:fldChar w:fldCharType="begin">
                <w:fldData>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PHllYXI+MjAyMzwveWVhcj48L2RhdGVzPjx2b2x1bWU+MzQ8L3ZvbHVtZT48bnVtYmVyPjExPC9udW1iZXI+PHBhZ2VzPjk4Ny0xMDAyPC9wYWdlcz48ZWxlY3Ryb25pYy1yZXNvdXJjZS1udW0+MTAuMTAxNi9qLmFubm9uYy4yMDIzLjA4LjAwO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hbm5vbmMuMjAyMy4wOC4wMDk8L3VybD48L3JlbGF0ZWQtdXJscz48cGRmLXVybHMvPjwvdXJscz48L3JlY29yZD48L0NpdGU+PC9FbmROb3RlPg==</w:fldData>
              </w:fldChar>
            </w:r>
            <w:r>
              <w:instrText xml:space="preserve"> ADDIN EN.CITE.DATA </w:instrText>
            </w:r>
            <w:r>
              <w:fldChar w:fldCharType="end"/>
            </w:r>
            <w:r>
              <w:fldChar w:fldCharType="separate"/>
            </w:r>
            <w:r>
              <w:t xml:space="preserve">[V12-2]</w:t>
            </w:r>
            <w:r>
              <w:fldChar w:fldCharType="end"/>
            </w:r>
            <w:r>
              <w:br/>
            </w:r>
            <w:hyperlink r:id="rId29">
              <w:r>
                <w:rPr>
                  <w:color w:val="0563C1"/>
                  <w:u w:val="single"/>
                </w:rPr>
                <w:t>Source</w:t>
              </w:r>
            </w:hyperlink>
            <w:r>
              <w:t xml:space="preserve"> · </w:t>
            </w:r>
            <w:hyperlink r:id="rId30">
              <w:r>
                <w:rPr>
                  <w:color w:val="0563C1"/>
                  <w:u w:val="single"/>
                </w:rPr>
                <w:t>PDF</w:t>
              </w:r>
            </w:hyperlink>
            <w:r>
              <w:br/>
            </w:r>
            <w:hyperlink r:id="rId31">
              <w:r>
                <w:rPr>
                  <w:color w:val="0563C1"/>
                  <w:u w:val="single"/>
                </w:rPr>
                <w:t>Source</w:t>
              </w:r>
            </w:hyperlink>
            <w:r>
              <w:t xml:space="preserve"> · </w:t>
            </w:r>
            <w:hyperlink r:id="rId32">
              <w:r>
                <w:rPr>
                  <w:color w:val="0563C1"/>
                  <w:u w:val="single"/>
                </w:rPr>
                <w:t>PDF</w:t>
              </w:r>
            </w:hyperlink>
            <w:r>
              <w:br/>
            </w:r>
            <w:hyperlink r:id="rId33">
              <w:r>
                <w:rPr>
                  <w:color w:val="0563C1"/>
                  <w:u w:val="single"/>
                </w:rPr>
                <w:t>Source</w:t>
              </w:r>
            </w:hyperlink>
            <w:r>
              <w:t xml:space="preserve"> · </w:t>
            </w:r>
            <w:hyperlink r:id="rId34">
              <w:r>
                <w:rPr>
                  <w:color w:val="0563C1"/>
                  <w:u w:val="single"/>
                </w:rPr>
                <w:t>PDF</w:t>
              </w:r>
            </w:hyperlink>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Liposomal irinotecan fluorouracil leucovorin or switch backbone</w:t>
            </w:r>
          </w:p>
          <w:p>
            <w:pPr>
              <w:pStyle w:val="Normal"/>
              <w:widowControl/>
              <w:spacing w:after="55" w:line="240" w:lineRule="auto"/>
              <w:keepNext w:val="0"/>
              <w:keepLines/>
            </w:pPr>
            <w:r>
              <w:rPr>
                <w:sz w:val="21"/>
                <w:szCs w:val="21"/>
              </w:rPr>
              <w:t xml:space="preserve">Subsequent treatment</w:t>
            </w:r>
          </w:p>
        </w:tc>
        <w:tc>
          <w:tcPr>
            <w:tcW w:w="4000" w:type="dxa"/>
            <w:vAlign w:val="top"/>
            <w:shd w:fill="F1F5F8"/>
          </w:tcPr>
          <w:p>
            <w:pPr>
              <w:pStyle w:val="Normal"/>
              <w:widowControl/>
              <w:spacing w:after="55" w:line="240" w:lineRule="auto"/>
              <w:keepNext w:val="0"/>
              <w:keepLines/>
            </w:pPr>
            <w:r>
              <w:rPr>
                <w:sz w:val="21"/>
                <w:szCs w:val="21"/>
              </w:rPr>
              <w:t xml:space="preserve">nal-IRI plus 5-FU/LV after gemcitabine-based therapy when eligible. Gemcitabine-based therapy may follow a fluoropyrimidine regimen. Account for prior irinotecan and residual neuropathy.</w:t>
            </w:r>
          </w:p>
          <w:p>
            <w:pPr>
              <w:pStyle w:val="Normal"/>
              <w:widowControl/>
              <w:spacing w:after="55" w:line="240" w:lineRule="auto"/>
              <w:keepNext w:val="0"/>
              <w:keepLines/>
            </w:pPr>
            <w:r>
              <w:rPr>
                <w:sz w:val="21"/>
                <w:szCs w:val="21"/>
              </w:rPr>
              <w:t xml:space="preserve">Use the combination after gemcitabine when fit; avoid treating nal-IRI as interchangeable with conventional irinotecan. Dose conventions differ: 70 mg/m² free base equals 80 mg/m² salt in the publication. Pharmacy must verify the actual product/order set.</w:t>
            </w:r>
          </w:p>
        </w:tc>
        <w:tc>
          <w:tcPr>
            <w:tcW w:w="4180" w:type="dxa"/>
            <w:vAlign w:val="top"/>
            <w:shd w:fill="F1F5F8"/>
          </w:tcPr>
          <w:p>
            <w:pPr>
              <w:pStyle w:val="Normal"/>
              <w:widowControl/>
              <w:spacing w:after="55" w:line="240" w:lineRule="auto"/>
              <w:keepNext w:val="0"/>
              <w:keepLines/>
            </w:pPr>
            <w:r>
              <w:rPr>
                <w:sz w:val="21"/>
                <w:szCs w:val="21"/>
              </w:rPr>
              <w:t xml:space="preserve">nal-IRI plus 5-FU/LV: OS 6.1 versus 4.2 months, HR 0.67 (0.49–0.92); PFS 3.1 versus 1.5, HR 0.56. ORR 16% versus 1%. nal-IRI monotherapy did not improve OS (HR 0.99). Grade 3–4 neutropenia 27%, diarrhea 13%. Small prior-irinotecan subgroup, different 5-FU schedules, selected organ function. No validated immediate reuse after FOLFIRINOX/NALIRIFOX. One combination treatment-related septic-shock death.</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r>
              <w:t xml:space="preserve"> </w:t>
            </w:r>
            <w:r>
              <w:fldChar w:fldCharType="begin"/>
            </w:r>
            <w:r>
              <w:instrText xml:space="preserve"> ADDIN EN.CITE </w:instrText>
            </w:r>
            <w:r>
              <w:fldChar w:fldCharType="begin">
                <w:fldData>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PHllYXI+MjAyMzwveWVhcj48L2RhdGVzPjx2b2x1bWU+MzQ8L3ZvbHVtZT48bnVtYmVyPjExPC9udW1iZXI+PHBhZ2VzPjk4Ny0xMDAyPC9wYWdlcz48ZWxlY3Ryb25pYy1yZXNvdXJjZS1udW0+MTAuMTAxNi9qLmFubm9uYy4yMDIzLjA4LjAwO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hbm5vbmMuMjAyMy4wOC4wMDk8L3VybD48L3JlbGF0ZWQtdXJscz48cGRmLXVybHMvPjwvdXJscz48L3JlY29yZD48L0NpdGU+PC9FbmROb3RlPg==</w:fldData>
              </w:fldChar>
            </w:r>
            <w:r>
              <w:instrText xml:space="preserve"> ADDIN EN.CITE.DATA </w:instrText>
            </w:r>
            <w:r>
              <w:fldChar w:fldCharType="end"/>
            </w:r>
            <w:r>
              <w:fldChar w:fldCharType="separate"/>
            </w:r>
            <w:r>
              <w:t xml:space="preserve">[V12-2]</w:t>
            </w:r>
            <w:r>
              <w:fldChar w:fldCharType="end"/>
            </w:r>
            <w:r>
              <w:br/>
            </w:r>
            <w:hyperlink r:id="rId35">
              <w:r>
                <w:rPr>
                  <w:color w:val="0563C1"/>
                  <w:u w:val="single"/>
                </w:rPr>
                <w:t>Source</w:t>
              </w:r>
            </w:hyperlink>
            <w:r>
              <w:t xml:space="preserve"> · </w:t>
            </w:r>
            <w:hyperlink r:id="rId36">
              <w:r>
                <w:rPr>
                  <w:color w:val="0563C1"/>
                  <w:u w:val="single"/>
                </w:rPr>
                <w:t>PDF</w:t>
              </w:r>
            </w:hyperlink>
            <w:r>
              <w:br/>
            </w:r>
            <w:hyperlink r:id="rId37">
              <w:r>
                <w:rPr>
                  <w:color w:val="0563C1"/>
                  <w:u w:val="single"/>
                </w:rPr>
                <w:t>Source</w:t>
              </w:r>
            </w:hyperlink>
            <w:r>
              <w:t xml:space="preserve"> · </w:t>
            </w:r>
            <w:hyperlink r:id="rId38">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Daraxonrasib</w:t>
            </w:r>
          </w:p>
          <w:p>
            <w:pPr>
              <w:pStyle w:val="Normal"/>
              <w:widowControl/>
              <w:spacing w:after="55" w:line="240" w:lineRule="auto"/>
              <w:keepNext w:val="0"/>
              <w:keepLines/>
            </w:pPr>
            <w:r>
              <w:rPr>
                <w:sz w:val="21"/>
                <w:szCs w:val="21"/>
              </w:rPr>
              <w:t xml:space="preserve">Current US option</w:t>
            </w:r>
          </w:p>
        </w:tc>
        <w:tc>
          <w:tcPr>
            <w:tcW w:w="4000" w:type="dxa"/>
            <w:vAlign w:val="top"/>
            <w:shd w:fill="FFFFFF"/>
          </w:tcPr>
          <w:p>
            <w:pPr>
              <w:pStyle w:val="Normal"/>
              <w:widowControl/>
              <w:spacing w:after="55" w:line="240" w:lineRule="auto"/>
              <w:keepNext w:val="0"/>
              <w:keepLines/>
            </w:pPr>
            <w:r>
              <w:rPr>
                <w:sz w:val="21"/>
                <w:szCs w:val="21"/>
              </w:rPr>
              <w:t xml:space="preserve">US approval August 2026: metastatic pancreatic adenocarcinoma after at least one prior systemic treatment or when not a candidate for multiagent systemic therapy. The indication is not restricted to a RAS mutation.</w:t>
            </w:r>
          </w:p>
        </w:tc>
        <w:tc>
          <w:tcPr>
            <w:tcW w:w="4180" w:type="dxa"/>
            <w:vAlign w:val="top"/>
            <w:shd w:fill="FFFFFF"/>
          </w:tcPr>
          <w:p>
            <w:pPr>
              <w:pStyle w:val="Normal"/>
              <w:widowControl/>
              <w:spacing w:after="55" w:line="240" w:lineRule="auto"/>
              <w:keepNext w:val="0"/>
              <w:keepLines/>
            </w:pPr>
            <w:r>
              <w:rPr>
                <w:sz w:val="21"/>
                <w:szCs w:val="21"/>
              </w:rPr>
              <w:t xml:space="preserve">RASolute 302 randomized previously treated patients: overall-population OS 13.2 versus 6.7 months, HR 0.40. That trial does not independently establish the same effect in treatment-naive frail patients included in the broader label.</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</w:fldData>
              </w:fldChar>
            </w:r>
            <w:r>
              <w:instrText xml:space="preserve"> ADDIN EN.CITE.DATA </w:instrText>
            </w:r>
            <w:r>
              <w:fldChar w:fldCharType="end"/>
            </w:r>
            <w:r>
              <w:fldChar w:fldCharType="separate"/>
            </w:r>
            <w:r>
              <w:t xml:space="preserve">[V12-11]</w:t>
            </w:r>
            <w:r>
              <w:fldChar w:fldCharType="end"/>
            </w:r>
            <w:r>
              <w:t xml:space="preserve"> </w:t>
            </w:r>
            <w:r>
              <w:fldChar w:fldCharType="begin"/>
            </w:r>
            <w:r>
              <w:instrText xml:space="preserve"> ADDIN EN.CITE </w:instrText>
            </w:r>
            <w:r>
              <w:fldChar w:fldCharType="begin">
                <w:fldData>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</w:fldData>
              </w:fldChar>
            </w:r>
            <w:r>
              <w:instrText xml:space="preserve"> ADDIN EN.CITE.DATA </w:instrText>
            </w:r>
            <w:r>
              <w:fldChar w:fldCharType="end"/>
            </w:r>
            <w:r>
              <w:fldChar w:fldCharType="separate"/>
            </w:r>
            <w:r>
              <w:t xml:space="preserve">[V12-12]</w:t>
            </w:r>
            <w:r>
              <w:fldChar w:fldCharType="end"/>
            </w:r>
            <w:r>
              <w:br/>
            </w:r>
            <w:hyperlink r:id="rId39">
              <w:r>
                <w:rPr>
                  <w:color w:val="0563C1"/>
                  <w:u w:val="single"/>
                </w:rPr>
                <w:t>Source</w:t>
              </w:r>
            </w:hyperlink>
            <w:r>
              <w:t xml:space="preserve"> · </w:t>
            </w:r>
            <w:hyperlink r:id="rId40">
              <w:r>
                <w:rPr>
                  <w:color w:val="0563C1"/>
                  <w:u w:val="single"/>
                </w:rPr>
                <w:t>PDF</w:t>
              </w:r>
            </w:hyperlink>
            <w:r>
              <w:br/>
            </w:r>
            <w:hyperlink r:id="rId41">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Platinum and olaparib maintenance</w:t>
            </w:r>
          </w:p>
          <w:p>
            <w:pPr>
              <w:pStyle w:val="Normal"/>
              <w:widowControl/>
              <w:spacing w:after="55" w:line="240" w:lineRule="auto"/>
              <w:keepNext w:val="0"/>
              <w:keepLines/>
            </w:pPr>
            <w:r>
              <w:rPr>
                <w:sz w:val="21"/>
                <w:szCs w:val="21"/>
              </w:rPr>
              <w:t xml:space="preserve">Hereditary DNA repair setting</w:t>
            </w:r>
          </w:p>
        </w:tc>
        <w:tc>
          <w:tcPr>
            <w:tcW w:w="4000" w:type="dxa"/>
            <w:vAlign w:val="top"/>
            <w:shd w:fill="F1F5F8"/>
          </w:tcPr>
          <w:p>
            <w:pPr>
              <w:pStyle w:val="Normal"/>
              <w:widowControl/>
              <w:spacing w:after="55" w:line="240" w:lineRule="auto"/>
              <w:keepNext w:val="0"/>
              <w:keepLines/>
            </w:pPr>
            <w:r>
              <w:rPr>
                <w:sz w:val="21"/>
                <w:szCs w:val="21"/>
              </w:rPr>
              <w:t xml:space="preserve">Prioritize platinum discussion for germline BRCA1/2 or PALB2-associated PDAC. Olaparib maintenance is for metastatic germline BRCA1/2 disease without progression after at least 16 weeks of first-line platinum.</w:t>
            </w:r>
          </w:p>
        </w:tc>
        <w:tc>
          <w:tcPr>
            <w:tcW w:w="4180" w:type="dxa"/>
            <w:vAlign w:val="top"/>
            <w:shd w:fill="F1F5F8"/>
          </w:tcPr>
          <w:p>
            <w:pPr>
              <w:pStyle w:val="Normal"/>
              <w:widowControl/>
              <w:spacing w:after="55" w:line="240" w:lineRule="auto"/>
              <w:keepNext w:val="0"/>
              <w:keepLines/>
            </w:pPr>
            <w:r>
              <w:rPr>
                <w:sz w:val="21"/>
                <w:szCs w:val="21"/>
              </w:rPr>
              <w:t xml:space="preserve">POLO improved PFS, not a demonstrated OS benefit. PALB2-associated platinum sensitivity does not automatically confer the olaparib PDAC label. Germline and somatic findings are not interchangeable.</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NTYvTkVKTW9hMTkwMzM4NzwvdXJsPjwvcmVsYXRlZC11cmxzPjxwZGYtdXJscy8+PC91cmxzPjwvcmVjb3JkPjwvQ2l0ZT48L0VuZE5vdGU+</w:fldData>
              </w:fldChar>
            </w:r>
            <w:r>
              <w:instrText xml:space="preserve"> ADDIN EN.CITE.DATA </w:instrText>
            </w:r>
            <w:r>
              <w:fldChar w:fldCharType="end"/>
            </w:r>
            <w:r>
              <w:fldChar w:fldCharType="separate"/>
            </w:r>
            <w:r>
              <w:t xml:space="preserve">[V12-13]</w:t>
            </w:r>
            <w:r>
              <w:fldChar w:fldCharType="end"/>
            </w:r>
            <w:r>
              <w:t xml:space="preserve"> </w:t>
            </w:r>
            <w:r>
              <w:fldChar w:fldCharType="begin"/>
            </w:r>
            <w:r>
              <w:instrText xml:space="preserve"> ADDIN EN.CITE </w:instrText>
            </w:r>
            <w:r>
              <w:fldChar w:fldCharType="begin">
                <w:fldData>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PHllYXI+MjAyMzwveWVhcj48L2RhdGVzPjx2b2x1bWU+MzQ8L3ZvbHVtZT48bnVtYmVyPjExPC9udW1iZXI+PHBhZ2VzPjk4Ny0xMDAyPC9wYWdlcz48ZWxlY3Ryb25pYy1yZXNvdXJjZS1udW0+MTAuMTAxNi9qLmFubm9uYy4yMDIzLjA4LjAwO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hbm5vbmMuMjAyMy4wOC4wMDk8L3VybD48L3JlbGF0ZWQtdXJscz48cGRmLXVybHMvPjwvdXJscz48L3JlY29yZD48L0NpdGU+PC9FbmROb3RlPg==</w:fldData>
              </w:fldChar>
            </w:r>
            <w:r>
              <w:instrText xml:space="preserve"> ADDIN EN.CITE.DATA </w:instrText>
            </w:r>
            <w:r>
              <w:fldChar w:fldCharType="end"/>
            </w:r>
            <w:r>
              <w:fldChar w:fldCharType="separate"/>
            </w:r>
            <w:r>
              <w:t xml:space="preserve">[V12-2]</w:t>
            </w:r>
            <w:r>
              <w:fldChar w:fldCharType="end"/>
            </w:r>
            <w:r>
              <w:br/>
            </w:r>
            <w:hyperlink r:id="rId42">
              <w:r>
                <w:rPr>
                  <w:color w:val="0563C1"/>
                  <w:u w:val="single"/>
                </w:rPr>
                <w:t>Source</w:t>
              </w:r>
            </w:hyperlink>
            <w:r>
              <w:t xml:space="preserve"> · </w:t>
            </w:r>
            <w:hyperlink r:id="rId43">
              <w:r>
                <w:rPr>
                  <w:color w:val="0563C1"/>
                  <w:u w:val="single"/>
                </w:rPr>
                <w:t>PDF</w:t>
              </w:r>
            </w:hyperlink>
            <w:r>
              <w:br/>
            </w:r>
            <w:hyperlink r:id="rId44">
              <w:r>
                <w:rPr>
                  <w:color w:val="0563C1"/>
                  <w:u w:val="single"/>
                </w:rPr>
                <w:t>Source</w:t>
              </w:r>
            </w:hyperlink>
            <w:r>
              <w:t xml:space="preserve"> · </w:t>
            </w:r>
            <w:hyperlink r:id="rId45">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Zenocutuzumab and rare molecular options</w:t>
            </w:r>
          </w:p>
        </w:tc>
        <w:tc>
          <w:tcPr>
            <w:tcW w:w="4000" w:type="dxa"/>
            <w:vAlign w:val="top"/>
            <w:shd w:fill="FFFFFF"/>
          </w:tcPr>
          <w:p>
            <w:pPr>
              <w:pStyle w:val="Normal"/>
              <w:widowControl/>
              <w:spacing w:after="55" w:line="240" w:lineRule="auto"/>
              <w:keepNext w:val="0"/>
              <w:keepLines/>
            </w:pPr>
            <w:r>
              <w:rPr>
                <w:sz w:val="21"/>
                <w:szCs w:val="21"/>
              </w:rPr>
              <w:t xml:space="preserve">NRG1 fusion-positive advanced unresectable/metastatic PDAC after prior systemic therapy may receive zenocutuzumab. Also review MSI/MMR, NTRK, RET and other actionable alterations with molecular oncology.</w:t>
            </w:r>
          </w:p>
        </w:tc>
        <w:tc>
          <w:tcPr>
            <w:tcW w:w="4180" w:type="dxa"/>
            <w:vAlign w:val="top"/>
            <w:shd w:fill="FFFFFF"/>
          </w:tcPr>
          <w:p>
            <w:pPr>
              <w:pStyle w:val="Normal"/>
              <w:widowControl/>
              <w:spacing w:after="55" w:line="240" w:lineRule="auto"/>
              <w:keepNext w:val="0"/>
              <w:keepLines/>
            </w:pPr>
            <w:r>
              <w:rPr>
                <w:sz w:val="21"/>
                <w:szCs w:val="21"/>
              </w:rPr>
              <w:t xml:space="preserve">eNRGy supplies rare-fusion single-arm evidence. Molecular selection does not justify using unvalidated combinations or every RAS inhibitor interchangeably. See shared biomarker section.</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NTYvTkVKTW9hMjQwNTAwODwvdXJsPjwvcmVsYXRlZC11cmxzPjxwZGYtdXJscy8+PC91cmxzPjwvcmVjb3JkPjwvQ2l0ZT48L0VuZE5vdGU+</w:fldData>
              </w:fldChar>
            </w:r>
            <w:r>
              <w:instrText xml:space="preserve"> ADDIN EN.CITE.DATA </w:instrText>
            </w:r>
            <w:r>
              <w:fldChar w:fldCharType="end"/>
            </w:r>
            <w:r>
              <w:fldChar w:fldCharType="separate"/>
            </w:r>
            <w:r>
              <w:t xml:space="preserve">[V12-14]</w:t>
            </w:r>
            <w:r>
              <w:fldChar w:fldCharType="end"/>
            </w:r>
            <w:r>
              <w:t xml:space="preserve"> </w:t>
            </w:r>
            <w:r>
              <w:fldChar w:fldCharType="begin"/>
            </w:r>
            <w:r>
              <w:instrText xml:space="preserve"> ADDIN EN.CITE </w:instrText>
            </w:r>
            <w:r>
              <w:fldChar w:fldCharType="begin">
                <w:fldData>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</w:fldData>
              </w:fldChar>
            </w:r>
            <w:r>
              <w:instrText xml:space="preserve"> ADDIN EN.CITE.DATA </w:instrText>
            </w:r>
            <w:r>
              <w:fldChar w:fldCharType="end"/>
            </w:r>
            <w:r>
              <w:fldChar w:fldCharType="separate"/>
            </w:r>
            <w:r>
              <w:t xml:space="preserve">[V12-2]</w:t>
            </w:r>
            <w:r>
              <w:fldChar w:fldCharType="end"/>
            </w:r>
            <w:r>
              <w:br/>
            </w:r>
            <w:hyperlink r:id="rId46">
              <w:r>
                <w:rPr>
                  <w:color w:val="0563C1"/>
                  <w:u w:val="single"/>
                </w:rPr>
                <w:t>Source</w:t>
              </w:r>
            </w:hyperlink>
            <w:r>
              <w:t xml:space="preserve"> · </w:t>
            </w:r>
            <w:hyperlink r:id="rId47">
              <w:r>
                <w:rPr>
                  <w:color w:val="0563C1"/>
                  <w:u w:val="single"/>
                </w:rPr>
                <w:t>PDF</w:t>
              </w:r>
            </w:hyperlink>
            <w:r>
              <w:br/>
            </w:r>
            <w:hyperlink r:id="rId48">
              <w:r>
                <w:rPr>
                  <w:color w:val="0563C1"/>
                  <w:u w:val="single"/>
                </w:rPr>
                <w:t>Source</w:t>
              </w:r>
            </w:hyperlink>
            <w:r>
              <w:t xml:space="preserve"> · </w:t>
            </w:r>
            <w:hyperlink r:id="rId49">
              <w:r>
                <w:rPr>
                  <w:color w:val="0563C1"/>
                  <w:u w:val="single"/>
                </w:rPr>
                <w:t>PDF</w:t>
              </w:r>
            </w:hyperlink>
          </w:p>
        </w:tc>
      </w:tr>
    </w:tbl>
    <w:p>
      <w:pPr>
        <w:pStyle w:val="Heading2"/>
        <w:widowControl/>
        <w:keepNext/>
      </w:pPr>
      <w:r>
        <w:t xml:space="preserve">New full-text appraisals</w:t>
      </w:r>
    </w:p>
    <w:p>
      <w:pPr>
        <w:pStyle w:val="Heading2"/>
        <w:widowControl/>
        <w:keepNext/>
      </w:pPr>
      <w:r>
        <w:t xml:space="preserve">CASSANDRA: preoperative PAXG</w:t>
      </w:r>
    </w:p>
    <w:p>
      <w:pPr>
        <w:pStyle w:val="Normal"/>
        <w:widowControl/>
        <w:spacing w:after="120"/>
      </w:pPr>
      <w:r>
        <w:t xml:space="preserve">Discuss PAXG as an evidence-supported preoperative option for selected patients, with local MDT/formulary adoption still OPEN. Not a blanket replacement for mFOLFIRINOX, not a metastatic comparison, and not a PDAC transplant indication.</w:t>
      </w:r>
      <w:r>
        <w:t xml:space="preserve"> </w:t>
      </w:r>
      <w:r>
        <w:fldChar w:fldCharType="begin"/>
      </w:r>
      <w:r>
        <w:instrText xml:space="preserve"> ADDIN EN.CITE </w:instrText>
      </w:r>
      <w:r>
        <w:fldChar w:fldCharType="begin">
          <w:fldData>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</w:fldData>
        </w:fldChar>
      </w:r>
      <w:r>
        <w:instrText xml:space="preserve"> ADDIN EN.CITE.DATA </w:instrText>
      </w:r>
      <w:r>
        <w:fldChar w:fldCharType="end"/>
      </w:r>
      <w:r>
        <w:fldChar w:fldCharType="separate"/>
      </w:r>
      <w:r>
        <w:t xml:space="preserve">[V12-6]</w:t>
      </w:r>
      <w:r>
        <w:fldChar w:fldCharType="end"/>
      </w:r>
      <w:r>
        <w:br/>
      </w:r>
      <w:hyperlink r:id="rId50">
        <w:r>
          <w:rPr>
            <w:color w:val="0563C1"/>
            <w:u w:val="single"/>
          </w:rPr>
          <w:t>Source</w:t>
        </w:r>
      </w:hyperlink>
      <w:r>
        <w:t xml:space="preserve"> · </w:t>
      </w:r>
      <w:hyperlink r:id="rId51">
        <w:r>
          <w:rPr>
            <w:color w:val="0563C1"/>
            <w:u w:val="single"/>
          </w:rPr>
          <w:t>PDF</w:t>
        </w:r>
      </w:hyperlink>
    </w:p>
    <w:p>
      <w:pPr>
        <w:pStyle w:val="Normal"/>
        <w:widowControl/>
        <w:spacing w:after="120"/>
      </w:pPr>
      <w:r>
        <w:t xml:space="preserve">Population and design: Italian phase III, 260 eligible randomized patients, age 18–75, KPS ≥70, resectable/borderline PDAC (including biological borderline CA19-9 ≥500). PAXG versus mFOLFIRINOX; four preoperative months. Second timing randomization not reported in this analysis.</w:t>
      </w:r>
    </w:p>
    <w:p>
      <w:pPr>
        <w:pStyle w:val="Normal"/>
        <w:widowControl/>
        <w:spacing w:after="120"/>
      </w:pPr>
      <w:r>
        <w:t xml:space="preserve">Results: Median event-free survival 16.0 versus 10.2 months, HR 0.63 (0.47–0.84). EFS included confirmed CA19-9 rises and unresectability, not just progression/death. Resection 75% versus 67% (not significant); R0 rates similar. Grade ≥3 toxicity 66% versus 61%. OS immature; no established OS superiority.</w:t>
      </w:r>
    </w:p>
    <w:p>
      <w:pPr>
        <w:pStyle w:val="Normal"/>
        <w:widowControl/>
        <w:spacing w:after="120"/>
      </w:pPr>
      <w:r>
        <w:t xml:space="preserve">Limits: Open-label, high-volume Italian centers, all White population, age cap. Converted phase II to III after 86% enrollment; no independent monitoring committee. Thirty-three EFS events were marker-only. Do not relabel EFS as OS or PFS.</w:t>
      </w:r>
    </w:p>
    <w:p>
      <w:pPr>
        <w:pStyle w:val="Heading2"/>
        <w:widowControl/>
        <w:keepNext/>
      </w:pPr>
      <w:r>
        <w:t xml:space="preserve">NAPOLI-1: nal-IRI after gemcitabine</w:t>
      </w:r>
    </w:p>
    <w:p>
      <w:pPr>
        <w:pStyle w:val="Normal"/>
        <w:widowControl/>
        <w:spacing w:after="120"/>
      </w:pPr>
      <w:r>
        <w:t xml:space="preserve">Use the combination after gemcitabine when fit; avoid treating nal-IRI as interchangeable with conventional irinotecan. Dose conventions differ: 70 mg/m² free base equals 80 mg/m² salt in the publication. Pharmacy must verify the actual product/order set.</w:t>
      </w:r>
      <w:r>
        <w:t xml:space="preserve"> </w:t>
      </w:r>
      <w:r>
        <w:fldChar w:fldCharType="begin"/>
      </w:r>
      <w:r>
        <w:instrText xml:space="preserve"> ADDIN EN.CITE </w:instrText>
      </w:r>
      <w:r>
        <w:fldChar w:fldCharType="begin">
          <w:fldData>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</w:fldData>
        </w:fldChar>
      </w:r>
      <w:r>
        <w:instrText xml:space="preserve"> ADDIN EN.CITE.DATA </w:instrText>
      </w:r>
      <w:r>
        <w:fldChar w:fldCharType="end"/>
      </w:r>
      <w:r>
        <w:fldChar w:fldCharType="separate"/>
      </w:r>
      <w:r>
        <w:t xml:space="preserve">[V12-10]</w:t>
      </w:r>
      <w:r>
        <w:fldChar w:fldCharType="end"/>
      </w:r>
      <w:r>
        <w:br/>
      </w:r>
      <w:hyperlink r:id="rId52">
        <w:r>
          <w:rPr>
            <w:color w:val="0563C1"/>
            <w:u w:val="single"/>
          </w:rPr>
          <w:t>Source</w:t>
        </w:r>
      </w:hyperlink>
      <w:r>
        <w:t xml:space="preserve"> · </w:t>
      </w:r>
      <w:hyperlink r:id="rId53">
        <w:r>
          <w:rPr>
            <w:color w:val="0563C1"/>
            <w:u w:val="single"/>
          </w:rPr>
          <w:t>PDF</w:t>
        </w:r>
      </w:hyperlink>
    </w:p>
    <w:p>
      <w:pPr>
        <w:pStyle w:val="Normal"/>
        <w:widowControl/>
        <w:spacing w:after="120"/>
      </w:pPr>
      <w:r>
        <w:t xml:space="preserve">Population and design: Global randomized phase III, amended three-arm design. Primary combination comparison: 117 versus 119 concurrent controls. Metastatic PDAC after gemcitabine; KPS ≥70, normal bilirubin, albumin ≥30 g/L.</w:t>
      </w:r>
    </w:p>
    <w:p>
      <w:pPr>
        <w:pStyle w:val="Normal"/>
        <w:widowControl/>
        <w:spacing w:after="120"/>
      </w:pPr>
      <w:r>
        <w:t xml:space="preserve">Results: nal-IRI plus 5-FU/LV: OS 6.1 versus 4.2 months, HR 0.67 (0.49–0.92); PFS 3.1 versus 1.5, HR 0.56. ORR 16% versus 1%. nal-IRI monotherapy did not improve OS (HR 0.99). Grade 3–4 neutropenia 27%, diarrhea 13%.</w:t>
      </w:r>
    </w:p>
    <w:p>
      <w:pPr>
        <w:pStyle w:val="Normal"/>
        <w:widowControl/>
        <w:spacing w:after="120"/>
      </w:pPr>
      <w:r>
        <w:t xml:space="preserve">Limits: Small prior-irinotecan subgroup, different 5-FU schedules, selected organ function. No validated immediate reuse after FOLFIRINOX/NALIRIFOX. One combination treatment-related septic-shock death.</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Clinical pathway and evidence appendix; revised 15 October 2026.</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eNRGy zenocutuzumab. </w:t>
      </w:r>
      <w:r>
        <w:rPr>
          <w:sz w:val="17"/>
          <w:szCs w:val="17"/>
        </w:rPr>
        <w:t xml:space="preserve">Schram AM, Goto K, Kim DW, et al. Zenocutuzumab in NRG1 fusion-positive cancer. N Engl J Med. 2025;392(6):566-576. doi:10.1056/NEJMoa2405008. PMID:39908431.</w:t>
      </w:r>
    </w:p>
    <w:p>
      <w:pPr>
        <w:spacing w:after="70"/>
        <w:ind w:left="360" w:hanging="360"/>
      </w:pPr>
      <w:r>
        <w:rPr>
          <w:b/>
          <w:bCs/>
          <w:color w:val="17365D"/>
          <w:sz w:val="17"/>
          <w:szCs w:val="17"/>
        </w:rPr>
        <w:t xml:space="preserve">FOLFIRINOX in LAPC. </w:t>
      </w:r>
      <w:r>
        <w:rPr>
          <w:sz w:val="17"/>
          <w:szCs w:val="17"/>
        </w:rPr>
        <w:t xml:space="preserve">Suker M, Beumer BR, Sadot E, et al. FOLFIRINOX for locally advanced pancreatic cancer: a systematic review and patient-level meta-analysis. Lancet Oncol. 2016;17(6):801-810. doi:10.1016/S1470-2045(16)00172-8. PMID:27160474.</w:t>
      </w:r>
    </w:p>
    <w:p>
      <w:pPr>
        <w:spacing w:after="70"/>
        <w:ind w:left="360" w:hanging="360"/>
      </w:pPr>
      <w:r>
        <w:rPr>
          <w:b/>
          <w:bCs/>
          <w:color w:val="17365D"/>
          <w:sz w:val="17"/>
          <w:szCs w:val="17"/>
        </w:rPr>
        <w:t xml:space="preserve">LAP07. </w:t>
      </w:r>
      <w:r>
        <w:rPr>
          <w:sz w:val="17"/>
          <w:szCs w:val="17"/>
        </w:rPr>
        <w:t xml:space="preserve">Hammel P, Huguet F, van Laethem JL, et al. Effect of chemoradiotherapy vs chemotherapy on survival in patients with locally advanced pancreatic cancer controlled after 4 months of gemcitabine with or without erlotinib: the LAP07 randomized clinical trial. JAMA. 2016;315(17):1844-53. doi:10.1001/jama.2016.4324. PMID:27139057.</w:t>
      </w:r>
    </w:p>
    <w:p>
      <w:pPr>
        <w:spacing w:after="70"/>
        <w:ind w:left="360" w:hanging="360"/>
      </w:pPr>
      <w:r>
        <w:rPr>
          <w:b/>
          <w:bCs/>
          <w:color w:val="17365D"/>
          <w:sz w:val="17"/>
          <w:szCs w:val="17"/>
        </w:rPr>
        <w:t xml:space="preserve">MPACT. </w:t>
      </w:r>
      <w:r>
        <w:rPr>
          <w:sz w:val="17"/>
          <w:szCs w:val="17"/>
        </w:rPr>
        <w:t xml:space="preserve">Von Hoff DD, Ervin T, Arena FP, et al. Increased survival in pancreatic cancer with nab-paclitaxel plus gemcitabine. N Engl J Med. 2013;369(18):1691-703. doi:10.1056/NEJMoa1304369. PMID:24131140.</w:t>
      </w:r>
    </w:p>
    <w:p>
      <w:pPr>
        <w:spacing w:after="70"/>
        <w:ind w:left="360" w:hanging="360"/>
      </w:pPr>
      <w:r>
        <w:rPr>
          <w:b/>
          <w:bCs/>
          <w:color w:val="17365D"/>
          <w:sz w:val="17"/>
          <w:szCs w:val="17"/>
        </w:rPr>
        <w:t xml:space="preserve">NAPOLI 3. </w:t>
      </w:r>
      <w:r>
        <w:rPr>
          <w:sz w:val="17"/>
          <w:szCs w:val="17"/>
        </w:rPr>
        <w:t xml:space="preserve">Wainberg ZA, Melisi D, Macarulla T, et al. NALIRIFOX versus nab-paclitaxel and gemcitabine in treatment-naive patients with metastatic pancreatic ductal adenocarcinoma (NAPOLI 3): a randomised, open-label, phase 3 trial. Lancet. 2023;402(10409):1272-1281. doi:10.1016/S0140-6736(23)01366-1. PMID:37708904.</w:t>
      </w:r>
    </w:p>
    <w:p>
      <w:pPr>
        <w:spacing w:after="70"/>
        <w:ind w:left="360" w:hanging="360"/>
      </w:pPr>
      <w:r>
        <w:rPr>
          <w:b/>
          <w:bCs/>
          <w:color w:val="17365D"/>
          <w:sz w:val="17"/>
          <w:szCs w:val="17"/>
        </w:rPr>
        <w:t xml:space="preserve">POLO. </w:t>
      </w:r>
      <w:r>
        <w:rPr>
          <w:sz w:val="17"/>
          <w:szCs w:val="17"/>
        </w:rPr>
        <w:t xml:space="preserve">Golan T, Hammel P, Reni M, et al. Maintenance olaparib for germline BRCA-mutated metastatic pancreatic cancer. N Engl J Med. 2019;381(4):317-327. doi:10.1056/NEJMoa1903387. PMID:31157963.</w:t>
      </w:r>
    </w:p>
    <w:p>
      <w:pPr>
        <w:spacing w:after="70"/>
        <w:ind w:left="360" w:hanging="360"/>
      </w:pPr>
      <w:r>
        <w:rPr>
          <w:b/>
          <w:bCs/>
          <w:color w:val="17365D"/>
          <w:sz w:val="17"/>
          <w:szCs w:val="17"/>
        </w:rPr>
        <w:t xml:space="preserve">PRODIGE 4 / ACCORD 11. </w:t>
      </w:r>
      <w:r>
        <w:rPr>
          <w:sz w:val="17"/>
          <w:szCs w:val="17"/>
        </w:rPr>
        <w:t xml:space="preserve">Conroy T, Desseigne F, Ychou M, et al. FOLFIRINOX versus gemcitabine for metastatic pancreatic cancer. N Engl J Med. 2011;364(19):1817-25. doi:10.1056/NEJMoa1011923. PMID:21561347.</w:t>
      </w:r>
    </w:p>
    <w:p>
      <w:pPr>
        <w:spacing w:after="70"/>
        <w:ind w:left="360" w:hanging="360"/>
      </w:pPr>
      <w:r>
        <w:rPr>
          <w:b/>
          <w:bCs/>
          <w:color w:val="17365D"/>
          <w:sz w:val="17"/>
          <w:szCs w:val="17"/>
        </w:rPr>
        <w:t xml:space="preserve">RASolute 302. </w:t>
      </w:r>
      <w:r>
        <w:rPr>
          <w:sz w:val="17"/>
          <w:szCs w:val="17"/>
        </w:rPr>
        <w:t xml:space="preserve">O'Reilly EM, Wainberg ZA, Hendifar AE, et al. Daraxonrasib or chemotherapy in previously treated metastatic pancreatic cancer. N Engl J Med. 2026;395(4):325-337. doi:10.1056/NEJMoa2605555. PMID:42223072.</w:t>
      </w:r>
    </w:p>
    <w:p>
      <w:pPr>
        <w:spacing w:after="70"/>
        <w:ind w:left="360" w:hanging="360"/>
      </w:pPr>
      <w:r>
        <w:rPr>
          <w:b/>
          <w:bCs/>
          <w:color w:val="17365D"/>
          <w:sz w:val="17"/>
          <w:szCs w:val="17"/>
        </w:rPr>
        <w:t xml:space="preserve">Sotorasib CodeBreaK 100. </w:t>
      </w:r>
      <w:r>
        <w:rPr>
          <w:sz w:val="17"/>
          <w:szCs w:val="17"/>
        </w:rPr>
        <w:t xml:space="preserve">Strickler JH, Satake H, George TJ, et al. Sotorasib in KRAS p.G12C-mutated advanced pancreatic cancer. N Engl J Med. 2023;388(1):33-43. doi:10.1056/NEJMoa2208470. PMID:36546651.</w:t>
      </w:r>
    </w:p>
    <w:p>
      <w:pPr>
        <w:spacing w:after="70"/>
        <w:ind w:left="360" w:hanging="360"/>
      </w:pPr>
      <w:r>
        <w:rPr>
          <w:b/>
          <w:bCs/>
          <w:color w:val="17365D"/>
          <w:sz w:val="17"/>
          <w:szCs w:val="17"/>
        </w:rPr>
        <w:t xml:space="preserve">Clements meta-analysis. </w:t>
      </w:r>
      <w:r>
        <w:rPr>
          <w:sz w:val="17"/>
          <w:szCs w:val="17"/>
        </w:rPr>
        <w:t xml:space="preserve">Clements N, Gaskins J, Martin RCG. Surgical outcomes in stage IV pancreatic cancer with liver metastasis, current evidence and future directions: a systematic review and meta-analysis of surgical resection. Cancers (Basel). 2025;17(4):688. doi:10.3390/cancers17040688. PMID:40002281.</w:t>
      </w:r>
    </w:p>
    <w:p>
      <w:pPr>
        <w:spacing w:after="70"/>
        <w:ind w:left="360" w:hanging="360"/>
      </w:pPr>
      <w:r>
        <w:rPr>
          <w:b/>
          <w:bCs/>
          <w:color w:val="17365D"/>
          <w:sz w:val="17"/>
          <w:szCs w:val="17"/>
        </w:rPr>
        <w:t xml:space="preserve">D'Ambra meta-analysis. </w:t>
      </w:r>
      <w:r>
        <w:rPr>
          <w:sz w:val="17"/>
          <w:szCs w:val="17"/>
        </w:rPr>
        <w:t xml:space="preserve">D'Ambra V, Ricci C, Ingaldi C, et al. Stage IV pancreatic ductal adenocarcinoma (PDAC) with synchronous liver metastasis: are there survival benefits in liver resection? A systematic review and meta-analysis. Eur J Surg Oncol. 2025;51(5):109598. doi:10.1016/j.ejso.2025.109598. PMID:39837137.</w:t>
      </w:r>
    </w:p>
    <w:p>
      <w:pPr>
        <w:spacing w:after="70"/>
        <w:ind w:left="360" w:hanging="360"/>
      </w:pPr>
      <w:r>
        <w:rPr>
          <w:b/>
          <w:bCs/>
          <w:color w:val="17365D"/>
          <w:sz w:val="17"/>
          <w:szCs w:val="17"/>
        </w:rPr>
        <w:t xml:space="preserve">Kaslow benchmarks. </w:t>
      </w:r>
      <w:r>
        <w:rPr>
          <w:sz w:val="17"/>
          <w:szCs w:val="17"/>
        </w:rPr>
        <w:t xml:space="preserve">Kaslow SR, Sacks GD, Berman RS, Lee AY, Correa-Gallego C. Natural history of stage IV pancreatic cancer: identifying survival benchmarks for curative-intent resection in patients with synchronous liver-only metastases. Ann Surg. 2023;278(4):e798-e804. doi:10.1097/SLA.0000000000005753. PMID:36353987.</w:t>
      </w:r>
    </w:p>
    <w:p>
      <w:pPr>
        <w:keepNext/>
        <w:spacing w:after="50" w:before="260"/>
      </w:pPr>
      <w:r>
        <w:rPr>
          <w:rFonts w:ascii="Cambria" w:cs="Cambria" w:eastAsia="Cambria" w:hAnsi="Cambria"/>
          <w:b/>
          <w:bCs/>
          <w:color w:val="17365D"/>
          <w:sz w:val="20"/>
          <w:szCs w:val="20"/>
        </w:rPr>
        <w:t xml:space="preserve">Adagrasib KRYSTAL-1</w:t>
      </w:r>
      <w:r>
        <w:rPr>
          <w:b/>
          <w:bCs/>
          <w:color w:val="176A87"/>
          <w:sz w:val="15"/>
          <w:szCs w:val="15"/>
        </w:rPr>
        <w:t xml:space="preserve">   Prospective cohort</w:t>
      </w:r>
      <w:r>
        <w:rPr>
          <w:color w:val="5A6069"/>
          <w:sz w:val="15"/>
          <w:szCs w:val="15"/>
        </w:rPr>
        <w:t xml:space="preserve">   PMID 37099736</w:t>
      </w:r>
    </w:p>
    <w:p>
      <w:pPr>
        <w:spacing w:after="50" w:line="276"/>
      </w:pPr>
      <w:r>
        <w:rPr>
          <w:color w:val="5A6069"/>
          <w:sz w:val="17"/>
          <w:szCs w:val="17"/>
        </w:rPr>
        <w:t xml:space="preserve">Adagrasib in Advanced Solid Tumors Harboring a KRAS-G12C Mutation.</w:t>
      </w:r>
    </w:p>
    <w:p>
      <w:pPr>
        <w:spacing w:after="50"/>
      </w:pPr>
      <w:r>
        <w:rPr>
          <w:b/>
          <w:bCs/>
          <w:color w:val="176A87"/>
          <w:sz w:val="16"/>
          <w:szCs w:val="16"/>
        </w:rPr>
        <w:t xml:space="preserve">Population. </w:t>
      </w:r>
      <w:r>
        <w:rPr>
          <w:sz w:val="16"/>
          <w:szCs w:val="16"/>
        </w:rPr>
        <w:t xml:space="preserve">64 enrolled, 63 treated across tumour types; 21 with pancreatic cancer evaluable for response</w:t>
      </w:r>
    </w:p>
    <w:p>
      <w:pPr>
        <w:spacing w:after="70"/>
      </w:pPr>
      <w:r>
        <w:rPr>
          <w:b/>
          <w:bCs/>
          <w:color w:val="17365D"/>
          <w:sz w:val="16"/>
          <w:szCs w:val="16"/>
        </w:rPr>
        <w:t xml:space="preserve">Bottom line. </w:t>
      </w:r>
      <w:r>
        <w:rPr>
          <w:sz w:val="16"/>
          <w:szCs w:val="16"/>
        </w:rPr>
        <w:t xml:space="preserve">Establishes a tumour-agnostic response signal for adagrasib against a prespecified 10% null, with a 33.3% response rate in 21 pancreatic patients as an unpowered subgroup read — enough to justify a randomised trial, not enough to support a treatment claim in pancreatic cancer.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is nonrandomised and single-arm</w:t>
            </w:r>
          </w:p>
          <w:p>
            <w:pPr>
              <w:pStyle w:val="ListParagraph"/>
              <w:numPr>
                <w:ilvl w:val="0"/>
                <w:numId w:val="2"/>
              </w:numPr>
              <w:spacing w:after="45"/>
            </w:pPr>
            <w:r>
              <w:rPr>
                <w:sz w:val="15"/>
                <w:szCs w:val="15"/>
              </w:rPr>
              <w:t xml:space="preserve">KRAS G12C mutations are rare in solid tumours other than NSCLC and colorectal cancer, giving heterogeneous populations and small patient numbers for each tumour type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prespecified 10% null hypothesis applies to the pooled, tumour-agnostic cohort, not to the pancreatic subgroup; the pancreatic ORR of 33.3% rests on 7 responders in 21 patients and has no prespecified success threshold of its own, so the pancreatic result is a subgroup read of a basket trial</w:t>
            </w:r>
          </w:p>
          <w:p>
            <w:pPr>
              <w:pStyle w:val="ListParagraph"/>
              <w:numPr>
                <w:ilvl w:val="0"/>
                <w:numId w:val="2"/>
              </w:numPr>
              <w:spacing w:after="45"/>
            </w:pPr>
            <w:r>
              <w:rPr>
                <w:sz w:val="15"/>
                <w:szCs w:val="15"/>
              </w:rPr>
              <w:t xml:space="preserve">The response analysis set was constructed after enrolment: six patients counted as evaluable by investigator assessment were excluded by central review for having no measurable disease at baseline, a post-randomisation exclusion that moves the denominator in the favourable direction</w:t>
            </w:r>
          </w:p>
          <w:p>
            <w:pPr>
              <w:pStyle w:val="ListParagraph"/>
              <w:numPr>
                <w:ilvl w:val="0"/>
                <w:numId w:val="2"/>
              </w:numPr>
              <w:spacing w:after="45"/>
            </w:pPr>
            <w:r>
              <w:rPr>
                <w:sz w:val="15"/>
                <w:szCs w:val="15"/>
              </w:rPr>
              <w:t xml:space="preserve">A predictive-probability futility design with stopping rules at 2/26, 5/40 and 10/60 controls type I error for the pooled estimate only; reporting per-tumour ORRs from the same data without adjustment is unadjusted multiplicity across at least six tumour types</w:t>
            </w:r>
          </w:p>
          <w:p>
            <w:pPr>
              <w:pStyle w:val="ListParagraph"/>
              <w:numPr>
                <w:ilvl w:val="0"/>
                <w:numId w:val="2"/>
              </w:numPr>
              <w:spacing w:after="45"/>
            </w:pPr>
            <w:r>
              <w:rPr>
                <w:sz w:val="15"/>
                <w:szCs w:val="15"/>
              </w:rPr>
              <w:t xml:space="preserve">Median OS of 8.0 months in 21 patients carries a confidence interval wide enough to include the natural history of pretreated metastatic pancreatic cancer; the paper reports the point estimate in the discussion without the interval</w:t>
            </w:r>
          </w:p>
          <w:p>
            <w:pPr>
              <w:pStyle w:val="ListParagraph"/>
              <w:numPr>
                <w:ilvl w:val="0"/>
                <w:numId w:val="2"/>
              </w:numPr>
              <w:spacing w:after="45"/>
            </w:pPr>
            <w:r>
              <w:rPr>
                <w:sz w:val="15"/>
                <w:szCs w:val="15"/>
              </w:rPr>
              <w:t xml:space="preserve">Eligibility required ECOG 0-1 and a life expectancy of at least 3 months, which excludes the pretreated pancreatic patients most likely to do badly and inflates all time-to-event estimates relative to a real second-line population</w:t>
            </w:r>
          </w:p>
          <w:p>
            <w:pPr>
              <w:pStyle w:val="ListParagraph"/>
              <w:numPr>
                <w:ilvl w:val="0"/>
                <w:numId w:val="2"/>
              </w:numPr>
              <w:spacing w:after="45"/>
            </w:pPr>
            <w:r>
              <w:rPr>
                <w:sz w:val="15"/>
                <w:szCs w:val="15"/>
              </w:rPr>
              <w:t xml:space="preserve">Mirati Therapeutics funded the study and sponsor-funded medical writing was used; the comparison that would matter — adagrasib against second-line chemotherapy in KRAS G12C PDAC — is not attempted here</w:t>
            </w:r>
          </w:p>
          <w:p>
            <w:pPr>
              <w:pStyle w:val="ListParagraph"/>
              <w:numPr>
                <w:ilvl w:val="0"/>
                <w:numId w:val="2"/>
              </w:numPr>
              <w:spacing w:after="45"/>
            </w:pPr>
            <w:r>
              <w:rPr>
                <w:sz w:val="15"/>
                <w:szCs w:val="15"/>
              </w:rPr>
              <w:t xml:space="preserve">No screening denominator is given, so the paper does not show how many patients were genotyped to find 21 with pancreatic KRAS G12C disease</w:t>
            </w:r>
          </w:p>
        </w:tc>
      </w:tr>
    </w:tbl>
    <w:p>
      <w:pPr>
        <w:spacing w:after="0" w:line="276"/>
      </w:pPr>
      <w:r>
        <w:rPr>
          <w:color w:val="5A6069"/>
          <w:sz w:val="14"/>
          <w:szCs w:val="14"/>
        </w:rPr>
        <w:t xml:space="preserve">Funding: Mirati Therapeutics, Inc, with additional Cancer Center support; sponsor-funded medical writing assistance from a MedComms (Inizio) agency</w:t>
      </w:r>
    </w:p>
    <w:p>
      <w:pPr>
        <w:keepNext/>
        <w:spacing w:after="50" w:before="260"/>
      </w:pPr>
      <w:r>
        <w:rPr>
          <w:rFonts w:ascii="Cambria" w:cs="Cambria" w:eastAsia="Cambria" w:hAnsi="Cambria"/>
          <w:b/>
          <w:bCs/>
          <w:color w:val="17365D"/>
          <w:sz w:val="20"/>
          <w:szCs w:val="20"/>
        </w:rPr>
        <w:t xml:space="preserve">Alliance A021501</w:t>
      </w:r>
      <w:r>
        <w:rPr>
          <w:b/>
          <w:bCs/>
          <w:color w:val="176A87"/>
          <w:sz w:val="15"/>
          <w:szCs w:val="15"/>
        </w:rPr>
        <w:t xml:space="preserve">   Randomised trial</w:t>
      </w:r>
      <w:r>
        <w:rPr>
          <w:color w:val="5A6069"/>
          <w:sz w:val="15"/>
          <w:szCs w:val="15"/>
        </w:rPr>
        <w:t xml:space="preserve">   PMID 35834226</w:t>
      </w:r>
    </w:p>
    <w:p>
      <w:pPr>
        <w:spacing w:after="50" w:line="276"/>
      </w:pPr>
      <w:r>
        <w:rPr>
          <w:color w:val="5A6069"/>
          <w:sz w:val="17"/>
          <w:szCs w:val="17"/>
        </w:rPr>
        <w:t xml:space="preserve">Efficacy of Preoperative mFOLFIRINOX vs mFOLFIRINOX Plus Hypofractionated Radiotherapy for Borderline Resectable Adenocarcinoma of the Pancreas: The A021501 Phase 2 Randomized Clinical Trial.</w:t>
      </w:r>
    </w:p>
    <w:p>
      <w:pPr>
        <w:spacing w:after="50"/>
      </w:pPr>
      <w:r>
        <w:rPr>
          <w:b/>
          <w:bCs/>
          <w:color w:val="176A87"/>
          <w:sz w:val="16"/>
          <w:szCs w:val="16"/>
        </w:rPr>
        <w:t xml:space="preserve">Population. </w:t>
      </w:r>
      <w:r>
        <w:rPr>
          <w:sz w:val="16"/>
          <w:szCs w:val="16"/>
        </w:rPr>
        <w:t xml:space="preserve">126 registered (70 arm 1, 56 arm 2); 120 evaluable who initiated treatment (65 arm 1, 55 arm 2); 51 pancreatectomies</w:t>
      </w:r>
    </w:p>
    <w:p>
      <w:pPr>
        <w:spacing w:after="70"/>
      </w:pPr>
      <w:r>
        <w:rPr>
          <w:b/>
          <w:bCs/>
          <w:color w:val="17365D"/>
          <w:sz w:val="16"/>
          <w:szCs w:val="16"/>
        </w:rPr>
        <w:t xml:space="preserve">Bottom line. </w:t>
      </w:r>
      <w:r>
        <w:rPr>
          <w:sz w:val="16"/>
          <w:szCs w:val="16"/>
        </w:rPr>
        <w:t xml:space="preserve">A021501 establishes 8 cycles of neoadjuvant mFOLFIRINOX as a reasonable reference regimen for borderline resectable PDAC (median OS 29.8 months, 18-month OS 66.7% against a historical 50% benchmark) and provides no support for adding hypofractionated radiotherapy, but it has no randomised control, stopped the radiotherapy arm on a surrogate endpoint before survival matured, is forbidden by its own design from comparing the arms, and reports its best survival figures in a resected-only denominator covering under half the cohort.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Arm 2 was terminated at interim analysis as the protocol required despite nearly meeting full accrual, so a statistical assessment of that regimen's efficacy could not be made</w:t>
            </w:r>
          </w:p>
          <w:p>
            <w:pPr>
              <w:pStyle w:val="ListParagraph"/>
              <w:numPr>
                <w:ilvl w:val="0"/>
                <w:numId w:val="2"/>
              </w:numPr>
              <w:spacing w:after="45"/>
            </w:pPr>
            <w:r>
              <w:rPr>
                <w:sz w:val="15"/>
                <w:szCs w:val="15"/>
              </w:rPr>
              <w:t xml:space="preserve">The reasons why too few arm 2 patients reached the prespecified R0 threshold are not evident to the authors</w:t>
            </w:r>
          </w:p>
          <w:p>
            <w:pPr>
              <w:pStyle w:val="ListParagraph"/>
              <w:numPr>
                <w:ilvl w:val="0"/>
                <w:numId w:val="2"/>
              </w:numPr>
              <w:spacing w:after="45"/>
            </w:pPr>
            <w:r>
              <w:rPr>
                <w:sz w:val="15"/>
                <w:szCs w:val="15"/>
              </w:rPr>
              <w:t xml:space="preserve">The data do not exclude the possibility that preoperative radiotherapy benefits a subpopulation, or that other radiotherapy delivery approaches are more effective, so the role of radiotherapy remains undefined</w:t>
            </w:r>
          </w:p>
          <w:p>
            <w:pPr>
              <w:pStyle w:val="ListParagraph"/>
              <w:numPr>
                <w:ilvl w:val="0"/>
                <w:numId w:val="2"/>
              </w:numPr>
              <w:spacing w:after="45"/>
            </w:pPr>
            <w:r>
              <w:rPr>
                <w:sz w:val="15"/>
                <w:szCs w:val="15"/>
              </w:rPr>
              <w:t xml:space="preserve">Future work is needed to identify criteria selecting patients who will benefit from local therapies including radiotherapy and surgery</w:t>
            </w:r>
          </w:p>
          <w:p>
            <w:pPr>
              <w:pStyle w:val="ListParagraph"/>
              <w:numPr>
                <w:ilvl w:val="0"/>
                <w:numId w:val="2"/>
              </w:numPr>
              <w:spacing w:after="45"/>
            </w:pPr>
            <w:r>
              <w:rPr>
                <w:sz w:val="15"/>
                <w:szCs w:val="15"/>
              </w:rPr>
              <w:t xml:space="preserve">The comparison with SWOG S1505 (median OS 23.2 months with 3 months of perioperative mFOLFIRINOX) is tempting to attribute to the longer preoperative course, but additional trials are required to determine the optimal duration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THE TRIAL HAS NO RANDOMISED CONTROL ARM FOR ITS PRIMARY QUESTION. Each arm was tested against a HISTORICAL 18-month survival rate of 50%, derived by the investigators from a literature review of studies published 2004-2015 and set at the lower bound of the IQR. Any claim that mFOLFIRINOX improves survival rests on a benchmark assembled from pre-FOLFIRINOX-era observational series with different staging and imaging, not on a contemporaneous control</w:t>
            </w:r>
          </w:p>
          <w:p>
            <w:pPr>
              <w:pStyle w:val="ListParagraph"/>
              <w:numPr>
                <w:ilvl w:val="0"/>
                <w:numId w:val="2"/>
              </w:numPr>
              <w:spacing w:after="45"/>
            </w:pPr>
            <w:r>
              <w:rPr>
                <w:sz w:val="15"/>
                <w:szCs w:val="15"/>
              </w:rPr>
              <w:t xml:space="preserve">THE CONTROL ARM DID NOT RECEIVE MODERN ADJUVANT THERAPY, AND NEITHER ARM DID: postoperative treatment was 4 cycles of FOLFOX6, not adjuvant mFOLFIRINOX or gemcitabine plus capecitabine, and it reached only 34% and 24% of patients. Total systemic therapy delivered was far short of 6 months of multi-agent chemotherapy in most patients</w:t>
            </w:r>
          </w:p>
          <w:p>
            <w:pPr>
              <w:pStyle w:val="ListParagraph"/>
              <w:numPr>
                <w:ilvl w:val="0"/>
                <w:numId w:val="2"/>
              </w:numPr>
              <w:spacing w:after="45"/>
            </w:pPr>
            <w:r>
              <w:rPr>
                <w:sz w:val="15"/>
                <w:szCs w:val="15"/>
              </w:rPr>
              <w:t xml:space="preserve">NON-RECEIPT OF ALLOCATED TREATMENT: 5/70 (7%) randomised to arm 1 and 1/56 (2%) to arm 2 never initiated the intervention and were EXCLUDED from analysis entirely; the denominators of 65 and 55 are 'evaluable patients who initiated treatment', not randomised patients. This is a per-protocol-style analysis, not intention to treat, and excluding the 5 who withdrew or progressed before starting removes patients with worse prognosis. In addition 15/55 (27%) of arm 2 patients never received the radiotherapy that defines their arm</w:t>
            </w:r>
          </w:p>
          <w:p>
            <w:pPr>
              <w:pStyle w:val="ListParagraph"/>
              <w:numPr>
                <w:ilvl w:val="0"/>
                <w:numId w:val="2"/>
              </w:numPr>
              <w:spacing w:after="45"/>
            </w:pPr>
            <w:r>
              <w:rPr>
                <w:sz w:val="15"/>
                <w:szCs w:val="15"/>
              </w:rPr>
              <w:t xml:space="preserve">ARM 1 IS NOT A PURELY RANDOMISED COHORT: 16 of its 70 patients were sequentially registered WITHOUT randomisation after arm 2 closed. Nearly a quarter of the arm that 'won' was enrolled non-randomly, in a later calendar period, with knowledge of the interim R0 results</w:t>
            </w:r>
          </w:p>
          <w:p>
            <w:pPr>
              <w:pStyle w:val="ListParagraph"/>
              <w:numPr>
                <w:ilvl w:val="0"/>
                <w:numId w:val="2"/>
              </w:numPr>
              <w:spacing w:after="45"/>
            </w:pPr>
            <w:r>
              <w:rPr>
                <w:sz w:val="15"/>
                <w:szCs w:val="15"/>
              </w:rPr>
              <w:t xml:space="preserve">THE ARM 2 FUTILITY RULE WAS BASED ON R0 RESECTION RATE, A SURROGATE, IN THE FIRST 30 PATIENTS. The trial then reports median OS of 17.1 vs 29.8 months as if radiotherapy were harmful, when the design explicitly forbids that comparison and arm 2 was stopped on a surrogate before its survival data matured. The paper's own conclusion that mFOLFIRINOX 'was associated with favorable OS compared with mFOLFIRINOX plus radiotherapy' is a comparison the statistical plan does not license</w:t>
            </w:r>
          </w:p>
          <w:p>
            <w:pPr>
              <w:pStyle w:val="ListParagraph"/>
              <w:numPr>
                <w:ilvl w:val="0"/>
                <w:numId w:val="2"/>
              </w:numPr>
              <w:spacing w:after="45"/>
            </w:pPr>
            <w:r>
              <w:rPr>
                <w:sz w:val="15"/>
                <w:szCs w:val="15"/>
              </w:rPr>
              <w:t xml:space="preserve">THE 18-MONTH OS RATES OF 87.5% AND 78.9% QUOTED FOR RESECTED PATIENTS USE A DENOMINATOR THAT EXCLUDES EVERYONE WHO PROGRESSED, DETERIORATED OR DIED BEFORE SURGERY - exactly the patients who did badly. Only 49% and 35% of evaluable patients reached pancreatectomy, so these figures describe the best half of the cohort and must not be quoted as outcomes of the regimen</w:t>
            </w:r>
          </w:p>
          <w:p>
            <w:pPr>
              <w:pStyle w:val="ListParagraph"/>
              <w:numPr>
                <w:ilvl w:val="0"/>
                <w:numId w:val="2"/>
              </w:numPr>
              <w:spacing w:after="45"/>
            </w:pPr>
            <w:r>
              <w:rPr>
                <w:sz w:val="15"/>
                <w:szCs w:val="15"/>
              </w:rPr>
              <w:t xml:space="preserve">The primary endpoint was a BINARY 18-month survival proportion tested at a ONE-SIDED alpha of 0.07 with 82% power - a deliberately permissive threshold. The trial is a screening study for further investigation, not a definitive efficacy trial, yet it is routinely cited as establishing mFOLFIRINOX as the 'reference regimen'</w:t>
            </w:r>
          </w:p>
          <w:p>
            <w:pPr>
              <w:pStyle w:val="ListParagraph"/>
              <w:numPr>
                <w:ilvl w:val="0"/>
                <w:numId w:val="2"/>
              </w:numPr>
              <w:spacing w:after="45"/>
            </w:pPr>
            <w:r>
              <w:rPr>
                <w:sz w:val="15"/>
                <w:szCs w:val="15"/>
              </w:rPr>
              <w:t xml:space="preserve">Only one of the two pathologic complete responses could be confirmed on central re-review of the pretreatment cytology; the other patient's slides were unavailable, leaving open the possibility that the specimen never contained adenocarcinoma</w:t>
            </w:r>
          </w:p>
          <w:p>
            <w:pPr>
              <w:pStyle w:val="ListParagraph"/>
              <w:numPr>
                <w:ilvl w:val="0"/>
                <w:numId w:val="2"/>
              </w:numPr>
              <w:spacing w:after="45"/>
            </w:pPr>
            <w:r>
              <w:rPr>
                <w:sz w:val="15"/>
                <w:szCs w:val="15"/>
              </w:rPr>
              <w:t xml:space="preserve">Radiotherapy was heterogeneous: two different techniques at two very different doses (33-40 Gy in 5 fractions versus 25 Gy in 5 fractions), with 12.5% of treated patients receiving the lower-dose HIGRT, so a null radiotherapy result may reflect an undertreated subset</w:t>
            </w:r>
          </w:p>
          <w:p>
            <w:pPr>
              <w:pStyle w:val="ListParagraph"/>
              <w:numPr>
                <w:ilvl w:val="0"/>
                <w:numId w:val="2"/>
              </w:numPr>
              <w:spacing w:after="45"/>
            </w:pPr>
            <w:r>
              <w:rPr>
                <w:sz w:val="15"/>
                <w:szCs w:val="15"/>
              </w:rPr>
              <w:t xml:space="preserve">Multiple investigators, including the senior author, report extensive industry relationships, and one radiotherapy co-author reports personal fees and grants from a radiotherapy device manufacturer (ViewRay) - relevant to a trial adjudicating the value of radiotherapy</w:t>
            </w:r>
          </w:p>
        </w:tc>
      </w:tr>
    </w:tbl>
    <w:p>
      <w:pPr>
        <w:spacing w:after="0" w:line="276"/>
      </w:pPr>
      <w:r>
        <w:rPr>
          <w:color w:val="5A6069"/>
          <w:sz w:val="14"/>
          <w:szCs w:val="14"/>
        </w:rPr>
        <w:t xml:space="preserve">Funding: US National Cancer Institute grants to the Alliance for Clinical Trials in Oncology (U10CA180821, U10CA180882, U24CA196171) and to ECOG-ACRIN, NRG and SWOG. The NCI was involved in the design and conduct of the study and in review and approval of the manuscript, but had no veto over publication. Numerous authors declare industry consulting and research funding (ViewRay, Sirtex, IBA, Celgene, Genentech-Roche, AstraZeneca, Merck and many others).</w:t>
      </w:r>
    </w:p>
    <w:p>
      <w:pPr>
        <w:keepNext/>
        <w:spacing w:after="50" w:before="260"/>
      </w:pPr>
      <w:r>
        <w:rPr>
          <w:rFonts w:ascii="Cambria" w:cs="Cambria" w:eastAsia="Cambria" w:hAnsi="Cambria"/>
          <w:b/>
          <w:bCs/>
          <w:color w:val="17365D"/>
          <w:sz w:val="20"/>
          <w:szCs w:val="20"/>
        </w:rPr>
        <w:t xml:space="preserve">APACT</w:t>
      </w:r>
      <w:r>
        <w:rPr>
          <w:b/>
          <w:bCs/>
          <w:color w:val="176A87"/>
          <w:sz w:val="15"/>
          <w:szCs w:val="15"/>
        </w:rPr>
        <w:t xml:space="preserve">   Randomised trial</w:t>
      </w:r>
      <w:r>
        <w:rPr>
          <w:color w:val="5A6069"/>
          <w:sz w:val="15"/>
          <w:szCs w:val="15"/>
        </w:rPr>
        <w:t xml:space="preserve">   PMID 36521097</w:t>
      </w:r>
    </w:p>
    <w:p>
      <w:pPr>
        <w:spacing w:after="50" w:line="276"/>
      </w:pPr>
      <w:r>
        <w:rPr>
          <w:color w:val="5A6069"/>
          <w:sz w:val="17"/>
          <w:szCs w:val="17"/>
        </w:rPr>
        <w:t xml:space="preserve">Adjuvant nab-Paclitaxel + Gemcitabine in Resected Pancreatic Ductal Adenocarcinoma: Results From a Randomized, Open-Label, Phase III Trial.</w:t>
      </w:r>
    </w:p>
    <w:p>
      <w:pPr>
        <w:spacing w:after="50"/>
      </w:pPr>
      <w:r>
        <w:rPr>
          <w:b/>
          <w:bCs/>
          <w:color w:val="176A87"/>
          <w:sz w:val="16"/>
          <w:szCs w:val="16"/>
        </w:rPr>
        <w:t xml:space="preserve">Population. </w:t>
      </w:r>
      <w:r>
        <w:rPr>
          <w:sz w:val="16"/>
          <w:szCs w:val="16"/>
        </w:rPr>
        <w:t xml:space="preserve">866 randomised (432 nab-paclitaxel plus gemcitabine, 434 gemcitabine), 852 treated; 439 independently assessed DFS events and 555 deaths at the 5-year cutoff</w:t>
      </w:r>
    </w:p>
    <w:p>
      <w:pPr>
        <w:spacing w:after="70"/>
      </w:pPr>
      <w:r>
        <w:rPr>
          <w:b/>
          <w:bCs/>
          <w:color w:val="17365D"/>
          <w:sz w:val="16"/>
          <w:szCs w:val="16"/>
        </w:rPr>
        <w:t xml:space="preserve">Bottom line. </w:t>
      </w:r>
      <w:r>
        <w:rPr>
          <w:sz w:val="16"/>
          <w:szCs w:val="16"/>
        </w:rPr>
        <w:t xml:space="preserve">APACT is a negative phase 3 trial: adjuvant nab-paclitaxel plus gemcitabine did not improve blinded independently assessed disease-free survival over gemcitabine (19.4 vs 18.8 months, P=.18), and the quoted overall survival advantage (41.8 vs 37.7 months) is a descriptive secondary endpoint read at the third of three cutoffs - it leaves the regimen as a fallback for patients unfit for mFOLFIRINOX at the cost of 15% largely irreversible grade 3 neuropathy, and its most durable contribution is the demonstration that investigator-assessed disease-free survival in open-label adjuvant trials runs 5 months shorter than blinded central review.</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Radiologic review in the absence of clinical context may be suboptimal for recurrence detection in resected PDAC, which the authors name as a limitation of the study design</w:t>
            </w:r>
          </w:p>
          <w:p>
            <w:pPr>
              <w:pStyle w:val="ListParagraph"/>
              <w:numPr>
                <w:ilvl w:val="0"/>
                <w:numId w:val="2"/>
              </w:numPr>
              <w:spacing w:after="45"/>
            </w:pPr>
            <w:r>
              <w:rPr>
                <w:sz w:val="15"/>
                <w:szCs w:val="15"/>
              </w:rPr>
              <w:t xml:space="preserve">The trial was POWERED on investigator-assessed DFS data from historical trials but used independently assessed DFS as the primary endpoint, a mismatch the authors present as a lesson for the field</w:t>
            </w:r>
          </w:p>
          <w:p>
            <w:pPr>
              <w:pStyle w:val="ListParagraph"/>
              <w:numPr>
                <w:ilvl w:val="0"/>
                <w:numId w:val="2"/>
              </w:numPr>
              <w:spacing w:after="45"/>
            </w:pPr>
            <w:r>
              <w:rPr>
                <w:sz w:val="15"/>
                <w:szCs w:val="15"/>
              </w:rPr>
              <w:t xml:space="preserve">Postsurgical radiographic changes are sometimes difficult to distinguish from local recurrence, and recurrence in the surgical bed and mesenteric nodes can be hard to diagnose by imaging alone</w:t>
            </w:r>
          </w:p>
          <w:p>
            <w:pPr>
              <w:pStyle w:val="ListParagraph"/>
              <w:numPr>
                <w:ilvl w:val="0"/>
                <w:numId w:val="2"/>
              </w:numPr>
              <w:spacing w:after="45"/>
            </w:pPr>
            <w:r>
              <w:rPr>
                <w:sz w:val="15"/>
                <w:szCs w:val="15"/>
              </w:rPr>
              <w:t xml:space="preserve">Patients with investigator-determined progression who started subsequent therapy were censored in the independent analysis, contributing to the discrepancy between the two DFS results</w:t>
            </w:r>
          </w:p>
          <w:p>
            <w:pPr>
              <w:pStyle w:val="ListParagraph"/>
              <w:numPr>
                <w:ilvl w:val="0"/>
                <w:numId w:val="2"/>
              </w:numPr>
              <w:spacing w:after="45"/>
            </w:pPr>
            <w:r>
              <w:rPr>
                <w:sz w:val="15"/>
                <w:szCs w:val="15"/>
              </w:rPr>
              <w:t xml:space="preserve">There was no central pathology review and there may have been regional differences in standards for defining R0 versus R1 across the 21 countries</w:t>
            </w:r>
          </w:p>
          <w:p>
            <w:pPr>
              <w:pStyle w:val="ListParagraph"/>
              <w:numPr>
                <w:ilvl w:val="0"/>
                <w:numId w:val="2"/>
              </w:numPr>
              <w:spacing w:after="45"/>
            </w:pPr>
            <w:r>
              <w:rPr>
                <w:sz w:val="15"/>
                <w:szCs w:val="15"/>
              </w:rPr>
              <w:t xml:space="preserve">Comparisons with ESPAC-4 and other trials are not valid because of differences in patient selection and subsequent therapy</w:t>
            </w:r>
          </w:p>
          <w:p>
            <w:pPr>
              <w:pStyle w:val="ListParagraph"/>
              <w:numPr>
                <w:ilvl w:val="0"/>
                <w:numId w:val="2"/>
              </w:numPr>
              <w:spacing w:after="45"/>
            </w:pPr>
            <w:r>
              <w:rPr>
                <w:sz w:val="15"/>
                <w:szCs w:val="15"/>
              </w:rPr>
              <w:t xml:space="preserve">Because the primary endpoint was not met, all other comparisons are considered descriptive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adjuvant gemcitabine monotherapy, chosen in 2013 and already obsolete before the trial reported - ESPAC-4 appeared in 2017 and PRODIGE-24 in 2018, both while APACT was in follow-up. The control arm did NOT receive modern adjuvant therapy, and the authors themselves note gemcitabine/capecitabine and mFOLFIRINOX had become category 1 preferred regimens after APACT started</w:t>
            </w:r>
          </w:p>
          <w:p>
            <w:pPr>
              <w:pStyle w:val="ListParagraph"/>
              <w:numPr>
                <w:ilvl w:val="0"/>
                <w:numId w:val="2"/>
              </w:numPr>
              <w:spacing w:after="45"/>
            </w:pPr>
            <w:r>
              <w:rPr>
                <w:sz w:val="15"/>
                <w:szCs w:val="15"/>
              </w:rPr>
              <w:t xml:space="preserve">NON-RECEIPT OF ALLOCATED TREATMENT: 3/432 (1%) and 11/434 (3%) were randomised but never treated, and 93% of each arm formed the per-protocol population - low and balanced. Delivery, however, was poor: only 66% and 71% completed six cycles, and 64% of combination patients needed a dose reduction</w:t>
            </w:r>
          </w:p>
          <w:p>
            <w:pPr>
              <w:pStyle w:val="ListParagraph"/>
              <w:numPr>
                <w:ilvl w:val="0"/>
                <w:numId w:val="2"/>
              </w:numPr>
              <w:spacing w:after="45"/>
            </w:pPr>
            <w:r>
              <w:rPr>
                <w:sz w:val="15"/>
                <w:szCs w:val="15"/>
              </w:rPr>
              <w:t xml:space="preserve">THIS IS A NEGATIVE TRIAL WHOSE POSITIVE SECONDARY ENDPOINT IS WIDELY QUOTED. The primary endpoint failed (HR 0.88, P=.18). The paper itself says that because the primary endpoint was not met all other comparisons are descriptive, and the JCO editor's Relevance box calls it a 'negative randomized phase III study [that] fails to change the standard of care'. Any pathway citing '41.8 vs 37.7 months, P=.0091' is citing a descriptive secondary analysis from a failed trial, and no multiplicity adjustment was applied to any of it</w:t>
            </w:r>
          </w:p>
          <w:p>
            <w:pPr>
              <w:pStyle w:val="ListParagraph"/>
              <w:numPr>
                <w:ilvl w:val="0"/>
                <w:numId w:val="2"/>
              </w:numPr>
              <w:spacing w:after="45"/>
            </w:pPr>
            <w:r>
              <w:rPr>
                <w:sz w:val="15"/>
                <w:szCs w:val="15"/>
              </w:rPr>
              <w:t xml:space="preserve">THREE SUCCESSIVE OVERALL SURVIVAL CUTOFFS WERE REPORTED (December 2018, April 2020, April 2021) and the P value improved from .045 to .0232 to .0091 across them, with no prespecified plan for repeated testing. Reporting the most favourable of three looks at the same secondary endpoint, in a trial whose primary endpoint failed, is the clearest example of unadjusted multiplicity in this depot</w:t>
            </w:r>
          </w:p>
          <w:p>
            <w:pPr>
              <w:pStyle w:val="ListParagraph"/>
              <w:numPr>
                <w:ilvl w:val="0"/>
                <w:numId w:val="2"/>
              </w:numPr>
              <w:spacing w:after="45"/>
            </w:pPr>
            <w:r>
              <w:rPr>
                <w:sz w:val="15"/>
                <w:szCs w:val="15"/>
              </w:rPr>
              <w:t xml:space="preserve">THE INDEPENDENT-VERSUS-INVESTIGATOR DFS DISCREPANCY IS THE MOST VALUABLE FINDING IN THE PAPER AND CUTS AGAINST EVERY OTHER ADJUVANT TRIAL. In the same gemcitabine arm, blinded central review gave 18.8 months and investigators gave 13.7 months. Every other adjuvant pancreatic trial (CONKO-001, ESPAC-4, PRODIGE-24) used unblinded investigator-assessed DFS as its primary endpoint and reported 12.8-13.4 months. APACT shows that this endpoint is systematically shorter when assessed by the unblinded treating physician, which means DFS differences in open-label adjuvant trials are partly a detection artefact - a point no pathway citing those trials' DFS results should ignore</w:t>
            </w:r>
          </w:p>
          <w:p>
            <w:pPr>
              <w:pStyle w:val="ListParagraph"/>
              <w:numPr>
                <w:ilvl w:val="0"/>
                <w:numId w:val="2"/>
              </w:numPr>
              <w:spacing w:after="45"/>
            </w:pPr>
            <w:r>
              <w:rPr>
                <w:sz w:val="15"/>
                <w:szCs w:val="15"/>
              </w:rPr>
              <w:t xml:space="preserve">THE CENSORING RULE IS ASYMMETRIC AND FAVOURS NEITHER ARM BUT DESTROYS THE PRIMARY ENDPOINT. Patients were censored in the independent review once they started subsequent therapy, so patients whom investigators judged to be progressing and treated accordingly simply left the analysis; 48-51% of patients were censored. An endpoint that censores half the cohort for acting on clinical judgement is not measuring disease-free survival</w:t>
            </w:r>
          </w:p>
          <w:p>
            <w:pPr>
              <w:pStyle w:val="ListParagraph"/>
              <w:numPr>
                <w:ilvl w:val="0"/>
                <w:numId w:val="2"/>
              </w:numPr>
              <w:spacing w:after="45"/>
            </w:pPr>
            <w:r>
              <w:rPr>
                <w:sz w:val="15"/>
                <w:szCs w:val="15"/>
              </w:rPr>
              <w:t xml:space="preserve">THE POPULATION IS THE MOST HIGHLY SELECTED IN THE ADJUVANT LITERATURE: CA 19-9 below 100 U/mL (80% were within normal limits and median CA19-9 was 13.6 U/mL), a clear screening scan, ECOG 0-1, and 76% R0. One thousand two hundred and twenty-six patients were screened to randomise 866. The 37.7-month gemcitabine-arm survival far exceeds CONKO-001's 22.8 months and reflects this selection, not improved therapy</w:t>
            </w:r>
          </w:p>
          <w:p>
            <w:pPr>
              <w:pStyle w:val="ListParagraph"/>
              <w:numPr>
                <w:ilvl w:val="0"/>
                <w:numId w:val="2"/>
              </w:numPr>
              <w:spacing w:after="45"/>
            </w:pPr>
            <w:r>
              <w:rPr>
                <w:sz w:val="15"/>
                <w:szCs w:val="15"/>
              </w:rPr>
              <w:t xml:space="preserve">NO CENTRAL PATHOLOGY REVIEW ACROSS 160 SITES IN 21 COUNTRIES, so R0/R1 - a stratification factor and the strongest prognostic variable in ESPAC-4 - was assigned to local standards that the authors concede varied regionally</w:t>
            </w:r>
          </w:p>
          <w:p>
            <w:pPr>
              <w:pStyle w:val="ListParagraph"/>
              <w:numPr>
                <w:ilvl w:val="0"/>
                <w:numId w:val="2"/>
              </w:numPr>
              <w:spacing w:after="45"/>
            </w:pPr>
            <w:r>
              <w:rPr>
                <w:sz w:val="15"/>
                <w:szCs w:val="15"/>
              </w:rPr>
              <w:t xml:space="preserve">PERMANENT NEUROPATHY IS THE UNPRICED COST: 15% grade 3 or higher peripheral neuropathy versus 0%, with 84% unresolved to grade 1 or better at the primary cutoff, in a trial that failed its primary endpoint and collected NO quality-of-life data. The regimen is recommended in the conclusion as an option for patients who cannot take mFOLFIRINOX without quantifying this trade-off</w:t>
            </w:r>
          </w:p>
          <w:p>
            <w:pPr>
              <w:pStyle w:val="ListParagraph"/>
              <w:numPr>
                <w:ilvl w:val="0"/>
                <w:numId w:val="2"/>
              </w:numPr>
              <w:spacing w:after="45"/>
            </w:pPr>
            <w:r>
              <w:rPr>
                <w:sz w:val="15"/>
                <w:szCs w:val="15"/>
              </w:rPr>
              <w:t xml:space="preserve">SUBSEQUENT THERAPY WAS ASYMMETRIC: 21% of gemcitabine patients received nab-paclitaxel-based therapy at relapse versus 8% of combination patients, so the control arm partly crossed over to the experimental drug, which if anything attenuates the observed difference</w:t>
            </w:r>
          </w:p>
          <w:p>
            <w:pPr>
              <w:pStyle w:val="ListParagraph"/>
              <w:numPr>
                <w:ilvl w:val="0"/>
                <w:numId w:val="2"/>
              </w:numPr>
              <w:spacing w:after="45"/>
            </w:pPr>
            <w:r>
              <w:rPr>
                <w:sz w:val="15"/>
                <w:szCs w:val="15"/>
              </w:rPr>
              <w:t xml:space="preserve">THE TRIAL WAS DESIGNED, MONITORED AND ANALYSED BY THE SPONSOR. Celgene/Bristol Myers Squibb designed the trial with the steering committee, employed the statistician who analysed the data, monitored all aspects of the study, employed four co-authors and funded three separate medical writing teams. nab-paclitaxel is the sponsor's proprietary product and the comparator was the cheapest available single agent rather than the contemporaneous standard - the clearest case in this depot of industry funding shaping the comparator</w:t>
            </w:r>
          </w:p>
        </w:tc>
      </w:tr>
    </w:tbl>
    <w:p>
      <w:pPr>
        <w:spacing w:after="0" w:line="276"/>
      </w:pPr>
      <w:r>
        <w:rPr>
          <w:color w:val="5A6069"/>
          <w:sz w:val="14"/>
          <w:szCs w:val="14"/>
        </w:rPr>
        <w:t xml:space="preserve">Funding: Bristol Myers Squibb and Celgene, a Bristol Myers Squibb Company. The sponsor and steering committee designed the trial, data were analysed by a sponsor-employed statistician, all aspects were monitored by the sponsor, four authors are sponsor employees, and professional medical writing and editorial assistance from Meditech Media and Chrysalis Medical Communications was funded by Bristol Myers Squibb. Data requests are routed through the sponsor.</w:t>
      </w:r>
    </w:p>
    <w:p>
      <w:pPr>
        <w:keepNext/>
        <w:spacing w:after="50" w:before="260"/>
      </w:pPr>
      <w:r>
        <w:rPr>
          <w:rFonts w:ascii="Cambria" w:cs="Cambria" w:eastAsia="Cambria" w:hAnsi="Cambria"/>
          <w:b/>
          <w:bCs/>
          <w:color w:val="17365D"/>
          <w:sz w:val="20"/>
          <w:szCs w:val="20"/>
        </w:rPr>
        <w:t xml:space="preserve">Campbell 1 mm rule</w:t>
      </w:r>
      <w:r>
        <w:rPr>
          <w:b/>
          <w:bCs/>
          <w:color w:val="176A87"/>
          <w:sz w:val="15"/>
          <w:szCs w:val="15"/>
        </w:rPr>
        <w:t xml:space="preserve">   Retrospective cohort</w:t>
      </w:r>
      <w:r>
        <w:rPr>
          <w:color w:val="5A6069"/>
          <w:sz w:val="15"/>
          <w:szCs w:val="15"/>
        </w:rPr>
        <w:t xml:space="preserve">   PMID 19723142</w:t>
      </w:r>
    </w:p>
    <w:p>
      <w:pPr>
        <w:spacing w:after="50" w:line="276"/>
      </w:pPr>
      <w:r>
        <w:rPr>
          <w:color w:val="5A6069"/>
          <w:sz w:val="17"/>
          <w:szCs w:val="17"/>
        </w:rPr>
        <w:t xml:space="preserve">Classification of R1 resections for pancreatic cancer: the prognostic relevance of tumour involvement within 1 mm of a resection margin.</w:t>
      </w:r>
    </w:p>
    <w:p>
      <w:pPr>
        <w:spacing w:after="50"/>
      </w:pPr>
      <w:r>
        <w:rPr>
          <w:b/>
          <w:bCs/>
          <w:color w:val="176A87"/>
          <w:sz w:val="16"/>
          <w:szCs w:val="16"/>
        </w:rPr>
        <w:t xml:space="preserve">Population. </w:t>
      </w:r>
      <w:r>
        <w:rPr>
          <w:sz w:val="16"/>
          <w:szCs w:val="16"/>
        </w:rPr>
        <w:t xml:space="preserve">163 pancreatoduodenectomy specimens; 128 R1 (79%), of which 57 (45% of R1) equivocal and 71 unequivocal; 35 R0</w:t>
      </w:r>
    </w:p>
    <w:p>
      <w:pPr>
        <w:spacing w:after="70"/>
      </w:pPr>
      <w:r>
        <w:rPr>
          <w:b/>
          <w:bCs/>
          <w:color w:val="17365D"/>
          <w:sz w:val="16"/>
          <w:szCs w:val="16"/>
        </w:rPr>
        <w:t xml:space="preserve">Bottom line. </w:t>
      </w:r>
      <w:r>
        <w:rPr>
          <w:sz w:val="16"/>
          <w:szCs w:val="16"/>
        </w:rPr>
        <w:t xml:space="preserve">This single-centre study of 163 pancreatoduodenectomies supplied the only clinical evidence for the &lt;1 mm R1 rule by showing that 'equivocal' R1 survival (15.4 months) resembles unequivocal R1 (12.6 months) more than R0 (25.4 months), and that the rule raises the R1 rate from 44% to 79% - but the key comparison was non-significant in a small cohort, margin status did not survive multivariable adjustment, and the real lesson is that R0 rates reported across pancreatic trials are largely a function of pathology protocol.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the overall survival pattern raises the possibility that a LARGER study would show equivocal R1 to be an intermediate prognostic group, and that larger studies are needed to settle this definitively</w:t>
            </w:r>
          </w:p>
          <w:p>
            <w:pPr>
              <w:pStyle w:val="ListParagraph"/>
              <w:numPr>
                <w:ilvl w:val="0"/>
                <w:numId w:val="2"/>
              </w:numPr>
              <w:spacing w:after="45"/>
            </w:pPr>
            <w:r>
              <w:rPr>
                <w:sz w:val="15"/>
                <w:szCs w:val="15"/>
              </w:rPr>
              <w:t xml:space="preserve">They argue sub-categorisation of R1 could be supported only if a clear distinction between the two R1 groups were evident, which these data do not show</w:t>
            </w:r>
          </w:p>
          <w:p>
            <w:pPr>
              <w:pStyle w:val="ListParagraph"/>
              <w:numPr>
                <w:ilvl w:val="0"/>
                <w:numId w:val="2"/>
              </w:numPr>
              <w:spacing w:after="45"/>
            </w:pPr>
            <w:r>
              <w:rPr>
                <w:sz w:val="15"/>
                <w:szCs w:val="15"/>
              </w:rPr>
              <w:t xml:space="preserve">Involvement of the anterior pancreatic surface, excluded from the R1 definition here, could potentially affect survival</w:t>
            </w:r>
          </w:p>
          <w:p>
            <w:pPr>
              <w:pStyle w:val="ListParagraph"/>
              <w:numPr>
                <w:ilvl w:val="0"/>
                <w:numId w:val="2"/>
              </w:numPr>
              <w:spacing w:after="45"/>
            </w:pPr>
            <w:r>
              <w:rPr>
                <w:sz w:val="15"/>
                <w:szCs w:val="15"/>
              </w:rPr>
              <w:t xml:space="preserve">Histological data were incomplete for a small number of cases, so the multivariable model included 155 of 163 patients</w:t>
            </w:r>
          </w:p>
          <w:p>
            <w:pPr>
              <w:pStyle w:val="ListParagraph"/>
              <w:numPr>
                <w:ilvl w:val="0"/>
                <w:numId w:val="2"/>
              </w:numPr>
              <w:spacing w:after="45"/>
            </w:pPr>
            <w:r>
              <w:rPr>
                <w:sz w:val="15"/>
                <w:szCs w:val="15"/>
              </w:rPr>
              <w:t xml:space="preserve">Meaningful comparison of R1 rates between centres is complicated by the lack of standardised margin terminology and of any internationally recognised pathology protocol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CONCLUSION IS DRAWN FROM A NON-SIGNIFICANT TEST, WHICH IS AN ARGUMENT FROM ABSENCE OF EVIDENCE. 'No significant difference' between 57 and 71 patients (P=0.102) in a cohort with 13.9-month median survival cannot establish equivalence; the medians differ by 2.8 months and the point estimates sit between the R0 and unequivocal-R1 groups exactly as an intermediate category would. The authors concede this in the discussion but the abstract concludes the two should be 'considered synonymous'</w:t>
            </w:r>
          </w:p>
          <w:p>
            <w:pPr>
              <w:pStyle w:val="ListParagraph"/>
              <w:numPr>
                <w:ilvl w:val="0"/>
                <w:numId w:val="2"/>
              </w:numPr>
              <w:spacing w:after="45"/>
            </w:pPr>
            <w:r>
              <w:rPr>
                <w:sz w:val="15"/>
                <w:szCs w:val="15"/>
              </w:rPr>
              <w:t xml:space="preserve">THE COMPARISON THE RULE ACTUALLY NEEDS IS EQUIVOCAL R1 VERSUS R0, AND THAT WAS ALSO NON-SIGNIFICANT (P=0.114). The study therefore cannot distinguish equivocal R1 from either neighbour, which is a statement about power, not biology, in a cohort of only 35 R0 patients</w:t>
            </w:r>
          </w:p>
          <w:p>
            <w:pPr>
              <w:pStyle w:val="ListParagraph"/>
              <w:numPr>
                <w:ilvl w:val="0"/>
                <w:numId w:val="2"/>
              </w:numPr>
              <w:spacing w:after="45"/>
            </w:pPr>
            <w:r>
              <w:rPr>
                <w:sz w:val="15"/>
                <w:szCs w:val="15"/>
              </w:rPr>
              <w:t xml:space="preserve">SINGLE CENTRE, SINGLE PATHOLOGIST, RETROSPECTIVE. One consultant pathologist re-reviewed only the R0 cases, so the reclassification effort was applied asymmetrically - cases already called R1 were not re-examined for over-calling, which is the direction of error that would inflate the 79% figure</w:t>
            </w:r>
          </w:p>
          <w:p>
            <w:pPr>
              <w:pStyle w:val="ListParagraph"/>
              <w:numPr>
                <w:ilvl w:val="0"/>
                <w:numId w:val="2"/>
              </w:numPr>
              <w:spacing w:after="45"/>
            </w:pPr>
            <w:r>
              <w:rPr>
                <w:sz w:val="15"/>
                <w:szCs w:val="15"/>
              </w:rPr>
              <w:t xml:space="preserve">ONLY 35 R0 PATIENTS DEFINE THE REFERENCE GROUP, and their median survival of 25.4 months has a 95% CI of 10.5-40.8 months - a four-fold range. Every comparison in the paper is anchored to this unstable estimate</w:t>
            </w:r>
          </w:p>
          <w:p>
            <w:pPr>
              <w:pStyle w:val="ListParagraph"/>
              <w:numPr>
                <w:ilvl w:val="0"/>
                <w:numId w:val="2"/>
              </w:numPr>
              <w:spacing w:after="45"/>
            </w:pPr>
            <w:r>
              <w:rPr>
                <w:sz w:val="15"/>
                <w:szCs w:val="15"/>
              </w:rPr>
              <w:t xml:space="preserve">THE 1997-2007 ERA MEANS ONLY 27% RECEIVED ADJUVANT CHEMOTHERAPY, at a time when ESPAC-1 and CONKO-001 were establishing it. Margin status interacts with adjuvant therapy, and a cohort in which three quarters got no chemotherapy cannot speak to the prognostic weight of R1 in a modern pathway</w:t>
            </w:r>
          </w:p>
          <w:p>
            <w:pPr>
              <w:pStyle w:val="ListParagraph"/>
              <w:numPr>
                <w:ilvl w:val="0"/>
                <w:numId w:val="2"/>
              </w:numPr>
              <w:spacing w:after="45"/>
            </w:pPr>
            <w:r>
              <w:rPr>
                <w:sz w:val="15"/>
                <w:szCs w:val="15"/>
              </w:rPr>
              <w:t xml:space="preserve">MARGIN STATUS DID NOT SURVIVE MULTIVARIABLE ADJUSTMENT, which undercuts the premise that getting the R1 definition right matters prognostically. The paper treats this as a technical problem (collinearity with tumour size) rather than as evidence that margin status may be a marker of tumour burden rather than an independent determinant of outcome</w:t>
            </w:r>
          </w:p>
          <w:p>
            <w:pPr>
              <w:pStyle w:val="ListParagraph"/>
              <w:numPr>
                <w:ilvl w:val="0"/>
                <w:numId w:val="2"/>
              </w:numPr>
              <w:spacing w:after="45"/>
            </w:pPr>
            <w:r>
              <w:rPr>
                <w:sz w:val="15"/>
                <w:szCs w:val="15"/>
              </w:rPr>
              <w:t xml:space="preserve">THE DECISION TO EXCLUDE THE ANTERIOR SURFACE, PanIN-3, PERINEURAL AND NODAL INVOLVEMENT FROM THE R1 DEFINITION IS A SERIES OF CONVENTIONS, NOT FINDINGS. Different centres make different choices, and the paper's own argument - that the 79% rate reflects pathology protocol rather than surgical quality - applies equally to its own conventions</w:t>
            </w:r>
          </w:p>
          <w:p>
            <w:pPr>
              <w:pStyle w:val="ListParagraph"/>
              <w:numPr>
                <w:ilvl w:val="0"/>
                <w:numId w:val="2"/>
              </w:numPr>
              <w:spacing w:after="45"/>
            </w:pPr>
            <w:r>
              <w:rPr>
                <w:sz w:val="15"/>
                <w:szCs w:val="15"/>
              </w:rPr>
              <w:t xml:space="preserve">THE MOST IMPORTANT IMPLICATION FOR A PATHWAY IS NOT THE ONE THE PAPER EMPHASISES. If the &lt;1 mm rule moves the R1 rate from 44% to 79% at one centre, then R0 and R1 rates reported in every neoadjuvant and adjuvant trial are a function of local pathology practice. PREOPANC (R0 71% of resected under RCPath &lt;1 mm), ESPAC-5 (R0 14-23%), NORPACT-1 (R0 56% vs 39%) and APACT (no central pathology review, R0 76%) are not comparable to each other, and no trial in this depot reports a pathology quality-assurance measure comparable to the one described here except ESPAC5 and CONKO-007</w:t>
            </w:r>
          </w:p>
          <w:p>
            <w:pPr>
              <w:pStyle w:val="ListParagraph"/>
              <w:numPr>
                <w:ilvl w:val="0"/>
                <w:numId w:val="2"/>
              </w:numPr>
              <w:spacing w:after="45"/>
            </w:pPr>
            <w:r>
              <w:rPr>
                <w:sz w:val="15"/>
                <w:szCs w:val="15"/>
              </w:rPr>
              <w:t xml:space="preserve">The argument that R1 is under-reported because 60-80% of resected patients recur locally is an indirect inference: local recurrence can arise from biologically aggressive residual disease beyond any resectable margin, not only from microscopic margin positivity</w:t>
            </w:r>
          </w:p>
          <w:p>
            <w:pPr>
              <w:pStyle w:val="ListParagraph"/>
              <w:numPr>
                <w:ilvl w:val="0"/>
                <w:numId w:val="2"/>
              </w:numPr>
              <w:spacing w:after="45"/>
            </w:pPr>
            <w:r>
              <w:rPr>
                <w:sz w:val="15"/>
                <w:szCs w:val="15"/>
              </w:rPr>
              <w:t xml:space="preserve">Funded by Cancer Research UK with no declared conflicts, and the senior authors are the ESPAC trialists who went on to apply this definition in ESPAC-4 and ESPAC-5 - a coherent programme, but the definition and the trials that use it come from the same group</w:t>
            </w:r>
          </w:p>
        </w:tc>
      </w:tr>
    </w:tbl>
    <w:p>
      <w:pPr>
        <w:spacing w:after="0" w:line="276"/>
      </w:pPr>
      <w:r>
        <w:rPr>
          <w:color w:val="5A6069"/>
          <w:sz w:val="14"/>
          <w:szCs w:val="14"/>
        </w:rPr>
        <w:t xml:space="preserve">Funding: Supported by Cancer Research UK. No conflicts of interest are declared.</w:t>
      </w:r>
    </w:p>
    <w:p>
      <w:pPr>
        <w:keepNext/>
        <w:spacing w:after="50" w:before="260"/>
      </w:pPr>
      <w:r>
        <w:rPr>
          <w:rFonts w:ascii="Cambria" w:cs="Cambria" w:eastAsia="Cambria" w:hAnsi="Cambria"/>
          <w:b/>
          <w:bCs/>
          <w:color w:val="17365D"/>
          <w:sz w:val="20"/>
          <w:szCs w:val="20"/>
        </w:rPr>
        <w:t xml:space="preserve">Clements meta-analysis</w:t>
      </w:r>
      <w:r>
        <w:rPr>
          <w:b/>
          <w:bCs/>
          <w:color w:val="176A87"/>
          <w:sz w:val="15"/>
          <w:szCs w:val="15"/>
        </w:rPr>
        <w:t xml:space="preserve">   Systematic review</w:t>
      </w:r>
      <w:r>
        <w:rPr>
          <w:color w:val="5A6069"/>
          <w:sz w:val="15"/>
          <w:szCs w:val="15"/>
        </w:rPr>
        <w:t xml:space="preserve">   PMID 40002281</w:t>
      </w:r>
    </w:p>
    <w:p>
      <w:pPr>
        <w:spacing w:after="50" w:line="276"/>
      </w:pPr>
      <w:r>
        <w:rPr>
          <w:color w:val="5A6069"/>
          <w:sz w:val="17"/>
          <w:szCs w:val="17"/>
        </w:rPr>
        <w:t xml:space="preserve">Surgical Outcomes in Stage IV Pancreatic Cancer with Liver Metastasis Current Evidence and Future Directions: A Systematic Review and Meta-Analysis of Surgical Resection.</w:t>
      </w:r>
    </w:p>
    <w:p>
      <w:pPr>
        <w:spacing w:after="50"/>
      </w:pPr>
      <w:r>
        <w:rPr>
          <w:b/>
          <w:bCs/>
          <w:color w:val="176A87"/>
          <w:sz w:val="16"/>
          <w:szCs w:val="16"/>
        </w:rPr>
        <w:t xml:space="preserve">Population. </w:t>
      </w:r>
      <w:r>
        <w:rPr>
          <w:sz w:val="16"/>
          <w:szCs w:val="16"/>
        </w:rPr>
        <w:t xml:space="preserve">16 studies in the review, 999 patients who underwent pancreatic resection for stage IV PDAC (637 synchronous resections, 48 metachronous, 259 from SEER with timing unknown); 7 studies pooled for the hazard ratio</w:t>
      </w:r>
    </w:p>
    <w:p>
      <w:pPr>
        <w:spacing w:after="70"/>
      </w:pPr>
      <w:r>
        <w:rPr>
          <w:b/>
          <w:bCs/>
          <w:color w:val="17365D"/>
          <w:sz w:val="16"/>
          <w:szCs w:val="16"/>
        </w:rPr>
        <w:t xml:space="preserve">Bottom line. </w:t>
      </w:r>
      <w:r>
        <w:rPr>
          <w:sz w:val="16"/>
          <w:szCs w:val="16"/>
        </w:rPr>
        <w:t xml:space="preserve">This review of 16 studies and 999 resected patients pools a survival benefit for synchronous resection of liver-only metastatic PDAC (HR 0.41) and usefully catalogues how inconsistently patients are selected - but it pools only unadjusted hazard ratios, never addresses immortal time bias or the chemotherapy imbalance that a parallel 2025 meta-analysis showed explains most of the effect, and its own data (32.5 versus 9.2 months split by RECIST response, best outcomes in patients whose metastases had vanished) point to selection rather than surgery as the explanation.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meta-analysis included some data from patients who had only a pancreatectomy or who had peritoneal rather than hepatic metastasis; excluding these studies would have left insufficient data to perform a meta-analysis at all</w:t>
            </w:r>
          </w:p>
          <w:p>
            <w:pPr>
              <w:pStyle w:val="ListParagraph"/>
              <w:numPr>
                <w:ilvl w:val="0"/>
                <w:numId w:val="2"/>
              </w:numPr>
              <w:spacing w:after="45"/>
            </w:pPr>
            <w:r>
              <w:rPr>
                <w:sz w:val="15"/>
                <w:szCs w:val="15"/>
              </w:rPr>
              <w:t xml:space="preserve">The retrospective nature of included studies introduces potential biases; surgeon discretion and institutional expertise are significant confounders that are difficult to measure, and high-volume hospitals with experienced surgeons are more likely to undertake complex resections</w:t>
            </w:r>
          </w:p>
          <w:p>
            <w:pPr>
              <w:pStyle w:val="ListParagraph"/>
              <w:numPr>
                <w:ilvl w:val="0"/>
                <w:numId w:val="2"/>
              </w:numPr>
              <w:spacing w:after="45"/>
            </w:pPr>
            <w:r>
              <w:rPr>
                <w:sz w:val="15"/>
                <w:szCs w:val="15"/>
              </w:rPr>
              <w:t xml:space="preserve">Heterogeneity in study design, control groups, resection cohorts and clinicopathological characteristics limits the conclusions from statistical analysis</w:t>
            </w:r>
          </w:p>
          <w:p>
            <w:pPr>
              <w:pStyle w:val="ListParagraph"/>
              <w:numPr>
                <w:ilvl w:val="0"/>
                <w:numId w:val="2"/>
              </w:numPr>
              <w:spacing w:after="45"/>
            </w:pPr>
            <w:r>
              <w:rPr>
                <w:sz w:val="15"/>
                <w:szCs w:val="15"/>
              </w:rPr>
              <w:t xml:space="preserve">No subgroup analysis by type of index operation, so no conclusions about pancreatoduodenectomy versus distal pancreatectomy; one study found a benefit for head resections and another the opposite</w:t>
            </w:r>
          </w:p>
          <w:p>
            <w:pPr>
              <w:pStyle w:val="ListParagraph"/>
              <w:numPr>
                <w:ilvl w:val="0"/>
                <w:numId w:val="2"/>
              </w:numPr>
              <w:spacing w:after="45"/>
            </w:pPr>
            <w:r>
              <w:rPr>
                <w:sz w:val="15"/>
                <w:szCs w:val="15"/>
              </w:rPr>
              <w:t xml:space="preserve">The lack of a consistent definition of hepatic oligometastasis complicates comparisons and underscores the need for a standardised classification</w:t>
            </w:r>
          </w:p>
          <w:p>
            <w:pPr>
              <w:pStyle w:val="ListParagraph"/>
              <w:numPr>
                <w:ilvl w:val="0"/>
                <w:numId w:val="2"/>
              </w:numPr>
              <w:spacing w:after="45"/>
            </w:pPr>
            <w:r>
              <w:rPr>
                <w:sz w:val="15"/>
                <w:szCs w:val="15"/>
              </w:rPr>
              <w:t xml:space="preserve">Heterogeneity in which RECIST classifications individual surgeons considered appropriate for surgery, and a wide array of cut-offs for biomarker response</w:t>
            </w:r>
          </w:p>
          <w:p>
            <w:pPr>
              <w:pStyle w:val="ListParagraph"/>
              <w:numPr>
                <w:ilvl w:val="0"/>
                <w:numId w:val="2"/>
              </w:numPr>
              <w:spacing w:after="45"/>
            </w:pPr>
            <w:r>
              <w:rPr>
                <w:sz w:val="15"/>
                <w:szCs w:val="15"/>
              </w:rPr>
              <w:t xml:space="preserve">No consensus on performance status cut-offs; most studies required 'good performance status' without quantification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'chemotherapy/palliation alone' pooled across seven studies, with no characterisation of what chemotherapy the control arms received. Unlike D'Ambra, this review performs NO meta-regression on chemotherapy exposure, so the single factor that D'Ambra showed explains 87% of the heterogeneity in essentially the same literature is left entirely unexamined - and the two reviews arrive at the identical HR of 0.41</w:t>
            </w:r>
          </w:p>
          <w:p>
            <w:pPr>
              <w:pStyle w:val="ListParagraph"/>
              <w:numPr>
                <w:ilvl w:val="0"/>
                <w:numId w:val="2"/>
              </w:numPr>
              <w:spacing w:after="45"/>
            </w:pPr>
            <w:r>
              <w:rPr>
                <w:sz w:val="15"/>
                <w:szCs w:val="15"/>
              </w:rPr>
              <w:t xml:space="preserve">I2 OF 12% IS REPORTED AS 'relatively low' HETEROGENEITY FROM SEVEN RETROSPECTIVE STUDIES WITH DIFFERENT DEFINITIONS OF OLIGOMETASTASIS, DIFFERENT CONTROL GROUPS AND DIFFERENT ERAS. D'Ambra's overlapping analysis found I2 64.5%. A near-zero I2 in this setting is more likely to reflect the small number of studies and the use of univariate HRs than genuine consistency, and the authors draw confidence from it</w:t>
            </w:r>
          </w:p>
          <w:p>
            <w:pPr>
              <w:pStyle w:val="ListParagraph"/>
              <w:numPr>
                <w:ilvl w:val="0"/>
                <w:numId w:val="2"/>
              </w:numPr>
              <w:spacing w:after="45"/>
            </w:pPr>
            <w:r>
              <w:rPr>
                <w:sz w:val="15"/>
                <w:szCs w:val="15"/>
              </w:rPr>
              <w:t xml:space="preserve">ONLY UNIVARIATE HAZARD RATIOS WERE POOLED, by explicit design, 'due to the degree of heterogeneity in multivariate analyses'. Pooling deliberately UNADJUSTED estimates from non-randomised studies, in a question dominated by selection, maximises confounding and the paper does not flag this as a limitation</w:t>
            </w:r>
          </w:p>
          <w:p>
            <w:pPr>
              <w:pStyle w:val="ListParagraph"/>
              <w:numPr>
                <w:ilvl w:val="0"/>
                <w:numId w:val="2"/>
              </w:numPr>
              <w:spacing w:after="45"/>
            </w:pPr>
            <w:r>
              <w:rPr>
                <w:sz w:val="15"/>
                <w:szCs w:val="15"/>
              </w:rPr>
              <w:t xml:space="preserve">IMMORTAL TIME BIAS IS NEVER MENTIONED. None of the included studies applied a landmark analysis, every surgical patient had to survive induction chemotherapy and remain fit, and Kaslow's demonstration that a 12-month landmark alone produces 26-month survival without surgery is absent from the discussion - a notable omission in a 2025 review of exactly this question</w:t>
            </w:r>
          </w:p>
          <w:p>
            <w:pPr>
              <w:pStyle w:val="ListParagraph"/>
              <w:numPr>
                <w:ilvl w:val="0"/>
                <w:numId w:val="2"/>
              </w:numPr>
              <w:spacing w:after="45"/>
            </w:pPr>
            <w:r>
              <w:rPr>
                <w:sz w:val="15"/>
                <w:szCs w:val="15"/>
              </w:rPr>
              <w:t xml:space="preserve">THE REVIEW'S OWN DATA UNDERCUT ITS CONCLUSION, AND IT DOES NOT SAY SO. A 32.5-versus-9.2-month gap generated by RECIST response criteria, best outcomes in patients with COMPLETE radiologic regression who had no metastasectomy at all, and three studies showing resected stage IV patients do worse than resected stage I-III patients, together describe a selection phenomenon. The conclusion instead reports 'a strong survival benefit in appropriately selected patients'</w:t>
            </w:r>
          </w:p>
          <w:p>
            <w:pPr>
              <w:pStyle w:val="ListParagraph"/>
              <w:numPr>
                <w:ilvl w:val="0"/>
                <w:numId w:val="2"/>
              </w:numPr>
              <w:spacing w:after="45"/>
            </w:pPr>
            <w:r>
              <w:rPr>
                <w:sz w:val="15"/>
                <w:szCs w:val="15"/>
              </w:rPr>
              <w:t xml:space="preserve">NOT PROSPECTIVELY REGISTERED (stated explicitly), and 71 of 142 screened records - half the evidence base - were added by 'citation searching and hand selection' rather than the database search, which is not a reproducible search strategy</w:t>
            </w:r>
          </w:p>
          <w:p>
            <w:pPr>
              <w:pStyle w:val="ListParagraph"/>
              <w:numPr>
                <w:ilvl w:val="0"/>
                <w:numId w:val="2"/>
              </w:numPr>
              <w:spacing w:after="45"/>
            </w:pPr>
            <w:r>
              <w:rPr>
                <w:sz w:val="15"/>
                <w:szCs w:val="15"/>
              </w:rPr>
              <w:t xml:space="preserve">THE POOLED COHORT IS NOT WHAT THE TITLE DESCRIBES: Hank contributes 26/93 patients with peritoneal or nodal rather than hepatic metastases, Crippa contributes 8/11 patients whose liver metastases had disappeared, Takeda 5/10 whose lesions were undetectable intraoperatively. The authors state that excluding these would leave too few studies to pool - which is an argument for not pooling</w:t>
            </w:r>
          </w:p>
          <w:p>
            <w:pPr>
              <w:pStyle w:val="ListParagraph"/>
              <w:numPr>
                <w:ilvl w:val="0"/>
                <w:numId w:val="2"/>
              </w:numPr>
              <w:spacing w:after="45"/>
            </w:pPr>
            <w:r>
              <w:rPr>
                <w:sz w:val="15"/>
                <w:szCs w:val="15"/>
              </w:rPr>
              <w:t xml:space="preserve">SUBSTANTIAL OVERLAP WITH D'AMBRA 2025 (Shao, Shi, Pausch, Hank and others appear in both) means the two apparently independent 2025 meta-analyses reporting HR 0.41 are largely the same patients, and a pathway that cites both is double-counting one evidence base</w:t>
            </w:r>
          </w:p>
          <w:p>
            <w:pPr>
              <w:pStyle w:val="ListParagraph"/>
              <w:numPr>
                <w:ilvl w:val="0"/>
                <w:numId w:val="2"/>
              </w:numPr>
              <w:spacing w:after="45"/>
            </w:pPr>
            <w:r>
              <w:rPr>
                <w:sz w:val="15"/>
                <w:szCs w:val="15"/>
              </w:rPr>
              <w:t xml:space="preserve">THE EXTEND TRIAL IS INVOKED AS RANDOMISED SUPPORT BUT TESTS SOMETHING ELSE: it is a phase 2 trial of metastasis-directed therapy (largely radiotherapy) added to systemic treatment, reporting progression-free survival, not pancreatectomy plus hepatectomy and not overall survival. Using it to reinforce a surgical conclusion is a category substitution</w:t>
            </w:r>
          </w:p>
          <w:p>
            <w:pPr>
              <w:pStyle w:val="ListParagraph"/>
              <w:numPr>
                <w:ilvl w:val="0"/>
                <w:numId w:val="2"/>
              </w:numPr>
              <w:spacing w:after="45"/>
            </w:pPr>
            <w:r>
              <w:rPr>
                <w:sz w:val="15"/>
                <w:szCs w:val="15"/>
              </w:rPr>
              <w:t xml:space="preserve">The review's genuinely useful output - that selection should rest on achievable R0 resection and demonstrated response rather than an arbitrary lesion count, and that CA19-9, margin, grade and preoperative chemotherapy predict outcome - is a narrative synthesis of heterogeneous reporting, not a quantitative finding, and the paper is clear that no meta-analysis of selection factors was possible</w:t>
            </w:r>
          </w:p>
        </w:tc>
      </w:tr>
    </w:tbl>
    <w:p>
      <w:pPr>
        <w:spacing w:after="0" w:line="276"/>
      </w:pPr>
      <w:r>
        <w:rPr>
          <w:color w:val="5A6069"/>
          <w:sz w:val="14"/>
          <w:szCs w:val="14"/>
        </w:rPr>
        <w:t xml:space="preserve">Funding: Funded internally by the University of Louisville Division of Surgical Oncology (no grant number). The authors declare no conflicts of interest.</w:t>
      </w:r>
    </w:p>
    <w:p>
      <w:pPr>
        <w:keepNext/>
        <w:spacing w:after="50" w:before="260"/>
      </w:pPr>
      <w:r>
        <w:rPr>
          <w:rFonts w:ascii="Cambria" w:cs="Cambria" w:eastAsia="Cambria" w:hAnsi="Cambria"/>
          <w:b/>
          <w:bCs/>
          <w:color w:val="17365D"/>
          <w:sz w:val="20"/>
          <w:szCs w:val="20"/>
        </w:rPr>
        <w:t xml:space="preserve">CONKO-001</w:t>
      </w:r>
      <w:r>
        <w:rPr>
          <w:b/>
          <w:bCs/>
          <w:color w:val="176A87"/>
          <w:sz w:val="15"/>
          <w:szCs w:val="15"/>
        </w:rPr>
        <w:t xml:space="preserve">   Randomised trial</w:t>
      </w:r>
      <w:r>
        <w:rPr>
          <w:color w:val="5A6069"/>
          <w:sz w:val="15"/>
          <w:szCs w:val="15"/>
        </w:rPr>
        <w:t xml:space="preserve">   PMID 24104372</w:t>
      </w:r>
    </w:p>
    <w:p>
      <w:pPr>
        <w:spacing w:after="50" w:line="276"/>
      </w:pPr>
      <w:r>
        <w:rPr>
          <w:color w:val="5A6069"/>
          <w:sz w:val="17"/>
          <w:szCs w:val="17"/>
        </w:rPr>
        <w:t xml:space="preserve">Adjuvant Chemotherapy With Gemcitabine and Long-term Outcomes Among Patients With Resected Pancreatic Cancer: The CONKO-001 Randomized Trial.</w:t>
      </w:r>
    </w:p>
    <w:p>
      <w:pPr>
        <w:spacing w:after="50"/>
      </w:pPr>
      <w:r>
        <w:rPr>
          <w:b/>
          <w:bCs/>
          <w:color w:val="176A87"/>
          <w:sz w:val="16"/>
          <w:szCs w:val="16"/>
        </w:rPr>
        <w:t xml:space="preserve">Population. </w:t>
      </w:r>
      <w:r>
        <w:rPr>
          <w:sz w:val="16"/>
          <w:szCs w:val="16"/>
        </w:rPr>
        <w:t xml:space="preserve">368 randomised, 354 eligible for intention-to-treat analysis (179 gemcitabine, 175 observation); 316 deaths (89.3%)</w:t>
      </w:r>
    </w:p>
    <w:p>
      <w:pPr>
        <w:spacing w:after="70"/>
      </w:pPr>
      <w:r>
        <w:rPr>
          <w:b/>
          <w:bCs/>
          <w:color w:val="17365D"/>
          <w:sz w:val="16"/>
          <w:szCs w:val="16"/>
        </w:rPr>
        <w:t xml:space="preserve">Bottom line. </w:t>
      </w:r>
      <w:r>
        <w:rPr>
          <w:sz w:val="16"/>
          <w:szCs w:val="16"/>
        </w:rPr>
        <w:t xml:space="preserve">CONKO-001 established that six months of adjuvant gemcitabine after macroscopically complete resection improves disease-free survival (13.4 vs 6.7 months) and long-term overall survival (5-year 20.7% vs 10.4%) compared with observation, but in a population pre-selected for postoperative CA19-9 below 92.5 kU/L, with only a 2.6-month difference in median survival, and in a design that is effectively immediate versus delayed gemcitabine.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note that, given the high relapse rate in the first year and the fact that gemcitabine was standard therapy at relapse, the design can be seen as a study of IMMEDIATE versus DELAYED postoperative gemcitabine rather than of chemotherapy versus none</w:t>
            </w:r>
          </w:p>
          <w:p>
            <w:pPr>
              <w:pStyle w:val="ListParagraph"/>
              <w:numPr>
                <w:ilvl w:val="0"/>
                <w:numId w:val="2"/>
              </w:numPr>
              <w:spacing w:after="45"/>
            </w:pPr>
            <w:r>
              <w:rPr>
                <w:sz w:val="15"/>
                <w:szCs w:val="15"/>
              </w:rPr>
              <w:t xml:space="preserve">The trial was community-based without uniform surgical standards and without centralised pathology review; the authors frame this as generalisability rather than a weakness</w:t>
            </w:r>
          </w:p>
          <w:p>
            <w:pPr>
              <w:pStyle w:val="ListParagraph"/>
              <w:numPr>
                <w:ilvl w:val="0"/>
                <w:numId w:val="2"/>
              </w:numPr>
              <w:spacing w:after="45"/>
            </w:pPr>
            <w:r>
              <w:rPr>
                <w:sz w:val="15"/>
                <w:szCs w:val="15"/>
              </w:rPr>
              <w:t xml:space="preserve">Subgroup analyses were predefined but exploratory with limited power</w:t>
            </w:r>
          </w:p>
          <w:p>
            <w:pPr>
              <w:pStyle w:val="ListParagraph"/>
              <w:numPr>
                <w:ilvl w:val="0"/>
                <w:numId w:val="2"/>
              </w:numPr>
              <w:spacing w:after="45"/>
            </w:pPr>
            <w:r>
              <w:rPr>
                <w:sz w:val="15"/>
                <w:szCs w:val="15"/>
              </w:rPr>
              <w:t xml:space="preserve">Overall survival was a secondary endpoint; the trial was powered on disease-free survival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THE CONTROL ARM RECEIVED NO ADJUVANT TREATMENT AT ALL - observation only. This makes CONKO-001 the foundation of adjuvant therapy but also means it says nothing about any modern regimen; every later trial measures against gemcitabine, which this trial only establishes as better than nothing</w:t>
            </w:r>
          </w:p>
          <w:p>
            <w:pPr>
              <w:pStyle w:val="ListParagraph"/>
              <w:numPr>
                <w:ilvl w:val="0"/>
                <w:numId w:val="2"/>
              </w:numPr>
              <w:spacing w:after="45"/>
            </w:pPr>
            <w:r>
              <w:rPr>
                <w:sz w:val="15"/>
                <w:szCs w:val="15"/>
              </w:rPr>
              <w:t xml:space="preserve">NON-RECEIPT OF ALLOCATED TREATMENT: 18/186 (10%) randomised to gemcitabine never started it, mostly because of postoperative complications and wound-healing problems, and only 111/186 (62%) completed all six cycles. The observation arm by definition had no treatment to fail to receive, so non-receipt is entirely one-sided and biases the ITT comparison TOWARD the null - a point in the trial's favour</w:t>
            </w:r>
          </w:p>
          <w:p>
            <w:pPr>
              <w:pStyle w:val="ListParagraph"/>
              <w:numPr>
                <w:ilvl w:val="0"/>
                <w:numId w:val="2"/>
              </w:numPr>
              <w:spacing w:after="45"/>
            </w:pPr>
            <w:r>
              <w:rPr>
                <w:sz w:val="15"/>
                <w:szCs w:val="15"/>
              </w:rPr>
              <w:t xml:space="preserve">THE ELIGIBILITY CRITERION OF POSTOPERATIVE CA19-9 BELOW 2.5x NORMAL (about 92.5 kU/L) SILENTLY EXCLUDED THE WORST-PROGNOSIS PATIENTS. ESPAC-4 later showed that the 17% of resected patients with CA19-9 above 92.5 kU/L have a median survival of 13.1 months versus 29.6 months below it. CONKO-001's survival curves therefore describe a favourably selected population, and its 20.7% 5-year figure cannot be read as the outcome of adjuvant gemcitabine in all comers. The paper does not flag this, and ESPAC-4's authors had to point it out</w:t>
            </w:r>
          </w:p>
          <w:p>
            <w:pPr>
              <w:pStyle w:val="ListParagraph"/>
              <w:numPr>
                <w:ilvl w:val="0"/>
                <w:numId w:val="2"/>
              </w:numPr>
              <w:spacing w:after="45"/>
            </w:pPr>
            <w:r>
              <w:rPr>
                <w:sz w:val="15"/>
                <w:szCs w:val="15"/>
              </w:rPr>
              <w:t xml:space="preserve">The primary endpoint was DISEASE-FREE SURVIVAL assessed in part by abdominal ultrasound every 8 weeks with no central radiology review and with recurrence dated from 'the first subjective symptom indicating relapse' - an unblinded, partly symptom-driven endpoint in an open-label trial, which is exactly the setting in which detection bias inflates a DFS difference. The 2.4-fold DFS difference (13.4 vs 6.7 months) sits oddly beside a 2.6-month median OS difference</w:t>
            </w:r>
          </w:p>
          <w:p>
            <w:pPr>
              <w:pStyle w:val="ListParagraph"/>
              <w:numPr>
                <w:ilvl w:val="0"/>
                <w:numId w:val="2"/>
              </w:numPr>
              <w:spacing w:after="45"/>
            </w:pPr>
            <w:r>
              <w:rPr>
                <w:sz w:val="15"/>
                <w:szCs w:val="15"/>
              </w:rPr>
              <w:t xml:space="preserve">OVERALL SURVIVAL WAS A SECONDARY ENDPOINT THAT BECAME SIGNIFICANT ONLY ON THE FINAL OF SEVERAL ANALYSES, nine years after the primary report; no multiplicity adjustment is reported for this repeated testing, and the paper presents P=.01 as if from a single prespecified analysis</w:t>
            </w:r>
          </w:p>
          <w:p>
            <w:pPr>
              <w:pStyle w:val="ListParagraph"/>
              <w:numPr>
                <w:ilvl w:val="0"/>
                <w:numId w:val="2"/>
              </w:numPr>
              <w:spacing w:after="45"/>
            </w:pPr>
            <w:r>
              <w:rPr>
                <w:sz w:val="15"/>
                <w:szCs w:val="15"/>
              </w:rPr>
              <w:t xml:space="preserve">NO CENTRAL PATHOLOGY REVIEW means R0/R1 and nodal status - two of the three stratification factors - were assigned locally across 88 centres with no uniform margin definition; the modern &lt;=1 mm R1 definition was not in general use in 1998-2004, so the R1 subgroup (19% and 15%) is not comparable with later trials where R1 rates were 40-60%</w:t>
            </w:r>
          </w:p>
          <w:p>
            <w:pPr>
              <w:pStyle w:val="ListParagraph"/>
              <w:numPr>
                <w:ilvl w:val="0"/>
                <w:numId w:val="2"/>
              </w:numPr>
              <w:spacing w:after="45"/>
            </w:pPr>
            <w:r>
              <w:rPr>
                <w:sz w:val="15"/>
                <w:szCs w:val="15"/>
              </w:rPr>
              <w:t xml:space="preserve">The observation arm received predominantly gemcitabine at relapse, so the trial compares early with late gemcitabine; a pathway cannot cite it for the proposition that adjuvant chemotherapy adds survival over the same drug given at recurrence</w:t>
            </w:r>
          </w:p>
          <w:p>
            <w:pPr>
              <w:pStyle w:val="ListParagraph"/>
              <w:numPr>
                <w:ilvl w:val="0"/>
                <w:numId w:val="2"/>
              </w:numPr>
              <w:spacing w:after="45"/>
            </w:pPr>
            <w:r>
              <w:rPr>
                <w:sz w:val="15"/>
                <w:szCs w:val="15"/>
              </w:rPr>
              <w:t xml:space="preserve">The paper's own abstract reports median DFS in the observation arm as 6.7 months while the discussion quotes 6.9 months, and the discussion's comparison with JSAP-02 uses the latter - a small internal inconsistency in the headline number</w:t>
            </w:r>
          </w:p>
          <w:p>
            <w:pPr>
              <w:pStyle w:val="ListParagraph"/>
              <w:numPr>
                <w:ilvl w:val="0"/>
                <w:numId w:val="2"/>
              </w:numPr>
              <w:spacing w:after="45"/>
            </w:pPr>
            <w:r>
              <w:rPr>
                <w:sz w:val="15"/>
                <w:szCs w:val="15"/>
              </w:rPr>
              <w:t xml:space="preserve">Funding came in part from Lilly Germany, the manufacturer of gemcitabine, and one author was a former Eli Lilly employee holding Lilly stock. The sponsor is stated to have had no role, and statistical analysis was performed independently at Charite, but the drug being tested was the sponsor's product</w:t>
            </w:r>
          </w:p>
          <w:p>
            <w:pPr>
              <w:pStyle w:val="ListParagraph"/>
              <w:numPr>
                <w:ilvl w:val="0"/>
                <w:numId w:val="2"/>
              </w:numPr>
              <w:spacing w:after="45"/>
            </w:pPr>
            <w:r>
              <w:rPr>
                <w:sz w:val="15"/>
                <w:szCs w:val="15"/>
              </w:rPr>
              <w:t xml:space="preserve">Enrolment ran 1998-2004 with surgery performed to institutional standards; perioperative mortality, lymphadenectomy extent and imaging have all changed, so the 20.2-month observation-arm survival is not a usable benchmark for a contemporary pathway</w:t>
            </w:r>
          </w:p>
        </w:tc>
      </w:tr>
    </w:tbl>
    <w:p>
      <w:pPr>
        <w:spacing w:after="0" w:line="276"/>
      </w:pPr>
      <w:r>
        <w:rPr>
          <w:color w:val="5A6069"/>
          <w:sz w:val="14"/>
          <w:szCs w:val="14"/>
        </w:rPr>
        <w:t xml:space="preserve">Funding: Supported in part by a grant from Lilly Germany (manufacturer of gemcitabine), by the German Cancer Society (section AIO) and by a research grant from Charite-Universitaetsmedizin Berlin. Stated to be an investigator-initiated trial with Lilly having no role in design, conduct, analysis or publication; statistical analysis performed independently of the sponsor. Dr Oettle reports honoraria from Roche, Celgene and Fresenius; Dr Riess from nine companies; Dr Arning is a former Eli Lilly employee and owns Lilly stock.</w:t>
      </w:r>
    </w:p>
    <w:p>
      <w:pPr>
        <w:keepNext/>
        <w:spacing w:after="50" w:before="260"/>
      </w:pPr>
      <w:r>
        <w:rPr>
          <w:rFonts w:ascii="Cambria" w:cs="Cambria" w:eastAsia="Cambria" w:hAnsi="Cambria"/>
          <w:b/>
          <w:bCs/>
          <w:color w:val="17365D"/>
          <w:sz w:val="20"/>
          <w:szCs w:val="20"/>
        </w:rPr>
        <w:t xml:space="preserve">CONKO-007</w:t>
      </w:r>
      <w:r>
        <w:rPr>
          <w:b/>
          <w:bCs/>
          <w:color w:val="176A87"/>
          <w:sz w:val="15"/>
          <w:szCs w:val="15"/>
        </w:rPr>
        <w:t xml:space="preserve">   Randomised trial</w:t>
      </w:r>
      <w:r>
        <w:rPr>
          <w:color w:val="5A6069"/>
          <w:sz w:val="15"/>
          <w:szCs w:val="15"/>
        </w:rPr>
        <w:t xml:space="preserve">   PMID 40802908</w:t>
      </w:r>
    </w:p>
    <w:p>
      <w:pPr>
        <w:spacing w:after="50" w:line="276"/>
      </w:pPr>
      <w:r>
        <w:rPr>
          <w:color w:val="5A6069"/>
          <w:sz w:val="17"/>
          <w:szCs w:val="17"/>
        </w:rPr>
        <w:t xml:space="preserve">Benefit of Chemoradiotherapy Versus Chemotherapy After Induction Therapy for Conversion of Unresectable Into Resectable Pancreatic Cancer: The Randomized CONKO-007 Trial.</w:t>
      </w:r>
    </w:p>
    <w:p>
      <w:pPr>
        <w:spacing w:after="50"/>
      </w:pPr>
      <w:r>
        <w:rPr>
          <w:b/>
          <w:bCs/>
          <w:color w:val="176A87"/>
          <w:sz w:val="16"/>
          <w:szCs w:val="16"/>
        </w:rPr>
        <w:t xml:space="preserve">Population. </w:t>
      </w:r>
      <w:r>
        <w:rPr>
          <w:sz w:val="16"/>
          <w:szCs w:val="16"/>
        </w:rPr>
        <w:t xml:space="preserve">525 enrolled, 495 received induction, 336 randomised (167 chemotherapy, 169 chemoradiotherapy); 122 underwent surgery; 450 deaths</w:t>
      </w:r>
    </w:p>
    <w:p>
      <w:pPr>
        <w:spacing w:after="70"/>
      </w:pPr>
      <w:r>
        <w:rPr>
          <w:b/>
          <w:bCs/>
          <w:color w:val="17365D"/>
          <w:sz w:val="16"/>
          <w:szCs w:val="16"/>
        </w:rPr>
        <w:t xml:space="preserve">Bottom line. </w:t>
      </w:r>
      <w:r>
        <w:rPr>
          <w:sz w:val="16"/>
          <w:szCs w:val="16"/>
        </w:rPr>
        <w:t xml:space="preserve">CONKO-007 failed its primary endpoint - consolidation chemoradiotherapy after mostly FOLFIRINOX induction did not raise the overall R0 resection rate (25% vs 18%, P=.113) or survival (15 vs 14 months, HR 0.94) in unresectable pancreatic cancer - but it halved locoregional recurrence and, among the third of patients who reached surgery, raised R0 from 50% to 69%; its primary endpoint was changed mid-trial and powered from its own unblinded interim data, its surgical comparisons are not randomised, and its radiotherapy was never centrally reviewed.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primary endpoint had to be CHANGED from overall survival to R0 resection rate because otherwise the study would not have been completed, which the authors acknowledge might have altered the type I error</w:t>
            </w:r>
          </w:p>
          <w:p>
            <w:pPr>
              <w:pStyle w:val="ListParagraph"/>
              <w:numPr>
                <w:ilvl w:val="0"/>
                <w:numId w:val="2"/>
              </w:numPr>
              <w:spacing w:after="45"/>
            </w:pPr>
            <w:r>
              <w:rPr>
                <w:sz w:val="15"/>
                <w:szCs w:val="15"/>
              </w:rPr>
              <w:t xml:space="preserve">The knowledge that R0 resection leads to better outcomes certainly changed the behaviour of the treating physicians</w:t>
            </w:r>
          </w:p>
          <w:p>
            <w:pPr>
              <w:pStyle w:val="ListParagraph"/>
              <w:numPr>
                <w:ilvl w:val="0"/>
                <w:numId w:val="2"/>
              </w:numPr>
              <w:spacing w:after="45"/>
            </w:pPr>
            <w:r>
              <w:rPr>
                <w:sz w:val="15"/>
                <w:szCs w:val="15"/>
              </w:rPr>
              <w:t xml:space="preserve">The radiotherapy protocol was described in detail but, for financial reasons, radiation was NOT centrally reviewed</w:t>
            </w:r>
          </w:p>
          <w:p>
            <w:pPr>
              <w:pStyle w:val="ListParagraph"/>
              <w:numPr>
                <w:ilvl w:val="0"/>
                <w:numId w:val="2"/>
              </w:numPr>
              <w:spacing w:after="45"/>
            </w:pPr>
            <w:r>
              <w:rPr>
                <w:sz w:val="15"/>
                <w:szCs w:val="15"/>
              </w:rPr>
              <w:t xml:space="preserve">Resectability was assessed locally and by a central tumour board, but it cannot be ruled out that uninvolved surgeons would have classified some cases as borderline resectable</w:t>
            </w:r>
          </w:p>
          <w:p>
            <w:pPr>
              <w:pStyle w:val="ListParagraph"/>
              <w:numPr>
                <w:ilvl w:val="0"/>
                <w:numId w:val="2"/>
              </w:numPr>
              <w:spacing w:after="45"/>
            </w:pPr>
            <w:r>
              <w:rPr>
                <w:sz w:val="15"/>
                <w:szCs w:val="15"/>
              </w:rPr>
              <w:t xml:space="preserve">Molecular parameters were not considered in the analysis</w:t>
            </w:r>
          </w:p>
          <w:p>
            <w:pPr>
              <w:pStyle w:val="ListParagraph"/>
              <w:numPr>
                <w:ilvl w:val="0"/>
                <w:numId w:val="2"/>
              </w:numPr>
              <w:spacing w:after="45"/>
            </w:pPr>
            <w:r>
              <w:rPr>
                <w:sz w:val="15"/>
                <w:szCs w:val="15"/>
              </w:rPr>
              <w:t xml:space="preserve">The study did not have sufficient statistical power to detect a difference in overall survival and can at best indicate which patients might benefit</w:t>
            </w:r>
          </w:p>
          <w:p>
            <w:pPr>
              <w:pStyle w:val="ListParagraph"/>
              <w:numPr>
                <w:ilvl w:val="0"/>
                <w:numId w:val="2"/>
              </w:numPr>
              <w:spacing w:after="45"/>
            </w:pPr>
            <w:r>
              <w:rPr>
                <w:sz w:val="15"/>
                <w:szCs w:val="15"/>
              </w:rPr>
              <w:t xml:space="preserve">Gemcitabine rather than capecitabine was given concurrently with radiotherapy; SCALOP data suggesting capecitabine-based chemoradiotherapy is better appeared after the trial had progressed too far to change the protocol</w:t>
            </w:r>
          </w:p>
          <w:p>
            <w:pPr>
              <w:pStyle w:val="ListParagraph"/>
              <w:numPr>
                <w:ilvl w:val="0"/>
                <w:numId w:val="2"/>
              </w:numPr>
              <w:spacing w:after="45"/>
            </w:pPr>
            <w:r>
              <w:rPr>
                <w:sz w:val="15"/>
                <w:szCs w:val="15"/>
              </w:rPr>
              <w:t xml:space="preserve">nab-paclitaxel plus gemcitabine was not opened as an additional arm when it became available in 2013-2014, to avoid further diversification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continuation of the SAME induction chemotherapy. Because 84-87% of randomised patients had FOLFIRINOX induction, this is the only randomised trial to test consolidation chemoradiotherapy on a modern chemotherapy backbone - a genuine advance over LAP07. But no arm received upfront surgery or adjuvant therapy, so the trial speaks only to the radiotherapy question in unresectable disease</w:t>
            </w:r>
          </w:p>
          <w:p>
            <w:pPr>
              <w:pStyle w:val="ListParagraph"/>
              <w:numPr>
                <w:ilvl w:val="0"/>
                <w:numId w:val="2"/>
              </w:numPr>
              <w:spacing w:after="45"/>
            </w:pPr>
            <w:r>
              <w:rPr>
                <w:sz w:val="15"/>
                <w:szCs w:val="15"/>
              </w:rPr>
              <w:t xml:space="preserve">THE PRIMARY ENDPOINT WAS CHANGED MID-TRIAL FROM OVERALL SURVIVAL TO R0 RESECTION RATE, AND THE NEW ENDPOINT'S EFFECT SIZE WAS CALCULATED FROM UNBLINDED INTERIM DATA ON 180 ALREADY-ENROLLED PATIENTS, in which the R0 rate in one arm was already 'nearly twice as high' (30.2% vs 17.0%). The trial was then powered to detect exactly the difference its own interim data had shown. This is the most serious methodological problem in the depot: the sample size and the hypothesis were set using the result. The authors flag the type I error implication in one sentence but the trial still failed even this favourably chosen endpoint (P=.113)</w:t>
            </w:r>
          </w:p>
          <w:p>
            <w:pPr>
              <w:pStyle w:val="ListParagraph"/>
              <w:numPr>
                <w:ilvl w:val="0"/>
                <w:numId w:val="2"/>
              </w:numPr>
              <w:spacing w:after="45"/>
            </w:pPr>
            <w:r>
              <w:rPr>
                <w:sz w:val="15"/>
                <w:szCs w:val="15"/>
              </w:rPr>
              <w:t xml:space="preserve">THE HEADLINE POSITIVE RESULT IS CONDITIONAL ON SURGERY, WHICH WAS NOT RANDOMISED. R0 69% versus 50% is calculated among the 122 patients who went to the operating theatre - a group selected by panel recommendation, physician behaviour and patient fitness after treatment. The authors state plainly that physicians' knowledge of the R0 endpoint changed their behaviour, which is precisely the mechanism that could produce an R0 difference in the operated subset with no difference in the randomised population</w:t>
            </w:r>
          </w:p>
          <w:p>
            <w:pPr>
              <w:pStyle w:val="ListParagraph"/>
              <w:numPr>
                <w:ilvl w:val="0"/>
                <w:numId w:val="2"/>
              </w:numPr>
              <w:spacing w:after="45"/>
            </w:pPr>
            <w:r>
              <w:rPr>
                <w:sz w:val="15"/>
                <w:szCs w:val="15"/>
              </w:rPr>
              <w:t xml:space="preserve">NON-RECEIPT AND ATTRITION: 30/525 enrolled were excluded before induction (screening failure or withdrawal) and 159/495 (32.1%) progressed during induction and were never randomised. Within the randomised arms, 41/167 and 33/169 discontinued allocated treatment. The 336 randomised patients are the 64% of enrolled patients who survived and responded to three months of chemotherapy, and their 18-month median survival cannot be transferred to an unselected locally advanced population whose true median including non-randomised patients was 15 months</w:t>
            </w:r>
          </w:p>
          <w:p>
            <w:pPr>
              <w:pStyle w:val="ListParagraph"/>
              <w:numPr>
                <w:ilvl w:val="0"/>
                <w:numId w:val="2"/>
              </w:numPr>
              <w:spacing w:after="45"/>
            </w:pPr>
            <w:r>
              <w:rPr>
                <w:sz w:val="15"/>
                <w:szCs w:val="15"/>
              </w:rPr>
              <w:t xml:space="preserve">RADIOTHERAPY WAS NOT CENTRALLY REVIEWED, FOR STATED FINANCIAL REASONS, in a trial whose entire question is whether radiotherapy helps. LAP07, which did review radiotherapy, found 18% major deviations; CONKO-007 has no way to know its own delivery quality</w:t>
            </w:r>
          </w:p>
          <w:p>
            <w:pPr>
              <w:pStyle w:val="ListParagraph"/>
              <w:numPr>
                <w:ilvl w:val="0"/>
                <w:numId w:val="2"/>
              </w:numPr>
              <w:spacing w:after="45"/>
            </w:pPr>
            <w:r>
              <w:rPr>
                <w:sz w:val="15"/>
                <w:szCs w:val="15"/>
              </w:rPr>
              <w:t xml:space="preserve">THE 5-YEAR SURVIVAL CLAIM (10.1% vs 3.8%, and 24.8% vs 11.9% in operated patients) IS A TAIL COMPARISON INSIDE A NULL TRIAL, reported without a p value for the 5-year rates and with standard errors of 2.5% and 1.8% on a handful of patients (8 and 4 at risk at 60 months). The discussion asserts the 5-year rates were 'at least twice as high' with chemoradiotherapy; the trial's own survival analysis found HR 0.94, P=.57</w:t>
            </w:r>
          </w:p>
          <w:p>
            <w:pPr>
              <w:pStyle w:val="ListParagraph"/>
              <w:numPr>
                <w:ilvl w:val="0"/>
                <w:numId w:val="2"/>
              </w:numPr>
              <w:spacing w:after="45"/>
            </w:pPr>
            <w:r>
              <w:rPr>
                <w:sz w:val="15"/>
                <w:szCs w:val="15"/>
              </w:rPr>
              <w:t xml:space="preserve">GEMCITABINE WAS USED AS THE RADIOSENSITISER, which the authors concede SCALOP suggests is inferior to capecitabine, and gemcitabine induction patients (19% of the randomised population) had a far worse course - so the trial mixes two induction regimens with very different progression rates (47% vs 29%) and stratifies on but does not separately power for this</w:t>
            </w:r>
          </w:p>
          <w:p>
            <w:pPr>
              <w:pStyle w:val="ListParagraph"/>
              <w:numPr>
                <w:ilvl w:val="0"/>
                <w:numId w:val="2"/>
              </w:numPr>
              <w:spacing w:after="45"/>
            </w:pPr>
            <w:r>
              <w:rPr>
                <w:sz w:val="15"/>
                <w:szCs w:val="15"/>
              </w:rPr>
              <w:t xml:space="preserve">TOXICITY IS REPORTED ONLY AS A TABLE WHOSE NUMBERS ARE MISSING FROM THE EXTRACTED TEXT (the grade 3-4 adverse event counts in Table 3 did not extract), so the magnitude of the significant leukopenia and thrombocytopenia differences cannot be verified from this copy of the paper</w:t>
            </w:r>
          </w:p>
          <w:p>
            <w:pPr>
              <w:pStyle w:val="ListParagraph"/>
              <w:numPr>
                <w:ilvl w:val="0"/>
                <w:numId w:val="2"/>
              </w:numPr>
              <w:spacing w:after="45"/>
            </w:pPr>
            <w:r>
              <w:rPr>
                <w:sz w:val="15"/>
                <w:szCs w:val="15"/>
              </w:rPr>
              <w:t xml:space="preserve">AN 8% 30-DAY POSTOPERATIVE MORTALITY IN BOTH ARMS (5/60 and 5/62) IS HIGH and is presented as reassuring because it did not differ between arms. For a pathway weighing conversion surgery in locally advanced disease, one in twelve operative deaths is a material harm that the paper's conclusion ('without increasing postsurgical mortality') does not surface</w:t>
            </w:r>
          </w:p>
          <w:p>
            <w:pPr>
              <w:pStyle w:val="ListParagraph"/>
              <w:numPr>
                <w:ilvl w:val="0"/>
                <w:numId w:val="2"/>
              </w:numPr>
              <w:spacing w:after="45"/>
            </w:pPr>
            <w:r>
              <w:rPr>
                <w:sz w:val="15"/>
                <w:szCs w:val="15"/>
              </w:rPr>
              <w:t xml:space="preserve">THE CONCLUSION THAT 'SECONDARY SURGERY IS ASSOCIATED WITH A SUPERIOR PROGNOSIS' RESTS ENTIRELY ON A NON-RANDOMISED COMPARISON (HR 0.53) between patients fit and responsive enough to be operated and those who were not. This is the oldest confounding in surgical oncology and the paper does not adjust for response, CA 19-9 trajectory or performance status in that comparison</w:t>
            </w:r>
          </w:p>
          <w:p>
            <w:pPr>
              <w:pStyle w:val="ListParagraph"/>
              <w:numPr>
                <w:ilvl w:val="0"/>
                <w:numId w:val="2"/>
              </w:numPr>
              <w:spacing w:after="45"/>
            </w:pPr>
            <w:r>
              <w:rPr>
                <w:sz w:val="15"/>
                <w:szCs w:val="15"/>
              </w:rPr>
              <w:t xml:space="preserve">Industry disclosures are extensive for the first author (honoraria from MSD, AstraZeneca, Novocure, Merck Serono, Sennewald, Siemens Healthineers), relevant in a trial adjudicating radiotherapy, though funding came from German Cancer Aid</w:t>
            </w:r>
          </w:p>
        </w:tc>
      </w:tr>
    </w:tbl>
    <w:p>
      <w:pPr>
        <w:spacing w:after="0" w:line="276"/>
      </w:pPr>
      <w:r>
        <w:rPr>
          <w:color w:val="5A6069"/>
          <w:sz w:val="14"/>
          <w:szCs w:val="14"/>
        </w:rPr>
        <w:t xml:space="preserve">Funding: German Cancer Aid (Deutsche Krebshilfe 109284); the German Cancer Society is stated not to have influenced the design or analysis. Investigator-initiated. The first author reports honoraria from Merck Sharp &amp; Dohme, AstraZeneca, Novocure, Merck Serono, Sennewald GmbH, MSD Oncology and Siemens Healthineers.</w:t>
      </w:r>
    </w:p>
    <w:p>
      <w:pPr>
        <w:keepNext/>
        <w:spacing w:after="50" w:before="260"/>
      </w:pPr>
      <w:r>
        <w:rPr>
          <w:rFonts w:ascii="Cambria" w:cs="Cambria" w:eastAsia="Cambria" w:hAnsi="Cambria"/>
          <w:b/>
          <w:bCs/>
          <w:color w:val="17365D"/>
          <w:sz w:val="20"/>
          <w:szCs w:val="20"/>
        </w:rPr>
        <w:t xml:space="preserve">D'Ambra meta-analysis</w:t>
      </w:r>
      <w:r>
        <w:rPr>
          <w:b/>
          <w:bCs/>
          <w:color w:val="176A87"/>
          <w:sz w:val="15"/>
          <w:szCs w:val="15"/>
        </w:rPr>
        <w:t xml:space="preserve">   Meta-analysis</w:t>
      </w:r>
      <w:r>
        <w:rPr>
          <w:color w:val="5A6069"/>
          <w:sz w:val="15"/>
          <w:szCs w:val="15"/>
        </w:rPr>
        <w:t xml:space="preserve">   PMID 39837137</w:t>
      </w:r>
    </w:p>
    <w:p>
      <w:pPr>
        <w:spacing w:after="50" w:line="276"/>
      </w:pPr>
      <w:r>
        <w:rPr>
          <w:color w:val="5A6069"/>
          <w:sz w:val="17"/>
          <w:szCs w:val="17"/>
        </w:rPr>
        <w:t xml:space="preserve">Stage IV pancreatic ductal adenocarcinoma (PDAC) with synchronous liver metastasis: are there survival benefits in liver resection? A systematic review and meta-analysis.</w:t>
      </w:r>
    </w:p>
    <w:p>
      <w:pPr>
        <w:spacing w:after="50"/>
      </w:pPr>
      <w:r>
        <w:rPr>
          <w:b/>
          <w:bCs/>
          <w:color w:val="176A87"/>
          <w:sz w:val="16"/>
          <w:szCs w:val="16"/>
        </w:rPr>
        <w:t xml:space="preserve">Population. </w:t>
      </w:r>
      <w:r>
        <w:rPr>
          <w:sz w:val="16"/>
          <w:szCs w:val="16"/>
        </w:rPr>
        <w:t xml:space="preserve">6 studies (7 comparisons; Yun et al. contributed two databases), 1348 patients: 667 (49.5%) surgical therapy, 681 (50.5%) non-surgical therapy</w:t>
      </w:r>
    </w:p>
    <w:p>
      <w:pPr>
        <w:spacing w:after="70"/>
      </w:pPr>
      <w:r>
        <w:rPr>
          <w:b/>
          <w:bCs/>
          <w:color w:val="17365D"/>
          <w:sz w:val="16"/>
          <w:szCs w:val="16"/>
        </w:rPr>
        <w:t xml:space="preserve">Bottom line. </w:t>
      </w:r>
      <w:r>
        <w:rPr>
          <w:sz w:val="16"/>
          <w:szCs w:val="16"/>
        </w:rPr>
        <w:t xml:space="preserve">This meta-analysis of six retrospective studies finds an apparent halving of mortality with pancreatic plus liver resection in oligometastatic PDAC (HR 0.41), then shows through meta-regression that 87% of the heterogeneity is explained by how much chemotherapy each arm received - the control arms mostly got gemcitabine alone - and that a benefit survives adjustment only when patients receive both pre- and post-operative multi-agent chemotherapy (HR 0.18), an estimate the authors themselves call mathematical rather than empirical, and which no included study corrected for immortal time bias.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included studies were retrospective; propensity matching in five can reduce but not eliminate bias, and matched on tumour characteristics but NOT consistently on chemotherapy regimen, with few studies accounting for first-line chemotherapy and even fewer reporting chemotherapy response or duration</w:t>
            </w:r>
          </w:p>
          <w:p>
            <w:pPr>
              <w:pStyle w:val="ListParagraph"/>
              <w:numPr>
                <w:ilvl w:val="0"/>
                <w:numId w:val="2"/>
              </w:numPr>
              <w:spacing w:after="45"/>
            </w:pPr>
            <w:r>
              <w:rPr>
                <w:sz w:val="15"/>
                <w:szCs w:val="15"/>
              </w:rPr>
              <w:t xml:space="preserve">Some key data were lacking and many data points were estimated by mathematical methods (the Parmar method applied to Kaplan-Meier curves)</w:t>
            </w:r>
          </w:p>
          <w:p>
            <w:pPr>
              <w:pStyle w:val="ListParagraph"/>
              <w:numPr>
                <w:ilvl w:val="0"/>
                <w:numId w:val="2"/>
              </w:numPr>
              <w:spacing w:after="45"/>
            </w:pPr>
            <w:r>
              <w:rPr>
                <w:sz w:val="15"/>
                <w:szCs w:val="15"/>
              </w:rPr>
              <w:t xml:space="preserve">Most included studies did not distinguish between types of chemotherapy</w:t>
            </w:r>
          </w:p>
          <w:p>
            <w:pPr>
              <w:pStyle w:val="ListParagraph"/>
              <w:numPr>
                <w:ilvl w:val="0"/>
                <w:numId w:val="2"/>
              </w:numPr>
              <w:spacing w:after="45"/>
            </w:pPr>
            <w:r>
              <w:rPr>
                <w:sz w:val="15"/>
                <w:szCs w:val="15"/>
              </w:rPr>
              <w:t xml:space="preserve">The power of the meta-regression may have been limited by missing data such as grading and CA 19-9 levels</w:t>
            </w:r>
          </w:p>
          <w:p>
            <w:pPr>
              <w:pStyle w:val="ListParagraph"/>
              <w:numPr>
                <w:ilvl w:val="0"/>
                <w:numId w:val="2"/>
              </w:numPr>
              <w:spacing w:after="45"/>
            </w:pPr>
            <w:r>
              <w:rPr>
                <w:sz w:val="15"/>
                <w:szCs w:val="15"/>
              </w:rPr>
              <w:t xml:space="preserve">Some studies were based on NCDB or SEER, which may have caused overlapping patient populations and data duplication</w:t>
            </w:r>
          </w:p>
          <w:p>
            <w:pPr>
              <w:pStyle w:val="ListParagraph"/>
              <w:numPr>
                <w:ilvl w:val="0"/>
                <w:numId w:val="2"/>
              </w:numPr>
              <w:spacing w:after="45"/>
            </w:pPr>
            <w:r>
              <w:rPr>
                <w:sz w:val="15"/>
                <w:szCs w:val="15"/>
              </w:rPr>
              <w:t xml:space="preserve">The non-surgical group was heterogeneous, including supportive care, palliative chemotherapy and multi-agent chemotherapy, with most receiving gemcitabine alone; most included studies also contained patients who did not receive 'curative' chemotherapy in the non-surgical group and the data could not be extracted</w:t>
            </w:r>
          </w:p>
          <w:p>
            <w:pPr>
              <w:pStyle w:val="ListParagraph"/>
              <w:numPr>
                <w:ilvl w:val="0"/>
                <w:numId w:val="2"/>
              </w:numPr>
              <w:spacing w:after="45"/>
            </w:pPr>
            <w:r>
              <w:rPr>
                <w:sz w:val="15"/>
                <w:szCs w:val="15"/>
              </w:rPr>
              <w:t xml:space="preserve">The authors state plainly that the adjusted HR 'remains an estimate based on mathematical calculations rather than direct evidence from real data', limiting definitive conclusions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THE CONTROL ARM DID NOT RECEIVE MODERN SYSTEMIC THERAPY, AND THE PAPER PROVES IT. Roughly half of non-surgical patients received gemcitabine monotherapy, versus multi-agent regimens in the surgical arm, and the control group also contained best-supportive-care and palliative-bypass patients. The unadjusted HR of 0.41 is substantially a comparison of modern chemotherapy plus surgery against gemcitabine or no treatment - which is the single most important thing a pathway citing this paper needs to know, and it is confined to the discussion</w:t>
            </w:r>
          </w:p>
          <w:p>
            <w:pPr>
              <w:pStyle w:val="ListParagraph"/>
              <w:numPr>
                <w:ilvl w:val="0"/>
                <w:numId w:val="2"/>
              </w:numPr>
              <w:spacing w:after="45"/>
            </w:pPr>
            <w:r>
              <w:rPr>
                <w:sz w:val="15"/>
                <w:szCs w:val="15"/>
              </w:rPr>
              <w:t xml:space="preserve">THE ADJUSTED ANALYSIS IS THE HONEST RESULT AND IT IS CONDITIONAL AND MODEL-BASED. HR 0.18 for the pre-plus-post-chemotherapy scenario comes from fitting a multivariable meta-regression to SEVEN comparisons and then extrapolating to covariate values not observed in the data. With 7 data points and 11 candidate covariates, the model is grossly overfitted; the authors' own caveat that this is mathematics rather than evidence should be read as the conclusion, not a footnote</w:t>
            </w:r>
          </w:p>
          <w:p>
            <w:pPr>
              <w:pStyle w:val="ListParagraph"/>
              <w:numPr>
                <w:ilvl w:val="0"/>
                <w:numId w:val="2"/>
              </w:numPr>
              <w:spacing w:after="45"/>
            </w:pPr>
            <w:r>
              <w:rPr>
                <w:sz w:val="15"/>
                <w:szCs w:val="15"/>
              </w:rPr>
              <w:t xml:space="preserve">SIX STUDIES, ALL RETROSPECTIVE, I2 OF 64.5% - AND HETEROGENEITY IN THE PROPORTION ESTIMATES REACHES 96-98%. A pooled HR from this evidence base has a prediction interval far wider than the reported confidence interval, which is never presented</w:t>
            </w:r>
          </w:p>
          <w:p>
            <w:pPr>
              <w:pStyle w:val="ListParagraph"/>
              <w:numPr>
                <w:ilvl w:val="0"/>
                <w:numId w:val="2"/>
              </w:numPr>
              <w:spacing w:after="45"/>
            </w:pPr>
            <w:r>
              <w:rPr>
                <w:sz w:val="15"/>
                <w:szCs w:val="15"/>
              </w:rPr>
              <w:t xml:space="preserve">NONE OF THE INCLUDED STUDIES APPLIED A LANDMARK ANALYSIS, so immortal time bias is inherited wholesale. Kaslow et al. showed that a 12-month landmark alone raises median survival in a liver-only metastatic cohort from 9 to 26 months without surgery. The meta-regression corrects for chemotherapy exposure but nothing in it corrects for the requirement to survive to the operating theatre</w:t>
            </w:r>
          </w:p>
          <w:p>
            <w:pPr>
              <w:pStyle w:val="ListParagraph"/>
              <w:numPr>
                <w:ilvl w:val="0"/>
                <w:numId w:val="2"/>
              </w:numPr>
              <w:spacing w:after="45"/>
            </w:pPr>
            <w:r>
              <w:rPr>
                <w:sz w:val="15"/>
                <w:szCs w:val="15"/>
              </w:rPr>
              <w:t xml:space="preserve">THREE STUDIES WERE EXCLUDED FOR BEING 'very low quality and very disproportionate' AFTER their data were found partially extractable - a post-hoc exclusion on grounds that overlap with the direction of effect, and 315 records were excluded for language alone</w:t>
            </w:r>
          </w:p>
          <w:p>
            <w:pPr>
              <w:pStyle w:val="ListParagraph"/>
              <w:numPr>
                <w:ilvl w:val="0"/>
                <w:numId w:val="2"/>
              </w:numPr>
              <w:spacing w:after="45"/>
            </w:pPr>
            <w:r>
              <w:rPr>
                <w:sz w:val="15"/>
                <w:szCs w:val="15"/>
              </w:rPr>
              <w:t xml:space="preserve">OVERLAPPING POPULATIONS ARE ACKNOWLEDGED BUT NOT HANDLED. Pausch (SEER, n=518) and the Yun NCDB dataset (n=378) together supply two thirds of the patients and both draw on US national registries covering overlapping years (2010-2016), so the same patients may be counted twice and the two largest 'studies' are registry analyses with no resectability data at all</w:t>
            </w:r>
          </w:p>
          <w:p>
            <w:pPr>
              <w:pStyle w:val="ListParagraph"/>
              <w:numPr>
                <w:ilvl w:val="0"/>
                <w:numId w:val="2"/>
              </w:numPr>
              <w:spacing w:after="45"/>
            </w:pPr>
            <w:r>
              <w:rPr>
                <w:sz w:val="15"/>
                <w:szCs w:val="15"/>
              </w:rPr>
              <w:t xml:space="preserve">THE SURGICAL ARM'S DISEASE WAS GENUINELY LESS ADVANCED: 91% versus 85% oligometastatic, and 99% of liver resections were wedge excisions, meaning the operated metastases were small and peripheral. Balancing on the PROPORTION oligometastatic cannot balance the burden within that category</w:t>
            </w:r>
          </w:p>
          <w:p>
            <w:pPr>
              <w:pStyle w:val="ListParagraph"/>
              <w:numPr>
                <w:ilvl w:val="0"/>
                <w:numId w:val="2"/>
              </w:numPr>
              <w:spacing w:after="45"/>
            </w:pPr>
            <w:r>
              <w:rPr>
                <w:sz w:val="15"/>
                <w:szCs w:val="15"/>
              </w:rPr>
              <w:t xml:space="preserve">OPERATIVE MORBIDITY OF 53% IS REPORTED AS ACCEPTABLE because major morbidity was only 4%, but a 53% overall complication rate and 2% 30-day mortality in patients whose alternative is chemotherapy is a real cost that the abstract omits entirely</w:t>
            </w:r>
          </w:p>
          <w:p>
            <w:pPr>
              <w:pStyle w:val="ListParagraph"/>
              <w:numPr>
                <w:ilvl w:val="0"/>
                <w:numId w:val="2"/>
              </w:numPr>
              <w:spacing w:after="45"/>
            </w:pPr>
            <w:r>
              <w:rPr>
                <w:sz w:val="15"/>
                <w:szCs w:val="15"/>
              </w:rPr>
              <w:t xml:space="preserve">THE DEFINITION OF OLIGOMETASTASIS DIFFERED ACROSS EVERY STUDY (not reported, Hellman's qualitative definition, 3 or fewer, 4 or fewer with minor resection), and in the two largest registry studies it was ASSUMED rather than measured - the authors note Pausch's oligometastatic status was inferred 'on the basis of single-center retrospective studies' because SEER does not record metastasis number</w:t>
            </w:r>
          </w:p>
          <w:p>
            <w:pPr>
              <w:pStyle w:val="ListParagraph"/>
              <w:numPr>
                <w:ilvl w:val="0"/>
                <w:numId w:val="2"/>
              </w:numPr>
              <w:spacing w:after="45"/>
            </w:pPr>
            <w:r>
              <w:rPr>
                <w:sz w:val="15"/>
                <w:szCs w:val="15"/>
              </w:rPr>
              <w:t xml:space="preserve">The paper's conclusion that surgery 'could play a role, but only in highly selected cases' receiving both pre- and post-operative multi-agent chemotherapy is defensible, but it is indistinguishable from the proposition that patients who tolerate four to six months of multi-agent chemotherapy and remain fit for major surgery have favourable biology - which requires no surgical effect at all</w:t>
            </w:r>
          </w:p>
        </w:tc>
      </w:tr>
    </w:tbl>
    <w:p>
      <w:pPr>
        <w:spacing w:after="0" w:line="276"/>
      </w:pPr>
      <w:r>
        <w:rPr>
          <w:color w:val="5A6069"/>
          <w:sz w:val="14"/>
          <w:szCs w:val="14"/>
        </w:rPr>
        <w:t xml:space="preserve">Funding: No funding is stated. All authors declare no conflicts of interest. Open access under CC BY.</w:t>
      </w:r>
    </w:p>
    <w:p>
      <w:pPr>
        <w:keepNext/>
        <w:spacing w:after="50" w:before="260"/>
      </w:pPr>
      <w:r>
        <w:rPr>
          <w:rFonts w:ascii="Cambria" w:cs="Cambria" w:eastAsia="Cambria" w:hAnsi="Cambria"/>
          <w:b/>
          <w:bCs/>
          <w:color w:val="17365D"/>
          <w:sz w:val="20"/>
          <w:szCs w:val="20"/>
        </w:rPr>
        <w:t xml:space="preserve">Daraxonrasib phase 1–2</w:t>
      </w:r>
      <w:r>
        <w:rPr>
          <w:b/>
          <w:bCs/>
          <w:color w:val="176A87"/>
          <w:sz w:val="15"/>
          <w:szCs w:val="15"/>
        </w:rPr>
        <w:t xml:space="preserve">   Prospective cohort</w:t>
      </w:r>
      <w:r>
        <w:rPr>
          <w:color w:val="5A6069"/>
          <w:sz w:val="15"/>
          <w:szCs w:val="15"/>
        </w:rPr>
        <w:t xml:space="preserve">   PMID 42090791</w:t>
      </w:r>
    </w:p>
    <w:p>
      <w:pPr>
        <w:spacing w:after="50" w:line="276"/>
      </w:pPr>
      <w:r>
        <w:rPr>
          <w:color w:val="5A6069"/>
          <w:sz w:val="17"/>
          <w:szCs w:val="17"/>
        </w:rPr>
        <w:t xml:space="preserve">Daraxonrasib in Previously Treated RAS-Mutated Pancreatic Ductal Adenocarcinoma.</w:t>
      </w:r>
    </w:p>
    <w:p>
      <w:pPr>
        <w:spacing w:after="50"/>
      </w:pPr>
      <w:r>
        <w:rPr>
          <w:b/>
          <w:bCs/>
          <w:color w:val="176A87"/>
          <w:sz w:val="16"/>
          <w:szCs w:val="16"/>
        </w:rPr>
        <w:t xml:space="preserve">Population. </w:t>
      </w:r>
      <w:r>
        <w:rPr>
          <w:sz w:val="16"/>
          <w:szCs w:val="16"/>
        </w:rPr>
        <w:t xml:space="preserve">168 patients with RAS-mutated PDAC treated at 300 mg or less as second-line or later therapy (83 at 300 mg); RAS G12 second-line 300-mg subgroup n = 26 of 38 any-RAS</w:t>
      </w:r>
    </w:p>
    <w:p>
      <w:pPr>
        <w:spacing w:after="70"/>
      </w:pPr>
      <w:r>
        <w:rPr>
          <w:b/>
          <w:bCs/>
          <w:color w:val="17365D"/>
          <w:sz w:val="16"/>
          <w:szCs w:val="16"/>
        </w:rPr>
        <w:t xml:space="preserve">Bottom line. </w:t>
      </w:r>
      <w:r>
        <w:rPr>
          <w:sz w:val="16"/>
          <w:szCs w:val="16"/>
        </w:rPr>
        <w:t xml:space="preserve">A dose-finding study whose stated primary purpose was safety, establishing that daraxonrasib is tolerable at 300 mg with 30% treatment-related grade 3+ toxicity and showing a 35% response rate in a 26-patient post hoc subgroup — hypothesis-generating support for the randomised trial, not evidence of benefit.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As a phase 1-2 study the results should be interpreted with caution</w:t>
            </w:r>
          </w:p>
          <w:p>
            <w:pPr>
              <w:pStyle w:val="ListParagraph"/>
              <w:numPr>
                <w:ilvl w:val="0"/>
                <w:numId w:val="2"/>
              </w:numPr>
              <w:spacing w:after="45"/>
            </w:pPr>
            <w:r>
              <w:rPr>
                <w:sz w:val="15"/>
                <w:szCs w:val="15"/>
              </w:rPr>
              <w:t xml:space="preserve">Small subgroup sample sizes restrict the precision of antitumour-activity estimates and their interpretation by allele or co-mutation status</w:t>
            </w:r>
          </w:p>
          <w:p>
            <w:pPr>
              <w:pStyle w:val="ListParagraph"/>
              <w:numPr>
                <w:ilvl w:val="0"/>
                <w:numId w:val="2"/>
              </w:numPr>
              <w:spacing w:after="45"/>
            </w:pPr>
            <w:r>
              <w:rPr>
                <w:sz w:val="15"/>
                <w:szCs w:val="15"/>
              </w:rPr>
              <w:t xml:space="preserve">The single-group design precludes definitive comparison with standard treatment regimens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numbers most likely to be quoted (ORR 35%, PFS 8.5 months, OS 13.1 months) come from a subgroup of 26 patients defined by three simultaneous post hoc filters — RAS G12 allele, 300-mg dose, and exactly second line — selected from 168 treated patients after the data were seen; the confidence interval on response alone spans 17-56%</w:t>
            </w:r>
          </w:p>
          <w:p>
            <w:pPr>
              <w:pStyle w:val="ListParagraph"/>
              <w:numPr>
                <w:ilvl w:val="0"/>
                <w:numId w:val="2"/>
              </w:numPr>
              <w:spacing w:after="45"/>
            </w:pPr>
            <w:r>
              <w:rPr>
                <w:sz w:val="15"/>
                <w:szCs w:val="15"/>
              </w:rPr>
              <w:t xml:space="preserve">Response rates are reported as 'generally higher at 300 mg than at lower doses and in earlier rather than later lines', and 160-220 mg doses were pooled after the fact for 'substantial overlap in exposures'; dose groupings were therefore not fixed in advance</w:t>
            </w:r>
          </w:p>
          <w:p>
            <w:pPr>
              <w:pStyle w:val="ListParagraph"/>
              <w:numPr>
                <w:ilvl w:val="0"/>
                <w:numId w:val="2"/>
              </w:numPr>
              <w:spacing w:after="45"/>
            </w:pPr>
            <w:r>
              <w:rPr>
                <w:sz w:val="15"/>
                <w:szCs w:val="15"/>
              </w:rPr>
              <w:t xml:space="preserve">A reported 6-month overall survival of 100% (95% CI 100-100) in this subgroup is a sign of how selected it is: patients had to survive long enough on a tolerated dose at the right line to enter it, which is immortal-time selection rather than a treatment effect</w:t>
            </w:r>
          </w:p>
          <w:p>
            <w:pPr>
              <w:pStyle w:val="ListParagraph"/>
              <w:numPr>
                <w:ilvl w:val="0"/>
                <w:numId w:val="2"/>
              </w:numPr>
              <w:spacing w:after="45"/>
            </w:pPr>
            <w:r>
              <w:rPr>
                <w:sz w:val="15"/>
                <w:szCs w:val="15"/>
              </w:rPr>
              <w:t xml:space="preserve">Three exploratory 300-mg cohorts were removed from the report for 'differing end points or eligibility criteria', including the untreated-PDAC and RAS wild-type cohorts; the reader cannot see what those patients experienced</w:t>
            </w:r>
          </w:p>
          <w:p>
            <w:pPr>
              <w:pStyle w:val="ListParagraph"/>
              <w:numPr>
                <w:ilvl w:val="0"/>
                <w:numId w:val="2"/>
              </w:numPr>
              <w:spacing w:after="45"/>
            </w:pPr>
            <w:r>
              <w:rPr>
                <w:sz w:val="15"/>
                <w:szCs w:val="15"/>
              </w:rPr>
              <w:t xml:space="preserve">Grade 3 or higher adverse events of any cause occurred in 65% of patients and 48% of the 300-mg group needed dose modification, yet the discussion characterises the profile as 'mainly low-grade adverse events' on the strength of the treatment-attributed 30% figure, an attribution made by unblinded investigators</w:t>
            </w:r>
          </w:p>
          <w:p>
            <w:pPr>
              <w:pStyle w:val="ListParagraph"/>
              <w:numPr>
                <w:ilvl w:val="0"/>
                <w:numId w:val="2"/>
              </w:numPr>
              <w:spacing w:after="45"/>
            </w:pPr>
            <w:r>
              <w:rPr>
                <w:sz w:val="15"/>
                <w:szCs w:val="15"/>
              </w:rPr>
              <w:t xml:space="preserve">Revolution Medicines supported the study and provided medical writing through Nucleus Global; the paper's conclusion is framed as support for the sponsor's own phase 3 trial (RASolute 302), which is reported separately in this depot</w:t>
            </w:r>
          </w:p>
          <w:p>
            <w:pPr>
              <w:pStyle w:val="ListParagraph"/>
              <w:numPr>
                <w:ilvl w:val="0"/>
                <w:numId w:val="2"/>
              </w:numPr>
              <w:spacing w:after="45"/>
            </w:pPr>
            <w:r>
              <w:rPr>
                <w:sz w:val="15"/>
                <w:szCs w:val="15"/>
              </w:rPr>
              <w:t xml:space="preserve">Because no formal hypothesis was tested, there is no threshold the trial could have failed, and the safety primary endpoint has no prespecified acceptability bound either</w:t>
            </w:r>
          </w:p>
        </w:tc>
      </w:tr>
    </w:tbl>
    <w:p>
      <w:pPr>
        <w:spacing w:after="0" w:line="276"/>
      </w:pPr>
      <w:r>
        <w:rPr>
          <w:color w:val="5A6069"/>
          <w:sz w:val="14"/>
          <w:szCs w:val="14"/>
        </w:rPr>
        <w:t xml:space="preserve">Funding: Revolution Medicines; medical writing by Nucleus Global, an Inizio Company</w:t>
      </w:r>
    </w:p>
    <w:p>
      <w:pPr>
        <w:keepNext/>
        <w:spacing w:after="50" w:before="260"/>
      </w:pPr>
      <w:r>
        <w:rPr>
          <w:rFonts w:ascii="Cambria" w:cs="Cambria" w:eastAsia="Cambria" w:hAnsi="Cambria"/>
          <w:b/>
          <w:bCs/>
          <w:color w:val="17365D"/>
          <w:sz w:val="20"/>
          <w:szCs w:val="20"/>
        </w:rPr>
        <w:t xml:space="preserve">eNRGy zenocutuzumab</w:t>
      </w:r>
      <w:r>
        <w:rPr>
          <w:b/>
          <w:bCs/>
          <w:color w:val="176A87"/>
          <w:sz w:val="15"/>
          <w:szCs w:val="15"/>
        </w:rPr>
        <w:t xml:space="preserve">   Prospective cohort</w:t>
      </w:r>
      <w:r>
        <w:rPr>
          <w:color w:val="5A6069"/>
          <w:sz w:val="15"/>
          <w:szCs w:val="15"/>
        </w:rPr>
        <w:t xml:space="preserve">   PMID 39908431</w:t>
      </w:r>
    </w:p>
    <w:p>
      <w:pPr>
        <w:spacing w:after="50" w:line="276"/>
      </w:pPr>
      <w:r>
        <w:rPr>
          <w:color w:val="5A6069"/>
          <w:sz w:val="17"/>
          <w:szCs w:val="17"/>
        </w:rPr>
        <w:t xml:space="preserve">Zenocutuzumab in NRG1 Fusion-Positive Cancer.</w:t>
      </w:r>
    </w:p>
    <w:p>
      <w:pPr>
        <w:spacing w:after="50"/>
      </w:pPr>
      <w:r>
        <w:rPr>
          <w:b/>
          <w:bCs/>
          <w:color w:val="176A87"/>
          <w:sz w:val="16"/>
          <w:szCs w:val="16"/>
        </w:rPr>
        <w:t xml:space="preserve">Population. </w:t>
      </w:r>
      <w:r>
        <w:rPr>
          <w:sz w:val="16"/>
          <w:szCs w:val="16"/>
        </w:rPr>
        <w:t xml:space="preserve">204 patients treated at 750 mg every 2 weeks; 158 in the primary efficacy population with measurable disease; 36 with pancreatic cancer</w:t>
      </w:r>
    </w:p>
    <w:p>
      <w:pPr>
        <w:spacing w:after="70"/>
      </w:pPr>
      <w:r>
        <w:rPr>
          <w:b/>
          <w:bCs/>
          <w:color w:val="17365D"/>
          <w:sz w:val="16"/>
          <w:szCs w:val="16"/>
        </w:rPr>
        <w:t xml:space="preserve">Bottom line. </w:t>
      </w:r>
      <w:r>
        <w:rPr>
          <w:sz w:val="16"/>
          <w:szCs w:val="16"/>
        </w:rPr>
        <w:t xml:space="preserve">Validates NRG1 fusions as a drug target, with a 42% investigator-assessed response rate in 36 KRAS wild-type pancreatic patients, but provides no survival data for that subgroup, no control arm and no screening denominator, so it supports RNA-based fusion testing in KRAS wild-type PDAC rather than a quantified survival benefit.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Enrolment was substantially higher for NSCLC and pancreatic cancer than for other tumour types, so additional data are needed to clarify the effect of histologic type on efficacy</w:t>
            </w:r>
          </w:p>
          <w:p>
            <w:pPr>
              <w:pStyle w:val="ListParagraph"/>
              <w:numPr>
                <w:ilvl w:val="0"/>
                <w:numId w:val="2"/>
              </w:numPr>
              <w:spacing w:after="45"/>
            </w:pPr>
            <w:r>
              <w:rPr>
                <w:sz w:val="15"/>
                <w:szCs w:val="15"/>
              </w:rPr>
              <w:t xml:space="preserve">The study population was predominantly White (54%) and Asian (33%), with Black participants (3%) under-represented</w:t>
            </w:r>
          </w:p>
          <w:p>
            <w:pPr>
              <w:pStyle w:val="ListParagraph"/>
              <w:numPr>
                <w:ilvl w:val="0"/>
                <w:numId w:val="2"/>
              </w:numPr>
              <w:spacing w:after="45"/>
            </w:pPr>
            <w:r>
              <w:rPr>
                <w:sz w:val="15"/>
                <w:szCs w:val="15"/>
              </w:rPr>
              <w:t xml:space="preserve">NRG1 rearrangements are often missed by DNA-based sequencing because NRG1's large introns are not covered by standard panels; RNA-based sequencing, used predominantly here, is needed to find them</w:t>
            </w:r>
          </w:p>
          <w:p>
            <w:pPr>
              <w:pStyle w:val="ListParagraph"/>
              <w:numPr>
                <w:ilvl w:val="0"/>
                <w:numId w:val="2"/>
              </w:numPr>
              <w:spacing w:after="45"/>
            </w:pPr>
            <w:r>
              <w:rPr>
                <w:sz w:val="15"/>
                <w:szCs w:val="15"/>
              </w:rPr>
              <w:t xml:space="preserve">Comparison with outcomes on standard therapy is made against external literature, and the authors note that the apparent benefit of standard therapy in NRG1 fusion-positive NSCLC may itself be overestimated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There is no stated limitations paragraph as such; the caveats above are scattered through the discussion, and the single-group design is never named as a limitation even though every efficacy claim is uncontrolled</w:t>
            </w:r>
          </w:p>
          <w:p>
            <w:pPr>
              <w:pStyle w:val="ListParagraph"/>
              <w:numPr>
                <w:ilvl w:val="0"/>
                <w:numId w:val="2"/>
              </w:numPr>
              <w:spacing w:after="45"/>
            </w:pPr>
            <w:r>
              <w:rPr>
                <w:sz w:val="15"/>
                <w:szCs w:val="15"/>
              </w:rPr>
              <w:t xml:space="preserve">The primary endpoint is investigator-assessed response in an open-label trial, with blinded central review relegated to a secondary endpoint — the weaker assessment carries the primary claim, and the two differ by tumour type</w:t>
            </w:r>
          </w:p>
          <w:p>
            <w:pPr>
              <w:pStyle w:val="ListParagraph"/>
              <w:numPr>
                <w:ilvl w:val="0"/>
                <w:numId w:val="2"/>
              </w:numPr>
              <w:spacing w:after="45"/>
            </w:pPr>
            <w:r>
              <w:rPr>
                <w:sz w:val="15"/>
                <w:szCs w:val="15"/>
              </w:rPr>
              <w:t xml:space="preserve">The primary efficacy population is a post-enrolment construct: it requires a functionally predicted fusion, at least 24 weeks of follow-up before data cutoff, absence of other oncogenic alterations and no prior anti-HER3 exposure. 204 treated patients become 158 evaluable, and patients excluded for short follow-up are disproportionately early progressors</w:t>
            </w:r>
          </w:p>
          <w:p>
            <w:pPr>
              <w:pStyle w:val="ListParagraph"/>
              <w:numPr>
                <w:ilvl w:val="0"/>
                <w:numId w:val="2"/>
              </w:numPr>
              <w:spacing w:after="45"/>
            </w:pPr>
            <w:r>
              <w:rPr>
                <w:sz w:val="15"/>
                <w:szCs w:val="15"/>
              </w:rPr>
              <w:t xml:space="preserve">The pancreatic result is a prespecified subgroup of 36 patients within a basket trial whose sample size was justified only for the pooled estimate; the 95% CI of 25-59% is too wide to distinguish a major advance from a modest one</w:t>
            </w:r>
          </w:p>
          <w:p>
            <w:pPr>
              <w:pStyle w:val="ListParagraph"/>
              <w:numPr>
                <w:ilvl w:val="0"/>
                <w:numId w:val="2"/>
              </w:numPr>
              <w:spacing w:after="45"/>
            </w:pPr>
            <w:r>
              <w:rPr>
                <w:sz w:val="15"/>
                <w:szCs w:val="15"/>
              </w:rPr>
              <w:t xml:space="preserve">All 36 pancreatic patients were KRAS wild-type — a group that is perhaps 8-10% of PDAC and has a different natural history from KRAS-mutant disease. Since NRG1 fusions occur in well under 1% of PDAC, this is a very small slice of the disease and the paper gives no screening denominator</w:t>
            </w:r>
          </w:p>
          <w:p>
            <w:pPr>
              <w:pStyle w:val="ListParagraph"/>
              <w:numPr>
                <w:ilvl w:val="0"/>
                <w:numId w:val="2"/>
              </w:numPr>
              <w:spacing w:after="45"/>
            </w:pPr>
            <w:r>
              <w:rPr>
                <w:sz w:val="15"/>
                <w:szCs w:val="15"/>
              </w:rPr>
              <w:t xml:space="preserve">No progression-free or overall survival is reported for the pancreatic subgroup in the main text, only response and duration of response; a pathway cannot derive a survival claim from this paper</w:t>
            </w:r>
          </w:p>
          <w:p>
            <w:pPr>
              <w:pStyle w:val="ListParagraph"/>
              <w:numPr>
                <w:ilvl w:val="0"/>
                <w:numId w:val="2"/>
              </w:numPr>
              <w:spacing w:after="45"/>
            </w:pPr>
            <w:r>
              <w:rPr>
                <w:sz w:val="15"/>
                <w:szCs w:val="15"/>
              </w:rPr>
              <w:t xml:space="preserve">Nine fatal adverse events (4%) in 204 patients are reported as not treatment-related on investigator attribution alone, in an unblinded trial</w:t>
            </w:r>
          </w:p>
          <w:p>
            <w:pPr>
              <w:pStyle w:val="ListParagraph"/>
              <w:numPr>
                <w:ilvl w:val="0"/>
                <w:numId w:val="2"/>
              </w:numPr>
              <w:spacing w:after="45"/>
            </w:pPr>
            <w:r>
              <w:rPr>
                <w:sz w:val="15"/>
                <w:szCs w:val="15"/>
              </w:rPr>
              <w:t xml:space="preserve">Merus designed the trial, sponsor-employed statisticians analysed the data, and the sponsor together with the first and last authors drafted the manuscript with sponsor-funded medical writing across multiple drafts</w:t>
            </w:r>
          </w:p>
        </w:tc>
      </w:tr>
    </w:tbl>
    <w:p>
      <w:pPr>
        <w:spacing w:after="0" w:line="276"/>
      </w:pPr>
      <w:r>
        <w:rPr>
          <w:color w:val="5A6069"/>
          <w:sz w:val="14"/>
          <w:szCs w:val="14"/>
        </w:rPr>
        <w:t xml:space="preserve">Funding: Merus (eNRGy, NCT02912949); sponsor-employed statisticians performed the analyses and sponsor-funded medical writing assistance was provided</w:t>
      </w:r>
    </w:p>
    <w:p>
      <w:pPr>
        <w:keepNext/>
        <w:spacing w:after="50" w:before="260"/>
      </w:pPr>
      <w:r>
        <w:rPr>
          <w:rFonts w:ascii="Cambria" w:cs="Cambria" w:eastAsia="Cambria" w:hAnsi="Cambria"/>
          <w:b/>
          <w:bCs/>
          <w:color w:val="17365D"/>
          <w:sz w:val="20"/>
          <w:szCs w:val="20"/>
        </w:rPr>
        <w:t xml:space="preserve">ESMO 2023 pancreatic</w:t>
      </w:r>
      <w:r>
        <w:rPr>
          <w:b/>
          <w:bCs/>
          <w:color w:val="176A87"/>
          <w:sz w:val="15"/>
          <w:szCs w:val="15"/>
        </w:rPr>
        <w:t xml:space="preserve">   Guideline</w:t>
      </w:r>
      <w:r>
        <w:rPr>
          <w:color w:val="5A6069"/>
          <w:sz w:val="15"/>
          <w:szCs w:val="15"/>
        </w:rPr>
        <w:t xml:space="preserve">   PMID 37678671</w:t>
      </w:r>
    </w:p>
    <w:p>
      <w:pPr>
        <w:spacing w:after="50" w:line="276"/>
      </w:pPr>
      <w:r>
        <w:rPr>
          <w:color w:val="5A6069"/>
          <w:sz w:val="17"/>
          <w:szCs w:val="17"/>
        </w:rPr>
        <w:t xml:space="preserve">Pancreatic cancer: ESMO Clinical Practice Guideline for diagnosis, treatment and follow-up.</w:t>
      </w:r>
    </w:p>
    <w:p>
      <w:pPr>
        <w:spacing w:after="70"/>
      </w:pPr>
      <w:r>
        <w:rPr>
          <w:b/>
          <w:bCs/>
          <w:color w:val="17365D"/>
          <w:sz w:val="16"/>
          <w:szCs w:val="16"/>
        </w:rPr>
        <w:t xml:space="preserve">Bottom line. </w:t>
      </w:r>
      <w:r>
        <w:rPr>
          <w:sz w:val="16"/>
          <w:szCs w:val="16"/>
        </w:rPr>
        <w:t xml:space="preserve">The authoritative European statement as of September 2023, and the single most important document in this depot for a pathway because it recommends against neoadjuvant therapy in resectable disease at grade II, E while supporting induction therapy for borderline resectable disease on weaker evidence — but it has no described literature search, substantial undisclosed-in-text conflicts across its panel, and predates the 2025 trials and meta-analyses.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section. The guideline does state several evidence gaps in the body: limited high-level evidence supports neoadjuvant therapy; only a small number of well-powered randomised trials of neoadjuvant versus upfront surgery plus adjuvant therapy have been completed in selected patients; literature-based meta-analyses report conflicting data on R0 rate and survival; optimal adjuvant therapy after induction for borderline resectable disease is unclear in both type and duration; no randomised data inform second-line selection after a fluoropyrimidine first line; and the panel failed to reach consensus on second-line oxaliplatin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Literature was 'selected by the authors' with no search strategy, no date limits, no screening flow and no second reviewer; a guideline that grades individual recommendations by level of evidence rests on an ungraded, unauditable evidence-identification step</w:t>
            </w:r>
          </w:p>
          <w:p>
            <w:pPr>
              <w:pStyle w:val="ListParagraph"/>
              <w:numPr>
                <w:ilvl w:val="0"/>
                <w:numId w:val="2"/>
              </w:numPr>
              <w:spacing w:after="45"/>
            </w:pPr>
            <w:r>
              <w:rPr>
                <w:sz w:val="15"/>
                <w:szCs w:val="15"/>
              </w:rPr>
              <w:t xml:space="preserve">Statements the panel considered 'justified standard clinical practice' are published without any grading at all, so the reader cannot tell which recommendations carry no evidence behind them</w:t>
            </w:r>
          </w:p>
          <w:p>
            <w:pPr>
              <w:pStyle w:val="ListParagraph"/>
              <w:numPr>
                <w:ilvl w:val="0"/>
                <w:numId w:val="2"/>
              </w:numPr>
              <w:spacing w:after="45"/>
            </w:pPr>
            <w:r>
              <w:rPr>
                <w:sz w:val="15"/>
                <w:szCs w:val="15"/>
              </w:rPr>
              <w:t xml:space="preserve">The grade II, E recommendation against neoadjuvant therapy in resectable disease predates PREOPANC-2, NORPACT-1 and the 2025 meta-analyses in this depot; the guideline is the most authoritative statement here but it is a 2023 snapshot, and a pathway page citing it as current needs to say what has appeared since</w:t>
            </w:r>
          </w:p>
          <w:p>
            <w:pPr>
              <w:pStyle w:val="ListParagraph"/>
              <w:numPr>
                <w:ilvl w:val="0"/>
                <w:numId w:val="2"/>
              </w:numPr>
              <w:spacing w:after="45"/>
            </w:pPr>
            <w:r>
              <w:rPr>
                <w:sz w:val="15"/>
                <w:szCs w:val="15"/>
              </w:rPr>
              <w:t xml:space="preserve">The borderline resectable recommendation rests on a five-study meta-analysis (HR 0.61) and on PREOPANC-1's 113-patient borderline subgroup — a subgroup of a trial whose overall primary endpoint was negative. The guideline does not say that, and the asymmetry between the firm adjuvant grades [I, A] and the hedged 'seems promising' language for induction is not explained to the reader in those terms</w:t>
            </w:r>
          </w:p>
          <w:p>
            <w:pPr>
              <w:pStyle w:val="ListParagraph"/>
              <w:numPr>
                <w:ilvl w:val="0"/>
                <w:numId w:val="2"/>
              </w:numPr>
              <w:spacing w:after="45"/>
            </w:pPr>
            <w:r>
              <w:rPr>
                <w:sz w:val="15"/>
                <w:szCs w:val="15"/>
              </w:rPr>
              <w:t xml:space="preserve">The panel's own failure to reach consensus on second-line oxaliplatin is reported in the text but does not appear as a graded recommendation, so a reader scanning the recommendation boxes will not see that the panel was split</w:t>
            </w:r>
          </w:p>
          <w:p>
            <w:pPr>
              <w:pStyle w:val="ListParagraph"/>
              <w:numPr>
                <w:ilvl w:val="0"/>
                <w:numId w:val="2"/>
              </w:numPr>
              <w:spacing w:after="45"/>
            </w:pPr>
            <w:r>
              <w:rPr>
                <w:sz w:val="15"/>
                <w:szCs w:val="15"/>
              </w:rPr>
              <w:t xml:space="preserve">No external funding was received and production costs were met by ESMO, but the disclosure list for the 14 authors runs to dozens of institutional and personal relationships with the manufacturers of the drugs being recommended (Amgen, AstraZeneca, BMS, Celgene, Merck, MSD, Pfizer, Servier and others); the guideline does not state how conflicts were managed in voting or whether conflicted authors abstained on specific recommendations</w:t>
            </w:r>
          </w:p>
          <w:p>
            <w:pPr>
              <w:pStyle w:val="ListParagraph"/>
              <w:numPr>
                <w:ilvl w:val="0"/>
                <w:numId w:val="2"/>
              </w:numPr>
              <w:spacing w:after="45"/>
            </w:pPr>
            <w:r>
              <w:rPr>
                <w:sz w:val="15"/>
                <w:szCs w:val="15"/>
              </w:rPr>
              <w:t xml:space="preserve">Much of the substance — incidence, risk-factor relative risks, adjuvant trial tables, resectable- and advanced-disease detail, the levels-of-evidence key, the MCBS and ESCAT tables — sits in supplementary material not present in this extraction, so the recommendation set can be verified here but the evidence tables behind it cannot</w:t>
            </w:r>
          </w:p>
          <w:p>
            <w:pPr>
              <w:pStyle w:val="ListParagraph"/>
              <w:numPr>
                <w:ilvl w:val="0"/>
                <w:numId w:val="2"/>
              </w:numPr>
              <w:spacing w:after="45"/>
            </w:pPr>
            <w:r>
              <w:rPr>
                <w:sz w:val="15"/>
                <w:szCs w:val="15"/>
              </w:rPr>
              <w:t xml:space="preserve">Medical writing and editing were provided by a commercial agency (Kstorfin Medical Communications) funded by ESMO, which is disclosed but means the final wording was not written solely by the panel</w:t>
            </w:r>
          </w:p>
        </w:tc>
      </w:tr>
    </w:tbl>
    <w:p>
      <w:pPr>
        <w:spacing w:after="0" w:line="276"/>
      </w:pPr>
      <w:r>
        <w:rPr>
          <w:color w:val="5A6069"/>
          <w:sz w:val="14"/>
          <w:szCs w:val="14"/>
        </w:rPr>
        <w:t xml:space="preserve">Funding: No external funding; production costs covered by ESMO from central funds. Manuscript editing by ESMO Guidelines staff and Angela Corstorphine of Kstorfin Medical Communications Ltd, funded by ESMO</w:t>
      </w:r>
    </w:p>
    <w:p>
      <w:pPr>
        <w:keepNext/>
        <w:spacing w:after="50" w:before="260"/>
      </w:pPr>
      <w:r>
        <w:rPr>
          <w:rFonts w:ascii="Cambria" w:cs="Cambria" w:eastAsia="Cambria" w:hAnsi="Cambria"/>
          <w:b/>
          <w:bCs/>
          <w:color w:val="17365D"/>
          <w:sz w:val="20"/>
          <w:szCs w:val="20"/>
        </w:rPr>
        <w:t xml:space="preserve">ESPAC-4</w:t>
      </w:r>
      <w:r>
        <w:rPr>
          <w:b/>
          <w:bCs/>
          <w:color w:val="176A87"/>
          <w:sz w:val="15"/>
          <w:szCs w:val="15"/>
        </w:rPr>
        <w:t xml:space="preserve">   Randomised trial</w:t>
      </w:r>
      <w:r>
        <w:rPr>
          <w:color w:val="5A6069"/>
          <w:sz w:val="15"/>
          <w:szCs w:val="15"/>
        </w:rPr>
        <w:t xml:space="preserve">   PMID 28129987</w:t>
      </w:r>
    </w:p>
    <w:p>
      <w:pPr>
        <w:spacing w:after="50" w:line="276"/>
      </w:pPr>
      <w:r>
        <w:rPr>
          <w:color w:val="5A6069"/>
          <w:sz w:val="17"/>
          <w:szCs w:val="17"/>
        </w:rPr>
        <w:t xml:space="preserve">Comparison of adjuvant gemcitabine and capecitabine with gemcitabine monotherapy in patients with resected pancreatic cancer (ESPAC-4): a multicentre, open-label, randomised, phase 3 trial.</w:t>
      </w:r>
    </w:p>
    <w:p>
      <w:pPr>
        <w:spacing w:after="50"/>
      </w:pPr>
      <w:r>
        <w:rPr>
          <w:b/>
          <w:bCs/>
          <w:color w:val="176A87"/>
          <w:sz w:val="16"/>
          <w:szCs w:val="16"/>
        </w:rPr>
        <w:t xml:space="preserve">Population. </w:t>
      </w:r>
      <w:r>
        <w:rPr>
          <w:sz w:val="16"/>
          <w:szCs w:val="16"/>
        </w:rPr>
        <w:t xml:space="preserve">732 randomised, 730 analysed (366 gemcitabine, 364 gemcitabine plus capecitabine); 458 deaths (95% of the 480-death target)</w:t>
      </w:r>
    </w:p>
    <w:p>
      <w:pPr>
        <w:spacing w:after="70"/>
      </w:pPr>
      <w:r>
        <w:rPr>
          <w:b/>
          <w:bCs/>
          <w:color w:val="17365D"/>
          <w:sz w:val="16"/>
          <w:szCs w:val="16"/>
        </w:rPr>
        <w:t xml:space="preserve">Bottom line. </w:t>
      </w:r>
      <w:r>
        <w:rPr>
          <w:sz w:val="16"/>
          <w:szCs w:val="16"/>
        </w:rPr>
        <w:t xml:space="preserve">ESPAC-4 established adjuvant gemcitabine plus capecitabine over gemcitabine alone in an unusually unselected resected population (median OS 28.0 vs 25.5 months, HR 0.82; estimated 5-year 28.8% vs 16.3%), but the relapse-free survival endpoint was negative, the benefit is concentrated in R0 patients, the trial was stopped early for benefit, and its winner has since been displaced by adjuvant mFOLFIRINOX in fit patients.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paper carries no separate limitations section; the authors frame the pragmatic design (WHO 0-2, R1 margins, no CA19-9 ceiling) as a strength rather than discussing its downsides</w:t>
            </w:r>
          </w:p>
          <w:p>
            <w:pPr>
              <w:pStyle w:val="ListParagraph"/>
              <w:numPr>
                <w:ilvl w:val="0"/>
                <w:numId w:val="2"/>
              </w:numPr>
              <w:spacing w:after="45"/>
            </w:pPr>
            <w:r>
              <w:rPr>
                <w:sz w:val="15"/>
                <w:szCs w:val="15"/>
              </w:rPr>
              <w:t xml:space="preserve">The authors acknowledge that comparison with CONKO-001's better-looking gemcitabine survival must be read in the light of CONKO-001's CA19-9 ceiling, and that ESPAC-1's factorial design produced uncontrollable confounding</w:t>
            </w:r>
          </w:p>
          <w:p>
            <w:pPr>
              <w:pStyle w:val="ListParagraph"/>
              <w:numPr>
                <w:ilvl w:val="0"/>
                <w:numId w:val="2"/>
              </w:numPr>
              <w:spacing w:after="45"/>
            </w:pPr>
            <w:r>
              <w:rPr>
                <w:sz w:val="15"/>
                <w:szCs w:val="15"/>
              </w:rPr>
              <w:t xml:space="preserve">The authors note scepticism about the efficacy of the 5-fluorouracil and folinic acid regimens used in earlier ESPAC trials</w:t>
            </w:r>
          </w:p>
          <w:p>
            <w:pPr>
              <w:pStyle w:val="ListParagraph"/>
              <w:numPr>
                <w:ilvl w:val="0"/>
                <w:numId w:val="2"/>
              </w:numPr>
              <w:spacing w:after="45"/>
            </w:pPr>
            <w:r>
              <w:rPr>
                <w:sz w:val="15"/>
                <w:szCs w:val="15"/>
              </w:rPr>
              <w:t xml:space="preserve">Follow-up method (haematology, biochemistry, tumour marker use) was determined by each site because of wide variation in routine practice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has no limitations section at all, so almost everything below is unstated</w:t>
            </w:r>
          </w:p>
          <w:p>
            <w:pPr>
              <w:pStyle w:val="ListParagraph"/>
              <w:numPr>
                <w:ilvl w:val="0"/>
                <w:numId w:val="2"/>
              </w:numPr>
              <w:spacing w:after="45"/>
            </w:pPr>
            <w:r>
              <w:rPr>
                <w:sz w:val="15"/>
                <w:szCs w:val="15"/>
              </w:rPr>
              <w:t xml:space="preserve">COMPARATOR: adjuvant gemcitabine monotherapy, the then standard. This was a fair comparator in 2008-2014 but ESPAC-4's winner (gemcitabine plus capecitabine) was itself superseded 20 months later by adjuvant mFOLFIRINOX in PRODIGE-24 (median OS 54.4 months). A pathway should treat ESPAC-4 as establishing a fallback regimen for patients unfit for mFOLFIRINOX, not as current first choice</w:t>
            </w:r>
          </w:p>
          <w:p>
            <w:pPr>
              <w:pStyle w:val="ListParagraph"/>
              <w:numPr>
                <w:ilvl w:val="0"/>
                <w:numId w:val="2"/>
              </w:numPr>
              <w:spacing w:after="45"/>
            </w:pPr>
            <w:r>
              <w:rPr>
                <w:sz w:val="15"/>
                <w:szCs w:val="15"/>
              </w:rPr>
              <w:t xml:space="preserve">NON-RECEIPT OF ALLOCATED TREATMENT: only 7/730 (1%) never started, which is excellent, but 169/364 (46%) of combination patients and 127/366 (35%) of gemcitabine patients did not complete all six cycles, and the reason was UNKNOWN for 38 and 14 patients respectively. In an open-label trial reporting a 2.5-month median difference, 10% of the experimental arm stopping for unrecorded reasons is a real gap in the record</w:t>
            </w:r>
          </w:p>
          <w:p>
            <w:pPr>
              <w:pStyle w:val="ListParagraph"/>
              <w:numPr>
                <w:ilvl w:val="0"/>
                <w:numId w:val="2"/>
              </w:numPr>
              <w:spacing w:after="45"/>
            </w:pPr>
            <w:r>
              <w:rPr>
                <w:sz w:val="15"/>
                <w:szCs w:val="15"/>
              </w:rPr>
              <w:t xml:space="preserve">THE TRIAL WAS STOPPED AND PUBLISHED EARLY on the Independent Data and Safety Monitoring Committee's recommendation at 458 of 480 target deaths (95%), on 'a clear signal of efficacy'. Early stopping for benefit systematically overestimates effect size; Peto boundaries were used and no alpha adjustment was deemed necessary, but the point estimate should be read as an upper bound</w:t>
            </w:r>
          </w:p>
          <w:p>
            <w:pPr>
              <w:pStyle w:val="ListParagraph"/>
              <w:numPr>
                <w:ilvl w:val="0"/>
                <w:numId w:val="2"/>
              </w:numPr>
              <w:spacing w:after="45"/>
            </w:pPr>
            <w:r>
              <w:rPr>
                <w:sz w:val="15"/>
                <w:szCs w:val="15"/>
              </w:rPr>
              <w:t xml:space="preserve">THE PRIMARY ENDPOINT IS POSITIVE WHILE THE DISEASE-CONTROL ENDPOINT IS NOT. Relapse-free survival was not significantly different (HR 0.86, p=0.082) and median relapse-free survival differed by 0.8 months, yet 5-year overall survival differs by 12.5 percentage points. Either capecitabine acts after relapse, or the 5-year estimates - computed from a cohort with median follow-up of only 43.2 months and 51 patients lost to follow-up - are unstable. The widely quoted '28.8% vs 16.3% at 5 years' is an ESTIMATE extrapolated well past the bulk of the data and is not the trial's primary result</w:t>
            </w:r>
          </w:p>
          <w:p>
            <w:pPr>
              <w:pStyle w:val="ListParagraph"/>
              <w:numPr>
                <w:ilvl w:val="0"/>
                <w:numId w:val="2"/>
              </w:numPr>
              <w:spacing w:after="45"/>
            </w:pPr>
            <w:r>
              <w:rPr>
                <w:sz w:val="15"/>
                <w:szCs w:val="15"/>
              </w:rPr>
              <w:t xml:space="preserve">THE R0 SUBGROUP FINDING IS WHERE ALL THE BENEFIT SITS (39.5 vs 27.9 months in R0; 23.7 vs 23.0 months in R1) BUT 60% OF THE TRIAL WAS R1. No interaction test is reported for treatment-by-margin; a trend test across four groups is given instead. A pathway reading ESPAC-4 as supporting adjuvant GemCap for margin-positive patients is reading something the data do not show</w:t>
            </w:r>
          </w:p>
          <w:p>
            <w:pPr>
              <w:pStyle w:val="ListParagraph"/>
              <w:numPr>
                <w:ilvl w:val="0"/>
                <w:numId w:val="2"/>
              </w:numPr>
              <w:spacing w:after="45"/>
            </w:pPr>
            <w:r>
              <w:rPr>
                <w:sz w:val="15"/>
                <w:szCs w:val="15"/>
              </w:rPr>
              <w:t xml:space="preserve">EIGHT PATIENTS WITH STAGE IV DISEASE WERE ENROLLED 'because they were anxious to join the trial' and retained in the analysis, along with patients whose postoperative CA19-9 was unmeasured (68 patients, 9%). These are small numbers but represent protocol deviations accepted post hoc</w:t>
            </w:r>
          </w:p>
          <w:p>
            <w:pPr>
              <w:pStyle w:val="ListParagraph"/>
              <w:numPr>
                <w:ilvl w:val="0"/>
                <w:numId w:val="2"/>
              </w:numPr>
              <w:spacing w:after="45"/>
            </w:pPr>
            <w:r>
              <w:rPr>
                <w:sz w:val="15"/>
                <w:szCs w:val="15"/>
              </w:rPr>
              <w:t xml:space="preserve">The 2.5-month median difference comes at the cost of substantially more grade 3-4 neutropenia (38% vs 24%), diarrhoea and hand-foot syndrome, with 46% of the combination arm failing to complete treatment - a benefit-harm balance the paper's 'without any significant increase in overall toxicity' framing understates</w:t>
            </w:r>
          </w:p>
          <w:p>
            <w:pPr>
              <w:pStyle w:val="ListParagraph"/>
              <w:numPr>
                <w:ilvl w:val="0"/>
                <w:numId w:val="2"/>
              </w:numPr>
              <w:spacing w:after="45"/>
            </w:pPr>
            <w:r>
              <w:rPr>
                <w:sz w:val="15"/>
                <w:szCs w:val="15"/>
              </w:rPr>
              <w:t xml:space="preserve">Only 35-39% of relapsing patients received any treatment at relapse, far below the 93% in PRODIGE-24; the survival curves therefore reflect an era and a setting with limited salvage therapy</w:t>
            </w:r>
          </w:p>
          <w:p>
            <w:pPr>
              <w:pStyle w:val="ListParagraph"/>
              <w:numPr>
                <w:ilvl w:val="0"/>
                <w:numId w:val="2"/>
              </w:numPr>
              <w:spacing w:after="45"/>
            </w:pPr>
            <w:r>
              <w:rPr>
                <w:sz w:val="15"/>
                <w:szCs w:val="15"/>
              </w:rPr>
              <w:t xml:space="preserve">Open-label design with no central pathology or radiology review; the R0 definition used was the strict &lt;=1 mm Royal College of Pathologists standard, which is correct but makes the R0 rate (40%) incomparable with trials using older definitions</w:t>
            </w:r>
          </w:p>
          <w:p>
            <w:pPr>
              <w:pStyle w:val="ListParagraph"/>
              <w:numPr>
                <w:ilvl w:val="0"/>
                <w:numId w:val="2"/>
              </w:numPr>
              <w:spacing w:after="45"/>
            </w:pPr>
            <w:r>
              <w:rPr>
                <w:sz w:val="15"/>
                <w:szCs w:val="15"/>
              </w:rPr>
              <w:t xml:space="preserve">The senior author reports grants from seven companies, paid consultancy from four and lecture fees from two; the trial itself was funded by Cancer Research UK with no industry role, and capecitabine is generic, so commercial influence on the comparator is unlikely</w:t>
            </w:r>
          </w:p>
        </w:tc>
      </w:tr>
    </w:tbl>
    <w:p>
      <w:pPr>
        <w:spacing w:after="0" w:line="276"/>
      </w:pPr>
      <w:r>
        <w:rPr>
          <w:color w:val="5A6069"/>
          <w:sz w:val="14"/>
          <w:szCs w:val="14"/>
        </w:rPr>
        <w:t xml:space="preserve">Funding: Cancer Research UK (grant C245/A8968/A15957), sponsored by Royal Liverpool and Broadgreen University Hospitals NHS Trust. The funder had no role in design, data collection, analysis, interpretation or writing. Several senior authors report extensive grants, consultancy and lecture fees from Taiho, KAEL GemVax, AstraZeneca, Clovis, Ventana, Pharma Nord, Amgen, Boehringer Ingelheim, Novartis, Astellas, Celgene, Roche and others, all stated to be outside the submitted work.</w:t>
      </w:r>
    </w:p>
    <w:p>
      <w:pPr>
        <w:keepNext/>
        <w:spacing w:after="50" w:before="260"/>
      </w:pPr>
      <w:r>
        <w:rPr>
          <w:rFonts w:ascii="Cambria" w:cs="Cambria" w:eastAsia="Cambria" w:hAnsi="Cambria"/>
          <w:b/>
          <w:bCs/>
          <w:color w:val="17365D"/>
          <w:sz w:val="20"/>
          <w:szCs w:val="20"/>
        </w:rPr>
        <w:t xml:space="preserve">ESPAC5</w:t>
      </w:r>
      <w:r>
        <w:rPr>
          <w:b/>
          <w:bCs/>
          <w:color w:val="176A87"/>
          <w:sz w:val="15"/>
          <w:szCs w:val="15"/>
        </w:rPr>
        <w:t xml:space="preserve">   Randomised trial</w:t>
      </w:r>
      <w:r>
        <w:rPr>
          <w:color w:val="5A6069"/>
          <w:sz w:val="15"/>
          <w:szCs w:val="15"/>
        </w:rPr>
        <w:t xml:space="preserve">   PMID 36521500</w:t>
      </w:r>
    </w:p>
    <w:p>
      <w:pPr>
        <w:spacing w:after="50" w:line="276"/>
      </w:pPr>
      <w:r>
        <w:rPr>
          <w:color w:val="5A6069"/>
          <w:sz w:val="17"/>
          <w:szCs w:val="17"/>
        </w:rPr>
        <w:t xml:space="preserve">Immediate surgery compared with short-course neoadjuvant gemcitabine plus capecitabine, FOLFIRINOX, or chemoradiotherapy in patients with borderline resectable pancreatic cancer (ESPAC5): a four-arm, multicentre, randomised, phase 2 trial.</w:t>
      </w:r>
    </w:p>
    <w:p>
      <w:pPr>
        <w:spacing w:after="50"/>
      </w:pPr>
      <w:r>
        <w:rPr>
          <w:b/>
          <w:bCs/>
          <w:color w:val="176A87"/>
          <w:sz w:val="16"/>
          <w:szCs w:val="16"/>
        </w:rPr>
        <w:t xml:space="preserve">Population. </w:t>
      </w:r>
      <w:r>
        <w:rPr>
          <w:sz w:val="16"/>
          <w:szCs w:val="16"/>
        </w:rPr>
        <w:t xml:space="preserve">90 randomised, 86 in the full analysis set (31 immediate surgery, 19 gemcitabine plus capecitabine, 20 FOLFIRINOX, 16 chemoradiotherapy); 68 operations, 51 resections</w:t>
      </w:r>
    </w:p>
    <w:p>
      <w:pPr>
        <w:spacing w:after="70"/>
      </w:pPr>
      <w:r>
        <w:rPr>
          <w:b/>
          <w:bCs/>
          <w:color w:val="17365D"/>
          <w:sz w:val="16"/>
          <w:szCs w:val="16"/>
        </w:rPr>
        <w:t xml:space="preserve">Bottom line. </w:t>
      </w:r>
      <w:r>
        <w:rPr>
          <w:sz w:val="16"/>
          <w:szCs w:val="16"/>
        </w:rPr>
        <w:t xml:space="preserve">ESPAC5 is a feasibility trial that missed its recruitment target and found NO improvement in resection rate or R0 rate with short-course neoadjuvant therapy, but reported a striking 1-year survival advantage (76% vs 39%) as a secondary endpoint against a gemcitabine-era adjuvant comparator; it supports taking neoadjuvant chemotherapy seriously in borderline resectable disease and suggests chemotherapy beats chemoradiotherapy, but 90 patients and 12 months of follow-up cannot support the magnitude of effect it reports.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Recruitment was challenging and the original target of 100 patients was not reached; some centres recruited fewer than two patients per year because of set-up difficulties and investigator reluctance to delay surgery</w:t>
            </w:r>
          </w:p>
          <w:p>
            <w:pPr>
              <w:pStyle w:val="ListParagraph"/>
              <w:numPr>
                <w:ilvl w:val="0"/>
                <w:numId w:val="2"/>
              </w:numPr>
              <w:spacing w:after="45"/>
            </w:pPr>
            <w:r>
              <w:rPr>
                <w:sz w:val="15"/>
                <w:szCs w:val="15"/>
              </w:rPr>
              <w:t xml:space="preserve">As a feasibility study with low numbers there are methodological limitations and the possibility of random confounding from baseline imbalance</w:t>
            </w:r>
          </w:p>
          <w:p>
            <w:pPr>
              <w:pStyle w:val="ListParagraph"/>
              <w:numPr>
                <w:ilvl w:val="0"/>
                <w:numId w:val="2"/>
              </w:numPr>
              <w:spacing w:after="45"/>
            </w:pPr>
            <w:r>
              <w:rPr>
                <w:sz w:val="15"/>
                <w:szCs w:val="15"/>
              </w:rPr>
              <w:t xml:space="preserve">Non-adherence to treatment and the nature of comparing a surgical intervention with neoadjuvant therapy introduce potential bias</w:t>
            </w:r>
          </w:p>
          <w:p>
            <w:pPr>
              <w:pStyle w:val="ListParagraph"/>
              <w:numPr>
                <w:ilvl w:val="0"/>
                <w:numId w:val="2"/>
              </w:numPr>
              <w:spacing w:after="45"/>
            </w:pPr>
            <w:r>
              <w:rPr>
                <w:sz w:val="15"/>
                <w:szCs w:val="15"/>
              </w:rPr>
              <w:t xml:space="preserve">The short minimum follow-up of 12 months and low event rate make the hazard ratios imprecise and make non-proportionality impossible to assess, so survival data should be interpreted with caution</w:t>
            </w:r>
          </w:p>
          <w:p>
            <w:pPr>
              <w:pStyle w:val="ListParagraph"/>
              <w:numPr>
                <w:ilvl w:val="0"/>
                <w:numId w:val="2"/>
              </w:numPr>
              <w:spacing w:after="45"/>
            </w:pPr>
            <w:r>
              <w:rPr>
                <w:sz w:val="15"/>
                <w:szCs w:val="15"/>
              </w:rPr>
              <w:t xml:space="preserve">The low R0 rates may reflect the strict &lt;1 mm R0 definition as well as the borderline resectable population</w:t>
            </w:r>
          </w:p>
          <w:p>
            <w:pPr>
              <w:pStyle w:val="ListParagraph"/>
              <w:numPr>
                <w:ilvl w:val="0"/>
                <w:numId w:val="2"/>
              </w:numPr>
              <w:spacing w:after="45"/>
            </w:pPr>
            <w:r>
              <w:rPr>
                <w:sz w:val="15"/>
                <w:szCs w:val="15"/>
              </w:rPr>
              <w:t xml:space="preserve">The study was not powered to compare resection rates between individual treatment groups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immediate surgery followed by adjuvant therapy at the clinician's discretion. THE CONTROL ARM DID NOT RECEIVE MODERN ADJUVANT THERAPY: of 43 patients who received adjuvant treatment across the whole trial, 41 (95%) got gemcitabine or gemcitabine plus capecitabine and only 2 (5%) got modified FOLFIRINOX, because combination adjuvant therapy only became available near the end of the trial. The 39% 1-year survival in the immediate surgery arm reflects surgery plus gemcitabine-era adjuvant therapy, not surgery plus adjuvant mFOLFIRINOX</w:t>
            </w:r>
          </w:p>
          <w:p>
            <w:pPr>
              <w:pStyle w:val="ListParagraph"/>
              <w:numPr>
                <w:ilvl w:val="0"/>
                <w:numId w:val="2"/>
              </w:numPr>
              <w:spacing w:after="45"/>
            </w:pPr>
            <w:r>
              <w:rPr>
                <w:sz w:val="15"/>
                <w:szCs w:val="15"/>
              </w:rPr>
              <w:t xml:space="preserve">THE QUOTED SURVIVAL BENEFIT IS A SECONDARY ENDPOINT IN A TRIAL WHOSE TWO PRIMARY ENDPOINTS BOTH FAILED. Recruitment missed its target and resection rate was not improved (and numerically favoured immediate surgery, 68% vs 55%). The trial was explicitly powered only to compare pooled resection rates at one-sided alpha 0.2, with 'no clinical criteria set to establish the overall success of the study'. A pathway that cites ESPAC5's HR 0.29 as evidence for neoadjuvant therapy is citing an underpowered secondary endpoint from a feasibility trial</w:t>
            </w:r>
          </w:p>
          <w:p>
            <w:pPr>
              <w:pStyle w:val="ListParagraph"/>
              <w:numPr>
                <w:ilvl w:val="0"/>
                <w:numId w:val="2"/>
              </w:numPr>
              <w:spacing w:after="45"/>
            </w:pPr>
            <w:r>
              <w:rPr>
                <w:sz w:val="15"/>
                <w:szCs w:val="15"/>
              </w:rPr>
              <w:t xml:space="preserve">NON-RECEIPT OF ALLOCATED TREATMENT: 5/55 (9%) allocated to neoadjuvant therapy never started it (2 gemcitabine/capecitabine, 1 FOLFIRINOX, 2 chemoradiotherapy - one death, one low platelets, one high bilirubin, two progressions); 3/31 (10%) allocated to immediate surgery never had surgery because of progression; and 4 patients were excluded from the analysis set after randomisation (1 consent withdrawal, 3 ineligible on histology or staging, including an autoimmune pancreatitis and a neuroendocrine tumour). Overall 17/90 (19%) did not follow their allocation or were removed</w:t>
            </w:r>
          </w:p>
          <w:p>
            <w:pPr>
              <w:pStyle w:val="ListParagraph"/>
              <w:numPr>
                <w:ilvl w:val="0"/>
                <w:numId w:val="2"/>
              </w:numPr>
              <w:spacing w:after="45"/>
            </w:pPr>
            <w:r>
              <w:rPr>
                <w:sz w:val="15"/>
                <w:szCs w:val="15"/>
              </w:rPr>
              <w:t xml:space="preserve">A 12-MONTH CAPPED FOLLOW-UP WITH 31 DEATHS PRODUCES AN IMPLAUSIBLY LARGE EFFECT. An HR of 0.29 from 19 deaths in a 31-patient control arm against 12 deaths across 55 neoadjuvant patients is the kind of estimate that regresses heavily toward the null with longer follow-up. Censoring everyone at one year also removes exactly the period in which early neoadjuvant deaths from toxicity would accumulate and in which immediate-surgery patients who survived the first year would catch up</w:t>
            </w:r>
          </w:p>
          <w:p>
            <w:pPr>
              <w:pStyle w:val="ListParagraph"/>
              <w:numPr>
                <w:ilvl w:val="0"/>
                <w:numId w:val="2"/>
              </w:numPr>
              <w:spacing w:after="45"/>
            </w:pPr>
            <w:r>
              <w:rPr>
                <w:sz w:val="15"/>
                <w:szCs w:val="15"/>
              </w:rPr>
              <w:t xml:space="preserve">TIME-ZERO AND IMMORTAL-TIME ASYMMETRY: neoadjuvant patients had a median 116-136 days between baseline CT and surgery versus 42 days for immediate surgery. Survival is measured from randomisation, which is correct, but the neoadjuvant arms had to survive and remain fit for 2-3 months to reach surgery - and the 7 who progressed on treatment and the 2 who died are a small number in a small trial, so chance determines how much of the survival difference is biological</w:t>
            </w:r>
          </w:p>
          <w:p>
            <w:pPr>
              <w:pStyle w:val="ListParagraph"/>
              <w:numPr>
                <w:ilvl w:val="0"/>
                <w:numId w:val="2"/>
              </w:numPr>
              <w:spacing w:after="45"/>
            </w:pPr>
            <w:r>
              <w:rPr>
                <w:sz w:val="15"/>
                <w:szCs w:val="15"/>
              </w:rPr>
              <w:t xml:space="preserve">THE FOUR ARMS ARE NOT BALANCED AT BASELINE in ways that favour the neoadjuvant groups: median CA19-9 was 802 kU/L in the immediate surgery arm versus 322-623 in the neoadjuvant arms, and 61% of the surgery arm were female versus 50-56% elsewhere. With 16-31 patients per arm, minimisation cannot be relied on, and a nearly three-fold higher CA19-9 in the control arm is a strong independent prognostic disadvantage that is not adjusted for</w:t>
            </w:r>
          </w:p>
          <w:p>
            <w:pPr>
              <w:pStyle w:val="ListParagraph"/>
              <w:numPr>
                <w:ilvl w:val="0"/>
                <w:numId w:val="2"/>
              </w:numPr>
              <w:spacing w:after="45"/>
            </w:pPr>
            <w:r>
              <w:rPr>
                <w:sz w:val="15"/>
                <w:szCs w:val="15"/>
              </w:rPr>
              <w:t xml:space="preserve">The chemoradiotherapy arm had the BEST pathological outcomes (37% R0, 25% node positive) but the WORST neoadjuvant survival (60% at 1 year), which directly contradicts the mechanistic premise that improved local clearance drives survival - and the authors themselves note the survival benefit was 'unrelated to the resection rate'</w:t>
            </w:r>
          </w:p>
          <w:p>
            <w:pPr>
              <w:pStyle w:val="ListParagraph"/>
              <w:numPr>
                <w:ilvl w:val="0"/>
                <w:numId w:val="2"/>
              </w:numPr>
              <w:spacing w:after="45"/>
            </w:pPr>
            <w:r>
              <w:rPr>
                <w:sz w:val="15"/>
                <w:szCs w:val="15"/>
              </w:rPr>
              <w:t xml:space="preserve">No multiplicity adjustment across four arms and a large secondary endpoint set; the abstract and results text give different p values for 1-year disease-free survival (0.016 vs 0.043), an internal inconsistency that should give pause when quoting the figure</w:t>
            </w:r>
          </w:p>
          <w:p>
            <w:pPr>
              <w:pStyle w:val="ListParagraph"/>
              <w:numPr>
                <w:ilvl w:val="0"/>
                <w:numId w:val="2"/>
              </w:numPr>
              <w:spacing w:after="45"/>
            </w:pPr>
            <w:r>
              <w:rPr>
                <w:sz w:val="15"/>
                <w:szCs w:val="15"/>
              </w:rPr>
              <w:t xml:space="preserve">The trial cannot answer which neoadjuvant regimen is better: FOLFIRINOX (84%) and gemcitabine plus capecitabine (78%) 1-year survival differ by less than the width of either confidence interval, both of which reach 100%</w:t>
            </w:r>
          </w:p>
        </w:tc>
      </w:tr>
    </w:tbl>
    <w:p>
      <w:pPr>
        <w:spacing w:after="0" w:line="276"/>
      </w:pPr>
      <w:r>
        <w:rPr>
          <w:color w:val="5A6069"/>
          <w:sz w:val="14"/>
          <w:szCs w:val="14"/>
        </w:rPr>
        <w:t xml:space="preserve">Funding: Cancer Research UK. The funder had no role in study design, data collection, analysis, interpretation or writing. Open access under CC BY 4.0.</w:t>
      </w:r>
    </w:p>
    <w:p>
      <w:pPr>
        <w:keepNext/>
        <w:spacing w:after="50" w:before="260"/>
      </w:pPr>
      <w:r>
        <w:rPr>
          <w:rFonts w:ascii="Cambria" w:cs="Cambria" w:eastAsia="Cambria" w:hAnsi="Cambria"/>
          <w:b/>
          <w:bCs/>
          <w:color w:val="17365D"/>
          <w:sz w:val="20"/>
          <w:szCs w:val="20"/>
        </w:rPr>
        <w:t xml:space="preserve">FOLFIRINOX in LAPC</w:t>
      </w:r>
      <w:r>
        <w:rPr>
          <w:b/>
          <w:bCs/>
          <w:color w:val="176A87"/>
          <w:sz w:val="15"/>
          <w:szCs w:val="15"/>
        </w:rPr>
        <w:t xml:space="preserve">   Meta-analysis</w:t>
      </w:r>
      <w:r>
        <w:rPr>
          <w:color w:val="5A6069"/>
          <w:sz w:val="15"/>
          <w:szCs w:val="15"/>
        </w:rPr>
        <w:t xml:space="preserve">   PMID 27160474</w:t>
      </w:r>
    </w:p>
    <w:p>
      <w:pPr>
        <w:spacing w:after="50" w:line="276"/>
      </w:pPr>
      <w:r>
        <w:rPr>
          <w:color w:val="5A6069"/>
          <w:sz w:val="17"/>
          <w:szCs w:val="17"/>
        </w:rPr>
        <w:t xml:space="preserve">FOLFIRINOX for locally advanced pancreatic cancer: a systematic review and patient-level meta-analysis.</w:t>
      </w:r>
    </w:p>
    <w:p>
      <w:pPr>
        <w:spacing w:after="50"/>
      </w:pPr>
      <w:r>
        <w:rPr>
          <w:b/>
          <w:bCs/>
          <w:color w:val="176A87"/>
          <w:sz w:val="16"/>
          <w:szCs w:val="16"/>
        </w:rPr>
        <w:t xml:space="preserve">Population. </w:t>
      </w:r>
      <w:r>
        <w:rPr>
          <w:sz w:val="16"/>
          <w:szCs w:val="16"/>
        </w:rPr>
        <w:t xml:space="preserve">13 studies, 689 patients, of whom 355 (52%) had locally advanced disease; 11 studies with 315 locally advanced patients contributed patient-level survival data</w:t>
      </w:r>
    </w:p>
    <w:p>
      <w:pPr>
        <w:spacing w:after="70"/>
      </w:pPr>
      <w:r>
        <w:rPr>
          <w:b/>
          <w:bCs/>
          <w:color w:val="17365D"/>
          <w:sz w:val="16"/>
          <w:szCs w:val="16"/>
        </w:rPr>
        <w:t xml:space="preserve">Bottom line. </w:t>
      </w:r>
      <w:r>
        <w:rPr>
          <w:sz w:val="16"/>
          <w:szCs w:val="16"/>
        </w:rPr>
        <w:t xml:space="preserve">This individual-patient meta-analysis of 315 patients from 11 non-randomised studies is the source of the widely quoted 24.2-month median survival with FOLFIRINOX in locally advanced pancreatic cancer, and it shows resection is achieved in only about a quarter; because every study was non-randomised, most retrospective, none used staging laparoscopy and the per-study medians range from 10 to 33 months, the figure describes a selected and heterogeneous population and should be read as a hypothesis for the randomised trials it prompted, not as an expected outcome.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All included studies were non-randomised and most were retrospective, and retrospective studies are known to under-report toxicity - so the pooled adverse event rates are probably an underestimate</w:t>
            </w:r>
          </w:p>
          <w:p>
            <w:pPr>
              <w:pStyle w:val="ListParagraph"/>
              <w:numPr>
                <w:ilvl w:val="0"/>
                <w:numId w:val="2"/>
              </w:numPr>
              <w:spacing w:after="45"/>
            </w:pPr>
            <w:r>
              <w:rPr>
                <w:sz w:val="15"/>
                <w:szCs w:val="15"/>
              </w:rPr>
              <w:t xml:space="preserve">Progression-free survival may be biased because retrospective studies typically lack standardised on-treatment imaging</w:t>
            </w:r>
          </w:p>
          <w:p>
            <w:pPr>
              <w:pStyle w:val="ListParagraph"/>
              <w:numPr>
                <w:ilvl w:val="0"/>
                <w:numId w:val="2"/>
              </w:numPr>
              <w:spacing w:after="45"/>
            </w:pPr>
            <w:r>
              <w:rPr>
                <w:sz w:val="15"/>
                <w:szCs w:val="15"/>
              </w:rPr>
              <w:t xml:space="preserve">Studies used different definitions of locally advanced disease (NCCN in three, AHPBA/SSO/SSAT in three, multidisciplinary board or retrospective image review in seven); a consensus definition is needed</w:t>
            </w:r>
          </w:p>
          <w:p>
            <w:pPr>
              <w:pStyle w:val="ListParagraph"/>
              <w:numPr>
                <w:ilvl w:val="0"/>
                <w:numId w:val="2"/>
              </w:numPr>
              <w:spacing w:after="45"/>
            </w:pPr>
            <w:r>
              <w:rPr>
                <w:sz w:val="15"/>
                <w:szCs w:val="15"/>
              </w:rPr>
              <w:t xml:space="preserve">The included studies did NOT report how eligibility for FOLFIRINOX was determined, so it is unclear whether nearly all locally advanced patients or only the fittest subgroup received it - and therefore which patients can expect 24.2 months</w:t>
            </w:r>
          </w:p>
          <w:p>
            <w:pPr>
              <w:pStyle w:val="ListParagraph"/>
              <w:numPr>
                <w:ilvl w:val="0"/>
                <w:numId w:val="2"/>
              </w:numPr>
              <w:spacing w:after="45"/>
            </w:pPr>
            <w:r>
              <w:rPr>
                <w:sz w:val="15"/>
                <w:szCs w:val="15"/>
              </w:rPr>
              <w:t xml:space="preserve">After first-line FOLFIRINOX many patients had additional treatments (chemotherapy, targeted therapy, radiotherapy, resection) that varied within and across studies, with insufficient data to evaluate their effect on survival</w:t>
            </w:r>
          </w:p>
          <w:p>
            <w:pPr>
              <w:pStyle w:val="ListParagraph"/>
              <w:numPr>
                <w:ilvl w:val="0"/>
                <w:numId w:val="2"/>
              </w:numPr>
              <w:spacing w:after="45"/>
            </w:pPr>
            <w:r>
              <w:rPr>
                <w:sz w:val="15"/>
                <w:szCs w:val="15"/>
              </w:rPr>
              <w:t xml:space="preserve">No study reported standard pretreatment staging laparoscopy, which upstages up to a third of patients to metastatic disease in other reports; better staging might yield even longer survival</w:t>
            </w:r>
          </w:p>
          <w:p>
            <w:pPr>
              <w:pStyle w:val="ListParagraph"/>
              <w:numPr>
                <w:ilvl w:val="0"/>
                <w:numId w:val="2"/>
              </w:numPr>
              <w:spacing w:after="45"/>
            </w:pPr>
            <w:r>
              <w:rPr>
                <w:sz w:val="15"/>
                <w:szCs w:val="15"/>
              </w:rPr>
              <w:t xml:space="preserve">The favourable survival may be partly attributable to patient selection, and confirmation in a randomised trial is needed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THERE IS NONE. The 24.2-month figure is compared only with a narrative range of '6-13 months' for gemcitabine drawn from two references, with no formal synthesis of the gemcitabine comparator and no adjustment for the different eras, staging and performance status of those cohorts. The paper is a single-arm pooled analysis presented with a historical benchmark</w:t>
            </w:r>
          </w:p>
          <w:p>
            <w:pPr>
              <w:pStyle w:val="ListParagraph"/>
              <w:numPr>
                <w:ilvl w:val="0"/>
                <w:numId w:val="2"/>
              </w:numPr>
              <w:spacing w:after="45"/>
            </w:pPr>
            <w:r>
              <w:rPr>
                <w:sz w:val="15"/>
                <w:szCs w:val="15"/>
              </w:rPr>
              <w:t xml:space="preserve">SELECTION, NOT DRUG EFFECT, IS THE MOST PARSIMONIOUS EXPLANATION AND THE AUTHORS CANNOT RULE IT OUT - they say so, but the headline figure is quoted everywhere without the caveat. FOLFIRINOX eligibility in 2011-2015 meant good performance status, normal bilirubin and age under about 76; the studies do not report their denominators, so the 24.2 months describes whoever was offered FOLFIRINOX, not patients with locally advanced disease</w:t>
            </w:r>
          </w:p>
          <w:p>
            <w:pPr>
              <w:pStyle w:val="ListParagraph"/>
              <w:numPr>
                <w:ilvl w:val="0"/>
                <w:numId w:val="2"/>
              </w:numPr>
              <w:spacing w:after="45"/>
            </w:pPr>
            <w:r>
              <w:rPr>
                <w:sz w:val="15"/>
                <w:szCs w:val="15"/>
              </w:rPr>
              <w:t xml:space="preserve">IMMORTAL TIME AND LEFT-TRUNCATION: survival is measured from the start of FOLFIRINOX, so every patient had to survive diagnosis, staging, biliary drainage and the decision to treat before entering the analysis. Patients who deteriorated or were found metastatic before chemotherapy could start are invisible. LAP07's 7.7-month median for patients who progressed during induction shows how large this excluded group is</w:t>
            </w:r>
          </w:p>
          <w:p>
            <w:pPr>
              <w:pStyle w:val="ListParagraph"/>
              <w:numPr>
                <w:ilvl w:val="0"/>
                <w:numId w:val="2"/>
              </w:numPr>
              <w:spacing w:after="45"/>
            </w:pPr>
            <w:r>
              <w:rPr>
                <w:sz w:val="15"/>
                <w:szCs w:val="15"/>
              </w:rPr>
              <w:t xml:space="preserve">ELEVEN OF THIRTEEN STUDIES ARE RETROSPECTIVE, AND NO STUDY USED STAGING LAPAROSCOPY. The authors argue this biases AGAINST FOLFIRINOX (occult metastatic patients included), but it cuts the other way for progression-free survival (no standardised imaging means later-detected progression) and the direction of net bias is unknowable</w:t>
            </w:r>
          </w:p>
          <w:p>
            <w:pPr>
              <w:pStyle w:val="ListParagraph"/>
              <w:numPr>
                <w:ilvl w:val="0"/>
                <w:numId w:val="2"/>
              </w:numPr>
              <w:spacing w:after="45"/>
            </w:pPr>
            <w:r>
              <w:rPr>
                <w:sz w:val="15"/>
                <w:szCs w:val="15"/>
              </w:rPr>
              <w:t xml:space="preserve">THREE-FOLD HETEROGENEITY IN THE PRIMARY OUTCOME (10.0 to 32.7 months) IS NOT FORMALLY QUANTIFIED. Because patient-level data were pooled into a single Kaplan-Meier curve rather than meta-analysed, no I2 or prediction interval is reported for overall survival - the headline estimate is presented with a narrow 95% CI (21.7-26.8) that reflects the number of patients, not the disagreement between studies. For the pooled proportions where I2 IS reported, it reaches 90%</w:t>
            </w:r>
          </w:p>
          <w:p>
            <w:pPr>
              <w:pStyle w:val="ListParagraph"/>
              <w:numPr>
                <w:ilvl w:val="0"/>
                <w:numId w:val="2"/>
              </w:numPr>
              <w:spacing w:after="45"/>
            </w:pPr>
            <w:r>
              <w:rPr>
                <w:sz w:val="15"/>
                <w:szCs w:val="15"/>
              </w:rPr>
              <w:t xml:space="preserve">THE 'LOCALLY ADVANCED' POPULATION IS NOT ONE POPULATION. Only three of thirteen studies enrolled exclusively locally advanced patients; the rest mixed in resectable, borderline resectable, metastatic and recurrent disease (355/689 locally advanced overall), and seven studies had no formal resectability criteria at all. Patients labelled locally advanced by a retrospective image review in 2011 would include patients a modern multidisciplinary board would call borderline resectable and resect</w:t>
            </w:r>
          </w:p>
          <w:p>
            <w:pPr>
              <w:pStyle w:val="ListParagraph"/>
              <w:numPr>
                <w:ilvl w:val="0"/>
                <w:numId w:val="2"/>
              </w:numPr>
              <w:spacing w:after="45"/>
            </w:pPr>
            <w:r>
              <w:rPr>
                <w:sz w:val="15"/>
                <w:szCs w:val="15"/>
              </w:rPr>
              <w:t xml:space="preserve">THE 25.9% RESECTION AND 78.4% R0 RATES ARE STUDY-LEVEL PROPORTIONS WITH I2 OF 24% AND 64% AND A PER-STUDY RANGE OF 0-43%, reflecting no consensus on who gets taken to surgery. The R0 denominator is resected patients only (81 of 325), so '78% R0' describes 19% of the cohort</w:t>
            </w:r>
          </w:p>
          <w:p>
            <w:pPr>
              <w:pStyle w:val="ListParagraph"/>
              <w:numPr>
                <w:ilvl w:val="0"/>
                <w:numId w:val="2"/>
              </w:numPr>
              <w:spacing w:after="45"/>
            </w:pPr>
            <w:r>
              <w:rPr>
                <w:sz w:val="15"/>
                <w:szCs w:val="15"/>
              </w:rPr>
              <w:t xml:space="preserve">NO DEATHS ATTRIBUTED TO FOLFIRINOX ACROSS 490 PATIENTS IS NOT CREDIBLE as a safety estimate from retrospective records; PRODIGE 4 recorded one treatment-related death in 171 patients prospectively. The authors acknowledge under-reporting but the figure is still presented as a finding</w:t>
            </w:r>
          </w:p>
          <w:p>
            <w:pPr>
              <w:pStyle w:val="ListParagraph"/>
              <w:numPr>
                <w:ilvl w:val="0"/>
                <w:numId w:val="2"/>
              </w:numPr>
              <w:spacing w:after="45"/>
            </w:pPr>
            <w:r>
              <w:rPr>
                <w:sz w:val="15"/>
                <w:szCs w:val="15"/>
              </w:rPr>
              <w:t xml:space="preserve">MANY OF THE CONTRIBUTING AUTHORS ARE THE INVESTIGATORS OF THE INCLUDED STUDIES, who supplied and 'checked' their own patient-level data. This is the standard way individual-patient meta-analyses are done and improves data quality, but it also means the included studies were not independently verified and no formal risk-of-bias judgement beyond a CASP score is reported per study</w:t>
            </w:r>
          </w:p>
          <w:p>
            <w:pPr>
              <w:pStyle w:val="ListParagraph"/>
              <w:numPr>
                <w:ilvl w:val="0"/>
                <w:numId w:val="2"/>
              </w:numPr>
              <w:spacing w:after="45"/>
            </w:pPr>
            <w:r>
              <w:rPr>
                <w:sz w:val="15"/>
                <w:szCs w:val="15"/>
              </w:rPr>
              <w:t xml:space="preserve">The comparison with ESPAC-3's adjuvant survival invites the inference that locally advanced disease treated with FOLFIRINOX does as well as resected disease - an inference between two differently selected populations that the paper then uses to motivate neoadjuvant FOLFIRINOX trials in resectable disease. NORPACT-1 and PREOPANC-2 subsequently failed to show that benefit</w:t>
            </w:r>
          </w:p>
        </w:tc>
      </w:tr>
    </w:tbl>
    <w:p>
      <w:pPr>
        <w:spacing w:after="0" w:line="276"/>
      </w:pPr>
      <w:r>
        <w:rPr>
          <w:color w:val="5A6069"/>
          <w:sz w:val="14"/>
          <w:szCs w:val="14"/>
        </w:rPr>
        <w:t xml:space="preserve">Funding: None. Several authors report personal fees or grants from Roche, Novartis, Merrimack, N-of-One, Elekta, Amgen, Merck, Celgene, Lilly, Sanofi, Genentech, Taiho, Bristol-Myers Squibb, Boston Biomedical, AVEO, Pfizer and Sirtex outside the submitted work.</w:t>
      </w:r>
    </w:p>
    <w:p>
      <w:pPr>
        <w:keepNext/>
        <w:spacing w:after="50" w:before="260"/>
      </w:pPr>
      <w:r>
        <w:rPr>
          <w:rFonts w:ascii="Cambria" w:cs="Cambria" w:eastAsia="Cambria" w:hAnsi="Cambria"/>
          <w:b/>
          <w:bCs/>
          <w:color w:val="17365D"/>
          <w:sz w:val="20"/>
          <w:szCs w:val="20"/>
        </w:rPr>
        <w:t xml:space="preserve">Hu 2018 germline</w:t>
      </w:r>
      <w:r>
        <w:rPr>
          <w:b/>
          <w:bCs/>
          <w:color w:val="176A87"/>
          <w:sz w:val="15"/>
          <w:szCs w:val="15"/>
        </w:rPr>
        <w:t xml:space="preserve">   Retrospective cohort</w:t>
      </w:r>
      <w:r>
        <w:rPr>
          <w:color w:val="5A6069"/>
          <w:sz w:val="15"/>
          <w:szCs w:val="15"/>
        </w:rPr>
        <w:t xml:space="preserve">   PMID 29922827</w:t>
      </w:r>
    </w:p>
    <w:p>
      <w:pPr>
        <w:spacing w:after="50" w:line="276"/>
      </w:pPr>
      <w:r>
        <w:rPr>
          <w:color w:val="5A6069"/>
          <w:sz w:val="17"/>
          <w:szCs w:val="17"/>
        </w:rPr>
        <w:t xml:space="preserve">Association Between Inherited Germline Mutations in Cancer Predisposition Genes and Risk of Pancreatic Cancer.</w:t>
      </w:r>
    </w:p>
    <w:p>
      <w:pPr>
        <w:spacing w:after="50"/>
      </w:pPr>
      <w:r>
        <w:rPr>
          <w:b/>
          <w:bCs/>
          <w:color w:val="176A87"/>
          <w:sz w:val="16"/>
          <w:szCs w:val="16"/>
        </w:rPr>
        <w:t xml:space="preserve">Population. </w:t>
      </w:r>
      <w:r>
        <w:rPr>
          <w:sz w:val="16"/>
          <w:szCs w:val="16"/>
        </w:rPr>
        <w:t xml:space="preserve">3030 pancreatic adenocarcinoma cases with germline sequencing (123 136 reference controls)</w:t>
      </w:r>
    </w:p>
    <w:p>
      <w:pPr>
        <w:spacing w:after="70"/>
      </w:pPr>
      <w:r>
        <w:rPr>
          <w:b/>
          <w:bCs/>
          <w:color w:val="17365D"/>
          <w:sz w:val="16"/>
          <w:szCs w:val="16"/>
        </w:rPr>
        <w:t xml:space="preserve">Bottom line. </w:t>
      </w:r>
      <w:r>
        <w:rPr>
          <w:sz w:val="16"/>
          <w:szCs w:val="16"/>
        </w:rPr>
        <w:t xml:space="preserve">Establishes that deleterious germline mutations in six genes are over-represented in unselected pancreatic cancer and are present in 5.5% of patients regardless of family history, but does not establish penetrance, does not show that carriage affects survival, and does not make most of those six genes therapeutically actionable.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Public reference controls, not study-recruited controls, were used to estimate background mutation prevalence; the authors argue extensive filtering normalised the two data sets and that ExAC and gnomAD gave concordant results</w:t>
            </w:r>
          </w:p>
          <w:p>
            <w:pPr>
              <w:pStyle w:val="ListParagraph"/>
              <w:numPr>
                <w:ilvl w:val="0"/>
                <w:numId w:val="2"/>
              </w:numPr>
              <w:spacing w:after="45"/>
            </w:pPr>
            <w:r>
              <w:rPr>
                <w:sz w:val="15"/>
                <w:szCs w:val="15"/>
              </w:rPr>
              <w:t xml:space="preserve">The 21-gene panel does not cover all possible predisposition genes, so other contributing genes may have been missed</w:t>
            </w:r>
          </w:p>
          <w:p>
            <w:pPr>
              <w:pStyle w:val="ListParagraph"/>
              <w:numPr>
                <w:ilvl w:val="0"/>
                <w:numId w:val="2"/>
              </w:numPr>
              <w:spacing w:after="45"/>
            </w:pPr>
            <w:r>
              <w:rPr>
                <w:sz w:val="15"/>
                <w:szCs w:val="15"/>
              </w:rPr>
              <w:t xml:space="preserve">A number of variants of uncertain significance could not be classified as deleterious or neutral</w:t>
            </w:r>
          </w:p>
          <w:p>
            <w:pPr>
              <w:pStyle w:val="ListParagraph"/>
              <w:numPr>
                <w:ilvl w:val="0"/>
                <w:numId w:val="2"/>
              </w:numPr>
              <w:spacing w:after="45"/>
            </w:pPr>
            <w:r>
              <w:rPr>
                <w:sz w:val="15"/>
                <w:szCs w:val="15"/>
              </w:rPr>
              <w:t xml:space="preserve">Cases came from three Mayo Clinic sites and were younger and less likely to be Black or Hispanic than SEER pancreatic cancer patients, so generalisability may be limited</w:t>
            </w:r>
          </w:p>
          <w:p>
            <w:pPr>
              <w:pStyle w:val="ListParagraph"/>
              <w:numPr>
                <w:ilvl w:val="0"/>
                <w:numId w:val="2"/>
              </w:numPr>
              <w:spacing w:after="45"/>
            </w:pPr>
            <w:r>
              <w:rPr>
                <w:sz w:val="15"/>
                <w:szCs w:val="15"/>
              </w:rPr>
              <w:t xml:space="preserve">The study had insufficient information to estimate penetrance (lifetime cancer probability) in carriers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Case-control comparison against sequencing databases assembled for other purposes is vulnerable to differential variant-calling and coverage between cases and controls; the authors address data cleaning but not platform-level batch effects, and the very wide CIs for CDKN2A (5.43-25.61) and MLH1 (1.94-17.53) rest on a handful of carriers each</w:t>
            </w:r>
          </w:p>
          <w:p>
            <w:pPr>
              <w:pStyle w:val="ListParagraph"/>
              <w:numPr>
                <w:ilvl w:val="0"/>
                <w:numId w:val="2"/>
              </w:numPr>
              <w:spacing w:after="45"/>
            </w:pPr>
            <w:r>
              <w:rPr>
                <w:sz w:val="15"/>
                <w:szCs w:val="15"/>
              </w:rPr>
              <w:t xml:space="preserve">The headline 5.5% figure is driven mostly by ATM and BRCA2; a pathway that quotes '5.5% carry an actionable germline mutation' is conflating genes with established therapeutic consequences (BRCA1/2, and by extension PALB2) with genes that have none in pancreatic cancer (CDKN2A, TP53)</w:t>
            </w:r>
          </w:p>
          <w:p>
            <w:pPr>
              <w:pStyle w:val="ListParagraph"/>
              <w:numPr>
                <w:ilvl w:val="0"/>
                <w:numId w:val="2"/>
              </w:numPr>
              <w:spacing w:after="45"/>
            </w:pPr>
            <w:r>
              <w:rPr>
                <w:sz w:val="15"/>
                <w:szCs w:val="15"/>
              </w:rPr>
              <w:t xml:space="preserve">A clinic-based case series at a tertiary referral centre over 16 years oversamples patients who survived long enough to be enrolled and consented; the null survival association (HR 0.86) is therefore not a clean test of whether carriage affects prognosis</w:t>
            </w:r>
          </w:p>
          <w:p>
            <w:pPr>
              <w:pStyle w:val="ListParagraph"/>
              <w:numPr>
                <w:ilvl w:val="0"/>
                <w:numId w:val="2"/>
              </w:numPr>
              <w:spacing w:after="45"/>
            </w:pPr>
            <w:r>
              <w:rPr>
                <w:sz w:val="15"/>
                <w:szCs w:val="15"/>
              </w:rPr>
              <w:t xml:space="preserve">Multiplicity across 21 genes and several subgroup strata (family history, age, race) is not formally controlled, and the authors report subgroup ORs for family-history strata as if independently estimated</w:t>
            </w:r>
          </w:p>
          <w:p>
            <w:pPr>
              <w:pStyle w:val="ListParagraph"/>
              <w:numPr>
                <w:ilvl w:val="0"/>
                <w:numId w:val="2"/>
              </w:numPr>
              <w:spacing w:after="45"/>
            </w:pPr>
            <w:r>
              <w:rPr>
                <w:sz w:val="15"/>
                <w:szCs w:val="15"/>
              </w:rPr>
              <w:t xml:space="preserve">Two co-authors were employees of Qiagen, which supplies variant-interpretation software, a relationship relevant to how variants were classified; the paper discloses this but does not discuss its bearing on classification</w:t>
            </w:r>
          </w:p>
          <w:p>
            <w:pPr>
              <w:pStyle w:val="ListParagraph"/>
              <w:numPr>
                <w:ilvl w:val="0"/>
                <w:numId w:val="2"/>
              </w:numPr>
              <w:spacing w:after="45"/>
            </w:pPr>
            <w:r>
              <w:rPr>
                <w:sz w:val="15"/>
                <w:szCs w:val="15"/>
              </w:rPr>
              <w:t xml:space="preserve">The paper establishes risk association only; it supports cascade testing of relatives but says nothing about whether testing changes outcomes, which is the claim a pathway page usually wants to make</w:t>
            </w:r>
          </w:p>
        </w:tc>
      </w:tr>
    </w:tbl>
    <w:p>
      <w:pPr>
        <w:spacing w:after="0" w:line="276"/>
      </w:pPr>
      <w:r>
        <w:rPr>
          <w:color w:val="5A6069"/>
          <w:sz w:val="14"/>
          <w:szCs w:val="14"/>
        </w:rPr>
        <w:t xml:space="preserve">Funding: National Institutes of Health grants R01CA192393, R01CA97075 and P50CA102701 (Mayo Clinic Pancreatic Cancer SPORE), Mayo Clinic Department of Laboratory Medicine and Pathology Research Funds, Mayo Clinic Center for Individualized Medicine, Rolfe Pancreatic Cancer Foundation, Vernon F. and Mae E. Thompson Charitable Fund; funders stated to have had no role in design, conduct or analysis</w:t>
      </w:r>
    </w:p>
    <w:p>
      <w:pPr>
        <w:keepNext/>
        <w:spacing w:after="50" w:before="260"/>
      </w:pPr>
      <w:r>
        <w:rPr>
          <w:rFonts w:ascii="Cambria" w:cs="Cambria" w:eastAsia="Cambria" w:hAnsi="Cambria"/>
          <w:b/>
          <w:bCs/>
          <w:color w:val="17365D"/>
          <w:sz w:val="20"/>
          <w:szCs w:val="20"/>
        </w:rPr>
        <w:t xml:space="preserve">Kaslow benchmarks</w:t>
      </w:r>
      <w:r>
        <w:rPr>
          <w:b/>
          <w:bCs/>
          <w:color w:val="176A87"/>
          <w:sz w:val="15"/>
          <w:szCs w:val="15"/>
        </w:rPr>
        <w:t xml:space="preserve">   Retrospective cohort</w:t>
      </w:r>
      <w:r>
        <w:rPr>
          <w:color w:val="5A6069"/>
          <w:sz w:val="15"/>
          <w:szCs w:val="15"/>
        </w:rPr>
        <w:t xml:space="preserve">   PMID 36353987</w:t>
      </w:r>
    </w:p>
    <w:p>
      <w:pPr>
        <w:spacing w:after="50" w:line="276"/>
      </w:pPr>
      <w:r>
        <w:rPr>
          <w:color w:val="5A6069"/>
          <w:sz w:val="17"/>
          <w:szCs w:val="17"/>
        </w:rPr>
        <w:t xml:space="preserve">Natural History of Stage IV Pancreatic Cancer. Identifying Survival Benchmarks for Curative-intent Resection in Patients With Synchronous Liver-only Metastases.</w:t>
      </w:r>
    </w:p>
    <w:p>
      <w:pPr>
        <w:spacing w:after="50"/>
      </w:pPr>
      <w:r>
        <w:rPr>
          <w:b/>
          <w:bCs/>
          <w:color w:val="176A87"/>
          <w:sz w:val="16"/>
          <w:szCs w:val="16"/>
        </w:rPr>
        <w:t xml:space="preserve">Population. </w:t>
      </w:r>
      <w:r>
        <w:rPr>
          <w:sz w:val="16"/>
          <w:szCs w:val="16"/>
        </w:rPr>
        <w:t xml:space="preserve">241 patients with clinical stage IV PDAC and synchronous metastasis (4 who had primary resection excluded); 144 with liver-only disease; 80 with imaging reviewed; final benchmark cohort 9 patients (4%)</w:t>
      </w:r>
    </w:p>
    <w:p>
      <w:pPr>
        <w:spacing w:after="70"/>
      </w:pPr>
      <w:r>
        <w:rPr>
          <w:b/>
          <w:bCs/>
          <w:color w:val="17365D"/>
          <w:sz w:val="16"/>
          <w:szCs w:val="16"/>
        </w:rPr>
        <w:t xml:space="preserve">Bottom line. </w:t>
      </w:r>
      <w:r>
        <w:rPr>
          <w:sz w:val="16"/>
          <w:szCs w:val="16"/>
        </w:rPr>
        <w:t xml:space="preserve">This single-centre natural-history study is the control group the oligometastatic pancreatic surgery literature never had: patients with liver-only metastatic PDAC who received chemotherapy and survived 12 months had a median survival of 26 months, and the 4% who were also theoretically operable reached 39 months with NO surgery at all - matching or exceeding most published resection series and showing that conditional survival, not resection, explains their results, though the benchmark itself rests on only nine patients and there were no 5-year survivors.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single-institution experience with practice variation even within the institution - for example no universal approach to diagnosing peritoneal disease, so not every patient had staging laparoscopy</w:t>
            </w:r>
          </w:p>
          <w:p>
            <w:pPr>
              <w:pStyle w:val="ListParagraph"/>
              <w:numPr>
                <w:ilvl w:val="0"/>
                <w:numId w:val="2"/>
              </w:numPr>
              <w:spacing w:after="45"/>
            </w:pPr>
            <w:r>
              <w:rPr>
                <w:sz w:val="15"/>
                <w:szCs w:val="15"/>
              </w:rPr>
              <w:t xml:space="preserve">The proportion with metastatic disease at diagnosis (34%) is low relative to national cohorts and major centres where up to 47% present metastatic; the population appears skewed toward patients undergoing curative-intent treatment with fewer systemic-only patients, possibly because chemotherapy was given at local hospitals</w:t>
            </w:r>
          </w:p>
          <w:p>
            <w:pPr>
              <w:pStyle w:val="ListParagraph"/>
              <w:numPr>
                <w:ilvl w:val="0"/>
                <w:numId w:val="2"/>
              </w:numPr>
              <w:spacing w:after="45"/>
            </w:pPr>
            <w:r>
              <w:rPr>
                <w:sz w:val="15"/>
                <w:szCs w:val="15"/>
              </w:rPr>
              <w:t xml:space="preserve">The cohort predates the current electronic medical record, so not all patients had complete data (such as CA19-9) or available imaging for review</w:t>
            </w:r>
          </w:p>
          <w:p>
            <w:pPr>
              <w:pStyle w:val="ListParagraph"/>
              <w:numPr>
                <w:ilvl w:val="0"/>
                <w:numId w:val="2"/>
              </w:numPr>
              <w:spacing w:after="45"/>
            </w:pPr>
            <w:r>
              <w:rPr>
                <w:sz w:val="15"/>
                <w:szCs w:val="15"/>
              </w:rPr>
              <w:t xml:space="preserve">Because CA19-9 availability varied, it was deliberately NOT used as a criterion for selecting the hypothetical benchmark cohort, even though CA19-9 trend is likely to inform real clinical decisions</w:t>
            </w:r>
          </w:p>
          <w:p>
            <w:pPr>
              <w:pStyle w:val="ListParagraph"/>
              <w:numPr>
                <w:ilvl w:val="0"/>
                <w:numId w:val="2"/>
              </w:numPr>
              <w:spacing w:after="45"/>
            </w:pPr>
            <w:r>
              <w:rPr>
                <w:sz w:val="15"/>
                <w:szCs w:val="15"/>
              </w:rPr>
              <w:t xml:space="preserve">The authors state that to the best of their knowledge no published study has compared resected patients with patients who survived to the same landmark time without surgery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this paper IS the comparator, and that is its contribution - it supplies the control arm that Hamad, D'Ambra, Clements and every single-centre resection series lack. Its own weakness is the mirror image: it has no surgical arm, so it cannot exclude a real benefit from resection, only show that most of the reported benefit is explained by selection</w:t>
            </w:r>
          </w:p>
          <w:p>
            <w:pPr>
              <w:pStyle w:val="ListParagraph"/>
              <w:numPr>
                <w:ilvl w:val="0"/>
                <w:numId w:val="2"/>
              </w:numPr>
              <w:spacing w:after="45"/>
            </w:pPr>
            <w:r>
              <w:rPr>
                <w:sz w:val="15"/>
                <w:szCs w:val="15"/>
              </w:rPr>
              <w:t xml:space="preserve">THE BENCHMARK REST ON NINE PATIENTS. A median of 39 months with a 95% CI of 13 months to not-reached is an estimate from 9 people, 5 of whom had died. The paper is appropriately explicit that this is a 'hypothetical cohort', but a 9-patient benchmark is a fragile standard against which to judge surgical series of 30-250 patients, and the direction of its own imprecision is unknown</w:t>
            </w:r>
          </w:p>
          <w:p>
            <w:pPr>
              <w:pStyle w:val="ListParagraph"/>
              <w:numPr>
                <w:ilvl w:val="0"/>
                <w:numId w:val="2"/>
              </w:numPr>
              <w:spacing w:after="45"/>
            </w:pPr>
            <w:r>
              <w:rPr>
                <w:sz w:val="15"/>
                <w:szCs w:val="15"/>
              </w:rPr>
              <w:t xml:space="preserve">THE 12-MONTH LANDMARK IS ITSELF ARBITRARY AND BORROWED. It was chosen because two published series had a median 10 months from diagnosis to surgery. Series with a shorter interval (6-8 months in one cited study) face less immortal time bias, so a single 12-month landmark over-corrects for some comparisons and under-corrects for others; no sensitivity analysis across landmark times is presented</w:t>
            </w:r>
          </w:p>
          <w:p>
            <w:pPr>
              <w:pStyle w:val="ListParagraph"/>
              <w:numPr>
                <w:ilvl w:val="0"/>
                <w:numId w:val="2"/>
              </w:numPr>
              <w:spacing w:after="45"/>
            </w:pPr>
            <w:r>
              <w:rPr>
                <w:sz w:val="15"/>
                <w:szCs w:val="15"/>
              </w:rPr>
              <w:t xml:space="preserve">ONLY 80 OF 183 PATIENTS WITH LIVER METASTASIS HAD IMAGING AVAILABLE FOR REVIEW (44%), and resectability - the paper's only significant prognostic variable - could only be assigned in that subset. Whether imaging was retrievable is unlikely to be independent of where and how intensively a patient was treated</w:t>
            </w:r>
          </w:p>
          <w:p>
            <w:pPr>
              <w:pStyle w:val="ListParagraph"/>
              <w:numPr>
                <w:ilvl w:val="0"/>
                <w:numId w:val="2"/>
              </w:numPr>
              <w:spacing w:after="45"/>
            </w:pPr>
            <w:r>
              <w:rPr>
                <w:sz w:val="15"/>
                <w:szCs w:val="15"/>
              </w:rPr>
              <w:t xml:space="preserve">RESECTABILITY WAS ASSESSED BY THE AUTHORS RETROSPECTIVELY AND UNBLINDED TO OUTCOME, using criteria adapted from colorectal liver metastasis. The finding that liver resectability predicts survival (HR 0.51) is therefore partly a judgement made with knowledge of the clinical course, and resectability was itself strongly correlated with metastatic burden (P&lt;0.001) - so it may be a proxy for disease volume rather than an independent factor</w:t>
            </w:r>
          </w:p>
          <w:p>
            <w:pPr>
              <w:pStyle w:val="ListParagraph"/>
              <w:numPr>
                <w:ilvl w:val="0"/>
                <w:numId w:val="2"/>
              </w:numPr>
              <w:spacing w:after="45"/>
            </w:pPr>
            <w:r>
              <w:rPr>
                <w:sz w:val="15"/>
                <w:szCs w:val="15"/>
              </w:rPr>
              <w:t xml:space="preserve">THE COHORT IS UNREPRESENTATIVE IN A DIRECTION THE AUTHORS ACKNOWLEDGE BUT UNDERSTATE: 34% presented with metastatic disease versus up to 47% nationally, and 29% received no chemotherapy at all with 11% of those going to hospice. A referral cohort at an academic centre that captures few systemic-only patients will overstate survival at every level, which if anything makes the benchmark MORE conservative - but it also means the 7-month baseline median is not a national figure</w:t>
            </w:r>
          </w:p>
          <w:p>
            <w:pPr>
              <w:pStyle w:val="ListParagraph"/>
              <w:numPr>
                <w:ilvl w:val="0"/>
                <w:numId w:val="2"/>
              </w:numPr>
              <w:spacing w:after="45"/>
            </w:pPr>
            <w:r>
              <w:rPr>
                <w:sz w:val="15"/>
                <w:szCs w:val="15"/>
              </w:rPr>
              <w:t xml:space="preserve">STAGING LAPAROSCOPY WAS NOT ROUTINE, so some patients classified as liver-only had undetected peritoneal disease; conversely patients with occult peritoneal disease are exactly who a surgical series would exclude at exploration, which biases the comparison against the non-surgical benchmark</w:t>
            </w:r>
          </w:p>
          <w:p>
            <w:pPr>
              <w:pStyle w:val="ListParagraph"/>
              <w:numPr>
                <w:ilvl w:val="0"/>
                <w:numId w:val="2"/>
              </w:numPr>
              <w:spacing w:after="45"/>
            </w:pPr>
            <w:r>
              <w:rPr>
                <w:sz w:val="15"/>
                <w:szCs w:val="15"/>
              </w:rPr>
              <w:t xml:space="preserve">CA 19-9 WAS DELIBERATELY EXCLUDED FROM THE SELECTION CRITERIA, and 64% of the benchmark cohort had RISING CA19-9. In practice no surgeon would operate on a patient with a rising marker, so the benchmark cohort is less favourably selected than a real surgical cohort on the single most used biological criterion - which cuts against the paper's argument that the groups are comparable</w:t>
            </w:r>
          </w:p>
          <w:p>
            <w:pPr>
              <w:pStyle w:val="ListParagraph"/>
              <w:numPr>
                <w:ilvl w:val="0"/>
                <w:numId w:val="2"/>
              </w:numPr>
              <w:spacing w:after="45"/>
            </w:pPr>
            <w:r>
              <w:rPr>
                <w:sz w:val="15"/>
                <w:szCs w:val="15"/>
              </w:rPr>
              <w:t xml:space="preserve">The paper does not report how many of the 241 patients received multi-agent versus single-agent chemotherapy by subgroup beyond 81% overall, nor duration of therapy, so the benchmark's 26- and 39-month survivals cannot be attributed to a specified systemic regimen</w:t>
            </w:r>
          </w:p>
          <w:p>
            <w:pPr>
              <w:pStyle w:val="ListParagraph"/>
              <w:numPr>
                <w:ilvl w:val="0"/>
                <w:numId w:val="2"/>
              </w:numPr>
              <w:spacing w:after="45"/>
            </w:pPr>
            <w:r>
              <w:rPr>
                <w:sz w:val="15"/>
                <w:szCs w:val="15"/>
              </w:rPr>
              <w:t xml:space="preserve">A pathway should take the methodological lesson (landmark analysis is mandatory, resected-only denominators are uninterpretable) as the durable finding, and treat the 39-month figure itself as a 9-patient estimate</w:t>
            </w:r>
          </w:p>
        </w:tc>
      </w:tr>
    </w:tbl>
    <w:p>
      <w:pPr>
        <w:spacing w:after="0" w:line="276"/>
      </w:pPr>
      <w:r>
        <w:rPr>
          <w:color w:val="5A6069"/>
          <w:sz w:val="14"/>
          <w:szCs w:val="14"/>
        </w:rPr>
        <w:t xml:space="preserve">Funding: No funding source is stated. The authors report no conflicts of interest.</w:t>
      </w:r>
    </w:p>
    <w:p>
      <w:pPr>
        <w:keepNext/>
        <w:spacing w:after="50" w:before="260"/>
      </w:pPr>
      <w:r>
        <w:rPr>
          <w:rFonts w:ascii="Cambria" w:cs="Cambria" w:eastAsia="Cambria" w:hAnsi="Cambria"/>
          <w:b/>
          <w:bCs/>
          <w:color w:val="17365D"/>
          <w:sz w:val="20"/>
          <w:szCs w:val="20"/>
        </w:rPr>
        <w:t xml:space="preserve">LAP07</w:t>
      </w:r>
      <w:r>
        <w:rPr>
          <w:b/>
          <w:bCs/>
          <w:color w:val="176A87"/>
          <w:sz w:val="15"/>
          <w:szCs w:val="15"/>
        </w:rPr>
        <w:t xml:space="preserve">   Randomised trial</w:t>
      </w:r>
      <w:r>
        <w:rPr>
          <w:color w:val="5A6069"/>
          <w:sz w:val="15"/>
          <w:szCs w:val="15"/>
        </w:rPr>
        <w:t xml:space="preserve">   PMID 27139057</w:t>
      </w:r>
    </w:p>
    <w:p>
      <w:pPr>
        <w:spacing w:after="50" w:line="276"/>
      </w:pPr>
      <w:r>
        <w:rPr>
          <w:color w:val="5A6069"/>
          <w:sz w:val="17"/>
          <w:szCs w:val="17"/>
        </w:rPr>
        <w:t xml:space="preserve">Effect of Chemoradiotherapy vs Chemotherapy on Survival in Patients With Locally Advanced Pancreatic Cancer Controlled After 4 Months of Gemcitabine With or Without Erlotinib: The LAP07 Randomized Clinical Trial.</w:t>
      </w:r>
    </w:p>
    <w:p>
      <w:pPr>
        <w:spacing w:after="50"/>
      </w:pPr>
      <w:r>
        <w:rPr>
          <w:b/>
          <w:bCs/>
          <w:color w:val="176A87"/>
          <w:sz w:val="16"/>
          <w:szCs w:val="16"/>
        </w:rPr>
        <w:t xml:space="preserve">Population. </w:t>
      </w:r>
      <w:r>
        <w:rPr>
          <w:sz w:val="16"/>
          <w:szCs w:val="16"/>
        </w:rPr>
        <w:t xml:space="preserve">442 eligible patients at first randomisation (223 gemcitabine, 219 gemcitabine-erlotinib); 269 at second randomisation (136 chemotherapy, 133 chemoradiotherapy); 379 deaths</w:t>
      </w:r>
    </w:p>
    <w:p>
      <w:pPr>
        <w:spacing w:after="70"/>
      </w:pPr>
      <w:r>
        <w:rPr>
          <w:b/>
          <w:bCs/>
          <w:color w:val="17365D"/>
          <w:sz w:val="16"/>
          <w:szCs w:val="16"/>
        </w:rPr>
        <w:t xml:space="preserve">Bottom line. </w:t>
      </w:r>
      <w:r>
        <w:rPr>
          <w:sz w:val="16"/>
          <w:szCs w:val="16"/>
        </w:rPr>
        <w:t xml:space="preserve">LAP07 shows that consolidation chemoradiotherapy after four months of gemcitabine-based induction does not prolong survival in locally advanced pancreatic cancer (15.2 vs 16.5 months, HR 1.03) though it halves locoregional progression and roughly doubles treatment-free time, and that adding erlotinib to gemcitabine is useless and possibly harmful; it was stopped early for futility, used chemotherapy the authors themselves call obsolete, and achieved curative resection in only 4% of patients.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Non-optimal drugs were used because the study was designed in 2005, before FOLFIRINOX and nab-paclitaxel; more effective systemic treatment is needed</w:t>
            </w:r>
          </w:p>
          <w:p>
            <w:pPr>
              <w:pStyle w:val="ListParagraph"/>
              <w:numPr>
                <w:ilvl w:val="0"/>
                <w:numId w:val="2"/>
              </w:numPr>
              <w:spacing w:after="45"/>
            </w:pPr>
            <w:r>
              <w:rPr>
                <w:sz w:val="15"/>
                <w:szCs w:val="15"/>
              </w:rPr>
              <w:t xml:space="preserve">Although FOLFOX was suggested as second-line therapy in the protocol, subsequent lines of chemotherapy were not systematised</w:t>
            </w:r>
          </w:p>
          <w:p>
            <w:pPr>
              <w:pStyle w:val="ListParagraph"/>
              <w:numPr>
                <w:ilvl w:val="0"/>
                <w:numId w:val="2"/>
              </w:numPr>
              <w:spacing w:after="45"/>
            </w:pPr>
            <w:r>
              <w:rPr>
                <w:sz w:val="15"/>
                <w:szCs w:val="15"/>
              </w:rPr>
              <w:t xml:space="preserve">Quality-of-life and cost-efficacy analyses were not planned as secondary objectives</w:t>
            </w:r>
          </w:p>
          <w:p>
            <w:pPr>
              <w:pStyle w:val="ListParagraph"/>
              <w:numPr>
                <w:ilvl w:val="0"/>
                <w:numId w:val="2"/>
              </w:numPr>
              <w:spacing w:after="45"/>
            </w:pPr>
            <w:r>
              <w:rPr>
                <w:sz w:val="15"/>
                <w:szCs w:val="15"/>
              </w:rPr>
              <w:t xml:space="preserve">Assessment of pain was not optimal</w:t>
            </w:r>
          </w:p>
          <w:p>
            <w:pPr>
              <w:pStyle w:val="ListParagraph"/>
              <w:numPr>
                <w:ilvl w:val="0"/>
                <w:numId w:val="2"/>
              </w:numPr>
              <w:spacing w:after="45"/>
            </w:pPr>
            <w:r>
              <w:rPr>
                <w:sz w:val="15"/>
                <w:szCs w:val="15"/>
              </w:rPr>
              <w:t xml:space="preserve">Evaluation of tumour response and progression-free survival was NOT centralised</w:t>
            </w:r>
          </w:p>
          <w:p>
            <w:pPr>
              <w:pStyle w:val="ListParagraph"/>
              <w:numPr>
                <w:ilvl w:val="0"/>
                <w:numId w:val="2"/>
              </w:numPr>
              <w:spacing w:after="45"/>
            </w:pPr>
            <w:r>
              <w:rPr>
                <w:sz w:val="15"/>
                <w:szCs w:val="15"/>
              </w:rPr>
              <w:t xml:space="preserve">Survival in the second-randomisation population (15.2 and 16.5 months) was much higher than the hypothesised 9 and 12 months, which the authors attribute to induction chemotherapy selecting a more favourable prognostic group</w:t>
            </w:r>
          </w:p>
          <w:p>
            <w:pPr>
              <w:pStyle w:val="ListParagraph"/>
              <w:numPr>
                <w:ilvl w:val="0"/>
                <w:numId w:val="2"/>
              </w:numPr>
              <w:spacing w:after="45"/>
            </w:pPr>
            <w:r>
              <w:rPr>
                <w:sz w:val="15"/>
                <w:szCs w:val="15"/>
              </w:rPr>
              <w:t xml:space="preserve">Further intensification of the chemoradiotherapy regimen may be needed; IMRT and stereotactic body radiotherapy allow dose escalation not tested here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continuation of the SAME gemcitabine-based chemotherapy for two more months. Neither arm received modern systemic therapy - the trial predates FOLFIRINOX and nab-paclitaxel as standards, and the authors concede the drugs were 'non-optimal'. A null result for radiotherapy added to gemcitabine does not establish that radiotherapy adds nothing to FOLFIRINOX, which is the question a contemporary pathway faces; CONKO-007 later asked that question and also found no survival benefit</w:t>
            </w:r>
          </w:p>
          <w:p>
            <w:pPr>
              <w:pStyle w:val="ListParagraph"/>
              <w:numPr>
                <w:ilvl w:val="0"/>
                <w:numId w:val="2"/>
              </w:numPr>
              <w:spacing w:after="45"/>
            </w:pPr>
            <w:r>
              <w:rPr>
                <w:sz w:val="15"/>
                <w:szCs w:val="15"/>
              </w:rPr>
              <w:t xml:space="preserve">NON-RECEIPT OF ALLOCATED TREATMENT: 12/133 (9%) allocated to chemoradiotherapy did not receive it and 4 more were unassessable for radiotherapy quality; in the first randomisation all 442 received their allocated induction. The larger loss is upstream: 173/442 (39%) never reached the second randomisation at all, so the primary comparison involves only 61% of the enrolled population</w:t>
            </w:r>
          </w:p>
          <w:p>
            <w:pPr>
              <w:pStyle w:val="ListParagraph"/>
              <w:numPr>
                <w:ilvl w:val="0"/>
                <w:numId w:val="2"/>
              </w:numPr>
              <w:spacing w:after="45"/>
            </w:pPr>
            <w:r>
              <w:rPr>
                <w:sz w:val="15"/>
                <w:szCs w:val="15"/>
              </w:rPr>
              <w:t xml:space="preserve">THE PRIMARY ENDPOINT IS MEASURED FROM THE FIRST RANDOMISATION BUT THE INTERVENTION IS ALLOCATED AT THE SECOND. Four months of survival are therefore common to both arms by construction, which dilutes any true effect of chemoradiotherapy toward the null and makes the 1.3-month difference even less informative than it looks. The preplanned sensitivity analysis from the second randomisation is mentioned in the methods but its result is not reported in the text for the primary comparison</w:t>
            </w:r>
          </w:p>
          <w:p>
            <w:pPr>
              <w:pStyle w:val="ListParagraph"/>
              <w:numPr>
                <w:ilvl w:val="0"/>
                <w:numId w:val="2"/>
              </w:numPr>
              <w:spacing w:after="45"/>
            </w:pPr>
            <w:r>
              <w:rPr>
                <w:sz w:val="15"/>
                <w:szCs w:val="15"/>
              </w:rPr>
              <w:t xml:space="preserve">THE TRIAL WAS STOPPED AT ITS INTERIM ANALYSIS FOR FUTILITY and that interim analysis was then declared the final one. It never reached its planned 392 deaths or 480-722 patients, so the confidence interval (0.79-1.34) cannot exclude a clinically meaningful 20% relative benefit or harm. 'No significant difference' here means underpowered, not equivalent</w:t>
            </w:r>
          </w:p>
          <w:p>
            <w:pPr>
              <w:pStyle w:val="ListParagraph"/>
              <w:numPr>
                <w:ilvl w:val="0"/>
                <w:numId w:val="2"/>
              </w:numPr>
              <w:spacing w:after="45"/>
            </w:pPr>
            <w:r>
              <w:rPr>
                <w:sz w:val="15"/>
                <w:szCs w:val="15"/>
              </w:rPr>
              <w:t xml:space="preserve">FIFTY PERCENT OF RADIOTHERAPY PLANS HAD MINOR AND 18% MAJOR PROTOCOL DEVIATIONS despite a formal quality assurance programme. The authors argue deviations did not significantly affect survival, but that analysis (17.0 vs 13.4 months, HR 1.43) is itself underpowered at 21 major-deviation patients and the point estimate runs in the harmful direction - so the trial cannot cleanly separate 'radiotherapy does not work' from 'this radiotherapy was not delivered well enough'</w:t>
            </w:r>
          </w:p>
          <w:p>
            <w:pPr>
              <w:pStyle w:val="ListParagraph"/>
              <w:numPr>
                <w:ilvl w:val="0"/>
                <w:numId w:val="2"/>
              </w:numPr>
              <w:spacing w:after="45"/>
            </w:pPr>
            <w:r>
              <w:rPr>
                <w:sz w:val="15"/>
                <w:szCs w:val="15"/>
              </w:rPr>
              <w:t xml:space="preserve">RESPONSE AND PROGRESSION WERE ASSESSED LOCALLY WITH NO CENTRAL REVIEW, in an open-label trial, which matters for the locoregional-versus-distant progression finding that is the paper's main positive claim: investigators who knew a patient had received abdominal radiotherapy were reading the same scans for local progression</w:t>
            </w:r>
          </w:p>
          <w:p>
            <w:pPr>
              <w:pStyle w:val="ListParagraph"/>
              <w:numPr>
                <w:ilvl w:val="0"/>
                <w:numId w:val="2"/>
              </w:numPr>
              <w:spacing w:after="45"/>
            </w:pPr>
            <w:r>
              <w:rPr>
                <w:sz w:val="15"/>
                <w:szCs w:val="15"/>
              </w:rPr>
              <w:t xml:space="preserve">THE SHIFT FROM LOCOREGIONAL (32% vs 46%) TO METASTATIC (60% vs 44%) PROGRESSION IS A COMPETING-RISK PHENOMENON reported as a treatment effect. Patients whose local disease is controlled live long enough to be recorded as progressing distantly; the paper does not analyse these as competing risks</w:t>
            </w:r>
          </w:p>
          <w:p>
            <w:pPr>
              <w:pStyle w:val="ListParagraph"/>
              <w:numPr>
                <w:ilvl w:val="0"/>
                <w:numId w:val="2"/>
              </w:numPr>
              <w:spacing w:after="45"/>
            </w:pPr>
            <w:r>
              <w:rPr>
                <w:sz w:val="15"/>
                <w:szCs w:val="15"/>
              </w:rPr>
              <w:t xml:space="preserve">BASELINE IMBALANCE AT THE SECOND RANDOMISATION FAVOURS NEITHER ARM CONSISTENTLY but is notable: 56% of the chemotherapy arm were men versus 44% of the chemoradiotherapy arm, and WHO performance status 1 was recorded in 25.3% versus 45.1% - a large imbalance in the paper's own Table 1 that is not commented on and would favour the chemotherapy arm</w:t>
            </w:r>
          </w:p>
          <w:p>
            <w:pPr>
              <w:pStyle w:val="ListParagraph"/>
              <w:numPr>
                <w:ilvl w:val="0"/>
                <w:numId w:val="2"/>
              </w:numPr>
              <w:spacing w:after="45"/>
            </w:pPr>
            <w:r>
              <w:rPr>
                <w:sz w:val="15"/>
                <w:szCs w:val="15"/>
              </w:rPr>
              <w:t xml:space="preserve">GRADE AND HISTOLOGIC DATA WERE UNKNOWN IN ABOUT HALF THE COHORT (50-53% 'unknown' grade), so the two arms cannot be shown comparable on a major prognostic variable</w:t>
            </w:r>
          </w:p>
          <w:p>
            <w:pPr>
              <w:pStyle w:val="ListParagraph"/>
              <w:numPr>
                <w:ilvl w:val="0"/>
                <w:numId w:val="2"/>
              </w:numPr>
              <w:spacing w:after="45"/>
            </w:pPr>
            <w:r>
              <w:rPr>
                <w:sz w:val="15"/>
                <w:szCs w:val="15"/>
              </w:rPr>
              <w:t xml:space="preserve">The 4% secondary resection rate is a genuinely important finding for a pathway - gemcitabine-based induction almost never converts locally advanced disease - but it is reported as a brief paragraph and contrasts with the 26% pooled resection rate Suker et al. report for FOLFIRINOX induction in the same year, a difference of regimen the trial could not test</w:t>
            </w:r>
          </w:p>
          <w:p>
            <w:pPr>
              <w:pStyle w:val="ListParagraph"/>
              <w:numPr>
                <w:ilvl w:val="0"/>
                <w:numId w:val="2"/>
              </w:numPr>
              <w:spacing w:after="45"/>
            </w:pPr>
            <w:r>
              <w:rPr>
                <w:sz w:val="15"/>
                <w:szCs w:val="15"/>
              </w:rPr>
              <w:t xml:space="preserve">The trial was supported by Roche, the manufacturer of erlotinib, one of the two interventions tested; the paper states Roche had no role in design, conduct, analysis or publication, and the erlotinib result was negative, which limits the concern</w:t>
            </w:r>
          </w:p>
        </w:tc>
      </w:tr>
    </w:tbl>
    <w:p>
      <w:pPr>
        <w:spacing w:after="0" w:line="276"/>
      </w:pPr>
      <w:r>
        <w:rPr>
          <w:color w:val="5A6069"/>
          <w:sz w:val="14"/>
          <w:szCs w:val="14"/>
        </w:rPr>
        <w:t xml:space="preserve">Funding: Roche and the French National Institute of Cancer (INCa). Neither funder is stated to have had a role in design, conduct, data management, analysis, interpretation, manuscript preparation or the decision to submit. Several authors report consulting fees or honoraria from Celgene, Merck Serono, Roche, Pfizer, Sanofi, Lilly, Amgen, Novartis and others.</w:t>
      </w:r>
    </w:p>
    <w:p>
      <w:pPr>
        <w:keepNext/>
        <w:spacing w:after="50" w:before="260"/>
      </w:pPr>
      <w:r>
        <w:rPr>
          <w:rFonts w:ascii="Cambria" w:cs="Cambria" w:eastAsia="Cambria" w:hAnsi="Cambria"/>
          <w:b/>
          <w:bCs/>
          <w:color w:val="17365D"/>
          <w:sz w:val="20"/>
          <w:szCs w:val="20"/>
        </w:rPr>
        <w:t xml:space="preserve">MPACT</w:t>
      </w:r>
      <w:r>
        <w:rPr>
          <w:b/>
          <w:bCs/>
          <w:color w:val="176A87"/>
          <w:sz w:val="15"/>
          <w:szCs w:val="15"/>
        </w:rPr>
        <w:t xml:space="preserve">   Randomised trial</w:t>
      </w:r>
      <w:r>
        <w:rPr>
          <w:color w:val="5A6069"/>
          <w:sz w:val="15"/>
          <w:szCs w:val="15"/>
        </w:rPr>
        <w:t xml:space="preserve">   PMID 24131140</w:t>
      </w:r>
    </w:p>
    <w:p>
      <w:pPr>
        <w:spacing w:after="50" w:line="276"/>
      </w:pPr>
      <w:r>
        <w:rPr>
          <w:color w:val="5A6069"/>
          <w:sz w:val="17"/>
          <w:szCs w:val="17"/>
        </w:rPr>
        <w:t xml:space="preserve">Increased Survival in Pancreatic Cancer with nab-Paclitaxel plus Gemcitabine.</w:t>
      </w:r>
    </w:p>
    <w:p>
      <w:pPr>
        <w:spacing w:after="50"/>
      </w:pPr>
      <w:r>
        <w:rPr>
          <w:b/>
          <w:bCs/>
          <w:color w:val="176A87"/>
          <w:sz w:val="16"/>
          <w:szCs w:val="16"/>
        </w:rPr>
        <w:t xml:space="preserve">Population. </w:t>
      </w:r>
      <w:r>
        <w:rPr>
          <w:sz w:val="16"/>
          <w:szCs w:val="16"/>
        </w:rPr>
        <w:t xml:space="preserve">861 patients (431 nab-paclitaxel plus gemcitabine, 430 gemcitabine); 823 treated; 692 deaths (80%)</w:t>
      </w:r>
    </w:p>
    <w:p>
      <w:pPr>
        <w:spacing w:after="70"/>
      </w:pPr>
      <w:r>
        <w:rPr>
          <w:b/>
          <w:bCs/>
          <w:color w:val="17365D"/>
          <w:sz w:val="16"/>
          <w:szCs w:val="16"/>
        </w:rPr>
        <w:t xml:space="preserve">Bottom line. </w:t>
      </w:r>
      <w:r>
        <w:rPr>
          <w:sz w:val="16"/>
          <w:szCs w:val="16"/>
        </w:rPr>
        <w:t xml:space="preserve">MPACT established nab-paclitaxel plus gemcitabine as a first-line option in metastatic pancreatic cancer, improving median survival from 6.7 to 8.5 months (HR 0.72) with doubled 1- and 2-year survival in a population less restricted by age and performance status than the FOLFIRINOX trial - at the cost of 17% grade 3 neuropathy, with no quality-of-life data at all, with more cumulative gemcitabine in the experimental arm, and designed and analysed by the drug's manufacturer against a single-agent comparator.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Quality of life was NOT measured - stated explicitly as a limitation</w:t>
            </w:r>
          </w:p>
          <w:p>
            <w:pPr>
              <w:pStyle w:val="ListParagraph"/>
              <w:numPr>
                <w:ilvl w:val="0"/>
                <w:numId w:val="2"/>
              </w:numPr>
              <w:spacing w:after="45"/>
            </w:pPr>
            <w:r>
              <w:rPr>
                <w:sz w:val="15"/>
                <w:szCs w:val="15"/>
              </w:rPr>
              <w:t xml:space="preserve">The median survival in the combination arm was more than 3 months shorter than in the preceding phase 1-2 trial, which the authors attribute to that study having been conducted at only four US centres versus 151 centres in 11 countries here</w:t>
            </w:r>
          </w:p>
          <w:p>
            <w:pPr>
              <w:pStyle w:val="ListParagraph"/>
              <w:numPr>
                <w:ilvl w:val="0"/>
                <w:numId w:val="2"/>
              </w:numPr>
              <w:spacing w:after="45"/>
            </w:pPr>
            <w:r>
              <w:rPr>
                <w:sz w:val="15"/>
                <w:szCs w:val="15"/>
              </w:rPr>
              <w:t xml:space="preserve">Peripheral neuropathy was cumulative, though rapidly reversible in most patients with temporary discontinuation and dose reduction</w:t>
            </w:r>
          </w:p>
          <w:p>
            <w:pPr>
              <w:pStyle w:val="ListParagraph"/>
              <w:numPr>
                <w:ilvl w:val="0"/>
                <w:numId w:val="2"/>
              </w:numPr>
              <w:spacing w:after="45"/>
            </w:pPr>
            <w:r>
              <w:rPr>
                <w:sz w:val="15"/>
                <w:szCs w:val="15"/>
              </w:rPr>
              <w:t xml:space="preserve">The incremental risks of sepsis and pneumonitis required protocol amendments to increase awareness</w:t>
            </w:r>
          </w:p>
          <w:p>
            <w:pPr>
              <w:pStyle w:val="ListParagraph"/>
              <w:numPr>
                <w:ilvl w:val="0"/>
                <w:numId w:val="2"/>
              </w:numPr>
              <w:spacing w:after="45"/>
            </w:pPr>
            <w:r>
              <w:rPr>
                <w:sz w:val="15"/>
                <w:szCs w:val="15"/>
              </w:rPr>
              <w:t xml:space="preserve">Comparison with the FOLFIRINOX trial is complicated because that trial pooled phase 2 and 3 data, excluded patients over 75 and excluded ECOG 2, whereas 10% of MPACT patients were at least 75 and 8% had a poor performance status equivalent to ECOG 2</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single-agent gemcitabine, the standard of care when the trial was designed - appropriate at the time. But FOLFIRINOX had been published in May 2011, 11 months before MPACT closed accrual, and the trial continued against gemcitabine rather than amending; the two regimens were never compared head to head until NAPOLI 3 used a liposomal variant, so a decade of practice rested on cross-trial comparison</w:t>
            </w:r>
          </w:p>
          <w:p>
            <w:pPr>
              <w:pStyle w:val="ListParagraph"/>
              <w:numPr>
                <w:ilvl w:val="0"/>
                <w:numId w:val="2"/>
              </w:numPr>
              <w:spacing w:after="45"/>
            </w:pPr>
            <w:r>
              <w:rPr>
                <w:sz w:val="15"/>
                <w:szCs w:val="15"/>
              </w:rPr>
              <w:t xml:space="preserve">NON-RECEIPT OF ALLOCATED TREATMENT: 10/431 (2%) and 28/430 (7%) never received treatment (treated populations 421 and 402). The imbalance is in the control arm's favour direction-wise for ITT but means almost 7% of gemcitabine patients contributed only follow-up</w:t>
            </w:r>
          </w:p>
          <w:p>
            <w:pPr>
              <w:pStyle w:val="ListParagraph"/>
              <w:numPr>
                <w:ilvl w:val="0"/>
                <w:numId w:val="2"/>
              </w:numPr>
              <w:spacing w:after="45"/>
            </w:pPr>
            <w:r>
              <w:rPr>
                <w:sz w:val="15"/>
                <w:szCs w:val="15"/>
              </w:rPr>
              <w:t xml:space="preserve">GEMCITABINE DOSE WAS NOT EQUIVALENT BETWEEN ARMS. The combination arm received a median cumulative gemcitabine dose of 11,400 mg/m2 versus 9000 mg/m2 in the monotherapy arm because they stayed on treatment longer, and the control arm's cycle 1 used the different weekly-for-7-of-8-weeks schedule. Part of the observed benefit is therefore more gemcitabine, not nab-paclitaxel, and the trial cannot separate the two</w:t>
            </w:r>
          </w:p>
          <w:p>
            <w:pPr>
              <w:pStyle w:val="ListParagraph"/>
              <w:numPr>
                <w:ilvl w:val="0"/>
                <w:numId w:val="2"/>
              </w:numPr>
              <w:spacing w:after="45"/>
            </w:pPr>
            <w:r>
              <w:rPr>
                <w:sz w:val="15"/>
                <w:szCs w:val="15"/>
              </w:rPr>
              <w:t xml:space="preserve">A 1.8-MONTH MEDIAN GAIN IS SMALL IN ABSOLUTE TERMS and is routinely reported as 'increased survival' without it; the 2-year survival difference (9% vs 4%) involves roughly 20 extra patients alive out of 431</w:t>
            </w:r>
          </w:p>
          <w:p>
            <w:pPr>
              <w:pStyle w:val="ListParagraph"/>
              <w:numPr>
                <w:ilvl w:val="0"/>
                <w:numId w:val="2"/>
              </w:numPr>
              <w:spacing w:after="45"/>
            </w:pPr>
            <w:r>
              <w:rPr>
                <w:sz w:val="15"/>
                <w:szCs w:val="15"/>
              </w:rPr>
              <w:t xml:space="preserve">QUALITY OF LIFE WAS NEVER MEASURED, in a trial whose experimental arm caused 17% grade 3+ peripheral neuropathy and 17% grade 3+ fatigue versus 1% and 7%. PRODIGE 4, run in the same era, did measure it. A pathway choosing between nab-paclitaxel/gemcitabine and FOLFIRINOX has quality-of-life data for only one of them</w:t>
            </w:r>
          </w:p>
          <w:p>
            <w:pPr>
              <w:pStyle w:val="ListParagraph"/>
              <w:numPr>
                <w:ilvl w:val="0"/>
                <w:numId w:val="2"/>
              </w:numPr>
              <w:spacing w:after="45"/>
            </w:pPr>
            <w:r>
              <w:rPr>
                <w:sz w:val="15"/>
                <w:szCs w:val="15"/>
              </w:rPr>
              <w:t xml:space="preserve">THE NEUROPATHY RECOVERY DATA ARE REPORTED AMONG PATIENTS WHO IMPROVED and in medians of time to improvement, with no cumulative-incidence estimate of unresolved neuropathy at a fixed time point. APACT, the adjuvant trial of the same regimen, later found 84% of grade 3+ neuropathy had NOT improved to grade 1 or less at its primary cutoff - a far less reassuring picture of the same drug</w:t>
            </w:r>
          </w:p>
          <w:p>
            <w:pPr>
              <w:pStyle w:val="ListParagraph"/>
              <w:numPr>
                <w:ilvl w:val="0"/>
                <w:numId w:val="2"/>
              </w:numPr>
              <w:spacing w:after="45"/>
            </w:pPr>
            <w:r>
              <w:rPr>
                <w:sz w:val="15"/>
                <w:szCs w:val="15"/>
              </w:rPr>
              <w:t xml:space="preserve">THE SUBGROUP FINDING THAT THE SICKEST PATIENTS BENEFIT MOST is biologically plausible but is also what regression to the mean and differential early mortality in a poorly performing control arm would produce; no interaction tests are reported for these subgroups and they are presented in a forest plot without multiplicity adjustment</w:t>
            </w:r>
          </w:p>
          <w:p>
            <w:pPr>
              <w:pStyle w:val="ListParagraph"/>
              <w:numPr>
                <w:ilvl w:val="0"/>
                <w:numId w:val="2"/>
              </w:numPr>
              <w:spacing w:after="45"/>
            </w:pPr>
            <w:r>
              <w:rPr>
                <w:sz w:val="15"/>
                <w:szCs w:val="15"/>
              </w:rPr>
              <w:t xml:space="preserve">THE BILIRUBIN CEILING (at or below the upper limit of normal) IS STRICTER THAN PRODIGE 4's (1.5x normal) and excludes the jaundiced patients who make up a large share of real pancreatic head cancer, while the Karnofsky 70 floor admits frailer patients than PRODIGE 4 - so the two landmark metastatic trials selected differently in opposite directions on two different axes, and their medians (8.5 vs 11.1 months) cannot be compared</w:t>
            </w:r>
          </w:p>
          <w:p>
            <w:pPr>
              <w:pStyle w:val="ListParagraph"/>
              <w:numPr>
                <w:ilvl w:val="0"/>
                <w:numId w:val="2"/>
              </w:numPr>
              <w:spacing w:after="45"/>
            </w:pPr>
            <w:r>
              <w:rPr>
                <w:sz w:val="15"/>
                <w:szCs w:val="15"/>
              </w:rPr>
              <w:t xml:space="preserve">THE PHASE 1-2 RESULT (12.2 months) DID NOT REPLICATE, FALLING BY MORE THAN 3 MONTHS IN THE PHASE 3 TRIAL. The authors attribute this to multicentre generalisability, which is reasonable - but the same logic should be applied to every single-arm or few-centre pancreatic result quoted in a pathway, including the 24.2-month FOLFIRINOX figure for locally advanced disease</w:t>
            </w:r>
          </w:p>
          <w:p>
            <w:pPr>
              <w:pStyle w:val="ListParagraph"/>
              <w:numPr>
                <w:ilvl w:val="0"/>
                <w:numId w:val="2"/>
              </w:numPr>
              <w:spacing w:after="45"/>
            </w:pPr>
            <w:r>
              <w:rPr>
                <w:sz w:val="15"/>
                <w:szCs w:val="15"/>
              </w:rPr>
              <w:t xml:space="preserve">THE TRIAL WAS DESIGNED, MONITORED, SUPPLIED AND ANALYSED BY THE MANUFACTURER OF THE EXPERIMENTAL DRUG. The protocol was designed by the first author 'in collaboration with the sponsor' (Celgene), the sponsor monitored the study and provided drugs free, the biostatistician who analysed the data and vouches for its completeness is a Celgene employee and co-author, two authors are Celgene employees, and a sponsor-employed medical writer assisted. Comparing an expensive proprietary agent added to a generic backbone against that generic backbone alone is the comparator choice an industry sponsor has every reason to make</w:t>
            </w:r>
          </w:p>
        </w:tc>
      </w:tr>
    </w:tbl>
    <w:p>
      <w:pPr>
        <w:spacing w:after="0" w:line="276"/>
      </w:pPr>
      <w:r>
        <w:rPr>
          <w:color w:val="5A6069"/>
          <w:sz w:val="14"/>
          <w:szCs w:val="14"/>
        </w:rPr>
        <w:t xml:space="preserve">Funding: Celgene, the manufacturer of nab-paclitaxel (Abraxane). The sponsor monitored the study, provided the study drugs at no charge, and co-designed the protocol; clinical researchers and a biostatistician employed by Celgene are authors and the statistician vouches for the accuracy and completeness of the data; a sponsor-employed medical writer assisted with the manuscript.</w:t>
      </w:r>
    </w:p>
    <w:p>
      <w:pPr>
        <w:keepNext/>
        <w:spacing w:after="50" w:before="260"/>
      </w:pPr>
      <w:r>
        <w:rPr>
          <w:rFonts w:ascii="Cambria" w:cs="Cambria" w:eastAsia="Cambria" w:hAnsi="Cambria"/>
          <w:b/>
          <w:bCs/>
          <w:color w:val="17365D"/>
          <w:sz w:val="20"/>
          <w:szCs w:val="20"/>
        </w:rPr>
        <w:t xml:space="preserve">NAPOLI 3</w:t>
      </w:r>
      <w:r>
        <w:rPr>
          <w:b/>
          <w:bCs/>
          <w:color w:val="176A87"/>
          <w:sz w:val="15"/>
          <w:szCs w:val="15"/>
        </w:rPr>
        <w:t xml:space="preserve">   Randomised trial</w:t>
      </w:r>
      <w:r>
        <w:rPr>
          <w:color w:val="5A6069"/>
          <w:sz w:val="15"/>
          <w:szCs w:val="15"/>
        </w:rPr>
        <w:t xml:space="preserve">   PMID 37708904</w:t>
      </w:r>
    </w:p>
    <w:p>
      <w:pPr>
        <w:spacing w:after="50" w:line="276"/>
      </w:pPr>
      <w:r>
        <w:rPr>
          <w:color w:val="5A6069"/>
          <w:sz w:val="17"/>
          <w:szCs w:val="17"/>
        </w:rPr>
        <w:t xml:space="preserve">NALIRIFOX versus nab-paclitaxel and gemcitabine in treatment-naive patients with metastatic pancreatic ductal adenocarcinoma (NAPOLI 3): a randomised, open-label, phase 3 trial.</w:t>
      </w:r>
    </w:p>
    <w:p>
      <w:pPr>
        <w:spacing w:after="50"/>
      </w:pPr>
      <w:r>
        <w:rPr>
          <w:b/>
          <w:bCs/>
          <w:color w:val="176A87"/>
          <w:sz w:val="16"/>
          <w:szCs w:val="16"/>
        </w:rPr>
        <w:t xml:space="preserve">Population. </w:t>
      </w:r>
      <w:r>
        <w:rPr>
          <w:sz w:val="16"/>
          <w:szCs w:val="16"/>
        </w:rPr>
        <w:t xml:space="preserve">770 patients (383 NALIRIFOX, 387 nab-paclitaxel plus gemcitabine); safety population 749; 544 deaths at median follow-up 16.1 months</w:t>
      </w:r>
    </w:p>
    <w:p>
      <w:pPr>
        <w:spacing w:after="70"/>
      </w:pPr>
      <w:r>
        <w:rPr>
          <w:b/>
          <w:bCs/>
          <w:color w:val="17365D"/>
          <w:sz w:val="16"/>
          <w:szCs w:val="16"/>
        </w:rPr>
        <w:t xml:space="preserve">Bottom line. </w:t>
      </w:r>
      <w:r>
        <w:rPr>
          <w:sz w:val="16"/>
          <w:szCs w:val="16"/>
        </w:rPr>
        <w:t xml:space="preserve">NAPOLI 3 is the first head-to-head phase 3 comparison of two active regimens in metastatic pancreatic cancer and shows NALIRIFOX modestly beats nab-paclitaxel plus gemcitabine (11.1 vs 9.2 months, HR 0.83, p=0.036) with equal overall grade 3+ toxicity and less neuropathy; the margin is narrow, the response-rate endpoint failed, follow-up is immature with asymmetric censoring, and the trial never compared the proprietary regimen with generic FOLFIRINOX, whose median survival in PRODIGE 4 was also 11.1 months.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Open-label design, with associated potential for outcome bias</w:t>
            </w:r>
          </w:p>
          <w:p>
            <w:pPr>
              <w:pStyle w:val="ListParagraph"/>
              <w:numPr>
                <w:ilvl w:val="0"/>
                <w:numId w:val="2"/>
              </w:numPr>
              <w:spacing w:after="45"/>
            </w:pPr>
            <w:r>
              <w:rPr>
                <w:sz w:val="15"/>
                <w:szCs w:val="15"/>
              </w:rPr>
              <w:t xml:space="preserve">The requirement for measurable disease and ECOG performance status 0 or 1 at screening</w:t>
            </w:r>
          </w:p>
          <w:p>
            <w:pPr>
              <w:pStyle w:val="ListParagraph"/>
              <w:numPr>
                <w:ilvl w:val="0"/>
                <w:numId w:val="2"/>
              </w:numPr>
              <w:spacing w:after="45"/>
            </w:pPr>
            <w:r>
              <w:rPr>
                <w:sz w:val="15"/>
                <w:szCs w:val="15"/>
              </w:rPr>
              <w:t xml:space="preserve">The absence of somatic or germline profiling information, so it is unknown whether BRCA-mutated patients benefited from platinum exposure in the NALIRIFOX group</w:t>
            </w:r>
          </w:p>
          <w:p>
            <w:pPr>
              <w:pStyle w:val="ListParagraph"/>
              <w:numPr>
                <w:ilvl w:val="0"/>
                <w:numId w:val="2"/>
              </w:numPr>
              <w:spacing w:after="45"/>
            </w:pPr>
            <w:r>
              <w:rPr>
                <w:sz w:val="15"/>
                <w:szCs w:val="15"/>
              </w:rPr>
              <w:t xml:space="preserve">Direct comparisons with PRODIGE 4 are not possible; that trial was limited to patients 75 or younger and conducted exclusively in France, whereas NAPOLI 3 was global with no age restriction</w:t>
            </w:r>
          </w:p>
          <w:p>
            <w:pPr>
              <w:pStyle w:val="ListParagraph"/>
              <w:numPr>
                <w:ilvl w:val="0"/>
                <w:numId w:val="2"/>
              </w:numPr>
              <w:spacing w:after="45"/>
            </w:pPr>
            <w:r>
              <w:rPr>
                <w:sz w:val="15"/>
                <w:szCs w:val="15"/>
              </w:rPr>
              <w:t xml:space="preserve">Cost implications and patient-reported quality-of-life outcomes were not reported and were still being analysed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nab-paclitaxel plus gemcitabine - an active, contemporary standard. This is the appropriate comparator and the trial's main strength. But the regimen NALIRIFOX most needed to beat is FOLFIRINOX, and that comparison was NOT made. NALIRIFOX is FOLFIRINOX with liposomal irinotecan substituted and lower oxaliplatin, so the trial establishes a proprietary variant against a doublet while leaving unanswered whether it adds anything over generic FOLFIRINOX, whose own median in PRODIGE 4 was also 11.1 months</w:t>
            </w:r>
          </w:p>
          <w:p>
            <w:pPr>
              <w:pStyle w:val="ListParagraph"/>
              <w:numPr>
                <w:ilvl w:val="0"/>
                <w:numId w:val="2"/>
              </w:numPr>
              <w:spacing w:after="45"/>
            </w:pPr>
            <w:r>
              <w:rPr>
                <w:sz w:val="15"/>
                <w:szCs w:val="15"/>
              </w:rPr>
              <w:t xml:space="preserve">THE PRIMARY RESULT IS BARELY POSITIVE: HR 0.83 with a 95% CI upper bound of 0.99 and p=0.036 against a prespecified final-analysis alpha of 0.048 requiring HR below 0.844. The point estimate sits just inside the boundary the design set. A 1.9-month median gain at that level of statistical fragility is a weak basis for the paper's claim of a 'new possible reference regimen'</w:t>
            </w:r>
          </w:p>
          <w:p>
            <w:pPr>
              <w:pStyle w:val="ListParagraph"/>
              <w:numPr>
                <w:ilvl w:val="0"/>
                <w:numId w:val="2"/>
              </w:numPr>
              <w:spacing w:after="45"/>
            </w:pPr>
            <w:r>
              <w:rPr>
                <w:sz w:val="15"/>
                <w:szCs w:val="15"/>
              </w:rPr>
              <w:t xml:space="preserve">THE HIERARCHICAL TESTING SEQUENCE BROKE AT STEP THREE. Overall response rate (41.8% vs 36.2%, p=0.11) was not significant, so the formal evidence chain stops after progression-free survival; the duration-of-response and sensitivity-analysis p values are explicitly nominal</w:t>
            </w:r>
          </w:p>
          <w:p>
            <w:pPr>
              <w:pStyle w:val="ListParagraph"/>
              <w:numPr>
                <w:ilvl w:val="0"/>
                <w:numId w:val="2"/>
              </w:numPr>
              <w:spacing w:after="45"/>
            </w:pPr>
            <w:r>
              <w:rPr>
                <w:sz w:val="15"/>
                <w:szCs w:val="15"/>
              </w:rPr>
              <w:t xml:space="preserve">NON-RECEIPT OF ALLOCATED TREATMENT: 13/383 (3%) and 8/387 (2%) never received study treatment - low and balanced, a genuine strength</w:t>
            </w:r>
          </w:p>
          <w:p>
            <w:pPr>
              <w:pStyle w:val="ListParagraph"/>
              <w:numPr>
                <w:ilvl w:val="0"/>
                <w:numId w:val="2"/>
              </w:numPr>
              <w:spacing w:after="45"/>
            </w:pPr>
            <w:r>
              <w:rPr>
                <w:sz w:val="15"/>
                <w:szCs w:val="15"/>
              </w:rPr>
              <w:t xml:space="preserve">THE TRIAL RAN THROUGH THE COVID-19 PANDEMIC (February 2020 to August 2021) across 18 countries, with no analysis of pandemic-era disruption to treatment delivery, imaging or mortality; the open-label design and investigator-assessed progression make this more consequential than it would be for a blinded endpoint</w:t>
            </w:r>
          </w:p>
          <w:p>
            <w:pPr>
              <w:pStyle w:val="ListParagraph"/>
              <w:numPr>
                <w:ilvl w:val="0"/>
                <w:numId w:val="2"/>
              </w:numPr>
              <w:spacing w:after="45"/>
            </w:pPr>
            <w:r>
              <w:rPr>
                <w:sz w:val="15"/>
                <w:szCs w:val="15"/>
              </w:rPr>
              <w:t xml:space="preserve">PROGRESSION WAS ASSESSED BY INVESTIGATOR REVIEW ONLY, with no blinded independent central review, in an open-label trial - the setting APACT showed can shift a pancreatic recurrence endpoint by five months. The progression-free survival result (HR 0.69, p&lt;0.0001), which is stronger than the survival result, is the endpoint most exposed to this</w:t>
            </w:r>
          </w:p>
          <w:p>
            <w:pPr>
              <w:pStyle w:val="ListParagraph"/>
              <w:numPr>
                <w:ilvl w:val="0"/>
                <w:numId w:val="2"/>
              </w:numPr>
              <w:spacing w:after="45"/>
            </w:pPr>
            <w:r>
              <w:rPr>
                <w:sz w:val="15"/>
                <w:szCs w:val="15"/>
              </w:rPr>
              <w:t xml:space="preserve">A LARGER SHARE OF NALIRIFOX PATIENTS WERE STILL ON TREATMENT AND STILL ALIVE AT DATA CUTOFF (12% vs 2% on treatment; 124 vs 102 censored), with only 16.1 months median follow-up. Immature follow-up with asymmetric censoring in the arm that wins is exactly the configuration in which an early positive signal attenuates, as it did between the 3-year and 5-year PRODIGE-24 reports</w:t>
            </w:r>
          </w:p>
          <w:p>
            <w:pPr>
              <w:pStyle w:val="ListParagraph"/>
              <w:numPr>
                <w:ilvl w:val="0"/>
                <w:numId w:val="2"/>
              </w:numPr>
              <w:spacing w:after="45"/>
            </w:pPr>
            <w:r>
              <w:rPr>
                <w:sz w:val="15"/>
                <w:szCs w:val="15"/>
              </w:rPr>
              <w:t xml:space="preserve">THE SENSITIVITY ANALYSIS CENSORING AT SUBSEQUENT THERAPY PRODUCES A 5.9-MONTH DIFFERENCE (15.1 vs 9.2 months) - three times the primary result. This is informative censoring: patients are removed from follow-up at a time determined by their own progression and their physician's decision, which differed systematically between arms (gemcitabine-based salvage after NALIRIFOX versus fluorouracil-based after the doublet). The figure should not be read as the 'true' effect</w:t>
            </w:r>
          </w:p>
          <w:p>
            <w:pPr>
              <w:pStyle w:val="ListParagraph"/>
              <w:numPr>
                <w:ilvl w:val="0"/>
                <w:numId w:val="2"/>
              </w:numPr>
              <w:spacing w:after="45"/>
            </w:pPr>
            <w:r>
              <w:rPr>
                <w:sz w:val="15"/>
                <w:szCs w:val="15"/>
              </w:rPr>
              <w:t xml:space="preserve">THE CROSS-TRIAL COMPARISON WITH PRODIGE 4 IS DONE IN THE DISCUSSION DESPITE THE AUTHORS' OWN DISCLAIMER, including a direct juxtaposition of NALIRIFOX's 3.5% neuropathy and 23.8% neutropenia against FOLFIRINOX's 9.0% and 45.7%. Those figures come from a French, age-capped, 342-patient trial run 15 years earlier with different growth-factor practice. The lower toxicity may simply reflect the lower oxaliplatin dose, which could equally be applied to generic FOLFIRINOX</w:t>
            </w:r>
          </w:p>
          <w:p>
            <w:pPr>
              <w:pStyle w:val="ListParagraph"/>
              <w:numPr>
                <w:ilvl w:val="0"/>
                <w:numId w:val="2"/>
              </w:numPr>
              <w:spacing w:after="45"/>
            </w:pPr>
            <w:r>
              <w:rPr>
                <w:sz w:val="15"/>
                <w:szCs w:val="15"/>
              </w:rPr>
              <w:t xml:space="preserve">QUALITY OF LIFE AND COST WERE NOT REPORTED, in a trial whose central practical question is whether a proprietary liposomal formulation justifies its price over generic irinotecan. Both arms had 86-87% grade 3+ adverse events, so the choice between them turns on tolerability profile and cost - exactly the two things not presented</w:t>
            </w:r>
          </w:p>
          <w:p>
            <w:pPr>
              <w:pStyle w:val="ListParagraph"/>
              <w:numPr>
                <w:ilvl w:val="0"/>
                <w:numId w:val="2"/>
              </w:numPr>
              <w:spacing w:after="45"/>
            </w:pPr>
            <w:r>
              <w:rPr>
                <w:sz w:val="15"/>
                <w:szCs w:val="15"/>
              </w:rPr>
              <w:t xml:space="preserve">THE FUNDER PARTICIPATED IN EVERY STAGE. Ipsen, which manufactures liposomal irinotecan (Onivyde), 'participated in study design, data collection, data analysis, data interpretation, and review and approval of the manuscript', and three authors are Ipsen employees, two of whom accessed and verified the underlying data. Nearly every academic author reports consulting or institutional funding from Ipsen among many other companies. The choice to test against nab-paclitaxel/gemcitabine rather than FOLFIRINOX is the comparator decision that most benefits the sponsor</w:t>
            </w:r>
          </w:p>
        </w:tc>
      </w:tr>
    </w:tbl>
    <w:p>
      <w:pPr>
        <w:spacing w:after="0" w:line="276"/>
      </w:pPr>
      <w:r>
        <w:rPr>
          <w:color w:val="5A6069"/>
          <w:sz w:val="14"/>
          <w:szCs w:val="14"/>
        </w:rPr>
        <w:t xml:space="preserve">Funding: Ipsen, the manufacturer of liposomal irinotecan (Onivyde). The funder participated in study design, data collection, data analysis, data interpretation, and review and approval of the manuscript; three authors (Z Xiao, H Chen, F Benzaghou) are Ipsen employees and two of them accessed and verified the underlying data. Open access under CC BY-NC-ND 4.0. Nearly all academic authors declare extensive consulting fees, honoraria or institutional research funding from Ipsen and many other companies.</w:t>
      </w:r>
    </w:p>
    <w:p>
      <w:pPr>
        <w:keepNext/>
        <w:spacing w:after="50" w:before="260"/>
      </w:pPr>
      <w:r>
        <w:rPr>
          <w:rFonts w:ascii="Cambria" w:cs="Cambria" w:eastAsia="Cambria" w:hAnsi="Cambria"/>
          <w:b/>
          <w:bCs/>
          <w:color w:val="17365D"/>
          <w:sz w:val="20"/>
          <w:szCs w:val="20"/>
        </w:rPr>
        <w:t xml:space="preserve">NCDB oligometastatic</w:t>
      </w:r>
      <w:r>
        <w:rPr>
          <w:b/>
          <w:bCs/>
          <w:color w:val="176A87"/>
          <w:sz w:val="15"/>
          <w:szCs w:val="15"/>
        </w:rPr>
        <w:t xml:space="preserve">   Registry study</w:t>
      </w:r>
      <w:r>
        <w:rPr>
          <w:color w:val="5A6069"/>
          <w:sz w:val="15"/>
          <w:szCs w:val="15"/>
        </w:rPr>
        <w:t xml:space="preserve">   PMID 35115154</w:t>
      </w:r>
    </w:p>
    <w:p>
      <w:pPr>
        <w:spacing w:after="50" w:line="276"/>
      </w:pPr>
      <w:r>
        <w:rPr>
          <w:color w:val="5A6069"/>
          <w:sz w:val="17"/>
          <w:szCs w:val="17"/>
        </w:rPr>
        <w:t xml:space="preserve">Surgical treatment of hepatic oligometastatic pancreatic ductal adenocarcinoma: An analysis of the National Cancer Database.</w:t>
      </w:r>
    </w:p>
    <w:p>
      <w:pPr>
        <w:spacing w:after="50"/>
      </w:pPr>
      <w:r>
        <w:rPr>
          <w:b/>
          <w:bCs/>
          <w:color w:val="176A87"/>
          <w:sz w:val="16"/>
          <w:szCs w:val="16"/>
        </w:rPr>
        <w:t xml:space="preserve">Population. </w:t>
      </w:r>
      <w:r>
        <w:rPr>
          <w:sz w:val="16"/>
          <w:szCs w:val="16"/>
        </w:rPr>
        <w:t xml:space="preserve">312,426 PDAC patients; 140,043 (50.4%) stage IV; 47,785 with liver-only metastasis at diagnosis; 891 (1.9%) had primary tumour resection; 137 (15.4% of those) also had liver metastasectomy</w:t>
      </w:r>
    </w:p>
    <w:p>
      <w:pPr>
        <w:spacing w:after="70"/>
      </w:pPr>
      <w:r>
        <w:rPr>
          <w:b/>
          <w:bCs/>
          <w:color w:val="17365D"/>
          <w:sz w:val="16"/>
          <w:szCs w:val="16"/>
        </w:rPr>
        <w:t xml:space="preserve">Bottom line. </w:t>
      </w:r>
      <w:r>
        <w:rPr>
          <w:sz w:val="16"/>
          <w:szCs w:val="16"/>
        </w:rPr>
        <w:t xml:space="preserve">This NCDB analysis shows that only 1.9% of patients with liver-only metastatic PDAC underwent resection nationally between 2010 and 2015, that 85% of those had the primary removed without the liver metastases and only 13.5% had preoperative chemotherapy, and that propensity-matched survival was 15.6 versus 8.1 months - a figure that cannot be separated from immortal time bias and unmeasured selection, since the whole surgical cohort achieved only 10.7 months, no better than chemotherapy alone.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analysis in which the decision-making process and intent of the surgeons is unknown</w:t>
            </w:r>
          </w:p>
          <w:p>
            <w:pPr>
              <w:pStyle w:val="ListParagraph"/>
              <w:numPr>
                <w:ilvl w:val="0"/>
                <w:numId w:val="2"/>
              </w:numPr>
              <w:spacing w:after="45"/>
            </w:pPr>
            <w:r>
              <w:rPr>
                <w:sz w:val="15"/>
                <w:szCs w:val="15"/>
              </w:rPr>
              <w:t xml:space="preserve">Uncontrolled selection bias limits the generalisability of the reported outcomes</w:t>
            </w:r>
          </w:p>
          <w:p>
            <w:pPr>
              <w:pStyle w:val="ListParagraph"/>
              <w:numPr>
                <w:ilvl w:val="0"/>
                <w:numId w:val="2"/>
              </w:numPr>
              <w:spacing w:after="45"/>
            </w:pPr>
            <w:r>
              <w:rPr>
                <w:sz w:val="15"/>
                <w:szCs w:val="15"/>
              </w:rPr>
              <w:t xml:space="preserve">The NCDB lacks any information on primary or metastatic tumour RESECTABILITY</w:t>
            </w:r>
          </w:p>
          <w:p>
            <w:pPr>
              <w:pStyle w:val="ListParagraph"/>
              <w:numPr>
                <w:ilvl w:val="0"/>
                <w:numId w:val="2"/>
              </w:numPr>
              <w:spacing w:after="45"/>
            </w:pPr>
            <w:r>
              <w:rPr>
                <w:sz w:val="15"/>
                <w:szCs w:val="15"/>
              </w:rPr>
              <w:t xml:space="preserve">No granular data on the type of liver resection, or the number, location and size of metastatic tumours</w:t>
            </w:r>
          </w:p>
          <w:p>
            <w:pPr>
              <w:pStyle w:val="ListParagraph"/>
              <w:numPr>
                <w:ilvl w:val="0"/>
                <w:numId w:val="2"/>
              </w:numPr>
              <w:spacing w:after="45"/>
            </w:pPr>
            <w:r>
              <w:rPr>
                <w:sz w:val="15"/>
                <w:szCs w:val="15"/>
              </w:rPr>
              <w:t xml:space="preserve">Inherent NCDB limitations from missing or incomplete data including CA19-9 and the exact chemotherapy regimen and timing</w:t>
            </w:r>
          </w:p>
          <w:p>
            <w:pPr>
              <w:pStyle w:val="ListParagraph"/>
              <w:numPr>
                <w:ilvl w:val="0"/>
                <w:numId w:val="2"/>
              </w:numPr>
              <w:spacing w:after="45"/>
            </w:pPr>
            <w:r>
              <w:rPr>
                <w:sz w:val="15"/>
                <w:szCs w:val="15"/>
              </w:rPr>
              <w:t xml:space="preserve">Hepatectomy margin status is not recorded in the database and so could not be included in the Cox model</w:t>
            </w:r>
          </w:p>
          <w:p>
            <w:pPr>
              <w:pStyle w:val="ListParagraph"/>
              <w:numPr>
                <w:ilvl w:val="0"/>
                <w:numId w:val="2"/>
              </w:numPr>
              <w:spacing w:after="45"/>
            </w:pPr>
            <w:r>
              <w:rPr>
                <w:sz w:val="15"/>
                <w:szCs w:val="15"/>
              </w:rPr>
              <w:t xml:space="preserve">The authors conclude surgery for stage IV PDAC should be performed only within a well-designed prospective clinical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patients who received chemotherapy alone, matched on SIX variables - age, sex, race, comorbidity, primary tumour site and tumour size. NONE of the variables that actually drive the decision to operate were matched: number or size of liver metastases, response to chemotherapy, CA 19-9 trajectory, performance status, or duration of pre-surgical treatment. Propensity matching on demographics while omitting response to therapy does not remove confounding, it conceals it, and the paper's own Table II shows the surgical group was younger, better differentiated, lower CA19-9 and 47 times more likely to have had chemotherapy</w:t>
            </w:r>
          </w:p>
          <w:p>
            <w:pPr>
              <w:pStyle w:val="ListParagraph"/>
              <w:numPr>
                <w:ilvl w:val="0"/>
                <w:numId w:val="2"/>
              </w:numPr>
              <w:spacing w:after="45"/>
            </w:pPr>
            <w:r>
              <w:rPr>
                <w:sz w:val="15"/>
                <w:szCs w:val="15"/>
              </w:rPr>
              <w:t xml:space="preserve">IMMORTAL TIME BIAS IS UNADDRESSED AND LARGE. Patients must survive diagnosis, staging and (in those who had it) months of chemotherapy to reach pancreatectomy, while the comparison group's clock starts at diagnosis. Kaslow et al., in the same literature, show that applying a 12-month landmark to a liver-only metastatic cohort raises median survival from 9 to 26 months with no surgery at all - larger than the 7.5-month difference this paper attributes to resection. No landmark analysis was performed here</w:t>
            </w:r>
          </w:p>
          <w:p>
            <w:pPr>
              <w:pStyle w:val="ListParagraph"/>
              <w:numPr>
                <w:ilvl w:val="0"/>
                <w:numId w:val="2"/>
              </w:numPr>
              <w:spacing w:after="45"/>
            </w:pPr>
            <w:r>
              <w:rPr>
                <w:sz w:val="15"/>
                <w:szCs w:val="15"/>
              </w:rPr>
              <w:t xml:space="preserve">THE PROPENSITY-MATCHED COHORT IS 137 SURGICAL PATIENTS matched to 137 of 25,268 chemotherapy patients, drawn from 1:1 nearest-neighbour matching on a treatment with a 0.29% prevalence. With that degree of imbalance, the matched controls are the extreme tail of the propensity distribution and residual confounding by unmeasured indication is near-certain</w:t>
            </w:r>
          </w:p>
          <w:p>
            <w:pPr>
              <w:pStyle w:val="ListParagraph"/>
              <w:numPr>
                <w:ilvl w:val="0"/>
                <w:numId w:val="2"/>
              </w:numPr>
              <w:spacing w:after="45"/>
            </w:pPr>
            <w:r>
              <w:rPr>
                <w:sz w:val="15"/>
                <w:szCs w:val="15"/>
              </w:rPr>
              <w:t xml:space="preserve">THE 15.6-MONTH FIGURE IS SELECTED FROM THE MOST FAVOURABLE OF SEVERAL ANALYSES. The whole surgical cohort achieved 10.74 months; the 137 who had both organs resected and were matched achieved 15.6 months. The authors themselves point out that 10.74 months is no better than chemotherapy alone in unselected metastatic disease, which is the more honest summary of the national experience</w:t>
            </w:r>
          </w:p>
          <w:p>
            <w:pPr>
              <w:pStyle w:val="ListParagraph"/>
              <w:numPr>
                <w:ilvl w:val="0"/>
                <w:numId w:val="2"/>
              </w:numPr>
              <w:spacing w:after="45"/>
            </w:pPr>
            <w:r>
              <w:rPr>
                <w:sz w:val="15"/>
                <w:szCs w:val="15"/>
              </w:rPr>
              <w:t xml:space="preserve">EIGHTY-FIVE PERCENT OF THE SURGICAL COHORT HAD THE PRIMARY RESECTED WITHOUT THE LIVER METASTASES, AND ONLY 13.5% HAD PREOPERATIVE CHEMOTHERAPY. The authors suspect many were incidental occult metastases found at exploration, where guidelines say the operation should be abandoned. This means the national dataset is substantially capturing a practice error, not the carefully selected conversion surgery that the expert series describe - and yet the survival signal is attributed to the strategy</w:t>
            </w:r>
          </w:p>
          <w:p>
            <w:pPr>
              <w:pStyle w:val="ListParagraph"/>
              <w:numPr>
                <w:ilvl w:val="0"/>
                <w:numId w:val="2"/>
              </w:numPr>
              <w:spacing w:after="45"/>
            </w:pPr>
            <w:r>
              <w:rPr>
                <w:sz w:val="15"/>
                <w:szCs w:val="15"/>
              </w:rPr>
              <w:t xml:space="preserve">NO INFORMATION ON RESECTABILITY, METASTASIS NUMBER, SIZE OR MARGIN STATUS, in a study whose entire question is whether resecting oligometastatic disease helps. 'Oligometastatic' appears in the title but cannot be operationalised in the NCDB at all</w:t>
            </w:r>
          </w:p>
          <w:p>
            <w:pPr>
              <w:pStyle w:val="ListParagraph"/>
              <w:numPr>
                <w:ilvl w:val="0"/>
                <w:numId w:val="2"/>
              </w:numPr>
              <w:spacing w:after="45"/>
            </w:pPr>
            <w:r>
              <w:rPr>
                <w:sz w:val="15"/>
                <w:szCs w:val="15"/>
              </w:rPr>
              <w:t xml:space="preserve">SURGEON AND CENTRE VOLUME WERE THE STRONGEST PREDICTORS OF UNDERGOING SURGERY (surgeon volume OR 2.65) AND ARE ALSO STRONG PREDICTORS OF SURVIVAL, so the treatment effect is partly a centre effect. High hospital volume was entered in the Cox model and was null (HR 0.99), but surgeon volume was not</w:t>
            </w:r>
          </w:p>
          <w:p>
            <w:pPr>
              <w:pStyle w:val="ListParagraph"/>
              <w:numPr>
                <w:ilvl w:val="0"/>
                <w:numId w:val="2"/>
              </w:numPr>
              <w:spacing w:after="45"/>
            </w:pPr>
            <w:r>
              <w:rPr>
                <w:sz w:val="15"/>
                <w:szCs w:val="15"/>
              </w:rPr>
              <w:t xml:space="preserve">THE COX MODEL FOR SURVIVAL (Table IV) PRODUCES AN IMPLAUSIBLE RESULT - well-to-moderately differentiated tumours have HR 4.09 (2.32-7.23) for death, the opposite of the known direction and of the paper's own logistic model - which suggests a coding or reference-category problem in the adjusted analysis that underlies the HR 0.5 headline</w:t>
            </w:r>
          </w:p>
          <w:p>
            <w:pPr>
              <w:pStyle w:val="ListParagraph"/>
              <w:numPr>
                <w:ilvl w:val="0"/>
                <w:numId w:val="2"/>
              </w:numPr>
              <w:spacing w:after="45"/>
            </w:pPr>
            <w:r>
              <w:rPr>
                <w:sz w:val="15"/>
                <w:szCs w:val="15"/>
              </w:rPr>
              <w:t xml:space="preserve">CA 19-9 IS REPORTED AS '67 vs 77.6 U/mL' with a standard deviation of 39.9, and the baseline table dichotomises it at 98 U/mL with 92% of patients above that threshold. These numbers are not internally coherent and the variable is effectively unusable, yet it is cited as evidence that the surgical group had more favourable biology</w:t>
            </w:r>
          </w:p>
          <w:p>
            <w:pPr>
              <w:pStyle w:val="ListParagraph"/>
              <w:numPr>
                <w:ilvl w:val="0"/>
                <w:numId w:val="2"/>
              </w:numPr>
              <w:spacing w:after="45"/>
            </w:pPr>
            <w:r>
              <w:rPr>
                <w:sz w:val="15"/>
                <w:szCs w:val="15"/>
              </w:rPr>
              <w:t xml:space="preserve">The paper's conclusion ('may be associated with improved survival in well-selected patients ... should only be performed under a well-designed prospective clinical trial') is appropriately cautious, but the abstract's propensity-matched figure is what gets quoted</w:t>
            </w:r>
          </w:p>
        </w:tc>
      </w:tr>
    </w:tbl>
    <w:p>
      <w:pPr>
        <w:spacing w:after="0" w:line="276"/>
      </w:pPr>
      <w:r>
        <w:rPr>
          <w:color w:val="5A6069"/>
          <w:sz w:val="14"/>
          <w:szCs w:val="14"/>
        </w:rPr>
        <w:t xml:space="preserve">Funding: The authors received no financial support for the research, authorship or publication, and declare no personal conflicts of interest.</w:t>
      </w:r>
    </w:p>
    <w:p>
      <w:pPr>
        <w:keepNext/>
        <w:spacing w:after="50" w:before="260"/>
      </w:pPr>
      <w:r>
        <w:rPr>
          <w:rFonts w:ascii="Cambria" w:cs="Cambria" w:eastAsia="Cambria" w:hAnsi="Cambria"/>
          <w:b/>
          <w:bCs/>
          <w:color w:val="17365D"/>
          <w:sz w:val="20"/>
          <w:szCs w:val="20"/>
        </w:rPr>
        <w:t xml:space="preserve">Neoadjuvant meta-analysis</w:t>
      </w:r>
      <w:r>
        <w:rPr>
          <w:b/>
          <w:bCs/>
          <w:color w:val="176A87"/>
          <w:sz w:val="15"/>
          <w:szCs w:val="15"/>
        </w:rPr>
        <w:t xml:space="preserve">   Meta-analysis</w:t>
      </w:r>
      <w:r>
        <w:rPr>
          <w:color w:val="5A6069"/>
          <w:sz w:val="15"/>
          <w:szCs w:val="15"/>
        </w:rPr>
        <w:t xml:space="preserve">   PMID 40126570</w:t>
      </w:r>
    </w:p>
    <w:p>
      <w:pPr>
        <w:spacing w:after="50" w:line="276"/>
      </w:pPr>
      <w:r>
        <w:rPr>
          <w:color w:val="5A6069"/>
          <w:sz w:val="17"/>
          <w:szCs w:val="17"/>
        </w:rPr>
        <w:t xml:space="preserve">Neoadjuvant treatment versus upfront surgery in borderline resectable and resectable pancreatic ductal adenocarcinoma: meta-analysis.</w:t>
      </w:r>
    </w:p>
    <w:p>
      <w:pPr>
        <w:spacing w:after="50"/>
      </w:pPr>
      <w:r>
        <w:rPr>
          <w:b/>
          <w:bCs/>
          <w:color w:val="176A87"/>
          <w:sz w:val="16"/>
          <w:szCs w:val="16"/>
        </w:rPr>
        <w:t xml:space="preserve">Population. </w:t>
      </w:r>
      <w:r>
        <w:rPr>
          <w:sz w:val="16"/>
          <w:szCs w:val="16"/>
        </w:rPr>
        <w:t xml:space="preserve">9 trials, 1194 randomised patients (602 neoadjuvant, 592 upfront surgery); 517 resectable and 677 borderline resectable after NCCN reclassification</w:t>
      </w:r>
    </w:p>
    <w:p>
      <w:pPr>
        <w:spacing w:after="70"/>
      </w:pPr>
      <w:r>
        <w:rPr>
          <w:b/>
          <w:bCs/>
          <w:color w:val="17365D"/>
          <w:sz w:val="16"/>
          <w:szCs w:val="16"/>
        </w:rPr>
        <w:t xml:space="preserve">Bottom line. </w:t>
      </w:r>
      <w:r>
        <w:rPr>
          <w:sz w:val="16"/>
          <w:szCs w:val="16"/>
        </w:rPr>
        <w:t xml:space="preserve">This meta-analysis of 1194 randomised patients supports neoadjuvant therapy in BORDERLINE resectable PDAC (HR 0.60) and not in resectable PDAC (HR 0.90), at the cost of a lower resection rate and twice the serious adverse events - but the subgroup difference is not statistically established, the pooled comparator is overwhelmingly obsolete adjuvant gemcitabine, and the headline estimate depends on post hoc removal of the only trial that used modern adjuvant chemotherapy in its control arm.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Heterogeneity in the neoadjuvant and adjuvant regimens across trials, compounded by the evidence base changing over the period covered</w:t>
            </w:r>
          </w:p>
          <w:p>
            <w:pPr>
              <w:pStyle w:val="ListParagraph"/>
              <w:numPr>
                <w:ilvl w:val="0"/>
                <w:numId w:val="2"/>
              </w:numPr>
              <w:spacing w:after="45"/>
            </w:pPr>
            <w:r>
              <w:rPr>
                <w:sz w:val="15"/>
                <w:szCs w:val="15"/>
              </w:rPr>
              <w:t xml:space="preserve">Differing definitions and start times for progression-free survival across trials limit characterisation and need standardisation</w:t>
            </w:r>
          </w:p>
          <w:p>
            <w:pPr>
              <w:pStyle w:val="ListParagraph"/>
              <w:numPr>
                <w:ilvl w:val="0"/>
                <w:numId w:val="2"/>
              </w:numPr>
              <w:spacing w:after="45"/>
            </w:pPr>
            <w:r>
              <w:rPr>
                <w:sz w:val="15"/>
                <w:szCs w:val="15"/>
              </w:rPr>
              <w:t xml:space="preserve">Resectability definitions have changed over time and are not universally agreed; two trials (Golcher and Unno/Prep-02) had to be reclassified from resectable to borderline resectable</w:t>
            </w:r>
          </w:p>
          <w:p>
            <w:pPr>
              <w:pStyle w:val="ListParagraph"/>
              <w:numPr>
                <w:ilvl w:val="0"/>
                <w:numId w:val="2"/>
              </w:numPr>
              <w:spacing w:after="45"/>
            </w:pPr>
            <w:r>
              <w:rPr>
                <w:sz w:val="15"/>
                <w:szCs w:val="15"/>
              </w:rPr>
              <w:t xml:space="preserve">Prep-02/JSAP-05 was included from abstract form only and needs full publication to allow critical review</w:t>
            </w:r>
          </w:p>
          <w:p>
            <w:pPr>
              <w:pStyle w:val="ListParagraph"/>
              <w:numPr>
                <w:ilvl w:val="0"/>
                <w:numId w:val="2"/>
              </w:numPr>
              <w:spacing w:after="45"/>
            </w:pPr>
            <w:r>
              <w:rPr>
                <w:sz w:val="15"/>
                <w:szCs w:val="15"/>
              </w:rPr>
              <w:t xml:space="preserve">Ongoing trials (JASPAC, PANACHE01-PRODIGE48) could not be included because results were not published in a poolable form</w:t>
            </w:r>
          </w:p>
          <w:p>
            <w:pPr>
              <w:pStyle w:val="ListParagraph"/>
              <w:numPr>
                <w:ilvl w:val="0"/>
                <w:numId w:val="2"/>
              </w:numPr>
              <w:spacing w:after="45"/>
            </w:pPr>
            <w:r>
              <w:rPr>
                <w:sz w:val="15"/>
                <w:szCs w:val="15"/>
              </w:rPr>
              <w:t xml:space="preserve">Four of the nine trials closed early - two for poor accrual, one for outdated chemotherapy and one for superiority at interim analysis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COMPARATORS ACROSS THE POOLED TRIALS ARE NOT INTERCHANGEABLE, AND ONLY ONE INCLUDED TRIAL GAVE THE CONTROL ARM MODERN ADJUVANT THERAPY. The paper's own Table 1 shows the upfront-surgery arms received adjuvant gemcitabine monotherapy (Casadei, Golcher, Jang), S-1 (Prep-02/JSAP-05), gemcitabine/nab-paclitaxel or PEXG (NEONAX, PACT-15), predominantly gemcitabine-based therapy in ESPAC5 (mFOLFIRINOX in only 2 of 43 patients) and mFOLFIRINOX in only NORPACT-1. Pooling these as one 'upfront surgery' comparator means the 0.73 HR is largely a comparison against obsolete adjuvant therapy, and the authors never say so</w:t>
            </w:r>
          </w:p>
          <w:p>
            <w:pPr>
              <w:pStyle w:val="ListParagraph"/>
              <w:numPr>
                <w:ilvl w:val="0"/>
                <w:numId w:val="2"/>
              </w:numPr>
              <w:spacing w:after="45"/>
            </w:pPr>
            <w:r>
              <w:rPr>
                <w:sz w:val="15"/>
                <w:szCs w:val="15"/>
              </w:rPr>
              <w:t xml:space="preserve">THE PAPER'S CONCLUSION OVERREACHES ITS OWN SUBGROUP TEST. It states neoadjuvant therapy 'should be regarded as standard of care' for borderline resectable disease on the basis of a subgroup HR of 0.60 whose between-subgroup interaction test was NOT significant (p=0.081) and whose own confidence interval nearly touches unity. The resectable-versus-borderline distinction is the single most consequential claim in the paper and it rests on an interaction that the data do not establish</w:t>
            </w:r>
          </w:p>
          <w:p>
            <w:pPr>
              <w:pStyle w:val="ListParagraph"/>
              <w:numPr>
                <w:ilvl w:val="0"/>
                <w:numId w:val="2"/>
              </w:numPr>
              <w:spacing w:after="45"/>
            </w:pPr>
            <w:r>
              <w:rPr>
                <w:sz w:val="15"/>
                <w:szCs w:val="15"/>
              </w:rPr>
              <w:t xml:space="preserve">THE OUTLIER REMOVAL IS POST HOC AND REMOVES THE ONE TRIAL WHOSE CONTROL ARM MOST RESEMBLES CURRENT PRACTICE. NORPACT-1 is excluded as an influence outlier precisely because it is the only trial giving upfront surgery plus adjuvant mFOLFIRINOX and the only one favouring upfront surgery. Dropping it tightens heterogeneity to zero by construction and manufactures a precise overall estimate; the honest reading is that the pooled estimate is unstable and depends on whether the modern comparator is included</w:t>
            </w:r>
          </w:p>
          <w:p>
            <w:pPr>
              <w:pStyle w:val="ListParagraph"/>
              <w:numPr>
                <w:ilvl w:val="0"/>
                <w:numId w:val="2"/>
              </w:numPr>
              <w:spacing w:after="45"/>
            </w:pPr>
            <w:r>
              <w:rPr>
                <w:sz w:val="15"/>
                <w:szCs w:val="15"/>
              </w:rPr>
              <w:t xml:space="preserve">DOUBLE-COUNTING AND UNIT-OF-ANALYSIS PROBLEMS: ESPAC5's four arms are entered in multiple ways (three separate neoadjuvant arms in some analyses, a pooled chemotherapy comparison in others), and PREOPANC is entered three times (overall, resectable, borderline). The tables show '9 trials' with '10' and sometimes '9 arms' in the same analysis, and a single upfront-surgery arm shared between several neoadjuvant comparisons inflates precision</w:t>
            </w:r>
          </w:p>
          <w:p>
            <w:pPr>
              <w:pStyle w:val="ListParagraph"/>
              <w:numPr>
                <w:ilvl w:val="0"/>
                <w:numId w:val="2"/>
              </w:numPr>
              <w:spacing w:after="45"/>
            </w:pPr>
            <w:r>
              <w:rPr>
                <w:sz w:val="15"/>
                <w:szCs w:val="15"/>
              </w:rPr>
              <w:t xml:space="preserve">SURVIVAL DATA FOR SEVERAL TRIALS WERE RECONSTRUCTED FROM KAPLAN-MEIER CURVES rather than taken from reported hazard ratios, which adds measurement error that the random-effects model treats as if it were sampling variation only</w:t>
            </w:r>
          </w:p>
          <w:p>
            <w:pPr>
              <w:pStyle w:val="ListParagraph"/>
              <w:numPr>
                <w:ilvl w:val="0"/>
                <w:numId w:val="2"/>
              </w:numPr>
              <w:spacing w:after="45"/>
            </w:pPr>
            <w:r>
              <w:rPr>
                <w:sz w:val="15"/>
                <w:szCs w:val="15"/>
              </w:rPr>
              <w:t xml:space="preserve">THE SERIOUS ADVERSE EVENT ESTIMATE IS INTERNALLY INCONSISTENT: RR 1.92 with a reported confidence interval of 1.28 to 1.89 does not contain its own point estimate (both in the abstract and in Table 4), so the harm estimate as published cannot be relied on even though its direction is clear and clinically important</w:t>
            </w:r>
          </w:p>
          <w:p>
            <w:pPr>
              <w:pStyle w:val="ListParagraph"/>
              <w:numPr>
                <w:ilvl w:val="0"/>
                <w:numId w:val="2"/>
              </w:numPr>
              <w:spacing w:after="45"/>
            </w:pPr>
            <w:r>
              <w:rPr>
                <w:sz w:val="15"/>
                <w:szCs w:val="15"/>
              </w:rPr>
              <w:t xml:space="preserve">FOLLOW-UP RANGES FROM 12 MONTHS (ESPAC5) TO 136 MONTHS, AND THE 12-MONTH TRIAL CARRIES THE MOST EXTREME EFFECT. Pooling hazard ratios across such disparate horizons assumes proportional hazards within and across trials, which PREOPANC's own data (1.4-month median difference with a 14% 5-year difference) directly contradicts</w:t>
            </w:r>
          </w:p>
          <w:p>
            <w:pPr>
              <w:pStyle w:val="ListParagraph"/>
              <w:numPr>
                <w:ilvl w:val="0"/>
                <w:numId w:val="2"/>
              </w:numPr>
              <w:spacing w:after="45"/>
            </w:pPr>
            <w:r>
              <w:rPr>
                <w:sz w:val="15"/>
                <w:szCs w:val="15"/>
              </w:rPr>
              <w:t xml:space="preserve">FOUR OF NINE TRIALS STOPPED EARLY, one of them for superiority at interim analysis (Jang), which systematically inflates the pooled effect; no small-study or early-stopping correction is applied beyond a funnel plot</w:t>
            </w:r>
          </w:p>
          <w:p>
            <w:pPr>
              <w:pStyle w:val="ListParagraph"/>
              <w:numPr>
                <w:ilvl w:val="0"/>
                <w:numId w:val="2"/>
              </w:numPr>
              <w:spacing w:after="45"/>
            </w:pPr>
            <w:r>
              <w:rPr>
                <w:sz w:val="15"/>
                <w:szCs w:val="15"/>
              </w:rPr>
              <w:t xml:space="preserve">The finding that adjuvant therapy rates did NOT differ (57.7% vs 55.6%) undercuts the principal mechanistic rationale for neoadjuvant sequencing, yet it is reported as a non-significant secondary outcome and not carried into the discussion of why the strategy might work</w:t>
            </w:r>
          </w:p>
          <w:p>
            <w:pPr>
              <w:pStyle w:val="ListParagraph"/>
              <w:numPr>
                <w:ilvl w:val="0"/>
                <w:numId w:val="2"/>
              </w:numPr>
              <w:spacing w:after="45"/>
            </w:pPr>
            <w:r>
              <w:rPr>
                <w:sz w:val="15"/>
                <w:szCs w:val="15"/>
              </w:rPr>
              <w:t xml:space="preserve">The authors include ESPAC5 and are the ESPAC5 investigators; no conflict is declared and none is financial, but the trial that contributes the largest single effect estimate was run by the review team</w:t>
            </w:r>
          </w:p>
        </w:tc>
      </w:tr>
    </w:tbl>
    <w:p>
      <w:pPr>
        <w:spacing w:after="0" w:line="276"/>
      </w:pPr>
      <w:r>
        <w:rPr>
          <w:color w:val="5A6069"/>
          <w:sz w:val="14"/>
          <w:szCs w:val="14"/>
        </w:rPr>
        <w:t xml:space="preserve">Funding: The authors declare no funding and no conflict of interest.</w:t>
      </w:r>
    </w:p>
    <w:p>
      <w:pPr>
        <w:keepNext/>
        <w:spacing w:after="50" w:before="260"/>
      </w:pPr>
      <w:r>
        <w:rPr>
          <w:rFonts w:ascii="Cambria" w:cs="Cambria" w:eastAsia="Cambria" w:hAnsi="Cambria"/>
          <w:b/>
          <w:bCs/>
          <w:color w:val="17365D"/>
          <w:sz w:val="20"/>
          <w:szCs w:val="20"/>
        </w:rPr>
        <w:t xml:space="preserve">NORPACT-1</w:t>
      </w:r>
      <w:r>
        <w:rPr>
          <w:b/>
          <w:bCs/>
          <w:color w:val="176A87"/>
          <w:sz w:val="15"/>
          <w:szCs w:val="15"/>
        </w:rPr>
        <w:t xml:space="preserve">   Randomised trial</w:t>
      </w:r>
      <w:r>
        <w:rPr>
          <w:color w:val="5A6069"/>
          <w:sz w:val="15"/>
          <w:szCs w:val="15"/>
        </w:rPr>
        <w:t xml:space="preserve">   PMID 38237621</w:t>
      </w:r>
    </w:p>
    <w:p>
      <w:pPr>
        <w:spacing w:after="50" w:line="276"/>
      </w:pPr>
      <w:r>
        <w:rPr>
          <w:color w:val="5A6069"/>
          <w:sz w:val="17"/>
          <w:szCs w:val="17"/>
        </w:rPr>
        <w:t xml:space="preserve">Neoadjuvant FOLFIRINOX versus upfront surgery for resectable pancreatic head cancer (NORPACT-1): a multicentre, randomised, phase 2 trial.</w:t>
      </w:r>
    </w:p>
    <w:p>
      <w:pPr>
        <w:spacing w:after="50"/>
      </w:pPr>
      <w:r>
        <w:rPr>
          <w:b/>
          <w:bCs/>
          <w:color w:val="176A87"/>
          <w:sz w:val="16"/>
          <w:szCs w:val="16"/>
        </w:rPr>
        <w:t xml:space="preserve">Population. </w:t>
      </w:r>
      <w:r>
        <w:rPr>
          <w:sz w:val="16"/>
          <w:szCs w:val="16"/>
        </w:rPr>
        <w:t xml:space="preserve">140 patients (77 neoadjuvant FOLFIRINOX, 63 upfront surgery); 119 resections; per-protocol population 115</w:t>
      </w:r>
    </w:p>
    <w:p>
      <w:pPr>
        <w:spacing w:after="70"/>
      </w:pPr>
      <w:r>
        <w:rPr>
          <w:b/>
          <w:bCs/>
          <w:color w:val="17365D"/>
          <w:sz w:val="16"/>
          <w:szCs w:val="16"/>
        </w:rPr>
        <w:t xml:space="preserve">Bottom line. </w:t>
      </w:r>
      <w:r>
        <w:rPr>
          <w:sz w:val="16"/>
          <w:szCs w:val="16"/>
        </w:rPr>
        <w:t xml:space="preserve">NORPACT-1 failed to show any survival benefit from four cycles of neoadjuvant FOLFIRINOX in resectable pancreatic head cancer and its ITT primary endpoint favoured upfront surgery (18-month survival 60% vs 73%), but a fifth of the neoadjuvant arm never received the drug and went straight to resection, only 61% of those treated completed four cycles, and the control arm's 38.5-month median is far better than any comparable upfront-surgery cohort - so this is a failed-delivery trial, not evidence that neoadjuvant chemotherapy is harmful.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Phase 2 design, so the results cannot be viewed as conclusive</w:t>
            </w:r>
          </w:p>
          <w:p>
            <w:pPr>
              <w:pStyle w:val="ListParagraph"/>
              <w:numPr>
                <w:ilvl w:val="0"/>
                <w:numId w:val="2"/>
              </w:numPr>
              <w:spacing w:after="45"/>
            </w:pPr>
            <w:r>
              <w:rPr>
                <w:sz w:val="15"/>
                <w:szCs w:val="15"/>
              </w:rPr>
              <w:t xml:space="preserve">Implementation of neoadjuvant FOLFIRINOX was challenging, and the use of full-dose rather than modified FOLFIRINOX may have increased toxicity and reduced compliance</w:t>
            </w:r>
          </w:p>
          <w:p>
            <w:pPr>
              <w:pStyle w:val="ListParagraph"/>
              <w:numPr>
                <w:ilvl w:val="0"/>
                <w:numId w:val="2"/>
              </w:numPr>
              <w:spacing w:after="45"/>
            </w:pPr>
            <w:r>
              <w:rPr>
                <w:sz w:val="15"/>
                <w:szCs w:val="15"/>
              </w:rPr>
              <w:t xml:space="preserve">Histological proof of PDAC was not mandatory before randomisation, so 11 patients (8%) with non-PDAC and generally better-prognosis diagnoses are included in the ITT analysis</w:t>
            </w:r>
          </w:p>
          <w:p>
            <w:pPr>
              <w:pStyle w:val="ListParagraph"/>
              <w:numPr>
                <w:ilvl w:val="0"/>
                <w:numId w:val="2"/>
              </w:numPr>
              <w:spacing w:after="45"/>
            </w:pPr>
            <w:r>
              <w:rPr>
                <w:sz w:val="15"/>
                <w:szCs w:val="15"/>
              </w:rPr>
              <w:t xml:space="preserve">Caution is needed with the hazard ratios, which are average hazard ratios over follow-up and should not be interpreted causally because baseline covariate balance can change over study time</w:t>
            </w:r>
          </w:p>
          <w:p>
            <w:pPr>
              <w:pStyle w:val="ListParagraph"/>
              <w:numPr>
                <w:ilvl w:val="0"/>
                <w:numId w:val="2"/>
              </w:numPr>
              <w:spacing w:after="45"/>
            </w:pPr>
            <w:r>
              <w:rPr>
                <w:sz w:val="15"/>
                <w:szCs w:val="15"/>
              </w:rPr>
              <w:t xml:space="preserve">The survival in the upfront surgery arm was markedly better than in previous reports, aligning with adjuvant rather than neoadjuvant trial populations</w:t>
            </w:r>
          </w:p>
          <w:p>
            <w:pPr>
              <w:pStyle w:val="ListParagraph"/>
              <w:numPr>
                <w:ilvl w:val="0"/>
                <w:numId w:val="2"/>
              </w:numPr>
              <w:spacing w:after="45"/>
            </w:pPr>
            <w:r>
              <w:rPr>
                <w:sz w:val="15"/>
                <w:szCs w:val="15"/>
              </w:rPr>
              <w:t xml:space="preserve">Only 60% of patients initiating neoadjuvant FOLFIRINOX completed all four cycles</w:t>
            </w:r>
          </w:p>
          <w:p>
            <w:pPr>
              <w:pStyle w:val="ListParagraph"/>
              <w:numPr>
                <w:ilvl w:val="0"/>
                <w:numId w:val="2"/>
              </w:numPr>
              <w:spacing w:after="45"/>
            </w:pPr>
            <w:r>
              <w:rPr>
                <w:sz w:val="15"/>
                <w:szCs w:val="15"/>
              </w:rPr>
              <w:t xml:space="preserve">No central radiology review was performed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upfront surgery followed by adjuvant chemotherapy chosen at the treating oncologist's discretion. Adjuvant therapy was gemcitabine plus capecitabine (or gemcitabine monotherapy) until an August 2018 amendment permitted modified FOLFIRINOX. CONTROL ARM EXPOSURE TO MODERN ADJUVANT THERAPY WAS PARTIAL: only 19/44 (43%) of resected PDAC patients in the upfront arm actually received adjuvant mFOLFIRINOX, and 25/44 received a gemcitabine-based regimen. In the neoadjuvant arm only 13/51 (25%) received adjuvant mFOLFIRINOX. So the trial is not a clean test of neoadjuvant FOLFIRINOX against upfront surgery plus adjuvant mFOLFIRINOX</w:t>
            </w:r>
          </w:p>
          <w:p>
            <w:pPr>
              <w:pStyle w:val="ListParagraph"/>
              <w:numPr>
                <w:ilvl w:val="0"/>
                <w:numId w:val="2"/>
              </w:numPr>
              <w:spacing w:after="45"/>
            </w:pPr>
            <w:r>
              <w:rPr>
                <w:sz w:val="15"/>
                <w:szCs w:val="15"/>
              </w:rPr>
              <w:t xml:space="preserve">NON-RECEIPT OF ALLOCATED TREATMENT IS THE CENTRAL FLAW: 16/77 (21%) allocated to neoadjuvant FOLFIRINOX never received it - and crucially ALL 16 went straight to resection. Reasons were non-diagnostic repeat EUS sampling (6), persistent jaundice after stenting (2), another diagnosis (2), biliary infection (2), kidney failure (1), plus 3 who received a different neoadjuvant regimen. These 16 untreated-but-resected patients are counted in the neoadjuvant arm's ITT survival, which by itself means the ITT comparison is not a comparison of two delivered strategies. Only 1/63 (2%) in the upfront arm failed to undergo surgery</w:t>
            </w:r>
          </w:p>
          <w:p>
            <w:pPr>
              <w:pStyle w:val="ListParagraph"/>
              <w:numPr>
                <w:ilvl w:val="0"/>
                <w:numId w:val="2"/>
              </w:numPr>
              <w:spacing w:after="45"/>
            </w:pPr>
            <w:r>
              <w:rPr>
                <w:sz w:val="15"/>
                <w:szCs w:val="15"/>
              </w:rPr>
              <w:t xml:space="preserve">DILUTION COMPOUNDS NON-RECEIPT: of the 61 who did start FOLFIRINOX, only 37 (61%) finished four cycles and 16 (26%) received one or two cycles. Fewer than half the patients randomised to neoadjuvant therapy received the intended four-cycle course, so the trial tests an incompletely delivered strategy; PREOPANC-2 explicitly attributes NORPACT-1's null result partly to this (46% four-cycle completion vs 81% in PREOPANC-2)</w:t>
            </w:r>
          </w:p>
          <w:p>
            <w:pPr>
              <w:pStyle w:val="ListParagraph"/>
              <w:numPr>
                <w:ilvl w:val="0"/>
                <w:numId w:val="2"/>
              </w:numPr>
              <w:spacing w:after="45"/>
            </w:pPr>
            <w:r>
              <w:rPr>
                <w:sz w:val="15"/>
                <w:szCs w:val="15"/>
              </w:rPr>
              <w:t xml:space="preserve">THE PRIMARY ENDPOINT IS STATISTICALLY SIGNIFICANT IN FAVOUR OF UPFRONT SURGERY ONLY BY ITT AND ONLY AT A NON-STANDARD ALPHA. The trial was designed with a two-sided alpha of 0.15 as an exploratory study, so a p=0.032 difference in proportions and an HR whose lower bound touches 1.00 should not be read as evidence of HARM from neoadjuvant therapy; in the per-protocol analysis both comparisons are non-significant (p=0.14 and p=0.058). A pathway should not cite NORPACT-1 as showing neoadjuvant therapy is worse, only as failing to show it is better</w:t>
            </w:r>
          </w:p>
          <w:p>
            <w:pPr>
              <w:pStyle w:val="ListParagraph"/>
              <w:numPr>
                <w:ilvl w:val="0"/>
                <w:numId w:val="2"/>
              </w:numPr>
              <w:spacing w:after="45"/>
            </w:pPr>
            <w:r>
              <w:rPr>
                <w:sz w:val="15"/>
                <w:szCs w:val="15"/>
              </w:rPr>
              <w:t xml:space="preserve">ASYMMETRIC PRE-TREATMENT WORKUP: EUS-guided sampling and biliary stenting were performed only in the neoadjuvant arm (stenting 57% vs 16%). The upfront arm's path to the operating room was deliberately shorter and free of the stenting, cholangitis and post-ERCP pancreatitis complications that in fact derailed several neoadjuvant patients. The authors defend this as reflecting Nordic practice, but it is an asymmetry in risk exposure that is not part of the chemotherapy question</w:t>
            </w:r>
          </w:p>
          <w:p>
            <w:pPr>
              <w:pStyle w:val="ListParagraph"/>
              <w:numPr>
                <w:ilvl w:val="0"/>
                <w:numId w:val="2"/>
              </w:numPr>
              <w:spacing w:after="45"/>
            </w:pPr>
            <w:r>
              <w:rPr>
                <w:sz w:val="15"/>
                <w:szCs w:val="15"/>
              </w:rPr>
              <w:t xml:space="preserve">THE UPFRONT SURGERY ARM'S 38.5-MONTH MEDIAN IS AN OUTLIER. It far exceeds any comparable upfront-surgery arm (14.3 months in PREOPANC, 16.7 months in NEONAX) and resembles adjuvant-trial populations. Either the arm was favourably selected by chance in a 63-patient group, or the resectable, pancreatic-head-only, WHO 0-1, strongly favourable-biology eligibility produced a population with unusually good prognosis. With 63 patients and only 28 deaths, chance imbalance cannot be excluded, and the headline comparison is driven as much by an unusually good control arm as by a poor experimental one</w:t>
            </w:r>
          </w:p>
          <w:p>
            <w:pPr>
              <w:pStyle w:val="ListParagraph"/>
              <w:numPr>
                <w:ilvl w:val="0"/>
                <w:numId w:val="2"/>
              </w:numPr>
              <w:spacing w:after="45"/>
            </w:pPr>
            <w:r>
              <w:rPr>
                <w:sz w:val="15"/>
                <w:szCs w:val="15"/>
              </w:rPr>
              <w:t xml:space="preserve">SAMPLE SIZE AND POWER WERE REVISED MID-TRIAL (126 to 140 patients) and the primary endpoint itself was changed from a resected-patient analysis to an ITT analysis in 2018 after patients had been enrolled - decisions made with knowledge of accrual and diagnosis mix</w:t>
            </w:r>
          </w:p>
          <w:p>
            <w:pPr>
              <w:pStyle w:val="ListParagraph"/>
              <w:numPr>
                <w:ilvl w:val="0"/>
                <w:numId w:val="2"/>
              </w:numPr>
              <w:spacing w:after="45"/>
            </w:pPr>
            <w:r>
              <w:rPr>
                <w:sz w:val="15"/>
                <w:szCs w:val="15"/>
              </w:rPr>
              <w:t xml:space="preserve">ELEVEN NON-PDAC PATIENTS (8%) WITH BETTER-PROGNOSIS DISEASE REMAIN IN THE ITT DENOMINATOR, including 3 cholangiocarcinomas and 2 pNETs in the upfront surgery arm - enrichment of the control arm with favourable histology that the authors acknowledge but do not quantify in the survival analysis</w:t>
            </w:r>
          </w:p>
          <w:p>
            <w:pPr>
              <w:pStyle w:val="ListParagraph"/>
              <w:numPr>
                <w:ilvl w:val="0"/>
                <w:numId w:val="2"/>
              </w:numPr>
              <w:spacing w:after="45"/>
            </w:pPr>
            <w:r>
              <w:rPr>
                <w:sz w:val="15"/>
                <w:szCs w:val="15"/>
              </w:rPr>
              <w:t xml:space="preserve">Only 55% of patients randomised were followed long enough for events (77/140 deaths at median 22.7 months follow-up), so the median survival estimates, particularly the not-reached upper bound in the control arm, are unstable</w:t>
            </w:r>
          </w:p>
          <w:p>
            <w:pPr>
              <w:pStyle w:val="ListParagraph"/>
              <w:numPr>
                <w:ilvl w:val="0"/>
                <w:numId w:val="2"/>
              </w:numPr>
              <w:spacing w:after="45"/>
            </w:pPr>
            <w:r>
              <w:rPr>
                <w:sz w:val="15"/>
                <w:szCs w:val="15"/>
              </w:rPr>
              <w:t xml:space="preserve">The trial used full-dose, not modified, FOLFIRINOX without protocol-mandated G-CSF, which the authors concede may have driven the 58% grade 3+ toxicity rate and the compliance failure</w:t>
            </w:r>
          </w:p>
        </w:tc>
      </w:tr>
    </w:tbl>
    <w:p>
      <w:pPr>
        <w:spacing w:after="0" w:line="276"/>
      </w:pPr>
      <w:r>
        <w:rPr>
          <w:color w:val="5A6069"/>
          <w:sz w:val="14"/>
          <w:szCs w:val="14"/>
        </w:rPr>
        <w:t xml:space="preserve">Funding: Non-commercial: Norwegian Cancer Society, South Eastern Norwegian Health Authority, the Sjoberg Foundation and Helsinki University Hospital Research Grants. Funders had no role in design, data collection, analysis, interpretation or writing. One author reports honoraria from Pfizer, Amgen and Bristol Myers Squibb; all others declare no competing interests.</w:t>
      </w:r>
    </w:p>
    <w:p>
      <w:pPr>
        <w:keepNext/>
        <w:spacing w:after="50" w:before="260"/>
      </w:pPr>
      <w:r>
        <w:rPr>
          <w:rFonts w:ascii="Cambria" w:cs="Cambria" w:eastAsia="Cambria" w:hAnsi="Cambria"/>
          <w:b/>
          <w:bCs/>
          <w:color w:val="17365D"/>
          <w:sz w:val="20"/>
          <w:szCs w:val="20"/>
        </w:rPr>
        <w:t xml:space="preserve">POLO</w:t>
      </w:r>
      <w:r>
        <w:rPr>
          <w:b/>
          <w:bCs/>
          <w:color w:val="176A87"/>
          <w:sz w:val="15"/>
          <w:szCs w:val="15"/>
        </w:rPr>
        <w:t xml:space="preserve">   Randomised trial</w:t>
      </w:r>
      <w:r>
        <w:rPr>
          <w:color w:val="5A6069"/>
          <w:sz w:val="15"/>
          <w:szCs w:val="15"/>
        </w:rPr>
        <w:t xml:space="preserve">   PMID 31157963</w:t>
      </w:r>
    </w:p>
    <w:p>
      <w:pPr>
        <w:spacing w:after="50" w:line="276"/>
      </w:pPr>
      <w:r>
        <w:rPr>
          <w:color w:val="5A6069"/>
          <w:sz w:val="17"/>
          <w:szCs w:val="17"/>
        </w:rPr>
        <w:t xml:space="preserve">Maintenance Olaparib for Germline BRCA-Mutated Metastatic Pancreatic Cancer.</w:t>
      </w:r>
    </w:p>
    <w:p>
      <w:pPr>
        <w:spacing w:after="50"/>
      </w:pPr>
      <w:r>
        <w:rPr>
          <w:b/>
          <w:bCs/>
          <w:color w:val="176A87"/>
          <w:sz w:val="16"/>
          <w:szCs w:val="16"/>
        </w:rPr>
        <w:t xml:space="preserve">Population. </w:t>
      </w:r>
      <w:r>
        <w:rPr>
          <w:sz w:val="16"/>
          <w:szCs w:val="16"/>
        </w:rPr>
        <w:t xml:space="preserve">154 randomised (92 olaparib, 62 placebo), from 3315 screened</w:t>
      </w:r>
    </w:p>
    <w:p>
      <w:pPr>
        <w:spacing w:after="70"/>
      </w:pPr>
      <w:r>
        <w:rPr>
          <w:b/>
          <w:bCs/>
          <w:color w:val="17365D"/>
          <w:sz w:val="16"/>
          <w:szCs w:val="16"/>
        </w:rPr>
        <w:t xml:space="preserve">Bottom line. </w:t>
      </w:r>
      <w:r>
        <w:rPr>
          <w:sz w:val="16"/>
          <w:szCs w:val="16"/>
        </w:rPr>
        <w:t xml:space="preserve">In the 4.6% of screened patients who have a germline BRCA mutation and have already not progressed on four months of platinum, maintenance olaparib delays radiographic progression by 3.6 months against placebo, but does not improve overall survival or quality of life at this analysis and has not been tested against continued chemotherapy.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Overall survival was reported at an interim analysis with only 46% data maturity and showed no significant difference</w:t>
            </w:r>
          </w:p>
          <w:p>
            <w:pPr>
              <w:pStyle w:val="ListParagraph"/>
              <w:numPr>
                <w:ilvl w:val="0"/>
                <w:numId w:val="2"/>
              </w:numPr>
              <w:spacing w:after="45"/>
            </w:pPr>
            <w:r>
              <w:rPr>
                <w:sz w:val="15"/>
                <w:szCs w:val="15"/>
              </w:rPr>
              <w:t xml:space="preserve">Overall survival may be confounded by subsequent therapy, including the nine placebo patients (15%) who received a PARP inhibitor after progression, and by placebo-group patients going on to further DNA-damaging agents</w:t>
            </w:r>
          </w:p>
          <w:p>
            <w:pPr>
              <w:pStyle w:val="ListParagraph"/>
              <w:numPr>
                <w:ilvl w:val="0"/>
                <w:numId w:val="2"/>
              </w:numPr>
              <w:spacing w:after="45"/>
            </w:pPr>
            <w:r>
              <w:rPr>
                <w:sz w:val="15"/>
                <w:szCs w:val="15"/>
              </w:rPr>
              <w:t xml:space="preserve">Placebo rather than continued chemotherapy was chosen as comparator on the grounds that cumulative neuropathy and other toxicity limit extended platinum therapy</w:t>
            </w:r>
          </w:p>
          <w:p>
            <w:pPr>
              <w:pStyle w:val="ListParagraph"/>
              <w:numPr>
                <w:ilvl w:val="0"/>
                <w:numId w:val="2"/>
              </w:numPr>
              <w:spacing w:after="45"/>
            </w:pPr>
            <w:r>
              <w:rPr>
                <w:sz w:val="15"/>
                <w:szCs w:val="15"/>
              </w:rPr>
              <w:t xml:space="preserve">The trial used dual selection — germline BRCA mutation plus no progression on at least 16 weeks of platinum — so the population is enriched for benefit; of 3315 screened, 7.5% had a germline BRCA mutation</w:t>
            </w:r>
          </w:p>
          <w:p>
            <w:pPr>
              <w:pStyle w:val="ListParagraph"/>
              <w:numPr>
                <w:ilvl w:val="0"/>
                <w:numId w:val="2"/>
              </w:numPr>
              <w:spacing w:after="45"/>
            </w:pPr>
            <w:r>
              <w:rPr>
                <w:sz w:val="15"/>
                <w:szCs w:val="15"/>
              </w:rPr>
              <w:t xml:space="preserve">Time to second progression is an endpoint without precedent in pancreatic cancer and was interpreted by analogy with other tumour types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placebo, not maintenance chemotherapy or a de-escalated fluoropyrimidine. The trial therefore establishes that olaparib beats stopping treatment, not that it beats continuing anything, which is the comparison a pathway actually faces at the 16-week mark</w:t>
            </w:r>
          </w:p>
          <w:p>
            <w:pPr>
              <w:pStyle w:val="ListParagraph"/>
              <w:numPr>
                <w:ilvl w:val="0"/>
                <w:numId w:val="2"/>
              </w:numPr>
              <w:spacing w:after="45"/>
            </w:pPr>
            <w:r>
              <w:rPr>
                <w:sz w:val="15"/>
                <w:szCs w:val="15"/>
              </w:rPr>
              <w:t xml:space="preserve">The 3315-to-154 funnel (4.6% of screened patients randomised) means the result applies to a population that must be found by population-wide germline testing plus four months of platinum response — a conditioning step that is itself the strongest prognostic selection in the trial</w:t>
            </w:r>
          </w:p>
          <w:p>
            <w:pPr>
              <w:pStyle w:val="ListParagraph"/>
              <w:numPr>
                <w:ilvl w:val="0"/>
                <w:numId w:val="2"/>
              </w:numPr>
              <w:spacing w:after="45"/>
            </w:pPr>
            <w:r>
              <w:rPr>
                <w:sz w:val="15"/>
                <w:szCs w:val="15"/>
              </w:rPr>
              <w:t xml:space="preserve">PFS is the only positive endpoint and it is a progression-imaging endpoint in an unblinded-to-progression-pattern disease; the paper does not report sensitivity analyses for differential assessment timing or informative censoring, and the alpha spent on PFS leaves overall survival with no formal success criterion in this report</w:t>
            </w:r>
          </w:p>
          <w:p>
            <w:pPr>
              <w:pStyle w:val="ListParagraph"/>
              <w:numPr>
                <w:ilvl w:val="0"/>
                <w:numId w:val="2"/>
              </w:numPr>
              <w:spacing w:after="45"/>
            </w:pPr>
            <w:r>
              <w:rPr>
                <w:sz w:val="15"/>
                <w:szCs w:val="15"/>
              </w:rPr>
              <w:t xml:space="preserve">A median OS of 18.1 months in the placebo arm of metastatic pancreatic cancer is far above the 6-11 months typical of the disease, confirming how selected this population is; quoting POLO alongside unselected trials is not like-for-like</w:t>
            </w:r>
          </w:p>
          <w:p>
            <w:pPr>
              <w:pStyle w:val="ListParagraph"/>
              <w:numPr>
                <w:ilvl w:val="0"/>
                <w:numId w:val="2"/>
              </w:numPr>
              <w:spacing w:after="45"/>
            </w:pPr>
            <w:r>
              <w:rPr>
                <w:sz w:val="15"/>
                <w:szCs w:val="15"/>
              </w:rPr>
              <w:t xml:space="preserve">Grade 3+ toxicity nearly doubled (40% vs 23%) for a benefit confined to an imaging endpoint with no survival or quality-of-life gain — the harm half of the ledger is quantified but not weighed</w:t>
            </w:r>
          </w:p>
          <w:p>
            <w:pPr>
              <w:pStyle w:val="ListParagraph"/>
              <w:numPr>
                <w:ilvl w:val="0"/>
                <w:numId w:val="2"/>
              </w:numPr>
              <w:spacing w:after="45"/>
            </w:pPr>
            <w:r>
              <w:rPr>
                <w:sz w:val="15"/>
                <w:szCs w:val="15"/>
              </w:rPr>
              <w:t xml:space="preserve">AstraZeneca (in alliance with Merck Sharp &amp; Dohme) funded the trial, supplied the companion diagnostic pathway (BRACAnalysis CDx, Myriad) and provided sponsor-funded medical writing; the choice of placebo over active maintenance is the design decision most favourable to the sponsor and is defended in one sentence</w:t>
            </w:r>
          </w:p>
          <w:p>
            <w:pPr>
              <w:pStyle w:val="ListParagraph"/>
              <w:numPr>
                <w:ilvl w:val="0"/>
                <w:numId w:val="2"/>
              </w:numPr>
              <w:spacing w:after="45"/>
            </w:pPr>
            <w:r>
              <w:rPr>
                <w:sz w:val="15"/>
                <w:szCs w:val="15"/>
              </w:rPr>
              <w:t xml:space="preserve">Nine placebo patients crossing to a PARP inhibitor is cited as biasing OS towards the null, but the direction is asserted rather than quantified, and no sensitivity analysis censoring at crossover is presented</w:t>
            </w:r>
          </w:p>
        </w:tc>
      </w:tr>
    </w:tbl>
    <w:p>
      <w:pPr>
        <w:spacing w:after="0" w:line="276"/>
      </w:pPr>
      <w:r>
        <w:rPr>
          <w:color w:val="5A6069"/>
          <w:sz w:val="14"/>
          <w:szCs w:val="14"/>
        </w:rPr>
        <w:t xml:space="preserve">Funding: AstraZeneca, as part of an alliance between AstraZeneca and Merck Sharp &amp; Dohme (a subsidiary of Merck), and NIH/NCI Cancer Center grant P30-17 CA008748</w:t>
      </w:r>
    </w:p>
    <w:p>
      <w:pPr>
        <w:keepNext/>
        <w:spacing w:after="50" w:before="260"/>
      </w:pPr>
      <w:r>
        <w:rPr>
          <w:rFonts w:ascii="Cambria" w:cs="Cambria" w:eastAsia="Cambria" w:hAnsi="Cambria"/>
          <w:b/>
          <w:bCs/>
          <w:color w:val="17365D"/>
          <w:sz w:val="20"/>
          <w:szCs w:val="20"/>
        </w:rPr>
        <w:t xml:space="preserve">PREOPANC</w:t>
      </w:r>
      <w:r>
        <w:rPr>
          <w:b/>
          <w:bCs/>
          <w:color w:val="176A87"/>
          <w:sz w:val="15"/>
          <w:szCs w:val="15"/>
        </w:rPr>
        <w:t xml:space="preserve">   Randomised trial</w:t>
      </w:r>
      <w:r>
        <w:rPr>
          <w:color w:val="5A6069"/>
          <w:sz w:val="15"/>
          <w:szCs w:val="15"/>
        </w:rPr>
        <w:t xml:space="preserve">   PMID 32105518</w:t>
      </w:r>
    </w:p>
    <w:p>
      <w:pPr>
        <w:spacing w:after="50" w:line="276"/>
      </w:pPr>
      <w:r>
        <w:rPr>
          <w:color w:val="5A6069"/>
          <w:sz w:val="17"/>
          <w:szCs w:val="17"/>
        </w:rPr>
        <w:t xml:space="preserve">Preoperative Chemoradiotherapy Versus Immediate Surgery for Resectable and Borderline Resectable Pancreatic Cancer: Results of the Dutch Randomized Phase III PREOPANC Trial.</w:t>
      </w:r>
    </w:p>
    <w:p>
      <w:pPr>
        <w:spacing w:after="50"/>
      </w:pPr>
      <w:r>
        <w:rPr>
          <w:b/>
          <w:bCs/>
          <w:color w:val="176A87"/>
          <w:sz w:val="16"/>
          <w:szCs w:val="16"/>
        </w:rPr>
        <w:t xml:space="preserve">Population. </w:t>
      </w:r>
      <w:r>
        <w:rPr>
          <w:sz w:val="16"/>
          <w:szCs w:val="16"/>
        </w:rPr>
        <w:t xml:space="preserve">246 eligible patients (119 preoperative chemoradiotherapy, 127 immediate surgery); 164 resections</w:t>
      </w:r>
    </w:p>
    <w:p>
      <w:pPr>
        <w:spacing w:after="70"/>
      </w:pPr>
      <w:r>
        <w:rPr>
          <w:b/>
          <w:bCs/>
          <w:color w:val="17365D"/>
          <w:sz w:val="16"/>
          <w:szCs w:val="16"/>
        </w:rPr>
        <w:t xml:space="preserve">Bottom line. </w:t>
      </w:r>
      <w:r>
        <w:rPr>
          <w:sz w:val="16"/>
          <w:szCs w:val="16"/>
        </w:rPr>
        <w:t xml:space="preserve">PREOPANC's primary analysis did NOT show a survival benefit for neoadjuvant gemcitabine-based chemoradiotherapy over immediate surgery (16.0 vs 14.3 months, P=.096); it establishes better margin, nodal and locoregional outcomes and better treatment delivery, against an adjuvant gemcitabine comparator that is no longer standard, and the quoted large survival gains come from subgroups selected after randomisation.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Median OS in the immediate surgery arm was better than the 11 months assumed when powering the trial (14.3 months), so the trial was underpowered for its design</w:t>
            </w:r>
          </w:p>
          <w:p>
            <w:pPr>
              <w:pStyle w:val="ListParagraph"/>
              <w:numPr>
                <w:ilvl w:val="0"/>
                <w:numId w:val="2"/>
              </w:numPr>
              <w:spacing w:after="45"/>
            </w:pPr>
            <w:r>
              <w:rPr>
                <w:sz w:val="15"/>
                <w:szCs w:val="15"/>
              </w:rPr>
              <w:t xml:space="preserve">A 24% dropout rate in the chemoradiotherapy arm before starting treatment, including 10 patients whose treatment was delayed by persistent jaundice after biliary drainage</w:t>
            </w:r>
          </w:p>
          <w:p>
            <w:pPr>
              <w:pStyle w:val="ListParagraph"/>
              <w:numPr>
                <w:ilvl w:val="0"/>
                <w:numId w:val="2"/>
              </w:numPr>
              <w:spacing w:after="45"/>
            </w:pPr>
            <w:r>
              <w:rPr>
                <w:sz w:val="15"/>
                <w:szCs w:val="15"/>
              </w:rPr>
              <w:t xml:space="preserve">Fourteen patients (6%) had pathology other than PDAC, 9 cholangiocarcinoma, with a more favourable prognosis</w:t>
            </w:r>
          </w:p>
          <w:p>
            <w:pPr>
              <w:pStyle w:val="ListParagraph"/>
              <w:numPr>
                <w:ilvl w:val="0"/>
                <w:numId w:val="2"/>
              </w:numPr>
              <w:spacing w:after="45"/>
            </w:pPr>
            <w:r>
              <w:rPr>
                <w:sz w:val="15"/>
                <w:szCs w:val="15"/>
              </w:rPr>
              <w:t xml:space="preserve">The authors state the resectable-versus-borderline difference must be interpreted cautiously because the interaction test was not significant</w:t>
            </w:r>
          </w:p>
          <w:p>
            <w:pPr>
              <w:pStyle w:val="ListParagraph"/>
              <w:numPr>
                <w:ilvl w:val="0"/>
                <w:numId w:val="2"/>
              </w:numPr>
              <w:spacing w:after="45"/>
            </w:pPr>
            <w:r>
              <w:rPr>
                <w:sz w:val="15"/>
                <w:szCs w:val="15"/>
              </w:rPr>
              <w:t xml:space="preserve">Comparison with contemporary adjuvant trials (ESPAC-4, PRODIGE-24) is acknowledged as difficult because adjuvant trials exclude patients who progress or do not recover from surgery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the control arm was upfront surgery followed by six cycles of adjuvant GEMCITABINE MONOTHERAPY. This was Dutch standard of care when the trial was designed but was superseded during the trial by ESPAC-4 (gemcitabine/capecitabine, 2017) and PRODIGE-24 (mFOLFIRINOX, 2018). The control arm therefore did NOT receive modern adjuvant therapy, and the trial cannot support a claim about neoadjuvant therapy versus current standard upfront treatment</w:t>
            </w:r>
          </w:p>
          <w:p>
            <w:pPr>
              <w:pStyle w:val="ListParagraph"/>
              <w:numPr>
                <w:ilvl w:val="0"/>
                <w:numId w:val="2"/>
              </w:numPr>
              <w:spacing w:after="45"/>
            </w:pPr>
            <w:r>
              <w:rPr>
                <w:sz w:val="15"/>
                <w:szCs w:val="15"/>
              </w:rPr>
              <w:t xml:space="preserve">NON-RECEIPT OF ALLOCATED TREATMENT: 28/119 (24%) allocated to chemoradiotherapy never started it (13 metastatic at staging laparoscopy, 4 progressed, 3 crossed to urgent surgery, 3 died, plus protocol violations), and 7 crossed over to surgery without neoadjuvant treatment. In the surgery arm 6/127 (5%) never had surgery and only 65/127 (51%) ever received any chemotherapy. Roughly a quarter of each arm did not receive the strategy it was assigned</w:t>
            </w:r>
          </w:p>
          <w:p>
            <w:pPr>
              <w:pStyle w:val="ListParagraph"/>
              <w:numPr>
                <w:ilvl w:val="0"/>
                <w:numId w:val="2"/>
              </w:numPr>
              <w:spacing w:after="45"/>
            </w:pPr>
            <w:r>
              <w:rPr>
                <w:sz w:val="15"/>
                <w:szCs w:val="15"/>
              </w:rPr>
              <w:t xml:space="preserve">The paper's conclusion and the widely quoted 35.2-vs-19.8-month figure rest on a NEGATIVE primary endpoint plus a subgroup of patients selected by surviving to resection and tolerating adjuvant therapy - a post-randomisation selection that cannot be read as a randomised comparison; a pathway should not cite it as the effect of neoadjuvant therapy</w:t>
            </w:r>
          </w:p>
          <w:p>
            <w:pPr>
              <w:pStyle w:val="ListParagraph"/>
              <w:numPr>
                <w:ilvl w:val="0"/>
                <w:numId w:val="2"/>
              </w:numPr>
              <w:spacing w:after="45"/>
            </w:pPr>
            <w:r>
              <w:rPr>
                <w:sz w:val="15"/>
                <w:szCs w:val="15"/>
              </w:rPr>
              <w:t xml:space="preserve">The experimental arm underwent mandatory staging laparoscopy (114/119) while laparoscopy was discretionary in the surgery arm, so occult metastatic disease was systematically removed from the neoadjuvant arm's resection denominator earlier and more reliably - a selection asymmetry that inflates the R0 and nodal comparisons</w:t>
            </w:r>
          </w:p>
          <w:p>
            <w:pPr>
              <w:pStyle w:val="ListParagraph"/>
              <w:numPr>
                <w:ilvl w:val="0"/>
                <w:numId w:val="2"/>
              </w:numPr>
              <w:spacing w:after="45"/>
            </w:pPr>
            <w:r>
              <w:rPr>
                <w:sz w:val="15"/>
                <w:szCs w:val="15"/>
              </w:rPr>
              <w:t xml:space="preserve">R0 rate is reported per resected patient (71% of 72) rather than per randomised patient, which flatters the arm with the lower resection rate; by ITT the R0 difference is much smaller (41% vs 28%, as reported in the 2022 long-term paper)</w:t>
            </w:r>
          </w:p>
          <w:p>
            <w:pPr>
              <w:pStyle w:val="ListParagraph"/>
              <w:numPr>
                <w:ilvl w:val="0"/>
                <w:numId w:val="2"/>
              </w:numPr>
              <w:spacing w:after="45"/>
            </w:pPr>
            <w:r>
              <w:rPr>
                <w:sz w:val="15"/>
                <w:szCs w:val="15"/>
              </w:rPr>
              <w:t xml:space="preserve">The regimen bundles chemotherapy with radiotherapy, so no inference about the contribution of radiotherapy is possible; the trial also used gemcitabine, not a multi-agent neoadjuvant regimen</w:t>
            </w:r>
          </w:p>
          <w:p>
            <w:pPr>
              <w:pStyle w:val="ListParagraph"/>
              <w:numPr>
                <w:ilvl w:val="0"/>
                <w:numId w:val="2"/>
              </w:numPr>
              <w:spacing w:after="45"/>
            </w:pPr>
            <w:r>
              <w:rPr>
                <w:sz w:val="15"/>
                <w:szCs w:val="15"/>
              </w:rPr>
              <w:t xml:space="preserve">Dutch resectability criteria are narrower than NCCN criteria, so a subset of NCCN borderline resectable patients was never eligible, limiting transportability of the borderline subgroup finding</w:t>
            </w:r>
          </w:p>
          <w:p>
            <w:pPr>
              <w:pStyle w:val="ListParagraph"/>
              <w:numPr>
                <w:ilvl w:val="0"/>
                <w:numId w:val="2"/>
              </w:numPr>
              <w:spacing w:after="45"/>
            </w:pPr>
            <w:r>
              <w:rPr>
                <w:sz w:val="15"/>
                <w:szCs w:val="15"/>
              </w:rPr>
              <w:t xml:space="preserve">Open-label design with no central radiology or pathology review reported for the primary analysis</w:t>
            </w:r>
          </w:p>
          <w:p>
            <w:pPr>
              <w:pStyle w:val="ListParagraph"/>
              <w:numPr>
                <w:ilvl w:val="0"/>
                <w:numId w:val="2"/>
              </w:numPr>
              <w:spacing w:after="45"/>
            </w:pPr>
            <w:r>
              <w:rPr>
                <w:sz w:val="15"/>
                <w:szCs w:val="15"/>
              </w:rPr>
              <w:t xml:space="preserve">Baseline imbalance in WHO performance status (58% PS 0 in the neoadjuvant arm vs 39% in the surgery arm) favours the experimental arm and is not adjusted for in the primary analysis</w:t>
            </w:r>
          </w:p>
        </w:tc>
      </w:tr>
    </w:tbl>
    <w:p>
      <w:pPr>
        <w:spacing w:after="0" w:line="276"/>
      </w:pPr>
      <w:r>
        <w:rPr>
          <w:color w:val="5A6069"/>
          <w:sz w:val="14"/>
          <w:szCs w:val="14"/>
        </w:rPr>
        <w:t xml:space="preserve">Funding: Dutch Cancer Society (KWF, UVA 2012-5696), which funded data management and monitoring and is stated not to have influenced design or analysis. Multiple investigators declare consulting, honoraria or institutional research funding from Servier, Celgene, Roche, Merck, Pfizer, Boston Scientific, Cook Medical and others.</w:t>
      </w:r>
    </w:p>
    <w:p>
      <w:pPr>
        <w:keepNext/>
        <w:spacing w:after="50" w:before="260"/>
      </w:pPr>
      <w:r>
        <w:rPr>
          <w:rFonts w:ascii="Cambria" w:cs="Cambria" w:eastAsia="Cambria" w:hAnsi="Cambria"/>
          <w:b/>
          <w:bCs/>
          <w:color w:val="17365D"/>
          <w:sz w:val="20"/>
          <w:szCs w:val="20"/>
        </w:rPr>
        <w:t xml:space="preserve">PREOPANC long-term</w:t>
      </w:r>
      <w:r>
        <w:rPr>
          <w:b/>
          <w:bCs/>
          <w:color w:val="176A87"/>
          <w:sz w:val="15"/>
          <w:szCs w:val="15"/>
        </w:rPr>
        <w:t xml:space="preserve">   Randomised trial</w:t>
      </w:r>
      <w:r>
        <w:rPr>
          <w:color w:val="5A6069"/>
          <w:sz w:val="15"/>
          <w:szCs w:val="15"/>
        </w:rPr>
        <w:t xml:space="preserve">   PMID 35084987</w:t>
      </w:r>
    </w:p>
    <w:p>
      <w:pPr>
        <w:spacing w:after="50" w:line="276"/>
      </w:pPr>
      <w:r>
        <w:rPr>
          <w:color w:val="5A6069"/>
          <w:sz w:val="17"/>
          <w:szCs w:val="17"/>
        </w:rPr>
        <w:t xml:space="preserve">Neoadjuvant Chemoradiotherapy Versus Upfront Surgery for Resectable and Borderline Resectable Pancreatic Cancer: Long-Term Results of the Dutch Randomized PREOPANC Trial.</w:t>
      </w:r>
    </w:p>
    <w:p>
      <w:pPr>
        <w:spacing w:after="50"/>
      </w:pPr>
      <w:r>
        <w:rPr>
          <w:b/>
          <w:bCs/>
          <w:color w:val="176A87"/>
          <w:sz w:val="16"/>
          <w:szCs w:val="16"/>
        </w:rPr>
        <w:t xml:space="preserve">Population. </w:t>
      </w:r>
      <w:r>
        <w:rPr>
          <w:sz w:val="16"/>
          <w:szCs w:val="16"/>
        </w:rPr>
        <w:t xml:space="preserve">246 patients (119 neoadjuvant chemoradiotherapy, 127 upfront surgery); 210 deaths (85%)</w:t>
      </w:r>
    </w:p>
    <w:p>
      <w:pPr>
        <w:spacing w:after="70"/>
      </w:pPr>
      <w:r>
        <w:rPr>
          <w:b/>
          <w:bCs/>
          <w:color w:val="17365D"/>
          <w:sz w:val="16"/>
          <w:szCs w:val="16"/>
        </w:rPr>
        <w:t xml:space="preserve">Bottom line. </w:t>
      </w:r>
      <w:r>
        <w:rPr>
          <w:sz w:val="16"/>
          <w:szCs w:val="16"/>
        </w:rPr>
        <w:t xml:space="preserve">With 59 months of follow-up PREOPANC shows a real long-term survival advantage for neoadjuvant gemcitabine-based chemoradiotherapy over upfront surgery (5-year OS 20.5% vs 6.5%, HR 0.73), but only against adjuvant gemcitabine monotherapy, with a median difference of 1.4 months, a lower resection rate, and a quarter of the neoadjuvant arm never receiving the allocated treatment.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main stated limitation is that adjuvant gemcitabine monotherapy, used in both arms, is now considered out of date; ESPAC-4 and PRODIGE-24 were published after the trial closed</w:t>
            </w:r>
          </w:p>
          <w:p>
            <w:pPr>
              <w:pStyle w:val="ListParagraph"/>
              <w:numPr>
                <w:ilvl w:val="0"/>
                <w:numId w:val="2"/>
              </w:numPr>
              <w:spacing w:after="45"/>
            </w:pPr>
            <w:r>
              <w:rPr>
                <w:sz w:val="15"/>
                <w:szCs w:val="15"/>
              </w:rPr>
              <w:t xml:space="preserve">No randomised trial has compared gemcitabine-based chemoradiotherapy with multi-agent neoadjuvant regimens, so the optimal neoadjuvant schedule is unknown</w:t>
            </w:r>
          </w:p>
          <w:p>
            <w:pPr>
              <w:pStyle w:val="ListParagraph"/>
              <w:numPr>
                <w:ilvl w:val="0"/>
                <w:numId w:val="2"/>
              </w:numPr>
              <w:spacing w:after="45"/>
            </w:pPr>
            <w:r>
              <w:rPr>
                <w:sz w:val="15"/>
                <w:szCs w:val="15"/>
              </w:rPr>
              <w:t xml:space="preserve">The resectability criteria differ from NCCN criteria, so some NCCN borderline resectable patients were excluded</w:t>
            </w:r>
          </w:p>
          <w:p>
            <w:pPr>
              <w:pStyle w:val="ListParagraph"/>
              <w:numPr>
                <w:ilvl w:val="0"/>
                <w:numId w:val="2"/>
              </w:numPr>
              <w:spacing w:after="45"/>
            </w:pPr>
            <w:r>
              <w:rPr>
                <w:sz w:val="15"/>
                <w:szCs w:val="15"/>
              </w:rPr>
              <w:t xml:space="preserve">It is unclear how much of the benefit comes from radiotherapy as opposed to the timing of treatment, because radiotherapy was bundled into the neoadjuvant regimen</w:t>
            </w:r>
          </w:p>
          <w:p>
            <w:pPr>
              <w:pStyle w:val="ListParagraph"/>
              <w:numPr>
                <w:ilvl w:val="0"/>
                <w:numId w:val="2"/>
              </w:numPr>
              <w:spacing w:after="45"/>
            </w:pPr>
            <w:r>
              <w:rPr>
                <w:sz w:val="15"/>
                <w:szCs w:val="15"/>
              </w:rPr>
              <w:t xml:space="preserve">No safety data were collected beyond the initial report</w:t>
            </w:r>
          </w:p>
          <w:p>
            <w:pPr>
              <w:pStyle w:val="ListParagraph"/>
              <w:numPr>
                <w:ilvl w:val="0"/>
                <w:numId w:val="2"/>
              </w:numPr>
              <w:spacing w:after="45"/>
            </w:pPr>
            <w:r>
              <w:rPr>
                <w:sz w:val="15"/>
                <w:szCs w:val="15"/>
              </w:rPr>
              <w:t xml:space="preserve">Nine percent of resected patients had a diagnosis other than pancreatic adenocarcinoma, mostly cholangiocarcinoma, reflecting diagnostic difficulty</w:t>
            </w:r>
          </w:p>
          <w:p>
            <w:pPr>
              <w:pStyle w:val="ListParagraph"/>
              <w:numPr>
                <w:ilvl w:val="0"/>
                <w:numId w:val="2"/>
              </w:numPr>
              <w:spacing w:after="45"/>
            </w:pPr>
            <w:r>
              <w:rPr>
                <w:sz w:val="15"/>
                <w:szCs w:val="15"/>
              </w:rPr>
              <w:t xml:space="preserve">Survival was lower than in adjuvant trials because of the different, less selected population randomised at diagnosis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upfront surgery plus six cycles of adjuvant GEMCITABINE MONOTHERAPY. The control arm did NOT receive modern adjuvant therapy. Because adjuvant mFOLFIRINOX raised median OS to 54.4 months in PRODIGE-24, a 14% absolute 5-year gain over adjuvant gemcitabine cannot be transposed onto a pathway whose comparator is adjuvant mFOLFIRINOX</w:t>
            </w:r>
          </w:p>
          <w:p>
            <w:pPr>
              <w:pStyle w:val="ListParagraph"/>
              <w:numPr>
                <w:ilvl w:val="0"/>
                <w:numId w:val="2"/>
              </w:numPr>
              <w:spacing w:after="45"/>
            </w:pPr>
            <w:r>
              <w:rPr>
                <w:sz w:val="15"/>
                <w:szCs w:val="15"/>
              </w:rPr>
              <w:t xml:space="preserve">NON-RECEIPT OF ALLOCATED TREATMENT: 28/119 (24%) never started neoadjuvant chemoradiotherapy (13 metastatic at staging laparoscopy, 4 progression, 3 urgent surgery indication, 3 died, 5 no laparoscopy); 7 crossed over to surgery. In the upfront surgery arm 6/127 (5%) never had surgery and 49% never received any chemotherapy at all. The trial therefore compares two intention-to-treat strategies with substantial crossover, not two delivered treatments</w:t>
            </w:r>
          </w:p>
          <w:p>
            <w:pPr>
              <w:pStyle w:val="ListParagraph"/>
              <w:numPr>
                <w:ilvl w:val="0"/>
                <w:numId w:val="2"/>
              </w:numPr>
              <w:spacing w:after="45"/>
            </w:pPr>
            <w:r>
              <w:rPr>
                <w:sz w:val="15"/>
                <w:szCs w:val="15"/>
              </w:rPr>
              <w:t xml:space="preserve">The primary endpoint changed from negative to positive with longer follow-up WITHOUT a prespecified plan for this analysis, and no multiplicity adjustment is reported for re-testing the primary endpoint at a second time point - the nominal P=.025 should be read with that in mind</w:t>
            </w:r>
          </w:p>
          <w:p>
            <w:pPr>
              <w:pStyle w:val="ListParagraph"/>
              <w:numPr>
                <w:ilvl w:val="0"/>
                <w:numId w:val="2"/>
              </w:numPr>
              <w:spacing w:after="45"/>
            </w:pPr>
            <w:r>
              <w:rPr>
                <w:sz w:val="15"/>
                <w:szCs w:val="15"/>
              </w:rPr>
              <w:t xml:space="preserve">The claim that the effect is 'consistent across subgroups' rests on non-significant interaction tests in a trial powered for an overall 6-month median difference; it is underpowered to exclude the possibility that the benefit is confined to borderline resectable disease, where the point estimate (0.67) is in fact the only significant subgroup</w:t>
            </w:r>
          </w:p>
          <w:p>
            <w:pPr>
              <w:pStyle w:val="ListParagraph"/>
              <w:numPr>
                <w:ilvl w:val="0"/>
                <w:numId w:val="2"/>
              </w:numPr>
              <w:spacing w:after="45"/>
            </w:pPr>
            <w:r>
              <w:rPr>
                <w:sz w:val="15"/>
                <w:szCs w:val="15"/>
              </w:rPr>
              <w:t xml:space="preserve">A 1.4-month median difference with a 14% 5-year difference means the hazards are far from constant early on, yet the headline HR assumes proportionality over the whole interval; the authors acknowledge the curves cross-over shape but still quote a single HR</w:t>
            </w:r>
          </w:p>
          <w:p>
            <w:pPr>
              <w:pStyle w:val="ListParagraph"/>
              <w:numPr>
                <w:ilvl w:val="0"/>
                <w:numId w:val="2"/>
              </w:numPr>
              <w:spacing w:after="45"/>
            </w:pPr>
            <w:r>
              <w:rPr>
                <w:sz w:val="15"/>
                <w:szCs w:val="15"/>
              </w:rPr>
              <w:t xml:space="preserve">The neoadjuvant arm's advantage in total chemotherapy exposure is partly a design artefact: the comparator was allowed only post-operative chemotherapy, which half the arm could never receive. Any strategy that front-loads chemotherapy will win on exposure, which is not evidence that radiotherapy or chemoradiotherapy specifically helps</w:t>
            </w:r>
          </w:p>
          <w:p>
            <w:pPr>
              <w:pStyle w:val="ListParagraph"/>
              <w:numPr>
                <w:ilvl w:val="0"/>
                <w:numId w:val="2"/>
              </w:numPr>
              <w:spacing w:after="45"/>
            </w:pPr>
            <w:r>
              <w:rPr>
                <w:sz w:val="15"/>
                <w:szCs w:val="15"/>
              </w:rPr>
              <w:t xml:space="preserve">Mandatory staging laparoscopy in the neoadjuvant arm only (114/119) removed occult metastatic patients from that arm's surgical denominator; the upfront arm discovered the same disease at laparotomy (29/127 explored without resection) and those patients remain in the denominator</w:t>
            </w:r>
          </w:p>
          <w:p>
            <w:pPr>
              <w:pStyle w:val="ListParagraph"/>
              <w:numPr>
                <w:ilvl w:val="0"/>
                <w:numId w:val="2"/>
              </w:numPr>
              <w:spacing w:after="45"/>
            </w:pPr>
            <w:r>
              <w:rPr>
                <w:sz w:val="15"/>
                <w:szCs w:val="15"/>
              </w:rPr>
              <w:t xml:space="preserve">Baseline performance status was imbalanced in favour of the neoadjuvant arm (58% vs 39% WHO 0) and the primary model stratifies only by resectability</w:t>
            </w:r>
          </w:p>
          <w:p>
            <w:pPr>
              <w:pStyle w:val="ListParagraph"/>
              <w:numPr>
                <w:ilvl w:val="0"/>
                <w:numId w:val="2"/>
              </w:numPr>
              <w:spacing w:after="45"/>
            </w:pPr>
            <w:r>
              <w:rPr>
                <w:sz w:val="15"/>
                <w:szCs w:val="15"/>
              </w:rPr>
              <w:t xml:space="preserve">Roughly half the patients in each arm received NO treatment at recurrence, so the survival curves also reflect limited salvage therapy and may not generalise to settings with higher second-line uptake</w:t>
            </w:r>
          </w:p>
        </w:tc>
      </w:tr>
    </w:tbl>
    <w:p>
      <w:pPr>
        <w:spacing w:after="0" w:line="276"/>
      </w:pPr>
      <w:r>
        <w:rPr>
          <w:color w:val="5A6069"/>
          <w:sz w:val="14"/>
          <w:szCs w:val="14"/>
        </w:rPr>
        <w:t xml:space="preserve">Funding: Dutch Cancer Foundation (KWF, UVA 2012-5696), funding data management and monitoring only; stated not to have influenced design or analysis. Several authors report consulting or institutional research funding from Servier, Celgene, Merck, AstraZeneca, Intuitive Surgical, Medtronic, Roche and others.</w:t>
      </w:r>
    </w:p>
    <w:p>
      <w:pPr>
        <w:keepNext/>
        <w:spacing w:after="50" w:before="260"/>
      </w:pPr>
      <w:r>
        <w:rPr>
          <w:rFonts w:ascii="Cambria" w:cs="Cambria" w:eastAsia="Cambria" w:hAnsi="Cambria"/>
          <w:b/>
          <w:bCs/>
          <w:color w:val="17365D"/>
          <w:sz w:val="20"/>
          <w:szCs w:val="20"/>
        </w:rPr>
        <w:t xml:space="preserve">PREOPANC-2</w:t>
      </w:r>
      <w:r>
        <w:rPr>
          <w:b/>
          <w:bCs/>
          <w:color w:val="176A87"/>
          <w:sz w:val="15"/>
          <w:szCs w:val="15"/>
        </w:rPr>
        <w:t xml:space="preserve">   Randomised trial</w:t>
      </w:r>
      <w:r>
        <w:rPr>
          <w:color w:val="5A6069"/>
          <w:sz w:val="15"/>
          <w:szCs w:val="15"/>
        </w:rPr>
        <w:t xml:space="preserve">   PMID 40945523</w:t>
      </w:r>
    </w:p>
    <w:p>
      <w:pPr>
        <w:spacing w:after="50" w:line="276"/>
      </w:pPr>
      <w:r>
        <w:rPr>
          <w:color w:val="5A6069"/>
          <w:sz w:val="17"/>
          <w:szCs w:val="17"/>
        </w:rPr>
        <w:t xml:space="preserve">Neoadjuvant FOLFIRINOX versus neoadjuvant gemcitabine-based chemoradiotherapy in resectable and borderline resectable pancreatic cancer (PREOPANC-2): a multicentre, open-label, phase 3 randomised trial.</w:t>
      </w:r>
    </w:p>
    <w:p>
      <w:pPr>
        <w:spacing w:after="50"/>
      </w:pPr>
      <w:r>
        <w:rPr>
          <w:b/>
          <w:bCs/>
          <w:color w:val="176A87"/>
          <w:sz w:val="16"/>
          <w:szCs w:val="16"/>
        </w:rPr>
        <w:t xml:space="preserve">Population. </w:t>
      </w:r>
      <w:r>
        <w:rPr>
          <w:sz w:val="16"/>
          <w:szCs w:val="16"/>
        </w:rPr>
        <w:t xml:space="preserve">369 patients in the modified ITT population (185 FOLFIRINOX, 184 chemoradiotherapy) of 375 randomised; 280 resections, 263 with PDAC confirmed</w:t>
      </w:r>
    </w:p>
    <w:p>
      <w:pPr>
        <w:spacing w:after="70"/>
      </w:pPr>
      <w:r>
        <w:rPr>
          <w:b/>
          <w:bCs/>
          <w:color w:val="17365D"/>
          <w:sz w:val="16"/>
          <w:szCs w:val="16"/>
        </w:rPr>
        <w:t xml:space="preserve">Bottom line. </w:t>
      </w:r>
      <w:r>
        <w:rPr>
          <w:sz w:val="16"/>
          <w:szCs w:val="16"/>
        </w:rPr>
        <w:t xml:space="preserve">PREOPANC-2 shows that neoadjuvant full-dose FOLFIRINOX does not improve overall survival over neoadjuvant gemcitabine-based chemoradiotherapy (21.9 vs 21.3 months, HR 0.88, p=0.32), making gemcitabine chemoradiotherapy a defensible option when FOLFIRINOX is unsuitable; it says nothing about either regimen versus upfront surgery with modern adjuvant chemotherapy, and its wide confidence interval does not establish equivalence.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cohort was heterogeneous, mixing resectable (65%) and borderline resectable (35%) disease, although Dutch criteria restricted borderline disease to limited vascular contact compared with NCCN definitions</w:t>
            </w:r>
          </w:p>
          <w:p>
            <w:pPr>
              <w:pStyle w:val="ListParagraph"/>
              <w:numPr>
                <w:ilvl w:val="0"/>
                <w:numId w:val="2"/>
              </w:numPr>
              <w:spacing w:after="45"/>
            </w:pPr>
            <w:r>
              <w:rPr>
                <w:sz w:val="15"/>
                <w:szCs w:val="15"/>
              </w:rPr>
              <w:t xml:space="preserve">No centralised review of radiology or pathology was performed, mitigated by nationally standardised radiology reporting and expert multidisciplinary review</w:t>
            </w:r>
          </w:p>
          <w:p>
            <w:pPr>
              <w:pStyle w:val="ListParagraph"/>
              <w:numPr>
                <w:ilvl w:val="0"/>
                <w:numId w:val="2"/>
              </w:numPr>
              <w:spacing w:after="45"/>
            </w:pPr>
            <w:r>
              <w:rPr>
                <w:sz w:val="15"/>
                <w:szCs w:val="15"/>
              </w:rPr>
              <w:t xml:space="preserve">Full-dose rather than modified FOLFIRINOX was scheduled, which may have increased toxicity relative to other recent trials</w:t>
            </w:r>
          </w:p>
          <w:p>
            <w:pPr>
              <w:pStyle w:val="ListParagraph"/>
              <w:numPr>
                <w:ilvl w:val="0"/>
                <w:numId w:val="2"/>
              </w:numPr>
              <w:spacing w:after="45"/>
            </w:pPr>
            <w:r>
              <w:rPr>
                <w:sz w:val="15"/>
                <w:szCs w:val="15"/>
              </w:rPr>
              <w:t xml:space="preserve">Data on subsequent anti-cancer treatment after recurrence were not collected</w:t>
            </w:r>
          </w:p>
          <w:p>
            <w:pPr>
              <w:pStyle w:val="ListParagraph"/>
              <w:numPr>
                <w:ilvl w:val="0"/>
                <w:numId w:val="2"/>
              </w:numPr>
              <w:spacing w:after="45"/>
            </w:pPr>
            <w:r>
              <w:rPr>
                <w:sz w:val="15"/>
                <w:szCs w:val="15"/>
              </w:rPr>
              <w:t xml:space="preserve">Quality of life, cost-effectiveness, biomarkers, recurrence patterns and surgical complications are reported separately, so this paper does not present the full secondary endpoint set</w:t>
            </w:r>
          </w:p>
          <w:p>
            <w:pPr>
              <w:pStyle w:val="ListParagraph"/>
              <w:numPr>
                <w:ilvl w:val="0"/>
                <w:numId w:val="2"/>
              </w:numPr>
              <w:spacing w:after="45"/>
            </w:pPr>
            <w:r>
              <w:rPr>
                <w:sz w:val="15"/>
                <w:szCs w:val="15"/>
              </w:rPr>
              <w:t xml:space="preserve">Only grade 3-5 adverse events were collected</w:t>
            </w:r>
          </w:p>
          <w:p>
            <w:pPr>
              <w:pStyle w:val="ListParagraph"/>
              <w:numPr>
                <w:ilvl w:val="0"/>
                <w:numId w:val="2"/>
              </w:numPr>
              <w:spacing w:after="45"/>
            </w:pPr>
            <w:r>
              <w:rPr>
                <w:sz w:val="15"/>
                <w:szCs w:val="15"/>
              </w:rPr>
              <w:t xml:space="preserve">The authors note the available evidence does not exclude a long-term survival benefit of neoadjuvant FOLFIRINOX</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this trial does NOT contain an upfront-surgery arm. Its comparator is the PREOPANC experimental regimen (neoadjuvant gemcitabine chemoradiotherapy plus adjuvant gemcitabine). The trial therefore cannot be cited for or against neoadjuvant therapy versus upfront surgery - only for the choice between two neoadjuvant regimens</w:t>
            </w:r>
          </w:p>
          <w:p>
            <w:pPr>
              <w:pStyle w:val="ListParagraph"/>
              <w:numPr>
                <w:ilvl w:val="0"/>
                <w:numId w:val="2"/>
              </w:numPr>
              <w:spacing w:after="45"/>
            </w:pPr>
            <w:r>
              <w:rPr>
                <w:sz w:val="15"/>
                <w:szCs w:val="15"/>
              </w:rPr>
              <w:t xml:space="preserve">NEITHER ARM RECEIVED MODERN ADJUVANT THERAPY. The FOLFIRINOX arm was scheduled for NO adjuvant treatment at all, and the comparator arm received adjuvant gemcitabine monotherapy, delivered in full to only 40% of randomised patients. A pathway that gives neoadjuvant chemotherapy and then adjuvant mFOLFIRINOX is not the strategy tested here, and the two arms are not matched on total intended systemic therapy (22 weeks vs 40 weeks of scheduled treatment)</w:t>
            </w:r>
          </w:p>
          <w:p>
            <w:pPr>
              <w:pStyle w:val="ListParagraph"/>
              <w:numPr>
                <w:ilvl w:val="0"/>
                <w:numId w:val="2"/>
              </w:numPr>
              <w:spacing w:after="45"/>
            </w:pPr>
            <w:r>
              <w:rPr>
                <w:sz w:val="15"/>
                <w:szCs w:val="15"/>
              </w:rPr>
              <w:t xml:space="preserve">NON-RECEIPT OF ALLOCATED TREATMENT: 10/185 (5%) in the FOLFIRINOX arm and 8/184 (4%) in the chemoradiotherapy arm never started allocated neoadjuvant therapy (early progression in 11 of these 18); 5 patients had surgery with no neoadjuvant study treatment; 2 chemoradiotherapy patients switched to FOLFIRINOX on local progression. Non-receipt was low and well balanced, which is a genuine strength relative to NORPACT-1</w:t>
            </w:r>
          </w:p>
          <w:p>
            <w:pPr>
              <w:pStyle w:val="ListParagraph"/>
              <w:numPr>
                <w:ilvl w:val="0"/>
                <w:numId w:val="2"/>
              </w:numPr>
              <w:spacing w:after="45"/>
            </w:pPr>
            <w:r>
              <w:rPr>
                <w:sz w:val="15"/>
                <w:szCs w:val="15"/>
              </w:rPr>
              <w:t xml:space="preserve">The analysis is MODIFIED intention-to-treat: 6 patients (3 per arm) were excluded after randomisation for retrospective ineligibility or immediate consent withdrawal. The exclusions are small and balanced, but this is not a pure ITT analysis</w:t>
            </w:r>
          </w:p>
          <w:p>
            <w:pPr>
              <w:pStyle w:val="ListParagraph"/>
              <w:numPr>
                <w:ilvl w:val="0"/>
                <w:numId w:val="2"/>
              </w:numPr>
              <w:spacing w:after="45"/>
            </w:pPr>
            <w:r>
              <w:rPr>
                <w:sz w:val="15"/>
                <w:szCs w:val="15"/>
              </w:rPr>
              <w:t xml:space="preserve">The design is a superiority trial that failed, not an equivalence or non-inferiority trial. The 95% CI for the HR extends to 1.13, so a 12% relative benefit for FOLFIRINOX is not excluded; the conclusion that 'both regimens may be considered' is a reasonable clinical reading but is NOT a demonstration of equivalence, and a pathway should not cite PREOPANC-2 as proof that the regimens are equal</w:t>
            </w:r>
          </w:p>
          <w:p>
            <w:pPr>
              <w:pStyle w:val="ListParagraph"/>
              <w:numPr>
                <w:ilvl w:val="0"/>
                <w:numId w:val="2"/>
              </w:numPr>
              <w:spacing w:after="45"/>
            </w:pPr>
            <w:r>
              <w:rPr>
                <w:sz w:val="15"/>
                <w:szCs w:val="15"/>
              </w:rPr>
              <w:t xml:space="preserve">Dose intensity in the FOLFIRINOX arm was substantially compromised (82% needed reductions, only 62% completed eight cycles, median relative dose intensity 0.81), so the trial tests a delivered regimen weaker than the protocol intended - a null result is partly a delivery result</w:t>
            </w:r>
          </w:p>
          <w:p>
            <w:pPr>
              <w:pStyle w:val="ListParagraph"/>
              <w:numPr>
                <w:ilvl w:val="0"/>
                <w:numId w:val="2"/>
              </w:numPr>
              <w:spacing w:after="45"/>
            </w:pPr>
            <w:r>
              <w:rPr>
                <w:sz w:val="15"/>
                <w:szCs w:val="15"/>
              </w:rPr>
              <w:t xml:space="preserve">The ypN0 and occult-metastasis differences run in opposite directions (nodal status favours chemoradiotherapy, avoidance of futile laparotomy favours FOLFIRINOX) and neither affected survival, reinforcing that nodal and margin status are poor surrogates in the neoadjuvant setting</w:t>
            </w:r>
          </w:p>
          <w:p>
            <w:pPr>
              <w:pStyle w:val="ListParagraph"/>
              <w:numPr>
                <w:ilvl w:val="0"/>
                <w:numId w:val="2"/>
              </w:numPr>
              <w:spacing w:after="45"/>
            </w:pPr>
            <w:r>
              <w:rPr>
                <w:sz w:val="15"/>
                <w:szCs w:val="15"/>
              </w:rPr>
              <w:t xml:space="preserve">Adjuvant gemcitabine in the comparator arm was given at the investigators' ability to deliver it rather than by protocol mandate, so the comparator arm is a mixture of strategies</w:t>
            </w:r>
          </w:p>
          <w:p>
            <w:pPr>
              <w:pStyle w:val="ListParagraph"/>
              <w:numPr>
                <w:ilvl w:val="0"/>
                <w:numId w:val="2"/>
              </w:numPr>
              <w:spacing w:after="45"/>
            </w:pPr>
            <w:r>
              <w:rPr>
                <w:sz w:val="15"/>
                <w:szCs w:val="15"/>
              </w:rPr>
              <w:t xml:space="preserve">No multiplicity adjustment was performed across the large secondary endpoint set, so the single significant nodal finding should be treated as exploratory</w:t>
            </w:r>
          </w:p>
        </w:tc>
      </w:tr>
    </w:tbl>
    <w:p>
      <w:pPr>
        <w:spacing w:after="0" w:line="276"/>
      </w:pPr>
      <w:r>
        <w:rPr>
          <w:color w:val="5A6069"/>
          <w:sz w:val="14"/>
          <w:szCs w:val="14"/>
        </w:rPr>
        <w:t xml:space="preserve">Funding: Dutch Cancer Society and ZonMw (institutional, investigator-initiated); funders stated to have had no role in design, data collection, analysis, interpretation or writing. Several authors report institutional research funding or consulting from Servier, MSD, AstraZeneca, Medtronic, Intuitive Surgical, Roche, Oncosil, Galvani Bioelectronics, Nordic and others.</w:t>
      </w:r>
    </w:p>
    <w:p>
      <w:pPr>
        <w:keepNext/>
        <w:spacing w:after="50" w:before="260"/>
      </w:pPr>
      <w:r>
        <w:rPr>
          <w:rFonts w:ascii="Cambria" w:cs="Cambria" w:eastAsia="Cambria" w:hAnsi="Cambria"/>
          <w:b/>
          <w:bCs/>
          <w:color w:val="17365D"/>
          <w:sz w:val="20"/>
          <w:szCs w:val="20"/>
        </w:rPr>
        <w:t xml:space="preserve">Preoperative drainage RCT</w:t>
      </w:r>
      <w:r>
        <w:rPr>
          <w:b/>
          <w:bCs/>
          <w:color w:val="176A87"/>
          <w:sz w:val="15"/>
          <w:szCs w:val="15"/>
        </w:rPr>
        <w:t xml:space="preserve">   Randomised trial</w:t>
      </w:r>
      <w:r>
        <w:rPr>
          <w:color w:val="5A6069"/>
          <w:sz w:val="15"/>
          <w:szCs w:val="15"/>
        </w:rPr>
        <w:t xml:space="preserve">   PMID 20071702</w:t>
      </w:r>
    </w:p>
    <w:p>
      <w:pPr>
        <w:spacing w:after="50" w:line="276"/>
      </w:pPr>
      <w:r>
        <w:rPr>
          <w:color w:val="5A6069"/>
          <w:sz w:val="17"/>
          <w:szCs w:val="17"/>
        </w:rPr>
        <w:t xml:space="preserve">Preoperative Biliary Drainage for Cancer of the Head of the Pancreas.</w:t>
      </w:r>
    </w:p>
    <w:p>
      <w:pPr>
        <w:spacing w:after="50"/>
      </w:pPr>
      <w:r>
        <w:rPr>
          <w:b/>
          <w:bCs/>
          <w:color w:val="176A87"/>
          <w:sz w:val="16"/>
          <w:szCs w:val="16"/>
        </w:rPr>
        <w:t xml:space="preserve">Population. </w:t>
      </w:r>
      <w:r>
        <w:rPr>
          <w:sz w:val="16"/>
          <w:szCs w:val="16"/>
        </w:rPr>
        <w:t xml:space="preserve">202 randomised, 196 analysed (94 early surgery, 102 biliary drainage); 120 resections</w:t>
      </w:r>
    </w:p>
    <w:p>
      <w:pPr>
        <w:spacing w:after="70"/>
      </w:pPr>
      <w:r>
        <w:rPr>
          <w:b/>
          <w:bCs/>
          <w:color w:val="17365D"/>
          <w:sz w:val="16"/>
          <w:szCs w:val="16"/>
        </w:rPr>
        <w:t xml:space="preserve">Bottom line. </w:t>
      </w:r>
      <w:r>
        <w:rPr>
          <w:sz w:val="16"/>
          <w:szCs w:val="16"/>
        </w:rPr>
        <w:t xml:space="preserve">The DROP trial showed that routinely draining the bile duct with a plastic stent for 4-6 weeks before pancreatoduodenectomy nearly doubles serious complications (74% vs 39%, RR 0.54) without reducing surgical complications or mortality, so surgery within a week is preferable when it can be delivered - but it used plastic stents only, capped bilirubin at 250 micromol/L and excluded neoadjuvant chemotherapy, so it does not settle how to manage jaundice during months of preoperative treatment.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note the optimal duration of biliary drainage before surgery has not been established, with experimental and clinical data suggesting at least 4-6 weeks is needed</w:t>
            </w:r>
          </w:p>
          <w:p>
            <w:pPr>
              <w:pStyle w:val="ListParagraph"/>
              <w:numPr>
                <w:ilvl w:val="0"/>
                <w:numId w:val="2"/>
              </w:numPr>
              <w:spacing w:after="45"/>
            </w:pPr>
            <w:r>
              <w:rPr>
                <w:sz w:val="15"/>
                <w:szCs w:val="15"/>
              </w:rPr>
              <w:t xml:space="preserve">Earlier randomised studies used percutaneous rather than endoscopic drainage, which the authors invoke to explain why their hospital stay result differs from previous trials</w:t>
            </w:r>
          </w:p>
          <w:p>
            <w:pPr>
              <w:pStyle w:val="ListParagraph"/>
              <w:numPr>
                <w:ilvl w:val="0"/>
                <w:numId w:val="2"/>
              </w:numPr>
              <w:spacing w:after="45"/>
            </w:pPr>
            <w:r>
              <w:rPr>
                <w:sz w:val="15"/>
                <w:szCs w:val="15"/>
              </w:rPr>
              <w:t xml:space="preserve">Older trials mixed proximal and distal bile-duct obstruction, now regarded as different diseases needing different treatment</w:t>
            </w:r>
          </w:p>
          <w:p>
            <w:pPr>
              <w:pStyle w:val="ListParagraph"/>
              <w:numPr>
                <w:ilvl w:val="0"/>
                <w:numId w:val="2"/>
              </w:numPr>
              <w:spacing w:after="45"/>
            </w:pPr>
            <w:r>
              <w:rPr>
                <w:sz w:val="15"/>
                <w:szCs w:val="15"/>
              </w:rPr>
              <w:t xml:space="preserve">The authors explicitly flag that with the advent of neoadjuvant chemotherapy the question becomes clinically relevant again, and that given their poor results with PLASTIC stents, drainage during neoadjuvant treatment might be better achieved with METAL stents, which have higher patency and do not affect surgical outcome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surgery within one week of diagnosis, which required dedicated operating-room capacity guaranteed by all 13 hospitals specifically for the trial. This is the key external-validity problem: the control strategy is only available where a jaundiced patient can be operated on within seven days. A pathway that cannot deliver that has not got the comparator the trial tested, and delay without drainage is not what was studied</w:t>
            </w:r>
          </w:p>
          <w:p>
            <w:pPr>
              <w:pStyle w:val="ListParagraph"/>
              <w:numPr>
                <w:ilvl w:val="0"/>
                <w:numId w:val="2"/>
              </w:numPr>
              <w:spacing w:after="45"/>
            </w:pPr>
            <w:r>
              <w:rPr>
                <w:sz w:val="15"/>
                <w:szCs w:val="15"/>
              </w:rPr>
              <w:t xml:space="preserve">PLASTIC STENTS ONLY - AND THE AUTHORS SAY THIS IS THE PROBLEM. The 26% cholangitis and 30% stent-exchange rates are largely properties of plastic endoprostheses over 4-6 weeks. Self-expanding metal stents, which every neoadjuvant protocol in this depot (PREOPANC, PREOPANC-2, NORPACT-1, ESPAC5) specifies or prefers, were not tested. Citing this trial against biliary drainage before neoadjuvant chemotherapy is citing it outside its evidence</w:t>
            </w:r>
          </w:p>
          <w:p>
            <w:pPr>
              <w:pStyle w:val="ListParagraph"/>
              <w:numPr>
                <w:ilvl w:val="0"/>
                <w:numId w:val="2"/>
              </w:numPr>
              <w:spacing w:after="45"/>
            </w:pPr>
            <w:r>
              <w:rPr>
                <w:sz w:val="15"/>
                <w:szCs w:val="15"/>
              </w:rPr>
              <w:t xml:space="preserve">NEOADJUVANT CHEMOTHERAPY WAS AN EXCLUSION CRITERION, so the trial has nothing to say about the situation in which drainage is now most often needed - bridging a jaundiced patient through months of chemotherapy. NORPACT-1 stented 57% of its neoadjuvant arm and had 2 patients derailed by persistent jaundice; PREOPANC had 10 patients whose treatment was delayed by it. That is the modern question and this trial predates it</w:t>
            </w:r>
          </w:p>
          <w:p>
            <w:pPr>
              <w:pStyle w:val="ListParagraph"/>
              <w:numPr>
                <w:ilvl w:val="0"/>
                <w:numId w:val="2"/>
              </w:numPr>
              <w:spacing w:after="45"/>
            </w:pPr>
            <w:r>
              <w:rPr>
                <w:sz w:val="15"/>
                <w:szCs w:val="15"/>
              </w:rPr>
              <w:t xml:space="preserve">NON-RECEIPT AND CROSSOVER: 6/202 were excluded after randomisation (2 withdrew consent, 4 had out-of-range bilirubin). Two early-surgery patients had their operation cancelled and 7 drainage patients never reached surgery. Two early-surgery patients nonetheless had drainage-related complications, implying some crossover to stenting before operation</w:t>
            </w:r>
          </w:p>
          <w:p>
            <w:pPr>
              <w:pStyle w:val="ListParagraph"/>
              <w:numPr>
                <w:ilvl w:val="0"/>
                <w:numId w:val="2"/>
              </w:numPr>
              <w:spacing w:after="45"/>
            </w:pPr>
            <w:r>
              <w:rPr>
                <w:sz w:val="15"/>
                <w:szCs w:val="15"/>
              </w:rPr>
              <w:t xml:space="preserve">THE PRIMARY OUTCOME COUNTS DRAINAGE COMPLICATIONS AND SURGICAL COMPLICATIONS IN ONE TOTAL, WHICH GUARANTEES THE RESULT. A strategy with an extra procedure will have extra procedural complications; the informative question is whether drainage made the OPERATION safer, and on that the trial is null (RR 0.79, CI 0.57-1.11). The 39%-versus-74% headline is therefore partly definitional, and the trial is underpowered for the surgical-complication comparison it was designed around</w:t>
            </w:r>
          </w:p>
          <w:p>
            <w:pPr>
              <w:pStyle w:val="ListParagraph"/>
              <w:numPr>
                <w:ilvl w:val="0"/>
                <w:numId w:val="2"/>
              </w:numPr>
              <w:spacing w:after="45"/>
            </w:pPr>
            <w:r>
              <w:rPr>
                <w:sz w:val="15"/>
                <w:szCs w:val="15"/>
              </w:rPr>
              <w:t xml:space="preserve">DESIGNED FOR NON-INFERIORITY WITH A 10-PERCENTAGE-POINT MARGIN AND 94 PATIENTS PER ARM, assuming complication rates of 38% and 48%. The observed 74% in the drainage arm far exceeded the assumption, so the trial is well powered for its headline but not for mortality (CI 0.42-1.72), resection rate (P=0.11) or surgical complications</w:t>
            </w:r>
          </w:p>
          <w:p>
            <w:pPr>
              <w:pStyle w:val="ListParagraph"/>
              <w:numPr>
                <w:ilvl w:val="0"/>
                <w:numId w:val="2"/>
              </w:numPr>
              <w:spacing w:after="45"/>
            </w:pPr>
            <w:r>
              <w:rPr>
                <w:sz w:val="15"/>
                <w:szCs w:val="15"/>
              </w:rPr>
              <w:t xml:space="preserve">BILIRUBIN WAS CAPPED AT 250 micromol/L, excluding the most deeply jaundiced patients - exactly those in whom drainage is most often considered unavoidable. PREOPANC used 250 micromol/L as the threshold ABOVE which it recommended drainage, so the two trials address non-overlapping populations</w:t>
            </w:r>
          </w:p>
          <w:p>
            <w:pPr>
              <w:pStyle w:val="ListParagraph"/>
              <w:numPr>
                <w:ilvl w:val="0"/>
                <w:numId w:val="2"/>
              </w:numPr>
              <w:spacing w:after="45"/>
            </w:pPr>
            <w:r>
              <w:rPr>
                <w:sz w:val="15"/>
                <w:szCs w:val="15"/>
              </w:rPr>
              <w:t xml:space="preserve">FIFTEEN OF 196 PATIENTS (8%) DID NOT HAVE ADENOCARCINOMA, including 5 with chronic pancreatitis and 3 with stones, and they remain in the analysis - a reminder that the preoperative diagnosis is wrong in roughly one in twelve jaundiced patients taken to pancreatoduodenectomy</w:t>
            </w:r>
          </w:p>
          <w:p>
            <w:pPr>
              <w:pStyle w:val="ListParagraph"/>
              <w:numPr>
                <w:ilvl w:val="0"/>
                <w:numId w:val="2"/>
              </w:numPr>
              <w:spacing w:after="45"/>
            </w:pPr>
            <w:r>
              <w:rPr>
                <w:sz w:val="15"/>
                <w:szCs w:val="15"/>
              </w:rPr>
              <w:t xml:space="preserve">THE 7% OVERALL MORTALITY IS HIGH for centres performing at least 10 resections a year and is presented as acceptable because it did not differ between arms; the authors use it to argue for centralisation, but it also means the trial's complication rates come from an era and a volume standard below modern expectations</w:t>
            </w:r>
          </w:p>
          <w:p>
            <w:pPr>
              <w:pStyle w:val="ListParagraph"/>
              <w:numPr>
                <w:ilvl w:val="0"/>
                <w:numId w:val="2"/>
              </w:numPr>
              <w:spacing w:after="45"/>
            </w:pPr>
            <w:r>
              <w:rPr>
                <w:sz w:val="15"/>
                <w:szCs w:val="15"/>
              </w:rPr>
              <w:t xml:space="preserve">Complications were adjudicated blind, which is a real strength, but the treating teams and patients were unblinded and readmission decisions - the outcome with the largest relative difference - are clinician-dependent</w:t>
            </w:r>
          </w:p>
        </w:tc>
      </w:tr>
    </w:tbl>
    <w:p>
      <w:pPr>
        <w:spacing w:after="0" w:line="276"/>
      </w:pPr>
      <w:r>
        <w:rPr>
          <w:color w:val="5A6069"/>
          <w:sz w:val="14"/>
          <w:szCs w:val="14"/>
        </w:rPr>
        <w:t xml:space="preserve">Funding: Netherlands Organization for Health Research and Development, which had no access to outcome data during the trial and did not participate in analysis or manuscript preparation. No endoscopic equipment or stents were donated by manufacturers. Two authors report lecture fees from Boston Scientific and consulting or lecture fees from GI Dynamics, Covidien and Johnson &amp; Johnson.</w:t>
      </w:r>
    </w:p>
    <w:p>
      <w:pPr>
        <w:keepNext/>
        <w:spacing w:after="50" w:before="260"/>
      </w:pPr>
      <w:r>
        <w:rPr>
          <w:rFonts w:ascii="Cambria" w:cs="Cambria" w:eastAsia="Cambria" w:hAnsi="Cambria"/>
          <w:b/>
          <w:bCs/>
          <w:color w:val="17365D"/>
          <w:sz w:val="20"/>
          <w:szCs w:val="20"/>
        </w:rPr>
        <w:t xml:space="preserve">PRODIGE 24</w:t>
      </w:r>
      <w:r>
        <w:rPr>
          <w:b/>
          <w:bCs/>
          <w:color w:val="176A87"/>
          <w:sz w:val="15"/>
          <w:szCs w:val="15"/>
        </w:rPr>
        <w:t xml:space="preserve">   Randomised trial</w:t>
      </w:r>
      <w:r>
        <w:rPr>
          <w:color w:val="5A6069"/>
          <w:sz w:val="15"/>
          <w:szCs w:val="15"/>
        </w:rPr>
        <w:t xml:space="preserve">   PMID 30575490</w:t>
      </w:r>
    </w:p>
    <w:p>
      <w:pPr>
        <w:spacing w:after="50" w:line="276"/>
      </w:pPr>
      <w:r>
        <w:rPr>
          <w:color w:val="5A6069"/>
          <w:sz w:val="17"/>
          <w:szCs w:val="17"/>
        </w:rPr>
        <w:t xml:space="preserve">FOLFIRINOX or Gemcitabine as Adjuvant Therapy for Pancreatic Cancer.</w:t>
      </w:r>
    </w:p>
    <w:p>
      <w:pPr>
        <w:spacing w:after="50"/>
      </w:pPr>
      <w:r>
        <w:rPr>
          <w:b/>
          <w:bCs/>
          <w:color w:val="176A87"/>
          <w:sz w:val="16"/>
          <w:szCs w:val="16"/>
        </w:rPr>
        <w:t xml:space="preserve">Population. </w:t>
      </w:r>
      <w:r>
        <w:rPr>
          <w:sz w:val="16"/>
          <w:szCs w:val="16"/>
        </w:rPr>
        <w:t xml:space="preserve">493 patients (247 modified FOLFIRINOX, 246 gemcitabine); 314 disease-free survival events (91.8% of target) and 192 deaths at this analysis</w:t>
      </w:r>
    </w:p>
    <w:p>
      <w:pPr>
        <w:spacing w:after="70"/>
      </w:pPr>
      <w:r>
        <w:rPr>
          <w:b/>
          <w:bCs/>
          <w:color w:val="17365D"/>
          <w:sz w:val="16"/>
          <w:szCs w:val="16"/>
        </w:rPr>
        <w:t xml:space="preserve">Bottom line. </w:t>
      </w:r>
      <w:r>
        <w:rPr>
          <w:sz w:val="16"/>
          <w:szCs w:val="16"/>
        </w:rPr>
        <w:t xml:space="preserve">PRODIGE-24 established adjuvant modified FOLFIRINOX as the standard for fit patients after resection, nearly doubling median disease-free survival (21.6 vs 12.8 months) and adding 19.4 months of median overall survival over gemcitabine at the cost of 76% grade 3-4 toxicity - but in a population selected for age under 80, no cardiac disease, full surgical recovery and postoperative CA19-9 below 180 U/mL, against an already-outdated comparator, with heavy FOLFIRINOX crossover in the control arm and early stopping for benefit.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data were acknowledged as immature at this analysis, with 61% of all patients still alive</w:t>
            </w:r>
          </w:p>
          <w:p>
            <w:pPr>
              <w:pStyle w:val="ListParagraph"/>
              <w:numPr>
                <w:ilvl w:val="0"/>
                <w:numId w:val="2"/>
              </w:numPr>
              <w:spacing w:after="45"/>
            </w:pPr>
            <w:r>
              <w:rPr>
                <w:sz w:val="15"/>
                <w:szCs w:val="15"/>
              </w:rPr>
              <w:t xml:space="preserve">The authors note that the unusually long overall survival in the gemcitabine arm (35.0 months versus 20.1-26.5 months in previous trials) may be due to the high use of FOLFIRINOX after relapse in that arm (76% of patients)</w:t>
            </w:r>
          </w:p>
          <w:p>
            <w:pPr>
              <w:pStyle w:val="ListParagraph"/>
              <w:numPr>
                <w:ilvl w:val="0"/>
                <w:numId w:val="2"/>
              </w:numPr>
              <w:spacing w:after="45"/>
            </w:pPr>
            <w:r>
              <w:rPr>
                <w:sz w:val="15"/>
                <w:szCs w:val="15"/>
              </w:rPr>
              <w:t xml:space="preserve">Disease-free survival is not validated as a surrogate endpoint for overall survival in adjuvant pancreatic trials; it was chosen for earlier assessment and fewer patients, and the authors argue it correlated with overall survival here</w:t>
            </w:r>
          </w:p>
          <w:p>
            <w:pPr>
              <w:pStyle w:val="ListParagraph"/>
              <w:numPr>
                <w:ilvl w:val="0"/>
                <w:numId w:val="2"/>
              </w:numPr>
              <w:spacing w:after="45"/>
            </w:pPr>
            <w:r>
              <w:rPr>
                <w:sz w:val="15"/>
                <w:szCs w:val="15"/>
              </w:rPr>
              <w:t xml:space="preserve">Eligibility required patients fit enough for modified FOLFIRINOX, a postoperative CT or MRI and a postoperative CA 19-9 below 180 U/mL in order to minimise inclusion of occult metastatic disease - the authors present this as quality control</w:t>
            </w:r>
          </w:p>
          <w:p>
            <w:pPr>
              <w:pStyle w:val="ListParagraph"/>
              <w:numPr>
                <w:ilvl w:val="0"/>
                <w:numId w:val="2"/>
              </w:numPr>
              <w:spacing w:after="45"/>
            </w:pPr>
            <w:r>
              <w:rPr>
                <w:sz w:val="15"/>
                <w:szCs w:val="15"/>
              </w:rPr>
              <w:t xml:space="preserve">The database was locked early (April 2018) on the data and safety monitoring committee's recommendation for ethical reasons at 91.8% of expected DFS events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adjuvant gemcitabine monotherapy. By the time this trial reported, ESPAC-4 (published January 2017) had already shown gemcitabine plus capecitabine superior to gemcitabine. PRODIGE-24 therefore never tested mFOLFIRINOX against the best available comparator, and the 19.4-month median survival gain is measured against a regimen already known to be inferior to an easier combination</w:t>
            </w:r>
          </w:p>
          <w:p>
            <w:pPr>
              <w:pStyle w:val="ListParagraph"/>
              <w:numPr>
                <w:ilvl w:val="0"/>
                <w:numId w:val="2"/>
              </w:numPr>
              <w:spacing w:after="45"/>
            </w:pPr>
            <w:r>
              <w:rPr>
                <w:sz w:val="15"/>
                <w:szCs w:val="15"/>
              </w:rPr>
              <w:t xml:space="preserve">THE 54.4-MONTH MEDIAN SURVIVAL IS THE SINGLE MOST MISUSED NUMBER IN PANCREATIC ONCOLOGY AND APPLIES TO A HEAVILY PRE-SELECTED POPULATION. Patients had to be 79 or younger, free of coronary disease, WHO 0-1, fully recovered from surgery, with a clear postoperative scan AND a postoperative CA19-9 below 180 U/mL. ESPAC-4 showed that excluding CA19-9 above 92.5 kU/L alone removes a group whose median survival is 13.1 months. Neoadjuvant trials randomise at diagnosis and cannot be compared with this number, and a pathway that quotes 54.4 months as the expectation for resected PDAC is quoting the outcome of the fittest fifth of the disease</w:t>
            </w:r>
          </w:p>
          <w:p>
            <w:pPr>
              <w:pStyle w:val="ListParagraph"/>
              <w:numPr>
                <w:ilvl w:val="0"/>
                <w:numId w:val="2"/>
              </w:numPr>
              <w:spacing w:after="45"/>
            </w:pPr>
            <w:r>
              <w:rPr>
                <w:sz w:val="15"/>
                <w:szCs w:val="15"/>
              </w:rPr>
              <w:t xml:space="preserve">NON-RECEIPT OF ALLOCATED TREATMENT: 9/247 (3.6%) in the mFOLFIRINOX arm (6 withdrew consent, 2 metastatic, 1 physician withdrawal) and 3/246 (1.2%) in the gemcitabine arm never received the drug - low and reasonably balanced. The larger issue is incomplete delivery: only 66% completed all 12 mFOLFIRINOX cycles and fewer than half achieved a relative dose intensity of 0.70</w:t>
            </w:r>
          </w:p>
          <w:p>
            <w:pPr>
              <w:pStyle w:val="ListParagraph"/>
              <w:numPr>
                <w:ilvl w:val="0"/>
                <w:numId w:val="2"/>
              </w:numPr>
              <w:spacing w:after="45"/>
            </w:pPr>
            <w:r>
              <w:rPr>
                <w:sz w:val="15"/>
                <w:szCs w:val="15"/>
              </w:rPr>
              <w:t xml:space="preserve">FIFTEEN PATIENTS (9 AND 6) HAD MAJOR ELIGIBILITY VIOLATIONS, MOSTLY OCCULT METASTATIC DISEASE (8 and 5), and 13 patients were stage IV at baseline; they remain in the intention-to-treat population</w:t>
            </w:r>
          </w:p>
          <w:p>
            <w:pPr>
              <w:pStyle w:val="ListParagraph"/>
              <w:numPr>
                <w:ilvl w:val="0"/>
                <w:numId w:val="2"/>
              </w:numPr>
              <w:spacing w:after="45"/>
            </w:pPr>
            <w:r>
              <w:rPr>
                <w:sz w:val="15"/>
                <w:szCs w:val="15"/>
              </w:rPr>
              <w:t xml:space="preserve">THE PRIMARY ENDPOINT WAS DISEASE-FREE SURVIVAL, WHICH THE AUTHORS CONCEDE IS NOT A VALIDATED SURROGATE, assessed without blinded central radiology review in an open-label trial. The APACT trial later showed that independent blinded review and investigator assessment of recurrence in this setting diverge substantially (18.8 vs 13.7 months in the same gemcitabine arm), which means an open-label DFS endpoint in pancreatic adjuvant trials is genuinely fragile</w:t>
            </w:r>
          </w:p>
          <w:p>
            <w:pPr>
              <w:pStyle w:val="ListParagraph"/>
              <w:numPr>
                <w:ilvl w:val="0"/>
                <w:numId w:val="2"/>
              </w:numPr>
              <w:spacing w:after="45"/>
            </w:pPr>
            <w:r>
              <w:rPr>
                <w:sz w:val="15"/>
                <w:szCs w:val="15"/>
              </w:rPr>
              <w:t xml:space="preserve">THE TRIAL WAS STOPPED EARLY FOR EFFICACY at 91.8% of expected events, which inflates the effect estimate; the 5-year report (Conroy 2022) duly shows attenuation (DFS HR 0.58 to 0.66, OS HR 0.64 to 0.68, median OS 54.4 to 53.5 months)</w:t>
            </w:r>
          </w:p>
          <w:p>
            <w:pPr>
              <w:pStyle w:val="ListParagraph"/>
              <w:numPr>
                <w:ilvl w:val="0"/>
                <w:numId w:val="2"/>
              </w:numPr>
              <w:spacing w:after="45"/>
            </w:pPr>
            <w:r>
              <w:rPr>
                <w:sz w:val="15"/>
                <w:szCs w:val="15"/>
              </w:rPr>
              <w:t xml:space="preserve">ASYMMETRIC CROSSOVER AT RELAPSE CUTS BOTH WAYS AND IS NOT ADDRESSED. Seventy-six percent of relapsing gemcitabine patients received FOLFIRINOX, which the authors invoke to explain the unusually good 35-month control arm - but this means the trial measures the benefit of GIVING mFOLFIRINOX EARLY rather than at relapse, not the benefit of the drug itself. The same logic the authors apply to the control arm undermines the magnitude of the headline difference</w:t>
            </w:r>
          </w:p>
          <w:p>
            <w:pPr>
              <w:pStyle w:val="ListParagraph"/>
              <w:numPr>
                <w:ilvl w:val="0"/>
                <w:numId w:val="2"/>
              </w:numPr>
              <w:spacing w:after="45"/>
            </w:pPr>
            <w:r>
              <w:rPr>
                <w:sz w:val="15"/>
                <w:szCs w:val="15"/>
              </w:rPr>
              <w:t xml:space="preserve">BASELINE IMBALANCE IN LYMPHOVASCULAR INVASION FAVOURED THE CONTROL ARM (73.7% in mFOLFIRINOX vs 63.1% in gemcitabine, P=0.02) - the only significant baseline difference, and it runs against the experimental arm, so it does not explain the result</w:t>
            </w:r>
          </w:p>
          <w:p>
            <w:pPr>
              <w:pStyle w:val="ListParagraph"/>
              <w:numPr>
                <w:ilvl w:val="0"/>
                <w:numId w:val="2"/>
              </w:numPr>
              <w:spacing w:after="45"/>
            </w:pPr>
            <w:r>
              <w:rPr>
                <w:sz w:val="15"/>
                <w:szCs w:val="15"/>
              </w:rPr>
              <w:t xml:space="preserve">G-CSF WAS GIVEN TO 62% OF mFOLFIRINOX PATIENTS AND 3.7% OF GEMCITABINE PATIENTS. The regimens were not supported equally, which matters for any claim that neutropenia rates were 'similar' between arms</w:t>
            </w:r>
          </w:p>
          <w:p>
            <w:pPr>
              <w:pStyle w:val="ListParagraph"/>
              <w:numPr>
                <w:ilvl w:val="0"/>
                <w:numId w:val="2"/>
              </w:numPr>
              <w:spacing w:after="45"/>
            </w:pPr>
            <w:r>
              <w:rPr>
                <w:sz w:val="15"/>
                <w:szCs w:val="15"/>
              </w:rPr>
              <w:t xml:space="preserve">THE REGIMEN DELIVERED IS NOT THE REGIMEN NAMED. Irinotecan was cut from 180 to 150 mg/m2 mid-trial, bolus fluorouracil was omitted from the start, and 34% of patients never completed 12 cycles; 'adjuvant mFOLFIRINOX' in practice means a dose-attenuated, incompletely delivered regimen</w:t>
            </w:r>
          </w:p>
          <w:p>
            <w:pPr>
              <w:pStyle w:val="ListParagraph"/>
              <w:numPr>
                <w:ilvl w:val="0"/>
                <w:numId w:val="2"/>
              </w:numPr>
              <w:spacing w:after="45"/>
            </w:pPr>
            <w:r>
              <w:rPr>
                <w:sz w:val="15"/>
                <w:szCs w:val="15"/>
              </w:rPr>
              <w:t xml:space="preserve">In routine practice up to 30% of resected patients never start adjuvant chemotherapy at all; this trial randomised only those who had already recovered, so it quantifies the benefit conditional on reaching that point and not the benefit of a surgery-first strategy</w:t>
            </w:r>
          </w:p>
          <w:p>
            <w:pPr>
              <w:pStyle w:val="ListParagraph"/>
              <w:numPr>
                <w:ilvl w:val="0"/>
                <w:numId w:val="2"/>
              </w:numPr>
              <w:spacing w:after="45"/>
            </w:pPr>
            <w:r>
              <w:rPr>
                <w:sz w:val="15"/>
                <w:szCs w:val="15"/>
              </w:rPr>
              <w:t xml:space="preserve">R&amp;D Unicancer, a co-sponsor, received a grant from Chugai Pharmaceutical, employed two of the authors, collected and analysed the data and funded the editorial and writing assistance; Sanofi-Aventis Canada supplied oxaliplatin. Nearly every clinical author declares industry payments. The drugs are generic, which limits commercial motive, but the sponsor controlled the data and the write-up</w:t>
            </w:r>
          </w:p>
        </w:tc>
      </w:tr>
    </w:tbl>
    <w:p>
      <w:pPr>
        <w:spacing w:after="0" w:line="276"/>
      </w:pPr>
      <w:r>
        <w:rPr>
          <w:color w:val="5A6069"/>
          <w:sz w:val="14"/>
          <w:szCs w:val="14"/>
        </w:rPr>
        <w:t xml:space="preserve">Funding: R&amp;D Unicancer (which received a grant from Chugai Pharmaceutical), a Clinical Research Hospital Program grant (PHRC11-006) from the French Ministry of Health and the Institut National du Cancer, the French National League against Cancer, a Canadian Cancer Society program grant (704970) and grants from 7 Days in May. Oxaliplatin was supplied to Canadian centres by Sanofi-Aventis Canada, stated to have had no role. R&amp;D Unicancer collected and analysed the data, two authors are its employees, and it funded editorial and writing assistance. Most clinical authors declare consulting, lecture or travel fees from Celgene, Roche, Bayer, Amgen, Servier, Merck Serono, Sanofi, Ipsen and others.</w:t>
      </w:r>
    </w:p>
    <w:p>
      <w:pPr>
        <w:keepNext/>
        <w:spacing w:after="50" w:before="260"/>
      </w:pPr>
      <w:r>
        <w:rPr>
          <w:rFonts w:ascii="Cambria" w:cs="Cambria" w:eastAsia="Cambria" w:hAnsi="Cambria"/>
          <w:b/>
          <w:bCs/>
          <w:color w:val="17365D"/>
          <w:sz w:val="20"/>
          <w:szCs w:val="20"/>
        </w:rPr>
        <w:t xml:space="preserve">PRODIGE 24 five-year</w:t>
      </w:r>
      <w:r>
        <w:rPr>
          <w:b/>
          <w:bCs/>
          <w:color w:val="176A87"/>
          <w:sz w:val="15"/>
          <w:szCs w:val="15"/>
        </w:rPr>
        <w:t xml:space="preserve">   Randomised trial</w:t>
      </w:r>
      <w:r>
        <w:rPr>
          <w:color w:val="5A6069"/>
          <w:sz w:val="15"/>
          <w:szCs w:val="15"/>
        </w:rPr>
        <w:t xml:space="preserve">   PMID 36048453</w:t>
      </w:r>
    </w:p>
    <w:p>
      <w:pPr>
        <w:spacing w:after="50" w:line="276"/>
      </w:pPr>
      <w:r>
        <w:rPr>
          <w:color w:val="5A6069"/>
          <w:sz w:val="17"/>
          <w:szCs w:val="17"/>
        </w:rPr>
        <w:t xml:space="preserve">Five-Year Outcomes of FOLFIRINOX vs Gemcitabine as Adjuvant Therapy for Pancreatic Cancer: A Randomized Clinical Trial.</w:t>
      </w:r>
    </w:p>
    <w:p>
      <w:pPr>
        <w:spacing w:after="50"/>
      </w:pPr>
      <w:r>
        <w:rPr>
          <w:b/>
          <w:bCs/>
          <w:color w:val="176A87"/>
          <w:sz w:val="16"/>
          <w:szCs w:val="16"/>
        </w:rPr>
        <w:t xml:space="preserve">Population. </w:t>
      </w:r>
      <w:r>
        <w:rPr>
          <w:sz w:val="16"/>
          <w:szCs w:val="16"/>
        </w:rPr>
        <w:t xml:space="preserve">493 patients (247 modified FOLFIRINOX, 246 gemcitabine); 367 disease-free survival events and 304 deaths at 69.7 months median follow-up</w:t>
      </w:r>
    </w:p>
    <w:p>
      <w:pPr>
        <w:spacing w:after="70"/>
      </w:pPr>
      <w:r>
        <w:rPr>
          <w:b/>
          <w:bCs/>
          <w:color w:val="17365D"/>
          <w:sz w:val="16"/>
          <w:szCs w:val="16"/>
        </w:rPr>
        <w:t xml:space="preserve">Bottom line. </w:t>
      </w:r>
      <w:r>
        <w:rPr>
          <w:sz w:val="16"/>
          <w:szCs w:val="16"/>
        </w:rPr>
        <w:t xml:space="preserve">With mature 5-year data PRODIGE-24 confirms adjuvant mFOLFIRINOX over gemcitabine (median OS 53.5 vs 35.5 months, 5-year OS 43.2% vs 31.4%), but the effect is smaller than the 3-year report implied, 5-year disease-free survival differs by only 7 points, post-relapse survival and access to relapse chemotherapy were worse in the mFOLFIRINOX arm, and the much-quoted prognostic findings on treatment completion and centre volume are post hoc analyses vulnerable to healthy-adherer and case-mix confounding.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Quality of life was not planned as a secondary objective and so was not assessed</w:t>
            </w:r>
          </w:p>
          <w:p>
            <w:pPr>
              <w:pStyle w:val="ListParagraph"/>
              <w:numPr>
                <w:ilvl w:val="0"/>
                <w:numId w:val="2"/>
              </w:numPr>
              <w:spacing w:after="45"/>
            </w:pPr>
            <w:r>
              <w:rPr>
                <w:sz w:val="15"/>
                <w:szCs w:val="15"/>
              </w:rPr>
              <w:t xml:space="preserve">Despite an upper age limit of 80, only 20.5% of patients were 70 or older, while increasing numbers of older patients are now being considered for resection and adjuvant chemotherapy</w:t>
            </w:r>
          </w:p>
          <w:p>
            <w:pPr>
              <w:pStyle w:val="ListParagraph"/>
              <w:numPr>
                <w:ilvl w:val="0"/>
                <w:numId w:val="2"/>
              </w:numPr>
              <w:spacing w:after="45"/>
            </w:pPr>
            <w:r>
              <w:rPr>
                <w:sz w:val="15"/>
                <w:szCs w:val="15"/>
              </w:rPr>
              <w:t xml:space="preserve">Inclusion criteria selected patients with no cardiac ischaemia and good performance status (WHO 0-1)</w:t>
            </w:r>
          </w:p>
          <w:p>
            <w:pPr>
              <w:pStyle w:val="ListParagraph"/>
              <w:numPr>
                <w:ilvl w:val="0"/>
                <w:numId w:val="2"/>
              </w:numPr>
              <w:spacing w:after="45"/>
            </w:pPr>
            <w:r>
              <w:rPr>
                <w:sz w:val="15"/>
                <w:szCs w:val="15"/>
              </w:rPr>
              <w:t xml:space="preserve">In routine practice up to 30% of patients do not receive adjuvant chemotherapy because of the morbidity of pancreatectomy, slow recovery, comorbidity, early recurrence or reduced performance status; the trial allowed inclusion up to 12 weeks after resection specifically to maximise the chance of receiving chemotherapy</w:t>
            </w:r>
          </w:p>
          <w:p>
            <w:pPr>
              <w:pStyle w:val="ListParagraph"/>
              <w:numPr>
                <w:ilvl w:val="0"/>
                <w:numId w:val="2"/>
              </w:numPr>
              <w:spacing w:after="45"/>
            </w:pPr>
            <w:r>
              <w:rPr>
                <w:sz w:val="15"/>
                <w:szCs w:val="15"/>
              </w:rPr>
              <w:t xml:space="preserve">Perioperative chemotherapy may deliver systemic treatment earlier and increase completion of multimodal treatment; ongoing trials will define the role of preoperative mFOLFIRINOX</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still adjuvant gemcitabine monotherapy, already superseded by ESPAC-4 before this trial reported. The control arm did NOT receive the modern alternative, so the 11.8-point 5-year gain is against a regimen no pathway would now offer a fit patient</w:t>
            </w:r>
          </w:p>
          <w:p>
            <w:pPr>
              <w:pStyle w:val="ListParagraph"/>
              <w:numPr>
                <w:ilvl w:val="0"/>
                <w:numId w:val="2"/>
              </w:numPr>
              <w:spacing w:after="45"/>
            </w:pPr>
            <w:r>
              <w:rPr>
                <w:sz w:val="15"/>
                <w:szCs w:val="15"/>
              </w:rPr>
              <w:t xml:space="preserve">NON-RECEIPT OF ALLOCATED TREATMENT: 9/247 and 3/246 never received their drug (as in the primary report). The clinically decisive figure, however, is that only 33.6% of mFOLFIRINOX patients achieved a relative dose intensity of 0.80 or above and 55% discontinued oxaliplatin at least once</w:t>
            </w:r>
          </w:p>
          <w:p>
            <w:pPr>
              <w:pStyle w:val="ListParagraph"/>
              <w:numPr>
                <w:ilvl w:val="0"/>
                <w:numId w:val="2"/>
              </w:numPr>
              <w:spacing w:after="45"/>
            </w:pPr>
            <w:r>
              <w:rPr>
                <w:sz w:val="15"/>
                <w:szCs w:val="15"/>
              </w:rPr>
              <w:t xml:space="preserve">THE ATTENUATION FROM 3 TO 5 YEARS IS THE STORY AND IS DOWNPLAYED. DFS HR moved 0.58 to 0.66, OS HR 0.64 to 0.68, median OS 54.4 to 53.5 months and 3-year OS 63.4% fell to a 5-year OS of 43.2%. This is the expected consequence of early stopping for benefit, and it means the widely cited 54.4-month figure was an artefact of an immature database</w:t>
            </w:r>
          </w:p>
          <w:p>
            <w:pPr>
              <w:pStyle w:val="ListParagraph"/>
              <w:numPr>
                <w:ilvl w:val="0"/>
                <w:numId w:val="2"/>
              </w:numPr>
              <w:spacing w:after="45"/>
            </w:pPr>
            <w:r>
              <w:rPr>
                <w:sz w:val="15"/>
                <w:szCs w:val="15"/>
              </w:rPr>
              <w:t xml:space="preserve">THE 5-YEAR DISEASE-FREE SURVIVAL DIFFERENCE IS ONLY 26.1% vs 19.0%. Most patients in both arms relapse, and mFOLFIRINOX delays rather than prevents recurrence in the large majority; a 7-point difference in 5-year DFS alongside an 11.8-point difference in 5-year OS implies part of the survival gain accrues after relapse, which is hard to attribute to the adjuvant regimen</w:t>
            </w:r>
          </w:p>
          <w:p>
            <w:pPr>
              <w:pStyle w:val="ListParagraph"/>
              <w:numPr>
                <w:ilvl w:val="0"/>
                <w:numId w:val="2"/>
              </w:numPr>
              <w:spacing w:after="45"/>
            </w:pPr>
            <w:r>
              <w:rPr>
                <w:sz w:val="15"/>
                <w:szCs w:val="15"/>
              </w:rPr>
              <w:t xml:space="preserve">POST-RELAPSE SURVIVAL WAS WORSE IN THE mFOLFIRINOX ARM (13.1 vs 15.0 months) AND ONLY 66.9% OF ITS RELAPSING PATIENTS GOT CHEMOTHERAPY VERSUS 83.0% IN THE CONTROL ARM. Patients who have already had four months of mFOLFIRINOX have fewer options and more residual neuropathy at relapse; the trial does not weigh this against the upfront gain, and 93% of the whole cohort received relapse treatment, far above real-world rates</w:t>
            </w:r>
          </w:p>
          <w:p>
            <w:pPr>
              <w:pStyle w:val="ListParagraph"/>
              <w:numPr>
                <w:ilvl w:val="0"/>
                <w:numId w:val="2"/>
              </w:numPr>
              <w:spacing w:after="45"/>
            </w:pPr>
            <w:r>
              <w:rPr>
                <w:sz w:val="15"/>
                <w:szCs w:val="15"/>
              </w:rPr>
              <w:t xml:space="preserve">THE RECURRENCE-PATTERN FINDING IS UNADJUSTED AND CIRCULAR. More lung-only recurrence in the mFOLFIRINOX arm is reported as a favourable shift, but lung-only recurrence both occurs later and carries better prognosis, so patients who survive longer on more effective therapy have more opportunity to present with it. This is competing-risk confounding reported as a biological effect</w:t>
            </w:r>
          </w:p>
          <w:p>
            <w:pPr>
              <w:pStyle w:val="ListParagraph"/>
              <w:numPr>
                <w:ilvl w:val="0"/>
                <w:numId w:val="2"/>
              </w:numPr>
              <w:spacing w:after="45"/>
            </w:pPr>
            <w:r>
              <w:rPr>
                <w:sz w:val="15"/>
                <w:szCs w:val="15"/>
              </w:rPr>
              <w:t xml:space="preserve">THE PROGNOSTIC MODELLING IS ENTIRELY POST HOC with variables selected by stepwise procedures at P&lt;.20 and no correction for multiplicity, yet 'larger-volume center' is presented as a novel finding. Centre volume in a trial of 77 hospitals is confounded with case mix, surgical quality, access to relapse therapy and country, none of which is adjusted for</w:t>
            </w:r>
          </w:p>
          <w:p>
            <w:pPr>
              <w:pStyle w:val="ListParagraph"/>
              <w:numPr>
                <w:ilvl w:val="0"/>
                <w:numId w:val="2"/>
              </w:numPr>
              <w:spacing w:after="45"/>
            </w:pPr>
            <w:r>
              <w:rPr>
                <w:sz w:val="15"/>
                <w:szCs w:val="15"/>
              </w:rPr>
              <w:t xml:space="preserve">THE LANDMARK ANALYSIS OF TREATMENT COMPLETION IS A CLASSIC HEALTHY-ADHERER COMPARISON. Patients who complete all cycles are those who did not relapse, deteriorate or become toxic during treatment; the 8-month landmark reduces but does not remove this, and the authors' own finding that DOSE INTENSITY did NOT predict survival (HR 1.01) is the clue that completion is marking patient fitness rather than drug effect. Presenting completion as a predictor invites the inference that pushing patients through all 12 cycles improves survival, which these data cannot support</w:t>
            </w:r>
          </w:p>
          <w:p>
            <w:pPr>
              <w:pStyle w:val="ListParagraph"/>
              <w:numPr>
                <w:ilvl w:val="0"/>
                <w:numId w:val="2"/>
              </w:numPr>
              <w:spacing w:after="45"/>
            </w:pPr>
            <w:r>
              <w:rPr>
                <w:sz w:val="15"/>
                <w:szCs w:val="15"/>
              </w:rPr>
              <w:t xml:space="preserve">ONLY 20.5% OF PATIENTS WERE 70 OR OLDER AND THE AGE-70 SUBGROUP SHOWED NO SIGNIFICANT BENEFIT in the primary report (HR 0.86 for DFS); the multivariable model here identifies age under 70 as an independent favourable factor. A pathway applying mFOLFIRINOX to a median-age PDAC population (around 70) is extrapolating</w:t>
            </w:r>
          </w:p>
          <w:p>
            <w:pPr>
              <w:pStyle w:val="ListParagraph"/>
              <w:numPr>
                <w:ilvl w:val="0"/>
                <w:numId w:val="2"/>
              </w:numPr>
              <w:spacing w:after="45"/>
            </w:pPr>
            <w:r>
              <w:rPr>
                <w:sz w:val="15"/>
                <w:szCs w:val="15"/>
              </w:rPr>
              <w:t xml:space="preserve">The cross-trial table comparing 5-year survival across CONKO-001, ESPAC-3/4, JASPAC-01, APACT and PRODIGE-24 is presented without adjustment for the very different CA19-9 ceilings, age limits and salvage-therapy rates the authors elsewhere identify as decisive, inviting exactly the naive cross-trial comparison the paper warns against for neoadjuvant trials</w:t>
            </w:r>
          </w:p>
          <w:p>
            <w:pPr>
              <w:pStyle w:val="ListParagraph"/>
              <w:numPr>
                <w:ilvl w:val="0"/>
                <w:numId w:val="2"/>
              </w:numPr>
              <w:spacing w:after="45"/>
            </w:pPr>
            <w:r>
              <w:rPr>
                <w:sz w:val="15"/>
                <w:szCs w:val="15"/>
              </w:rPr>
              <w:t xml:space="preserve">Safety is not re-analysed ('no new safety signals'), so the long-term neuropathy and quality-of-life cost of 12 cycles of mFOLFIRINOX remains unquantified at 5 years - and quality of life was never collected</w:t>
            </w:r>
          </w:p>
        </w:tc>
      </w:tr>
    </w:tbl>
    <w:p>
      <w:pPr>
        <w:spacing w:after="0" w:line="276"/>
      </w:pPr>
      <w:r>
        <w:rPr>
          <w:color w:val="5A6069"/>
          <w:sz w:val="14"/>
          <w:szCs w:val="14"/>
        </w:rPr>
        <w:t xml:space="preserve">Funding: R&amp;D Unicancer, a Clinical Research Hospital Program grant (PHRC 11-001) from the French Ministry of Health and the Institut National du Cancer, the French National League against Cancer, a Canadian Cancer Society program grant (704970) and grants from 7 Days in May. The funding organisations are stated to have had no role in design, conduct, analysis, manuscript preparation or the decision to submit; medical writing assistance was provided by Angloscribe and funded by R&amp;D Unicancer. Most authors declare personal fees from AstraZeneca, Servier, Amgen, Merck, Roche, Celgene, Ipsen, Pierre Fabre, Mylan and others.</w:t>
      </w:r>
    </w:p>
    <w:p>
      <w:pPr>
        <w:keepNext/>
        <w:spacing w:after="50" w:before="260"/>
      </w:pPr>
      <w:r>
        <w:rPr>
          <w:rFonts w:ascii="Cambria" w:cs="Cambria" w:eastAsia="Cambria" w:hAnsi="Cambria"/>
          <w:b/>
          <w:bCs/>
          <w:color w:val="17365D"/>
          <w:sz w:val="20"/>
          <w:szCs w:val="20"/>
        </w:rPr>
        <w:t xml:space="preserve">PRODIGE 4 / ACCORD 11</w:t>
      </w:r>
      <w:r>
        <w:rPr>
          <w:b/>
          <w:bCs/>
          <w:color w:val="176A87"/>
          <w:sz w:val="15"/>
          <w:szCs w:val="15"/>
        </w:rPr>
        <w:t xml:space="preserve">   Randomised trial</w:t>
      </w:r>
      <w:r>
        <w:rPr>
          <w:color w:val="5A6069"/>
          <w:sz w:val="15"/>
          <w:szCs w:val="15"/>
        </w:rPr>
        <w:t xml:space="preserve">   PMID 21561347</w:t>
      </w:r>
    </w:p>
    <w:p>
      <w:pPr>
        <w:spacing w:after="50" w:line="276"/>
      </w:pPr>
      <w:r>
        <w:rPr>
          <w:color w:val="5A6069"/>
          <w:sz w:val="17"/>
          <w:szCs w:val="17"/>
        </w:rPr>
        <w:t xml:space="preserve">FOLFIRINOX versus Gemcitabine for Metastatic Pancreatic Cancer.</w:t>
      </w:r>
    </w:p>
    <w:p>
      <w:pPr>
        <w:spacing w:after="50"/>
      </w:pPr>
      <w:r>
        <w:rPr>
          <w:b/>
          <w:bCs/>
          <w:color w:val="176A87"/>
          <w:sz w:val="16"/>
          <w:szCs w:val="16"/>
        </w:rPr>
        <w:t xml:space="preserve">Population. </w:t>
      </w:r>
      <w:r>
        <w:rPr>
          <w:sz w:val="16"/>
          <w:szCs w:val="16"/>
        </w:rPr>
        <w:t xml:space="preserve">342 patients (171 per arm by ITT; safety population 167 and 169); 273 deaths (79.8%)</w:t>
      </w:r>
    </w:p>
    <w:p>
      <w:pPr>
        <w:spacing w:after="70"/>
      </w:pPr>
      <w:r>
        <w:rPr>
          <w:b/>
          <w:bCs/>
          <w:color w:val="17365D"/>
          <w:sz w:val="16"/>
          <w:szCs w:val="16"/>
        </w:rPr>
        <w:t xml:space="preserve">Bottom line. </w:t>
      </w:r>
      <w:r>
        <w:rPr>
          <w:sz w:val="16"/>
          <w:szCs w:val="16"/>
        </w:rPr>
        <w:t xml:space="preserve">PRODIGE 4/ACCORD 11 established FOLFIRINOX as first-line therapy for metastatic pancreatic cancer, raising median survival from 6.8 to 11.1 months (HR 0.57) and delaying quality-of-life deterioration despite markedly more neutropenia, diarrhoea and neuropathy - but only in patients under 76 with ECOG 0-1, no cardiac disease and near-normal bilirubin, with heavy crossover to the other regimen at progression, and it provides no evidence for FOLFIRINOX in the neoadjuvant or adjuvant setting.</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separate limitations section; the authors frame their own eligibility criteria as the boundary of applicability, concluding FOLFIRINOX is an option for patients under 76 with ECOG 0-1, no cardiac ischaemia and normal or near-normal bilirubin</w:t>
            </w:r>
          </w:p>
          <w:p>
            <w:pPr>
              <w:pStyle w:val="ListParagraph"/>
              <w:numPr>
                <w:ilvl w:val="0"/>
                <w:numId w:val="2"/>
              </w:numPr>
              <w:spacing w:after="45"/>
            </w:pPr>
            <w:r>
              <w:rPr>
                <w:sz w:val="15"/>
                <w:szCs w:val="15"/>
              </w:rPr>
              <w:t xml:space="preserve">There were fewer measurable lung metastases in the FOLFIRINOX group (19.5% vs 28.7%, P=0.05), and the authors state results were similar when adjusted for pulmonary metastases</w:t>
            </w:r>
          </w:p>
          <w:p>
            <w:pPr>
              <w:pStyle w:val="ListParagraph"/>
              <w:numPr>
                <w:ilvl w:val="0"/>
                <w:numId w:val="2"/>
              </w:numPr>
              <w:spacing w:after="45"/>
            </w:pPr>
            <w:r>
              <w:rPr>
                <w:sz w:val="15"/>
                <w:szCs w:val="15"/>
              </w:rPr>
              <w:t xml:space="preserve">Filgrastim was not recommended as primary prophylaxis but could be used for high-risk patients, which the authors note in describing the toxicity profile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has no limitations section, so every point below is unstated</w:t>
            </w:r>
          </w:p>
          <w:p>
            <w:pPr>
              <w:pStyle w:val="ListParagraph"/>
              <w:numPr>
                <w:ilvl w:val="0"/>
                <w:numId w:val="2"/>
              </w:numPr>
              <w:spacing w:after="45"/>
            </w:pPr>
            <w:r>
              <w:rPr>
                <w:sz w:val="15"/>
                <w:szCs w:val="15"/>
              </w:rPr>
              <w:t xml:space="preserve">COMPARATOR: single-agent gemcitabine, which was the genuine standard of care in 2005-2009 - one of the few trials in this depot whose comparator was appropriate at the time it ran. Nothing in the trial addresses adjuvant or neoadjuvant use, yet PRODIGE-24, NORPACT-1, PREOPANC-2, SWOG S1505 and A021501 all justify their regimen by extrapolating from this metastatic result, an extrapolation PREOPANC-2 explicitly shows does not hold</w:t>
            </w:r>
          </w:p>
          <w:p>
            <w:pPr>
              <w:pStyle w:val="ListParagraph"/>
              <w:numPr>
                <w:ilvl w:val="0"/>
                <w:numId w:val="2"/>
              </w:numPr>
              <w:spacing w:after="45"/>
            </w:pPr>
            <w:r>
              <w:rPr>
                <w:sz w:val="15"/>
                <w:szCs w:val="15"/>
              </w:rPr>
              <w:t xml:space="preserve">NON-RECEIPT OF ALLOCATED TREATMENT: 4/171 in the FOLFIRINOX arm and 2/171 in the gemcitabine arm never received treatment (safety populations of 167 and 169), and 8 and 7 patients had minor eligibility violations. Non-receipt was minimal and balanced - a genuine strength</w:t>
            </w:r>
          </w:p>
          <w:p>
            <w:pPr>
              <w:pStyle w:val="ListParagraph"/>
              <w:numPr>
                <w:ilvl w:val="0"/>
                <w:numId w:val="2"/>
              </w:numPr>
              <w:spacing w:after="45"/>
            </w:pPr>
            <w:r>
              <w:rPr>
                <w:sz w:val="15"/>
                <w:szCs w:val="15"/>
              </w:rPr>
              <w:t xml:space="preserve">THE POPULATION IS NARROW AND THE PAPER'S OWN CONCLUSION SAYS SO: age under 76, ECOG 0-1, no cardiac disease, bilirubin at or below 1.5x normal, no chronic diarrhoea, MEASURABLE disease. MPACT, run concurrently, included patients up to 88 and 8% with ECOG 2 equivalent. Real-world metastatic PDAC populations are older, frailer and frequently jaundiced; the 11.1-month median is not their expectation</w:t>
            </w:r>
          </w:p>
          <w:p>
            <w:pPr>
              <w:pStyle w:val="ListParagraph"/>
              <w:numPr>
                <w:ilvl w:val="0"/>
                <w:numId w:val="2"/>
              </w:numPr>
              <w:spacing w:after="45"/>
            </w:pPr>
            <w:r>
              <w:rPr>
                <w:sz w:val="15"/>
                <w:szCs w:val="15"/>
              </w:rPr>
              <w:t xml:space="preserve">PHASE 2 AND PHASE 3 PATIENTS WERE POOLED. The 88 phase 2 patients, enrolled at 15 centres under a response-rate endpoint, are included in the phase 3 survival analysis. The trial was continued only because the phase 2 response gate was met, so the pooled estimate incorporates a selection step conditional on early efficacy</w:t>
            </w:r>
          </w:p>
          <w:p>
            <w:pPr>
              <w:pStyle w:val="ListParagraph"/>
              <w:numPr>
                <w:ilvl w:val="0"/>
                <w:numId w:val="2"/>
              </w:numPr>
              <w:spacing w:after="45"/>
            </w:pPr>
            <w:r>
              <w:rPr>
                <w:sz w:val="15"/>
                <w:szCs w:val="15"/>
              </w:rPr>
              <w:t xml:space="preserve">THE QUALITY-OF-LIFE RESULT IS THE MOST SURPRISING AND LEAST SCRUTINISED FINDING. Time to definitive deterioration is a time-to-event endpoint in which patients who die or progress stop contributing; a regimen that delays progression by 3.1 months will delay quality-of-life deterioration almost mechanically. Interpreting 31% versus 66% as showing FOLFIRINOX improves quality of life despite far worse toxicity requires assuming the deterioration measure is independent of survival, which it is not</w:t>
            </w:r>
          </w:p>
          <w:p>
            <w:pPr>
              <w:pStyle w:val="ListParagraph"/>
              <w:numPr>
                <w:ilvl w:val="0"/>
                <w:numId w:val="2"/>
              </w:numPr>
              <w:spacing w:after="45"/>
            </w:pPr>
            <w:r>
              <w:rPr>
                <w:sz w:val="15"/>
                <w:szCs w:val="15"/>
              </w:rPr>
              <w:t xml:space="preserve">THE TOXICITY COMPARISON IS NOT LIKE FOR LIKE ON SUPPORTIVE CARE: 42.5% of FOLFIRINOX patients received filgrastim versus 5.3% of gemcitabine patients, so the observed 45.7% grade 3-4 neutropenia rate is already a growth-factor-supported figure, and the exposure differed two-fold (10 vs 6 cycles), meaning the FOLFIRINOX arm had more time at risk for cumulative toxicity</w:t>
            </w:r>
          </w:p>
          <w:p>
            <w:pPr>
              <w:pStyle w:val="ListParagraph"/>
              <w:numPr>
                <w:ilvl w:val="0"/>
                <w:numId w:val="2"/>
              </w:numPr>
              <w:spacing w:after="45"/>
            </w:pPr>
            <w:r>
              <w:rPr>
                <w:sz w:val="15"/>
                <w:szCs w:val="15"/>
              </w:rPr>
              <w:t xml:space="preserve">SUBSEQUENT THERAPY CROSSED OVER HEAVILY AND ASYMMETRICALLY: 82.5% of FOLFIRINOX patients got gemcitabine afterwards and about half of gemcitabine patients got an oxaliplatin-based regimen. Post-second-line survival was identical at 4.4 months in both arms, so the 4.3-month difference reflects first-line sequencing rather than any effect unique to the four-drug combination</w:t>
            </w:r>
          </w:p>
          <w:p>
            <w:pPr>
              <w:pStyle w:val="ListParagraph"/>
              <w:numPr>
                <w:ilvl w:val="0"/>
                <w:numId w:val="2"/>
              </w:numPr>
              <w:spacing w:after="45"/>
            </w:pPr>
            <w:r>
              <w:rPr>
                <w:sz w:val="15"/>
                <w:szCs w:val="15"/>
              </w:rPr>
              <w:t xml:space="preserve">BASELINE IMBALANCE IN LUNG METASTASES FAVOURED FOLFIRINOX (19.4% vs 28.7%, P=0.05), acknowledged and adjusted for, but in a 342-patient trial other unmeasured imbalances cannot be excluded</w:t>
            </w:r>
          </w:p>
          <w:p>
            <w:pPr>
              <w:pStyle w:val="ListParagraph"/>
              <w:numPr>
                <w:ilvl w:val="0"/>
                <w:numId w:val="2"/>
              </w:numPr>
              <w:spacing w:after="45"/>
            </w:pPr>
            <w:r>
              <w:rPr>
                <w:sz w:val="15"/>
                <w:szCs w:val="15"/>
              </w:rPr>
              <w:t xml:space="preserve">RELATIVE DOSE INTENSITY OF 78-82% MEANS THE REGIMEN AS DELIVERED WAS ALREADY DOSE-ATTENUATED, which is part of why the later 'modified' FOLFIRINOX (no bolus, lower irinotecan) performs similarly; the trial does not establish that full-dose FOLFIRINOX is necessary</w:t>
            </w:r>
          </w:p>
          <w:p>
            <w:pPr>
              <w:pStyle w:val="ListParagraph"/>
              <w:numPr>
                <w:ilvl w:val="0"/>
                <w:numId w:val="2"/>
              </w:numPr>
              <w:spacing w:after="45"/>
            </w:pPr>
            <w:r>
              <w:rPr>
                <w:sz w:val="15"/>
                <w:szCs w:val="15"/>
              </w:rPr>
              <w:t xml:space="preserve">Oxaliplatin and irinotecan were DONATED by Sanofi-Aventis and Pfizer and the trial received grants from Amgen (maker of filgrastim, used in 42.5% of the experimental arm); the manufacturers are stated to have had no role in design, accrual, analysis or writing, and writing assistance came from the sponsor Unicancer and a medical communications company</w:t>
            </w:r>
          </w:p>
        </w:tc>
      </w:tr>
    </w:tbl>
    <w:p>
      <w:pPr>
        <w:spacing w:after="0" w:line="276"/>
      </w:pPr>
      <w:r>
        <w:rPr>
          <w:color w:val="5A6069"/>
          <w:sz w:val="14"/>
          <w:szCs w:val="14"/>
        </w:rPr>
        <w:t xml:space="preserve">Funding: Clinical Research Hospital Program grants (PHRC 2004 and 2007) from the French Ministry of Health, grants from Amgen, and the French National League against Cancer. Oxaliplatin and irinotecan were donated by Sanofi-Aventis and Pfizer, stated to have had no role in design, accrual, analysis or manuscript preparation. Writing assistance was provided by an employee of the sponsor (Unicancer) and by Miller Medical Communications. Several authors report advisory board and lecture fees from Pfizer, Sanofi-Aventis, Roche, Amgen, Bayer, Merck and Novartis.</w:t>
      </w:r>
    </w:p>
    <w:p>
      <w:pPr>
        <w:keepNext/>
        <w:spacing w:after="50" w:before="260"/>
      </w:pPr>
      <w:r>
        <w:rPr>
          <w:rFonts w:ascii="Cambria" w:cs="Cambria" w:eastAsia="Cambria" w:hAnsi="Cambria"/>
          <w:b/>
          <w:bCs/>
          <w:color w:val="17365D"/>
          <w:sz w:val="20"/>
          <w:szCs w:val="20"/>
        </w:rPr>
        <w:t xml:space="preserve">RASolute 302</w:t>
      </w:r>
      <w:r>
        <w:rPr>
          <w:b/>
          <w:bCs/>
          <w:color w:val="176A87"/>
          <w:sz w:val="15"/>
          <w:szCs w:val="15"/>
        </w:rPr>
        <w:t xml:space="preserve">   Randomised trial</w:t>
      </w:r>
      <w:r>
        <w:rPr>
          <w:color w:val="5A6069"/>
          <w:sz w:val="15"/>
          <w:szCs w:val="15"/>
        </w:rPr>
        <w:t xml:space="preserve">   PMID 42223072</w:t>
      </w:r>
    </w:p>
    <w:p>
      <w:pPr>
        <w:spacing w:after="50" w:line="276"/>
      </w:pPr>
      <w:r>
        <w:rPr>
          <w:color w:val="5A6069"/>
          <w:sz w:val="17"/>
          <w:szCs w:val="17"/>
        </w:rPr>
        <w:t xml:space="preserve">Daraxonrasib versus Chemotherapy in Previously Treated Metastatic Pancreatic Ductal Adenocarcinoma.</w:t>
      </w:r>
    </w:p>
    <w:p>
      <w:pPr>
        <w:spacing w:after="50"/>
      </w:pPr>
      <w:r>
        <w:rPr>
          <w:b/>
          <w:bCs/>
          <w:color w:val="176A87"/>
          <w:sz w:val="16"/>
          <w:szCs w:val="16"/>
        </w:rPr>
        <w:t xml:space="preserve">Population. </w:t>
      </w:r>
      <w:r>
        <w:rPr>
          <w:sz w:val="16"/>
          <w:szCs w:val="16"/>
        </w:rPr>
        <w:t xml:space="preserve">500 randomised (248 daraxonrasib, 252 chemotherapy); more than 90% with RAS G12 mutations</w:t>
      </w:r>
    </w:p>
    <w:p>
      <w:pPr>
        <w:spacing w:after="70"/>
      </w:pPr>
      <w:r>
        <w:rPr>
          <w:b/>
          <w:bCs/>
          <w:color w:val="17365D"/>
          <w:sz w:val="16"/>
          <w:szCs w:val="16"/>
        </w:rPr>
        <w:t xml:space="preserve">Bottom line. </w:t>
      </w:r>
      <w:r>
        <w:rPr>
          <w:sz w:val="16"/>
          <w:szCs w:val="16"/>
        </w:rPr>
        <w:t xml:space="preserve">The first randomised trial to show a survival gain from RAS inhibition in pancreatic cancer — median overall survival 13.2 vs 6.6 months, HR 0.40 in RAS G12 disease — but the size of the effect is inseparable from a control arm in which 15.1% never received their allocated chemotherapy and 11.2% stopped it for toxicity, and the non-G12 subgroup shows no benefit.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open-label design may have influenced adverse-event reporting, treatment modifications, and the decision not to begin treatment after randomisation; treatment was not initiated in 15.1% of the chemotherapy group, mostly by patient decision</w:t>
            </w:r>
          </w:p>
          <w:p>
            <w:pPr>
              <w:pStyle w:val="ListParagraph"/>
              <w:numPr>
                <w:ilvl w:val="0"/>
                <w:numId w:val="2"/>
              </w:numPr>
              <w:spacing w:after="45"/>
            </w:pPr>
            <w:r>
              <w:rPr>
                <w:sz w:val="15"/>
                <w:szCs w:val="15"/>
              </w:rPr>
              <w:t xml:space="preserve">Subgroup analyses were exploratory and limited by small sample sizes, particularly for uncommon RAS subtypes and patients with no identified RAS mutation</w:t>
            </w:r>
          </w:p>
          <w:p>
            <w:pPr>
              <w:pStyle w:val="ListParagraph"/>
              <w:numPr>
                <w:ilvl w:val="0"/>
                <w:numId w:val="2"/>
              </w:numPr>
              <w:spacing w:after="45"/>
            </w:pPr>
            <w:r>
              <w:rPr>
                <w:sz w:val="15"/>
                <w:szCs w:val="15"/>
              </w:rPr>
              <w:t xml:space="preserve">Given the rarity of those subgroups in PDAC, subgroup results should be interpreted descriptively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investigator's choice from gemcitabine plus nab-paclitaxel, modified FOLFIRINOX, FOLFOX or liposomal irinotecan with fluorouracil, given per local prescribing practice. A median overall survival of 6.6 months in that arm is at the lower end of published second-line PDAC outcomes, and because regimen choice and dosing were unconstrained the control arm's quality is not auditable from this report</w:t>
            </w:r>
          </w:p>
          <w:p>
            <w:pPr>
              <w:pStyle w:val="ListParagraph"/>
              <w:numPr>
                <w:ilvl w:val="0"/>
                <w:numId w:val="2"/>
              </w:numPr>
              <w:spacing w:after="45"/>
            </w:pPr>
            <w:r>
              <w:rPr>
                <w:sz w:val="15"/>
                <w:szCs w:val="15"/>
              </w:rPr>
              <w:t xml:space="preserve">NON-RECEIPT OF ALLOCATED TREATMENT is the single most important asymmetry: 15.1% of the chemotherapy arm versus 2.8% of the daraxonrasib arm never started treatment, a five-fold difference. The authors attribute most of it to patient decision in an open-label trial, but patients who never start intravenous chemotherapy and are then counted in its intention-to-treat survival curve depress the comparator; no sensitivity analysis excluding or reweighting these patients is presented</w:t>
            </w:r>
          </w:p>
          <w:p>
            <w:pPr>
              <w:pStyle w:val="ListParagraph"/>
              <w:numPr>
                <w:ilvl w:val="0"/>
                <w:numId w:val="2"/>
              </w:numPr>
              <w:spacing w:after="45"/>
            </w:pPr>
            <w:r>
              <w:rPr>
                <w:sz w:val="15"/>
                <w:szCs w:val="15"/>
              </w:rPr>
              <w:t xml:space="preserve">Some chemotherapy-arm patients are stated to have become ineligible (ECOG above 1) between randomisation and treatment, which means the arms were not clinically equivalent at the moment treatment began — a problem an oral agent started the same day does not face</w:t>
            </w:r>
          </w:p>
          <w:p>
            <w:pPr>
              <w:pStyle w:val="ListParagraph"/>
              <w:numPr>
                <w:ilvl w:val="0"/>
                <w:numId w:val="2"/>
              </w:numPr>
              <w:spacing w:after="45"/>
            </w:pPr>
            <w:r>
              <w:rPr>
                <w:sz w:val="15"/>
                <w:szCs w:val="15"/>
              </w:rPr>
              <w:t xml:space="preserve">The primary population is the RAS G12 subpopulation, not all randomised patients; the all-comer result is a secondary endpoint and the non-G12 patients show HR 1.38 (0.60-3.17). A pathway should state that the benefit is established only for RAS G12 disease and that the non-G12 estimate points the other way</w:t>
            </w:r>
          </w:p>
          <w:p>
            <w:pPr>
              <w:pStyle w:val="ListParagraph"/>
              <w:numPr>
                <w:ilvl w:val="0"/>
                <w:numId w:val="2"/>
              </w:numPr>
              <w:spacing w:after="45"/>
            </w:pPr>
            <w:r>
              <w:rPr>
                <w:sz w:val="15"/>
                <w:szCs w:val="15"/>
              </w:rPr>
              <w:t xml:space="preserve">Blinded central review protects the progression-free survival endpoint, but overall survival in an open-label trial is still exposed to differential post-progression therapy, and the report does not detail subsequent treatments by arm</w:t>
            </w:r>
          </w:p>
          <w:p>
            <w:pPr>
              <w:pStyle w:val="ListParagraph"/>
              <w:numPr>
                <w:ilvl w:val="0"/>
                <w:numId w:val="2"/>
              </w:numPr>
              <w:spacing w:after="45"/>
            </w:pPr>
            <w:r>
              <w:rPr>
                <w:sz w:val="15"/>
                <w:szCs w:val="15"/>
              </w:rPr>
              <w:t xml:space="preserve">An HR of 0.40 for overall survival is extraordinarily large for second-line PDAC and should prompt the question of how much of it reflects a weakened comparator rather than drug effect; the toxicity data (grade 3+ 61.8% vs 69.6%, discontinuation 1.2% vs 11.2%) point the same way, in that the chemotherapy arm was both more toxic and far less adhered to</w:t>
            </w:r>
          </w:p>
          <w:p>
            <w:pPr>
              <w:pStyle w:val="ListParagraph"/>
              <w:numPr>
                <w:ilvl w:val="0"/>
                <w:numId w:val="2"/>
              </w:numPr>
              <w:spacing w:after="45"/>
            </w:pPr>
            <w:r>
              <w:rPr>
                <w:sz w:val="15"/>
                <w:szCs w:val="15"/>
              </w:rPr>
              <w:t xml:space="preserve">Revolution Medicines supported the trial, and the statistical analyses were performed and validated by the sponsor, with five author-employees of the sponsor; the sponsor also designed and funded the preceding phase 1-2 study</w:t>
            </w:r>
          </w:p>
          <w:p>
            <w:pPr>
              <w:pStyle w:val="ListParagraph"/>
              <w:numPr>
                <w:ilvl w:val="0"/>
                <w:numId w:val="2"/>
              </w:numPr>
              <w:spacing w:after="45"/>
            </w:pPr>
            <w:r>
              <w:rPr>
                <w:sz w:val="15"/>
                <w:szCs w:val="15"/>
              </w:rPr>
              <w:t xml:space="preserve">Quality-of-life and pain endpoints are time-to-deterioration measures in an unblinded trial, where knowledge of assignment affects both reporting and the timing of assessment</w:t>
            </w:r>
          </w:p>
        </w:tc>
      </w:tr>
    </w:tbl>
    <w:p>
      <w:pPr>
        <w:spacing w:after="0" w:line="276"/>
      </w:pPr>
      <w:r>
        <w:rPr>
          <w:color w:val="5A6069"/>
          <w:sz w:val="14"/>
          <w:szCs w:val="14"/>
        </w:rPr>
        <w:t xml:space="preserve">Funding: Revolution Medicines; statistical analyses performed and validated by the sponsor</w:t>
      </w:r>
    </w:p>
    <w:p>
      <w:pPr>
        <w:keepNext/>
        <w:spacing w:after="50" w:before="260"/>
      </w:pPr>
      <w:r>
        <w:rPr>
          <w:rFonts w:ascii="Cambria" w:cs="Cambria" w:eastAsia="Cambria" w:hAnsi="Cambria"/>
          <w:b/>
          <w:bCs/>
          <w:color w:val="17365D"/>
          <w:sz w:val="20"/>
          <w:szCs w:val="20"/>
        </w:rPr>
        <w:t xml:space="preserve">SAR/APA template</w:t>
      </w:r>
      <w:r>
        <w:rPr>
          <w:b/>
          <w:bCs/>
          <w:color w:val="176A87"/>
          <w:sz w:val="15"/>
          <w:szCs w:val="15"/>
        </w:rPr>
        <w:t xml:space="preserve">   Consensus statement</w:t>
      </w:r>
      <w:r>
        <w:rPr>
          <w:color w:val="5A6069"/>
          <w:sz w:val="15"/>
          <w:szCs w:val="15"/>
        </w:rPr>
        <w:t xml:space="preserve">   PMID 24354378</w:t>
      </w:r>
    </w:p>
    <w:p>
      <w:pPr>
        <w:spacing w:after="50" w:line="276"/>
      </w:pPr>
      <w:r>
        <w:rPr>
          <w:color w:val="5A6069"/>
          <w:sz w:val="17"/>
          <w:szCs w:val="17"/>
        </w:rPr>
        <w:t xml:space="preserve">Pancreatic Ductal Adenocarcinoma Radiology Reporting Template: Consensus Statement of the Society of Abdominal Radiology and the American Pancreatic Association.</w:t>
      </w:r>
    </w:p>
    <w:p>
      <w:pPr>
        <w:spacing w:after="70"/>
      </w:pPr>
      <w:r>
        <w:rPr>
          <w:b/>
          <w:bCs/>
          <w:color w:val="17365D"/>
          <w:sz w:val="16"/>
          <w:szCs w:val="16"/>
        </w:rPr>
        <w:t xml:space="preserve">Bottom line. </w:t>
      </w:r>
      <w:r>
        <w:rPr>
          <w:sz w:val="16"/>
          <w:szCs w:val="16"/>
        </w:rPr>
        <w:t xml:space="preserve">Provides the standardised vocabulary and reporting template that lets resectability be described consistently, including the 180-degree abutment/encasement rule, but it is expert consensus from a single 2011 meeting with no validation of reproducibility or of any effect on patient outcomes.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the problem the template addresses — variability in expertise, variability in terminology defining disease extent, and incomplete documentation of findings — rather than limitations of the template itself</w:t>
            </w:r>
          </w:p>
          <w:p>
            <w:pPr>
              <w:pStyle w:val="ListParagraph"/>
              <w:numPr>
                <w:ilvl w:val="0"/>
                <w:numId w:val="2"/>
              </w:numPr>
              <w:spacing w:after="45"/>
            </w:pPr>
            <w:r>
              <w:rPr>
                <w:sz w:val="15"/>
                <w:szCs w:val="15"/>
              </w:rPr>
              <w:t xml:space="preserve">They note that imaging performance in defining resectability is imperfect, which is why standardised reporting is proposed</w:t>
            </w:r>
          </w:p>
          <w:p>
            <w:pPr>
              <w:pStyle w:val="ListParagraph"/>
              <w:numPr>
                <w:ilvl w:val="0"/>
                <w:numId w:val="2"/>
              </w:numPr>
              <w:spacing w:after="45"/>
            </w:pPr>
            <w:r>
              <w:rPr>
                <w:sz w:val="15"/>
                <w:szCs w:val="15"/>
              </w:rPr>
              <w:t xml:space="preserve">No stated limitations section for the consensus process itself</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A single consensus meeting in November 2011 with no Delphi process, no voting, no reported level of agreement and no grading of evidence behind any item; the only process described after the meeting is that the lead author prepared a draft and circulated it for comment and approval</w:t>
            </w:r>
          </w:p>
          <w:p>
            <w:pPr>
              <w:pStyle w:val="ListParagraph"/>
              <w:numPr>
                <w:ilvl w:val="0"/>
                <w:numId w:val="2"/>
              </w:numPr>
              <w:spacing w:after="45"/>
            </w:pPr>
            <w:r>
              <w:rPr>
                <w:sz w:val="15"/>
                <w:szCs w:val="15"/>
              </w:rPr>
              <w:t xml:space="preserve">No systematic literature review is described; items were chosen 'based on the state of knowledge and available pertinent literature', which is an unauditable basis</w:t>
            </w:r>
          </w:p>
          <w:p>
            <w:pPr>
              <w:pStyle w:val="ListParagraph"/>
              <w:numPr>
                <w:ilvl w:val="0"/>
                <w:numId w:val="2"/>
              </w:numPr>
              <w:spacing w:after="45"/>
            </w:pPr>
            <w:r>
              <w:rPr>
                <w:sz w:val="15"/>
                <w:szCs w:val="15"/>
              </w:rPr>
              <w:t xml:space="preserve">The 180-degree threshold that governs the borderline/unresectable boundary is adopted from existing NCCN criteria rather than derived or validated here, and no inter-reader reproducibility data for measuring circumferential contact are presented — yet the whole template rests on that measurement</w:t>
            </w:r>
          </w:p>
          <w:p>
            <w:pPr>
              <w:pStyle w:val="ListParagraph"/>
              <w:numPr>
                <w:ilvl w:val="0"/>
                <w:numId w:val="2"/>
              </w:numPr>
              <w:spacing w:after="45"/>
            </w:pPr>
            <w:r>
              <w:rPr>
                <w:sz w:val="15"/>
                <w:szCs w:val="15"/>
              </w:rPr>
              <w:t xml:space="preserve">No validation of any kind: the paper does not show that use of the template changes report completeness, inter-radiologist agreement, multidisciplinary decisions, resection rates or margins. It asserts that adoption 'should improve the decision-making process'</w:t>
            </w:r>
          </w:p>
          <w:p>
            <w:pPr>
              <w:pStyle w:val="ListParagraph"/>
              <w:numPr>
                <w:ilvl w:val="0"/>
                <w:numId w:val="2"/>
              </w:numPr>
              <w:spacing w:after="45"/>
            </w:pPr>
            <w:r>
              <w:rPr>
                <w:sz w:val="15"/>
                <w:szCs w:val="15"/>
              </w:rPr>
              <w:t xml:space="preserve">Published 2014 and referencing NCCN criteria of that era; resectability definitions have since diverged (anatomical versus the biological and conditional criteria of the later International Association of Pancreatology consensus), so a pathway citing this as current practice is citing a superseded anatomical-only framework</w:t>
            </w:r>
          </w:p>
          <w:p>
            <w:pPr>
              <w:pStyle w:val="ListParagraph"/>
              <w:numPr>
                <w:ilvl w:val="0"/>
                <w:numId w:val="2"/>
              </w:numPr>
              <w:spacing w:after="45"/>
            </w:pPr>
            <w:r>
              <w:rPr>
                <w:sz w:val="15"/>
                <w:szCs w:val="15"/>
              </w:rPr>
              <w:t xml:space="preserve">The paper makes no funding statement and does not describe conflict-of-interest management for the writing group; this cannot be verified from the extraction</w:t>
            </w:r>
          </w:p>
          <w:p>
            <w:pPr>
              <w:pStyle w:val="ListParagraph"/>
              <w:numPr>
                <w:ilvl w:val="0"/>
                <w:numId w:val="2"/>
              </w:numPr>
              <w:spacing w:after="45"/>
            </w:pPr>
            <w:r>
              <w:rPr>
                <w:sz w:val="15"/>
                <w:szCs w:val="15"/>
              </w:rPr>
              <w:t xml:space="preserve">A reporting template is a process intervention; quoting it as evidence for a resectability threshold conflates the lexicon with the evidence for where the threshold should sit</w:t>
            </w:r>
          </w:p>
        </w:tc>
      </w:tr>
    </w:tbl>
    <w:p>
      <w:pPr>
        <w:keepNext/>
        <w:spacing w:after="50" w:before="260"/>
      </w:pPr>
      <w:r>
        <w:rPr>
          <w:rFonts w:ascii="Cambria" w:cs="Cambria" w:eastAsia="Cambria" w:hAnsi="Cambria"/>
          <w:b/>
          <w:bCs/>
          <w:color w:val="17365D"/>
          <w:sz w:val="20"/>
          <w:szCs w:val="20"/>
        </w:rPr>
        <w:t xml:space="preserve">Sotorasib CodeBreaK 100</w:t>
      </w:r>
      <w:r>
        <w:rPr>
          <w:b/>
          <w:bCs/>
          <w:color w:val="176A87"/>
          <w:sz w:val="15"/>
          <w:szCs w:val="15"/>
        </w:rPr>
        <w:t xml:space="preserve">   Prospective cohort</w:t>
      </w:r>
      <w:r>
        <w:rPr>
          <w:color w:val="5A6069"/>
          <w:sz w:val="15"/>
          <w:szCs w:val="15"/>
        </w:rPr>
        <w:t xml:space="preserve">   PMID 36546651</w:t>
      </w:r>
    </w:p>
    <w:p>
      <w:pPr>
        <w:spacing w:after="50" w:line="276"/>
      </w:pPr>
      <w:r>
        <w:rPr>
          <w:color w:val="5A6069"/>
          <w:sz w:val="17"/>
          <w:szCs w:val="17"/>
        </w:rPr>
        <w:t xml:space="preserve">Sotorasib in KRAS p.G12C-Mutated Advanced Pancreatic Cancer.</w:t>
      </w:r>
    </w:p>
    <w:p>
      <w:pPr>
        <w:spacing w:after="50"/>
      </w:pPr>
      <w:r>
        <w:rPr>
          <w:b/>
          <w:bCs/>
          <w:color w:val="176A87"/>
          <w:sz w:val="16"/>
          <w:szCs w:val="16"/>
        </w:rPr>
        <w:t xml:space="preserve">Population. </w:t>
      </w:r>
      <w:r>
        <w:rPr>
          <w:sz w:val="16"/>
          <w:szCs w:val="16"/>
        </w:rPr>
        <w:t xml:space="preserve">38 patients with KRAS p.G12C-mutated pancreatic cancer, all of whom received sotorasib</w:t>
      </w:r>
    </w:p>
    <w:p>
      <w:pPr>
        <w:spacing w:after="70"/>
      </w:pPr>
      <w:r>
        <w:rPr>
          <w:b/>
          <w:bCs/>
          <w:color w:val="17365D"/>
          <w:sz w:val="16"/>
          <w:szCs w:val="16"/>
        </w:rPr>
        <w:t xml:space="preserve">Bottom line. </w:t>
      </w:r>
      <w:r>
        <w:rPr>
          <w:sz w:val="16"/>
          <w:szCs w:val="16"/>
        </w:rPr>
        <w:t xml:space="preserve">Shows that a KRAS G12C inhibitor produces measurable tumour shrinkage in about a fifth of the 1-2% of pancreatic cancers carrying that allele, but with no control arm, no prespecified benchmark and no hypothesis test it establishes a signal rather than a benefit.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is nonrandomised and single-group, which the authors contrast directly with the randomised, placebo-controlled POLO trial when comparing response rates</w:t>
            </w:r>
          </w:p>
          <w:p>
            <w:pPr>
              <w:pStyle w:val="ListParagraph"/>
              <w:numPr>
                <w:ilvl w:val="0"/>
                <w:numId w:val="2"/>
              </w:numPr>
              <w:spacing w:after="45"/>
            </w:pPr>
            <w:r>
              <w:rPr>
                <w:sz w:val="15"/>
                <w:szCs w:val="15"/>
              </w:rPr>
              <w:t xml:space="preserve">The population was heavily pretreated (about 79% with two or more previous lines), unlike POLO, which enriched for platinum-sensitive patients</w:t>
            </w:r>
          </w:p>
          <w:p>
            <w:pPr>
              <w:pStyle w:val="ListParagraph"/>
              <w:numPr>
                <w:ilvl w:val="0"/>
                <w:numId w:val="2"/>
              </w:numPr>
              <w:spacing w:after="45"/>
            </w:pPr>
            <w:r>
              <w:rPr>
                <w:sz w:val="15"/>
                <w:szCs w:val="15"/>
              </w:rPr>
              <w:t xml:space="preserve">Comparison with published second-line chemotherapy response rates of under 10% is made against external literature, not a concurrent control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With 38 patients, no control arm, no prespecified benchmark and no hypothesis test, this is a signal-finding exercise; the 95% CI on response (10-37%) is compatible with the under-10% historical second-line benchmark the authors invoke as the thing being beaten</w:t>
            </w:r>
          </w:p>
          <w:p>
            <w:pPr>
              <w:pStyle w:val="ListParagraph"/>
              <w:numPr>
                <w:ilvl w:val="0"/>
                <w:numId w:val="2"/>
              </w:numPr>
              <w:spacing w:after="45"/>
            </w:pPr>
            <w:r>
              <w:rPr>
                <w:sz w:val="15"/>
                <w:szCs w:val="15"/>
              </w:rPr>
              <w:t xml:space="preserve">A pooled analysis across phase 1 dose exploration, phase 1 expansion and phase 2 mixes dose levels and eligibility thresholds (ECOG 2 allowed in phase 1, 0-1 in phase 2); the response rate is a weighted average over non-equivalent cohorts and is not reported by cohort or dose in the main text</w:t>
            </w:r>
          </w:p>
          <w:p>
            <w:pPr>
              <w:pStyle w:val="ListParagraph"/>
              <w:numPr>
                <w:ilvl w:val="0"/>
                <w:numId w:val="2"/>
              </w:numPr>
              <w:spacing w:after="45"/>
            </w:pPr>
            <w:r>
              <w:rPr>
                <w:sz w:val="15"/>
                <w:szCs w:val="15"/>
              </w:rPr>
              <w:t xml:space="preserve">Median OS of 6.9 months in a third-line-or-later population is indistinguishable from the natural history of that population; the paper does not claim otherwise, but a pathway citing 'activity in KRAS G12C pancreatic cancer' is reading a survival claim into an ORR</w:t>
            </w:r>
          </w:p>
          <w:p>
            <w:pPr>
              <w:pStyle w:val="ListParagraph"/>
              <w:numPr>
                <w:ilvl w:val="0"/>
                <w:numId w:val="2"/>
              </w:numPr>
              <w:spacing w:after="45"/>
            </w:pPr>
            <w:r>
              <w:rPr>
                <w:sz w:val="15"/>
                <w:szCs w:val="15"/>
              </w:rPr>
              <w:t xml:space="preserve">KRAS G12C is present in roughly 1-2% of PDAC, so the denominator for this result is a small fraction of the disease; the paper does not report how many patients were screened to find 38, so the testing burden implied is invisible</w:t>
            </w:r>
          </w:p>
          <w:p>
            <w:pPr>
              <w:pStyle w:val="ListParagraph"/>
              <w:numPr>
                <w:ilvl w:val="0"/>
                <w:numId w:val="2"/>
              </w:numPr>
              <w:spacing w:after="45"/>
            </w:pPr>
            <w:r>
              <w:rPr>
                <w:sz w:val="15"/>
                <w:szCs w:val="15"/>
              </w:rPr>
              <w:t xml:space="preserve">Grade 3 or higher adverse events in 63% of a 38-patient cohort with no comparator cannot be attributed between drug and disease, and the 16% treatment-related figure depends entirely on investigator attribution in an unblinded single-arm trial</w:t>
            </w:r>
          </w:p>
          <w:p>
            <w:pPr>
              <w:pStyle w:val="ListParagraph"/>
              <w:numPr>
                <w:ilvl w:val="0"/>
                <w:numId w:val="2"/>
              </w:numPr>
              <w:spacing w:after="45"/>
            </w:pPr>
            <w:r>
              <w:rPr>
                <w:sz w:val="15"/>
                <w:szCs w:val="15"/>
              </w:rPr>
              <w:t xml:space="preserve">Amgen funded, designed and analysed the trial; the decision not to prespecify a benchmark means there is no threshold the result could have failed to meet</w:t>
            </w:r>
          </w:p>
        </w:tc>
      </w:tr>
    </w:tbl>
    <w:p>
      <w:pPr>
        <w:spacing w:after="0" w:line="276"/>
      </w:pPr>
      <w:r>
        <w:rPr>
          <w:color w:val="5A6069"/>
          <w:sz w:val="14"/>
          <w:szCs w:val="14"/>
        </w:rPr>
        <w:t xml:space="preserve">Funding: Amgen, with a Cancer Center Core Grant (P30 CA) and other support as stated</w:t>
      </w:r>
    </w:p>
    <w:p>
      <w:pPr>
        <w:keepNext/>
        <w:spacing w:after="50" w:before="260"/>
      </w:pPr>
      <w:r>
        <w:rPr>
          <w:rFonts w:ascii="Cambria" w:cs="Cambria" w:eastAsia="Cambria" w:hAnsi="Cambria"/>
          <w:b/>
          <w:bCs/>
          <w:color w:val="17365D"/>
          <w:sz w:val="20"/>
          <w:szCs w:val="20"/>
        </w:rPr>
        <w:t xml:space="preserve">SWOG S1505</w:t>
      </w:r>
      <w:r>
        <w:rPr>
          <w:b/>
          <w:bCs/>
          <w:color w:val="176A87"/>
          <w:sz w:val="15"/>
          <w:szCs w:val="15"/>
        </w:rPr>
        <w:t xml:space="preserve">   Randomised trial</w:t>
      </w:r>
      <w:r>
        <w:rPr>
          <w:color w:val="5A6069"/>
          <w:sz w:val="15"/>
          <w:szCs w:val="15"/>
        </w:rPr>
        <w:t xml:space="preserve">   PMID 33475684</w:t>
      </w:r>
    </w:p>
    <w:p>
      <w:pPr>
        <w:spacing w:after="50" w:line="276"/>
      </w:pPr>
      <w:r>
        <w:rPr>
          <w:color w:val="5A6069"/>
          <w:sz w:val="17"/>
          <w:szCs w:val="17"/>
        </w:rPr>
        <w:t xml:space="preserve">Efficacy of Perioperative Chemotherapy for Resectable Pancreatic Adenocarcinoma: A Phase 2 Randomized Clinical Trial.</w:t>
      </w:r>
    </w:p>
    <w:p>
      <w:pPr>
        <w:spacing w:after="50"/>
      </w:pPr>
      <w:r>
        <w:rPr>
          <w:b/>
          <w:bCs/>
          <w:color w:val="176A87"/>
          <w:sz w:val="16"/>
          <w:szCs w:val="16"/>
        </w:rPr>
        <w:t xml:space="preserve">Population. </w:t>
      </w:r>
      <w:r>
        <w:rPr>
          <w:sz w:val="16"/>
          <w:szCs w:val="16"/>
        </w:rPr>
        <w:t xml:space="preserve">147 enrolled; 102 eligible and evaluable (55 mFOLFIRINOX, 47 gemcitabine/nab-paclitaxel); 73 resections. 43 of 146 reviewed (29%) were ineligible on central radiology review</w:t>
      </w:r>
    </w:p>
    <w:p>
      <w:pPr>
        <w:spacing w:after="70"/>
      </w:pPr>
      <w:r>
        <w:rPr>
          <w:b/>
          <w:bCs/>
          <w:color w:val="17365D"/>
          <w:sz w:val="16"/>
          <w:szCs w:val="16"/>
        </w:rPr>
        <w:t xml:space="preserve">Bottom line. </w:t>
      </w:r>
      <w:r>
        <w:rPr>
          <w:sz w:val="16"/>
          <w:szCs w:val="16"/>
        </w:rPr>
        <w:t xml:space="preserve">S1505 shows that perioperative mFOLFIRINOX and gemcitabine plus nab-paclitaxel are deliverable in resectable PDAC with 70-73% resection rates and 85% R0 rates but produce only about 23 months median and 47-48% 2-year survival, neither arm beating a historical adjuvant-trial benchmark of 40%; it has no randomised control, excludes 31% of enrolled patients from its analysis, and its most durable contribution is the demonstration that 29% of patients called resectable by their own centres were not.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was not designed or powered for a between-arm comparison, so the similarity of the two regimens is descriptive only</w:t>
            </w:r>
          </w:p>
          <w:p>
            <w:pPr>
              <w:pStyle w:val="ListParagraph"/>
              <w:numPr>
                <w:ilvl w:val="0"/>
                <w:numId w:val="2"/>
              </w:numPr>
              <w:spacing w:after="45"/>
            </w:pPr>
            <w:r>
              <w:rPr>
                <w:sz w:val="15"/>
                <w:szCs w:val="15"/>
              </w:rPr>
              <w:t xml:space="preserve">The marked difficulty in delineating resectability is a limitation of the trial's own population definition: 29% of enrolled patients did not meet radiologic criteria on central review</w:t>
            </w:r>
          </w:p>
          <w:p>
            <w:pPr>
              <w:pStyle w:val="ListParagraph"/>
              <w:numPr>
                <w:ilvl w:val="0"/>
                <w:numId w:val="2"/>
              </w:numPr>
              <w:spacing w:after="45"/>
            </w:pPr>
            <w:r>
              <w:rPr>
                <w:sz w:val="15"/>
                <w:szCs w:val="15"/>
              </w:rPr>
              <w:t xml:space="preserve">Central radiology review was retrospective rather than real time, so ineligible patients were not identified before treatment and enrolling sites were not notified</w:t>
            </w:r>
          </w:p>
          <w:p>
            <w:pPr>
              <w:pStyle w:val="ListParagraph"/>
              <w:numPr>
                <w:ilvl w:val="0"/>
                <w:numId w:val="2"/>
              </w:numPr>
              <w:spacing w:after="45"/>
            </w:pPr>
            <w:r>
              <w:rPr>
                <w:sz w:val="15"/>
                <w:szCs w:val="15"/>
              </w:rPr>
              <w:t xml:space="preserve">Pathologic assessments were performed locally rather than centrally</w:t>
            </w:r>
          </w:p>
          <w:p>
            <w:pPr>
              <w:pStyle w:val="ListParagraph"/>
              <w:numPr>
                <w:ilvl w:val="0"/>
                <w:numId w:val="2"/>
              </w:numPr>
              <w:spacing w:after="45"/>
            </w:pPr>
            <w:r>
              <w:rPr>
                <w:sz w:val="15"/>
                <w:szCs w:val="15"/>
              </w:rPr>
              <w:t xml:space="preserve">Prophylactic growth factor support was not allowed at treatment initiation, which may have affected tolerability</w:t>
            </w:r>
          </w:p>
          <w:p>
            <w:pPr>
              <w:pStyle w:val="ListParagraph"/>
              <w:numPr>
                <w:ilvl w:val="0"/>
                <w:numId w:val="2"/>
              </w:numPr>
              <w:spacing w:after="45"/>
            </w:pPr>
            <w:r>
              <w:rPr>
                <w:sz w:val="15"/>
                <w:szCs w:val="15"/>
              </w:rPr>
              <w:t xml:space="preserve">Tumour markers were not followed and were not used for patient selection or treatment decisions, unlike the adjuvant trials used as the historical comparator</w:t>
            </w:r>
          </w:p>
          <w:p>
            <w:pPr>
              <w:pStyle w:val="ListParagraph"/>
              <w:numPr>
                <w:ilvl w:val="0"/>
                <w:numId w:val="2"/>
              </w:numPr>
              <w:spacing w:after="45"/>
            </w:pPr>
            <w:r>
              <w:rPr>
                <w:sz w:val="15"/>
                <w:szCs w:val="15"/>
              </w:rPr>
              <w:t xml:space="preserve">The trial was not intended as an adjuvant-versus-neoadjuvant comparison, and radiation was not used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COMPARATOR: THERE IS NO CONTROL ARM. Both arms were compared with a HISTORICAL 2-year survival of 40% taken from adjuvant trials. The authors themselves point out that adjuvant trial populations are highly selected - patients who did not progress before resection, had no intraoperative metastases, recovered to performance status 0-1 and, in PRODIGE-24, were further selected by postoperative CA19-9. Comparing a cohort randomised at diagnosis with a cohort randomised after successful recovery from surgery biases against the perioperative strategy, and the trial's 'failure' to beat 40% should not be read as perioperative chemotherapy being inferior</w:t>
            </w:r>
          </w:p>
          <w:p>
            <w:pPr>
              <w:pStyle w:val="ListParagraph"/>
              <w:numPr>
                <w:ilvl w:val="0"/>
                <w:numId w:val="2"/>
              </w:numPr>
              <w:spacing w:after="45"/>
            </w:pPr>
            <w:r>
              <w:rPr>
                <w:sz w:val="15"/>
                <w:szCs w:val="15"/>
              </w:rPr>
              <w:t xml:space="preserve">NO MODERN ADJUVANT THERAPY COMPARATOR EXISTS IN THIS TRIAL AT ALL: the postoperative component was simply a continuation of the same perioperative regimen (6 more doses of mFOLFIRINOX or 9 more of gemcitabine/nab-paclitaxel), reached by only 56% and 55% of eligible patients and completed by 49% and 40%. Nobody in this trial received upfront surgery followed by adjuvant mFOLFIRINOX</w:t>
            </w:r>
          </w:p>
          <w:p>
            <w:pPr>
              <w:pStyle w:val="ListParagraph"/>
              <w:numPr>
                <w:ilvl w:val="0"/>
                <w:numId w:val="2"/>
              </w:numPr>
              <w:spacing w:after="45"/>
            </w:pPr>
            <w:r>
              <w:rPr>
                <w:sz w:val="15"/>
                <w:szCs w:val="15"/>
              </w:rPr>
              <w:t xml:space="preserve">NON-RECEIPT OF ALLOCATED TREATMENT: 2/55 and 2/47 of eligible patients never started preoperative chemotherapy, and 1 patient withdrew consent before any therapy and was deemed non-evaluable. The larger problem is upstream: 45 of 147 randomised patients (31%) were removed from the analysed population - 43 for failing central radiology review and 1 for an incorrect primary tumour - even though all of them received protocol therapy. The reported denominators are therefore a centrally adjudicated subset of the randomised cohort, which is a selection step applied after randomisation</w:t>
            </w:r>
          </w:p>
          <w:p>
            <w:pPr>
              <w:pStyle w:val="ListParagraph"/>
              <w:numPr>
                <w:ilvl w:val="0"/>
                <w:numId w:val="2"/>
              </w:numPr>
              <w:spacing w:after="45"/>
            </w:pPr>
            <w:r>
              <w:rPr>
                <w:sz w:val="15"/>
                <w:szCs w:val="15"/>
              </w:rPr>
              <w:t xml:space="preserve">THE 29% CENTRAL-REVIEW INELIGIBILITY RATE IS THE MOST IMPORTANT FINDING FOR A PATHWAY AND IS BURIED AS A SECONDARY OBSERVATION. Over half the ineligible patients had arterial interface and nearly two thirds had suspicion of distant disease, meaning that in real-world multidisciplinary practice across 20-plus experienced centres, roughly a third of patients called resectable were not. Any pathway that assigns treatment by resectability category must account for this misclassification rate, and the trial shows a site-level checklist barely improves it</w:t>
            </w:r>
          </w:p>
          <w:p>
            <w:pPr>
              <w:pStyle w:val="ListParagraph"/>
              <w:numPr>
                <w:ilvl w:val="0"/>
                <w:numId w:val="2"/>
              </w:numPr>
              <w:spacing w:after="45"/>
            </w:pPr>
            <w:r>
              <w:rPr>
                <w:sz w:val="15"/>
                <w:szCs w:val="15"/>
              </w:rPr>
              <w:t xml:space="preserve">AGE WAS CAPPED AT 75 AND PERFORMANCE STATUS AT ZUBROD 0-1, so the population is substantially fitter than the patients a pathway will see; the median age was 64-66</w:t>
            </w:r>
          </w:p>
          <w:p>
            <w:pPr>
              <w:pStyle w:val="ListParagraph"/>
              <w:numPr>
                <w:ilvl w:val="0"/>
                <w:numId w:val="2"/>
              </w:numPr>
              <w:spacing w:after="45"/>
            </w:pPr>
            <w:r>
              <w:rPr>
                <w:sz w:val="15"/>
                <w:szCs w:val="15"/>
              </w:rPr>
              <w:t xml:space="preserve">The 85% R0 rate and 25-42% pathologic response rates are reported in a RESECTED-ONLY denominator (40 and 33 patients) that excludes the 27-30% who never reached surgery because of toxicity, deterioration or progression</w:t>
            </w:r>
          </w:p>
          <w:p>
            <w:pPr>
              <w:pStyle w:val="ListParagraph"/>
              <w:numPr>
                <w:ilvl w:val="0"/>
                <w:numId w:val="2"/>
              </w:numPr>
              <w:spacing w:after="45"/>
            </w:pPr>
            <w:r>
              <w:rPr>
                <w:sz w:val="15"/>
                <w:szCs w:val="15"/>
              </w:rPr>
              <w:t xml:space="preserve">Pathologic response was graded locally with no central review, and the numerically higher major response rate with gemcitabine/nab-paclitaxel (42% vs 25%) sits oddly beside its identical survival - an inconsistency the authors acknowledge but which also undercuts pathologic response as a surrogate</w:t>
            </w:r>
          </w:p>
          <w:p>
            <w:pPr>
              <w:pStyle w:val="ListParagraph"/>
              <w:numPr>
                <w:ilvl w:val="0"/>
                <w:numId w:val="2"/>
              </w:numPr>
              <w:spacing w:after="45"/>
            </w:pPr>
            <w:r>
              <w:rPr>
                <w:sz w:val="15"/>
                <w:szCs w:val="15"/>
              </w:rPr>
              <w:t xml:space="preserve">Enrolment was halted and the sample size expanded mid-trial in response to the ineligibility rate, and the study reopened with a revised protocol - a design change made with knowledge of accumulating data</w:t>
            </w:r>
          </w:p>
          <w:p>
            <w:pPr>
              <w:pStyle w:val="ListParagraph"/>
              <w:numPr>
                <w:ilvl w:val="0"/>
                <w:numId w:val="2"/>
              </w:numPr>
              <w:spacing w:after="45"/>
            </w:pPr>
            <w:r>
              <w:rPr>
                <w:sz w:val="15"/>
                <w:szCs w:val="15"/>
              </w:rPr>
              <w:t xml:space="preserve">The two regimens differ in scheduled dose density and in growth factor policy, so 'equally toxic' and 'equally effective' conclusions rest on a comparison the design forbids and on 102 patients</w:t>
            </w:r>
          </w:p>
          <w:p>
            <w:pPr>
              <w:pStyle w:val="ListParagraph"/>
              <w:numPr>
                <w:ilvl w:val="0"/>
                <w:numId w:val="2"/>
              </w:numPr>
              <w:spacing w:after="45"/>
            </w:pPr>
            <w:r>
              <w:rPr>
                <w:sz w:val="15"/>
                <w:szCs w:val="15"/>
              </w:rPr>
              <w:t xml:space="preserve">Several authors declare industry relationships including with Celgene, the manufacturer of nab-paclitaxel, one of the two tested regimens</w:t>
            </w:r>
          </w:p>
        </w:tc>
      </w:tr>
    </w:tbl>
    <w:p>
      <w:pPr>
        <w:spacing w:after="0" w:line="276"/>
      </w:pPr>
      <w:r>
        <w:rPr>
          <w:color w:val="5A6069"/>
          <w:sz w:val="14"/>
          <w:szCs w:val="14"/>
        </w:rPr>
        <w:t xml:space="preserve">Funding: US National Institutes of Health / National Cancer Institute (grants CA180888, CA180819, CA180820, CA180821 and many others). The NIH had no role in design, conduct, analysis, manuscript preparation or the decision to submit. Several authors report personal fees from Celgene, Perthera, Incyte, Ability Pharma, AstraZeneca, Merck, Array, Ipsen, HUYA and Rafael, and institutional grants from numerous companies.</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Alliance A021806 registry record — Alliance for Clinical Trials in Oncology. A phase III trial of perioperative versus adjuvant chemotherapy for resectable pancreatic cancer (A021806). ClinicalTrials.gov NCT04340141. Phase 3, enrolment 358, primary endpoi</w:t>
      </w:r>
    </w:p>
    <w:p>
      <w:pPr>
        <w:pStyle w:val="ListParagraph"/>
        <w:numPr>
          <w:ilvl w:val="0"/>
          <w:numId w:val="2"/>
        </w:numPr>
        <w:spacing w:after="60" w:line="268"/>
      </w:pPr>
      <w:r>
        <w:rPr>
          <w:color w:val="15181F"/>
          <w:sz w:val="16"/>
          <w:szCs w:val="16"/>
        </w:rPr>
        <w:t xml:space="preserve">CAP pancreas protocol — College of American Pathologists. Protocol for the examination of specimens from patients with carcinoma of the exocrine pancreas. Cited through NCCN for the rule that tumour at or within 1 mm of a resection margin const</w:t>
      </w:r>
    </w:p>
    <w:p>
      <w:pPr>
        <w:pStyle w:val="ListParagraph"/>
        <w:numPr>
          <w:ilvl w:val="0"/>
          <w:numId w:val="2"/>
        </w:numPr>
        <w:spacing w:after="60" w:line="268"/>
      </w:pPr>
      <w:r>
        <w:rPr>
          <w:color w:val="15181F"/>
          <w:sz w:val="16"/>
          <w:szCs w:val="16"/>
        </w:rPr>
        <w:t xml:space="preserve">CONKO-004 — Randomised trial of prophylactic enoxaparin in advanced pancreatic cancer (n=160 versus 152): cumulative incidence of symptomatic venous thromboembolism lower with enoxaparin, hazard ratio 0.40 (95% CI 0.19–0.83), P=.01,</w:t>
      </w:r>
    </w:p>
    <w:p>
      <w:pPr>
        <w:pStyle w:val="ListParagraph"/>
        <w:numPr>
          <w:ilvl w:val="0"/>
          <w:numId w:val="2"/>
        </w:numPr>
        <w:spacing w:after="60" w:line="268"/>
      </w:pPr>
      <w:r>
        <w:rPr>
          <w:color w:val="15181F"/>
          <w:sz w:val="16"/>
          <w:szCs w:val="16"/>
        </w:rPr>
        <w:t xml:space="preserve">ESPAC-3 completion analysis — Retrospective analysis of the ESPAC-3 trial finding that completion of the six-course adjuvant chemotherapy, but not the time to initiate it, was an independent prognostic factor for survival. Reported on this page throu</w:t>
      </w:r>
    </w:p>
    <w:p>
      <w:pPr>
        <w:pStyle w:val="ListParagraph"/>
        <w:numPr>
          <w:ilvl w:val="0"/>
          <w:numId w:val="2"/>
        </w:numPr>
        <w:spacing w:after="60" w:line="268"/>
      </w:pPr>
      <w:r>
        <w:rPr>
          <w:color w:val="15181F"/>
          <w:sz w:val="16"/>
          <w:szCs w:val="16"/>
        </w:rPr>
        <w:t xml:space="preserve">ISGPS lymphadenectomy — Tol JAMG, Gouma DJ, Bassi C, et al. Definition of a standard lymphadenectomy in surgery for pancreatic ductal adenocarcinoma: a consensus statement by the International Study Group on Pancreatic Surgery (ISGPS). Surgery.</w:t>
      </w:r>
    </w:p>
    <w:p>
      <w:pPr>
        <w:pStyle w:val="ListParagraph"/>
        <w:numPr>
          <w:ilvl w:val="0"/>
          <w:numId w:val="2"/>
        </w:numPr>
        <w:spacing w:after="60" w:line="268"/>
      </w:pPr>
      <w:r>
        <w:rPr>
          <w:color w:val="15181F"/>
          <w:sz w:val="16"/>
          <w:szCs w:val="16"/>
        </w:rPr>
        <w:t xml:space="preserve">ISGPS lymphadenectomy — abstract only — Tol JAMG, Gouma DJ, Bassi C, et al. Definition of a standard lymphadenectomy in surgery for pancreatic ductal adenocarcinoma: a consensus statement by the International Study Group on Pancreatic Surgery (ISGPS). Surgery.</w:t>
      </w:r>
    </w:p>
    <w:p>
      <w:pPr>
        <w:pStyle w:val="ListParagraph"/>
        <w:numPr>
          <w:ilvl w:val="0"/>
          <w:numId w:val="2"/>
        </w:numPr>
        <w:spacing w:after="60" w:line="268"/>
      </w:pPr>
      <w:r>
        <w:rPr>
          <w:color w:val="15181F"/>
          <w:sz w:val="16"/>
          <w:szCs w:val="16"/>
        </w:rPr>
        <w:t xml:space="preserve">PAXG randomised phase 3 — Randomised phase 3 trial across 17 Italian academic hospitals (n=260) of PAXG — cisplatin, nab-paclitaxel, capecitabine and gemcitabine — against mFOLFIRINOX in pathologically confirmed resectable or borderline resectabl</w:t>
      </w:r>
    </w:p>
    <w:p>
      <w:pPr>
        <w:pStyle w:val="ListParagraph"/>
        <w:numPr>
          <w:ilvl w:val="0"/>
          <w:numId w:val="2"/>
        </w:numPr>
        <w:spacing w:after="60" w:line="268"/>
      </w:pPr>
      <w:r>
        <w:rPr>
          <w:color w:val="15181F"/>
          <w:sz w:val="16"/>
          <w:szCs w:val="16"/>
        </w:rPr>
        <w:t xml:space="preserve">RTOG 0848 — Randomised trial of fluoropyrimidine-based chemoradiation after adjuvant gemcitabine-based chemotherapy in resected adenocarcinoma of the pancreatic head. Reported on this page through the NCCN discussion text only: long</w:t>
      </w:r>
    </w:p>
    <w:p>
      <w:pPr>
        <w:pStyle w:val="Heading1"/>
        <w:widowControl/>
        <w:keepNext/>
      </w:pPr>
      <w:r>
        <w:t xml:space="preserve">References</w:t>
      </w:r>
    </w:p>
    <w:p>
      <w:pPr>
        <w:pStyle w:val="Normal"/>
        <w:widowControl/>
        <w:spacing w:after="120"/>
      </w:pPr>
      <w:r>
        <w:t xml:space="preserve"/>
      </w:r>
      <w:r>
        <w:fldChar w:fldCharType="begin"/>
      </w:r>
      <w:r>
        <w:instrText xml:space="preserve"> ADDIN EN.REFLIST </w:instrText>
      </w:r>
      <w:r>
        <w:fldChar w:fldCharType="separate"/>
      </w:r>
      <w:r>
        <w:t xml:space="preserve">[V12-1] Conroy T; Castan F; Lopez A; et al. Five-Year Outcomes of FOLFIRINOX vs Gemcitabine as Adjuvant Therapy for Pancreatic Cancer: A Randomized Clinical Trial.. JAMA oncology. 2022; 8(11):1571-1578. </w:t>
      </w:r>
      <w:hyperlink r:id="rId54">
        <w:r>
          <w:rPr>
            <w:color w:val="0563C1"/>
            <w:u w:val="single"/>
          </w:rPr>
          <w:t>Source</w:t>
        </w:r>
      </w:hyperlink>
      <w:r>
        <w:t xml:space="preserve"> | </w:t>
      </w:r>
      <w:hyperlink r:id="rId55">
        <w:r>
          <w:rPr>
            <w:color w:val="0563C1"/>
            <w:u w:val="single"/>
          </w:rPr>
          <w:t>Full-text access</w:t>
        </w:r>
      </w:hyperlink>
    </w:p>
    <w:p>
      <w:pPr>
        <w:pStyle w:val="Normal"/>
        <w:widowControl/>
        <w:spacing w:after="120"/>
      </w:pPr>
      <w:r>
        <w:t xml:space="preserve"/>
      </w:r>
      <w:r>
        <w:t xml:space="preserve">[V12-2] Conroy T; Pfeiffer P; Vilgrain V; et al. Pancreatic cancer: ESMO Clinical Practice Guideline for diagnosis, treatment and follow-up.. Annals of oncology : official journal of the European Society for Medical Oncology. 2023; 34(11):987-1002. </w:t>
      </w:r>
      <w:hyperlink r:id="rId56">
        <w:r>
          <w:rPr>
            <w:color w:val="0563C1"/>
            <w:u w:val="single"/>
          </w:rPr>
          <w:t>Source</w:t>
        </w:r>
      </w:hyperlink>
      <w:r>
        <w:t xml:space="preserve"> | </w:t>
      </w:r>
      <w:hyperlink r:id="rId57">
        <w:r>
          <w:rPr>
            <w:color w:val="0563C1"/>
            <w:u w:val="single"/>
          </w:rPr>
          <w:t>Full-text access</w:t>
        </w:r>
      </w:hyperlink>
    </w:p>
    <w:p>
      <w:pPr>
        <w:pStyle w:val="Normal"/>
        <w:widowControl/>
        <w:spacing w:after="120"/>
      </w:pPr>
      <w:r>
        <w:t xml:space="preserve"/>
      </w:r>
      <w:r>
        <w:t xml:space="preserve">[V12-3] Neoptolemos JP; Palmer DH; Ghaneh P; et al. Comparison of adjuvant gemcitabine and capecitabine with gemcitabine monotherapy in patients with resected pancreatic cancer (ESPAC-4): a multicentre, open-label, randomised, phase 3 trial.. Lancet (London, England). 2017; 389(10073):1011-1024. </w:t>
      </w:r>
      <w:hyperlink r:id="rId58">
        <w:r>
          <w:rPr>
            <w:color w:val="0563C1"/>
            <w:u w:val="single"/>
          </w:rPr>
          <w:t>Source</w:t>
        </w:r>
      </w:hyperlink>
      <w:r>
        <w:t xml:space="preserve"> | </w:t>
      </w:r>
      <w:hyperlink r:id="rId59">
        <w:r>
          <w:rPr>
            <w:color w:val="0563C1"/>
            <w:u w:val="single"/>
          </w:rPr>
          <w:t>Full-text access</w:t>
        </w:r>
      </w:hyperlink>
    </w:p>
    <w:p>
      <w:pPr>
        <w:pStyle w:val="Normal"/>
        <w:widowControl/>
        <w:spacing w:after="120"/>
      </w:pPr>
      <w:r>
        <w:t xml:space="preserve"/>
      </w:r>
      <w:r>
        <w:t xml:space="preserve">[V12-4] Katz MHG; Shi Q; Meyers J; et al. Efficacy of Preoperative mFOLFIRINOX vs mFOLFIRINOX Plus Hypofractionated Radiotherapy for Borderline Resectable Adenocarcinoma of the Pancreas: The A021501 Phase 2 Randomized Clinical Trial.. JAMA oncology. 2022; 8(9):1263-1270. </w:t>
      </w:r>
      <w:hyperlink r:id="rId60">
        <w:r>
          <w:rPr>
            <w:color w:val="0563C1"/>
            <w:u w:val="single"/>
          </w:rPr>
          <w:t>Source</w:t>
        </w:r>
      </w:hyperlink>
      <w:r>
        <w:t xml:space="preserve"> | </w:t>
      </w:r>
      <w:hyperlink r:id="rId61">
        <w:r>
          <w:rPr>
            <w:color w:val="0563C1"/>
            <w:u w:val="single"/>
          </w:rPr>
          <w:t>Full-text access</w:t>
        </w:r>
      </w:hyperlink>
    </w:p>
    <w:p>
      <w:pPr>
        <w:pStyle w:val="Normal"/>
        <w:widowControl/>
        <w:spacing w:after="120"/>
      </w:pPr>
      <w:r>
        <w:t xml:space="preserve"/>
      </w:r>
      <w:r>
        <w:t xml:space="preserve">[V12-5] Labori KJ; Bratlie SO; Andersson B; et al. Neoadjuvant FOLFIRINOX versus upfront surgery for resectable pancreatic head cancer (NORPACT-1): a multicentre, randomised, phase 2 trial.. The lancet. Gastroenterology &amp; hepatology. 2024; 9(3):205-217. </w:t>
      </w:r>
      <w:hyperlink r:id="rId62">
        <w:r>
          <w:rPr>
            <w:color w:val="0563C1"/>
            <w:u w:val="single"/>
          </w:rPr>
          <w:t>Source</w:t>
        </w:r>
      </w:hyperlink>
      <w:r>
        <w:t xml:space="preserve"> | </w:t>
      </w:r>
      <w:hyperlink r:id="rId63">
        <w:r>
          <w:rPr>
            <w:color w:val="0563C1"/>
            <w:u w:val="single"/>
          </w:rPr>
          <w:t>Full-text access</w:t>
        </w:r>
      </w:hyperlink>
    </w:p>
    <w:p>
      <w:pPr>
        <w:pStyle w:val="Normal"/>
        <w:widowControl/>
        <w:spacing w:after="120"/>
      </w:pPr>
      <w:r>
        <w:t xml:space="preserve"/>
      </w:r>
      <w:r>
        <w:t xml:space="preserve">[V12-6] Reni M; Macchini M; Orsi G; et al. Preoperative mFOLFIRINOX versus PAXG for stage I–III resectable and borderline resectable pancreatic ductal adenocarcinoma (PACT-21 CASSANDRA): results of the first randomisation analysis of a randomised, open-label, 2 × 2 factorial phase 3 trial. Lancet (London, England). 2026; 406(10522):2945-2956. </w:t>
      </w:r>
      <w:hyperlink r:id="rId64">
        <w:r>
          <w:rPr>
            <w:color w:val="0563C1"/>
            <w:u w:val="single"/>
          </w:rPr>
          <w:t>Source</w:t>
        </w:r>
      </w:hyperlink>
      <w:r>
        <w:t xml:space="preserve"> | </w:t>
      </w:r>
      <w:hyperlink r:id="rId65">
        <w:r>
          <w:rPr>
            <w:color w:val="0563C1"/>
            <w:u w:val="single"/>
          </w:rPr>
          <w:t>Full-text access</w:t>
        </w:r>
      </w:hyperlink>
    </w:p>
    <w:p>
      <w:pPr>
        <w:pStyle w:val="Normal"/>
        <w:widowControl/>
        <w:spacing w:after="120"/>
      </w:pPr>
      <w:r>
        <w:t xml:space="preserve"/>
      </w:r>
      <w:r>
        <w:t xml:space="preserve">[V12-7] Conroy T; Desseigne F; Ychou M; et al. FOLFIRINOX versus gemcitabine for metastatic pancreatic cancer.. The New England journal of medicine. 2011; 364(19):1817-25. </w:t>
      </w:r>
      <w:hyperlink r:id="rId66">
        <w:r>
          <w:rPr>
            <w:color w:val="0563C1"/>
            <w:u w:val="single"/>
          </w:rPr>
          <w:t>Source</w:t>
        </w:r>
      </w:hyperlink>
      <w:r>
        <w:t xml:space="preserve"> | </w:t>
      </w:r>
      <w:hyperlink r:id="rId67">
        <w:r>
          <w:rPr>
            <w:color w:val="0563C1"/>
            <w:u w:val="single"/>
          </w:rPr>
          <w:t>Full-text access</w:t>
        </w:r>
      </w:hyperlink>
    </w:p>
    <w:p>
      <w:pPr>
        <w:pStyle w:val="Normal"/>
        <w:widowControl/>
        <w:spacing w:after="120"/>
      </w:pPr>
      <w:r>
        <w:t xml:space="preserve"/>
      </w:r>
      <w:r>
        <w:t xml:space="preserve">[V12-8] Wainberg ZA; Melisi D; Macarulla T; et al. NALIRIFOX versus nab-paclitaxel and gemcitabine in treatment-naive patients with metastatic pancreatic ductal adenocarcinoma (NAPOLI 3): a randomised, open-label, phase 3 trial.. Lancet (London, England). 2023; 402(10409):1272-1281. </w:t>
      </w:r>
      <w:hyperlink r:id="rId68">
        <w:r>
          <w:rPr>
            <w:color w:val="0563C1"/>
            <w:u w:val="single"/>
          </w:rPr>
          <w:t>Source</w:t>
        </w:r>
      </w:hyperlink>
      <w:r>
        <w:t xml:space="preserve"> | </w:t>
      </w:r>
      <w:hyperlink r:id="rId69">
        <w:r>
          <w:rPr>
            <w:color w:val="0563C1"/>
            <w:u w:val="single"/>
          </w:rPr>
          <w:t>Full-text access</w:t>
        </w:r>
      </w:hyperlink>
    </w:p>
    <w:p>
      <w:pPr>
        <w:pStyle w:val="Normal"/>
        <w:widowControl/>
        <w:spacing w:after="120"/>
      </w:pPr>
      <w:r>
        <w:t xml:space="preserve"/>
      </w:r>
      <w:r>
        <w:t xml:space="preserve">[V12-9] Von Hoff DD; Ervin T; Arena FP; et al. Increased survival in pancreatic cancer with nab-paclitaxel plus gemcitabine.. The New England journal of medicine. 2013; 369(18):1691-703. </w:t>
      </w:r>
      <w:hyperlink r:id="rId70">
        <w:r>
          <w:rPr>
            <w:color w:val="0563C1"/>
            <w:u w:val="single"/>
          </w:rPr>
          <w:t>Source</w:t>
        </w:r>
      </w:hyperlink>
      <w:r>
        <w:t xml:space="preserve"> | </w:t>
      </w:r>
      <w:hyperlink r:id="rId71">
        <w:r>
          <w:rPr>
            <w:color w:val="0563C1"/>
            <w:u w:val="single"/>
          </w:rPr>
          <w:t>Full-text access</w:t>
        </w:r>
      </w:hyperlink>
    </w:p>
    <w:p>
      <w:pPr>
        <w:pStyle w:val="Normal"/>
        <w:widowControl/>
        <w:spacing w:after="120"/>
      </w:pPr>
      <w:r>
        <w:t xml:space="preserve"/>
      </w:r>
      <w:r>
        <w:t xml:space="preserve">[V12-10] Wang-Gillam A; Li CP; Bodoky G; et al. Nanoliposomal irinotecan with fluorouracil and folinic acid in metastatic pancreatic cancer after previous gemcitabine-based therapy (NAPOLI-1): a global, randomised, open-label, phase 3 trial.. Lancet (London, England). 2016; 387(10018):545-557. </w:t>
      </w:r>
      <w:hyperlink r:id="rId72">
        <w:r>
          <w:rPr>
            <w:color w:val="0563C1"/>
            <w:u w:val="single"/>
          </w:rPr>
          <w:t>Source</w:t>
        </w:r>
      </w:hyperlink>
      <w:r>
        <w:t xml:space="preserve"> | </w:t>
      </w:r>
      <w:hyperlink r:id="rId73">
        <w:r>
          <w:rPr>
            <w:color w:val="0563C1"/>
            <w:u w:val="single"/>
          </w:rPr>
          <w:t>Full-text access</w:t>
        </w:r>
      </w:hyperlink>
    </w:p>
    <w:p>
      <w:pPr>
        <w:pStyle w:val="Normal"/>
        <w:widowControl/>
        <w:spacing w:after="120"/>
      </w:pPr>
      <w:r>
        <w:t xml:space="preserve"/>
      </w:r>
      <w:r>
        <w:t xml:space="preserve">[V12-11] O'Reilly EM; Wainberg ZA; Hendifar AE; et al. Daraxonrasib or Chemotherapy in Previously Treated Metastatic Pancreatic Cancer.. The New England journal of medicine. 2026; 395(4):325-337. </w:t>
      </w:r>
      <w:hyperlink r:id="rId74">
        <w:r>
          <w:rPr>
            <w:color w:val="0563C1"/>
            <w:u w:val="single"/>
          </w:rPr>
          <w:t>Source</w:t>
        </w:r>
      </w:hyperlink>
      <w:r>
        <w:t xml:space="preserve"> | </w:t>
      </w:r>
      <w:hyperlink r:id="rId75">
        <w:r>
          <w:rPr>
            <w:color w:val="0563C1"/>
            <w:u w:val="single"/>
          </w:rPr>
          <w:t>Full-text access</w:t>
        </w:r>
      </w:hyperlink>
    </w:p>
    <w:p>
      <w:pPr>
        <w:pStyle w:val="Normal"/>
        <w:widowControl/>
        <w:spacing w:after="120"/>
      </w:pPr>
      <w:r>
        <w:t xml:space="preserve"/>
      </w:r>
      <w:r>
        <w:t xml:space="preserve">[V12-12] US Food and Drug Administration. FDA approves daraxonrasib for metastatic pancreatic adenocarcinoma. FDA approval announcement. 2026. </w:t>
      </w:r>
      <w:hyperlink r:id="rId76">
        <w:r>
          <w:rPr>
            <w:color w:val="0563C1"/>
            <w:u w:val="single"/>
          </w:rPr>
          <w:t>Source</w:t>
        </w:r>
      </w:hyperlink>
      <w:r>
        <w:t xml:space="preserve"> | Local PDF not available in this update</w:t>
      </w:r>
    </w:p>
    <w:p>
      <w:pPr>
        <w:pStyle w:val="Normal"/>
        <w:widowControl/>
        <w:spacing w:after="120"/>
      </w:pPr>
      <w:r>
        <w:t xml:space="preserve"/>
      </w:r>
      <w:r>
        <w:t xml:space="preserve">[V12-13] Golan T; Hammel P; Reni M; et al. Maintenance Olaparib for Germline BRCA-Mutated Metastatic Pancreatic Cancer.. The New England journal of medicine. 2019; 381(4):317-327. </w:t>
      </w:r>
      <w:hyperlink r:id="rId77">
        <w:r>
          <w:rPr>
            <w:color w:val="0563C1"/>
            <w:u w:val="single"/>
          </w:rPr>
          <w:t>Source</w:t>
        </w:r>
      </w:hyperlink>
      <w:r>
        <w:t xml:space="preserve"> | </w:t>
      </w:r>
      <w:hyperlink r:id="rId78">
        <w:r>
          <w:rPr>
            <w:color w:val="0563C1"/>
            <w:u w:val="single"/>
          </w:rPr>
          <w:t>Full-text access</w:t>
        </w:r>
      </w:hyperlink>
    </w:p>
    <w:p>
      <w:pPr>
        <w:pStyle w:val="Normal"/>
        <w:widowControl/>
        <w:spacing w:after="120"/>
      </w:pPr>
      <w:r>
        <w:t xml:space="preserve"/>
      </w:r>
      <w:r>
        <w:t xml:space="preserve">[V12-14] Schram AM; Goto K; Kim DW; et al. Efficacy of Zenocutuzumab in NRG1 Fusion-Positive Cancer.. The New England journal of medicine. 2025; 392(6):566-576. </w:t>
      </w:r>
      <w:hyperlink r:id="rId79">
        <w:r>
          <w:rPr>
            <w:color w:val="0563C1"/>
            <w:u w:val="single"/>
          </w:rPr>
          <w:t>Source</w:t>
        </w:r>
      </w:hyperlink>
      <w:r>
        <w:t xml:space="preserve"> | </w:t>
      </w:r>
      <w:hyperlink r:id="rId80">
        <w:r>
          <w:rPr>
            <w:color w:val="0563C1"/>
            <w:u w:val="single"/>
          </w:rPr>
          <w:t>Full-text access</w:t>
        </w:r>
      </w:hyperlink>
      <w:r>
        <w:fldChar w:fldCharType="end"/>
      </w:r>
    </w:p>
    <w:p>
      <w:pPr>
        <w:pStyle w:val="Heading1"/>
        <w:widowControl/>
        <w:keepNext/>
      </w:pPr>
      <w:r>
        <w:t xml:space="preserve">V12 revision note</w:t>
      </w:r>
    </w:p>
    <w:p>
      <w:pPr>
        <w:pStyle w:val="Normal"/>
        <w:widowControl/>
        <w:spacing w:after="120"/>
      </w:pPr>
      <w:r>
        <w:t xml:space="preserve">2026-10-25 04:38 CDT. Problem and correction: Add/update the tumor-specific systemic matrix and full-text appraisals with point-of-use source/PDF links. Preserve ordinary balanced LRT treatment of RASER/LEGACY and existing surgical context. This is a cancer-treatment roadmap update only. The withdrawn PDAC liver-transplant pathway remains closed; chemotherapy response does not reopen it.</w:t>
      </w:r>
    </w:p>
    <w:p>
      <w:pPr>
        <w:pStyle w:val="Normal"/>
        <w:widowControl/>
        <w:spacing w:after="120"/>
      </w:pPr>
      <w:r>
        <w:t xml:space="preserve">Review scope: all pages of the 14 newly supplied main PDFs were read; separately linked supplements and every older retained reference were not reread. Existing formatting and prior material are retained. New clinical proposals remain OPEN. Live EndNote field structures and document-specific XML/RIS exports are included; native Word/EndNote CWYW execution has not been verified.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PDAC system roadmap V12 · Batch 09, 15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 standalone='yes'?>
<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001/jamaoncol.2022.3829" TargetMode="External"/><Relationship Id="rId10" Type="http://schemas.openxmlformats.org/officeDocument/2006/relationships/hyperlink" Target="https://libkey.io/libraries/480/10.1001/jamaoncol.2022.3829" TargetMode="External"/><Relationship Id="rId11" Type="http://schemas.openxmlformats.org/officeDocument/2006/relationships/hyperlink" Target="https://doi.org/10.1016/j.annonc.2023.08.009" TargetMode="External"/><Relationship Id="rId12" Type="http://schemas.openxmlformats.org/officeDocument/2006/relationships/hyperlink" Target="https://libkey.io/libraries/480/10.1016/j.annonc.2023.08.009" TargetMode="External"/><Relationship Id="rId13" Type="http://schemas.openxmlformats.org/officeDocument/2006/relationships/hyperlink" Target="https://doi.org/10.1016/S0140-6736(16)32409-6" TargetMode="External"/><Relationship Id="rId14" Type="http://schemas.openxmlformats.org/officeDocument/2006/relationships/hyperlink" Target="https://libkey.io/libraries/480/10.1016/S0140-6736(16)32409-6" TargetMode="External"/><Relationship Id="rId15" Type="http://schemas.openxmlformats.org/officeDocument/2006/relationships/hyperlink" Target="https://doi.org/10.1016/j.annonc.2023.08.009" TargetMode="External"/><Relationship Id="rId16" Type="http://schemas.openxmlformats.org/officeDocument/2006/relationships/hyperlink" Target="https://libkey.io/libraries/480/10.1016/j.annonc.2023.08.009" TargetMode="External"/><Relationship Id="rId17" Type="http://schemas.openxmlformats.org/officeDocument/2006/relationships/hyperlink" Target="https://doi.org/10.1001/jamaoncol.2022.2319" TargetMode="External"/><Relationship Id="rId18" Type="http://schemas.openxmlformats.org/officeDocument/2006/relationships/hyperlink" Target="https://libkey.io/libraries/480/10.1001/jamaoncol.2022.2319" TargetMode="External"/><Relationship Id="rId19" Type="http://schemas.openxmlformats.org/officeDocument/2006/relationships/hyperlink" Target="https://doi.org/10.1016/S2468-1253(23)00405-3" TargetMode="External"/><Relationship Id="rId20" Type="http://schemas.openxmlformats.org/officeDocument/2006/relationships/hyperlink" Target="https://libkey.io/libraries/480/10.1016/S2468-1253(23)00405-3" TargetMode="External"/><Relationship Id="rId21" Type="http://schemas.openxmlformats.org/officeDocument/2006/relationships/hyperlink" Target="https://doi.org/10.1016/j.annonc.2023.08.009" TargetMode="External"/><Relationship Id="rId22" Type="http://schemas.openxmlformats.org/officeDocument/2006/relationships/hyperlink" Target="https://libkey.io/libraries/480/10.1016/j.annonc.2023.08.009" TargetMode="External"/><Relationship Id="rId23" Type="http://schemas.openxmlformats.org/officeDocument/2006/relationships/hyperlink" Target="https://doi.org/10.1016/S0140-6736(25)01685-X" TargetMode="External"/><Relationship Id="rId24" Type="http://schemas.openxmlformats.org/officeDocument/2006/relationships/hyperlink" Target="https://libkey.io/libraries/480/10.1016/S0140-6736(25)01685-X" TargetMode="External"/><Relationship Id="rId25" Type="http://schemas.openxmlformats.org/officeDocument/2006/relationships/hyperlink" Target="https://doi.org/10.1056/NEJMoa1011923" TargetMode="External"/><Relationship Id="rId26" Type="http://schemas.openxmlformats.org/officeDocument/2006/relationships/hyperlink" Target="https://libkey.io/libraries/480/10.1056/NEJMoa1011923" TargetMode="External"/><Relationship Id="rId27" Type="http://schemas.openxmlformats.org/officeDocument/2006/relationships/hyperlink" Target="https://doi.org/10.1016/S0140-6736(23)01366-1" TargetMode="External"/><Relationship Id="rId28" Type="http://schemas.openxmlformats.org/officeDocument/2006/relationships/hyperlink" Target="https://libkey.io/libraries/480/10.1016/S0140-6736(23)01366-1" TargetMode="External"/><Relationship Id="rId29" Type="http://schemas.openxmlformats.org/officeDocument/2006/relationships/hyperlink" Target="https://doi.org/10.1056/NEJMoa1304369" TargetMode="External"/><Relationship Id="rId30" Type="http://schemas.openxmlformats.org/officeDocument/2006/relationships/hyperlink" Target="https://libkey.io/libraries/480/10.1056/NEJMoa1304369" TargetMode="External"/><Relationship Id="rId31" Type="http://schemas.openxmlformats.org/officeDocument/2006/relationships/hyperlink" Target="https://doi.org/10.1016/S0140-6736(23)01366-1" TargetMode="External"/><Relationship Id="rId32" Type="http://schemas.openxmlformats.org/officeDocument/2006/relationships/hyperlink" Target="https://libkey.io/libraries/480/10.1016/S0140-6736(23)01366-1" TargetMode="External"/><Relationship Id="rId33" Type="http://schemas.openxmlformats.org/officeDocument/2006/relationships/hyperlink" Target="https://doi.org/10.1016/j.annonc.2023.08.009" TargetMode="External"/><Relationship Id="rId34" Type="http://schemas.openxmlformats.org/officeDocument/2006/relationships/hyperlink" Target="https://libkey.io/libraries/480/10.1016/j.annonc.2023.08.009" TargetMode="External"/><Relationship Id="rId35" Type="http://schemas.openxmlformats.org/officeDocument/2006/relationships/hyperlink" Target="https://doi.org/10.1016/S0140-6736(15)00986-1" TargetMode="External"/><Relationship Id="rId36" Type="http://schemas.openxmlformats.org/officeDocument/2006/relationships/hyperlink" Target="https://libkey.io/libraries/480/10.1016/S0140-6736(15)00986-1" TargetMode="External"/><Relationship Id="rId37" Type="http://schemas.openxmlformats.org/officeDocument/2006/relationships/hyperlink" Target="https://doi.org/10.1016/j.annonc.2023.08.009" TargetMode="External"/><Relationship Id="rId38" Type="http://schemas.openxmlformats.org/officeDocument/2006/relationships/hyperlink" Target="https://libkey.io/libraries/480/10.1016/j.annonc.2023.08.009" TargetMode="External"/><Relationship Id="rId39" Type="http://schemas.openxmlformats.org/officeDocument/2006/relationships/hyperlink" Target="https://doi.org/10.1056/NEJMoa2605555" TargetMode="External"/><Relationship Id="rId40" Type="http://schemas.openxmlformats.org/officeDocument/2006/relationships/hyperlink" Target="https://libkey.io/libraries/480/10.1056/NEJMoa2605555" TargetMode="External"/><Relationship Id="rId41" Type="http://schemas.openxmlformats.org/officeDocument/2006/relationships/hyperlink" Target="https://www.fda.gov/drugs/resources-information-approved-drugs/fda-approves-daraxonrasib-metastatic-pancreatic-adenocarcinoma" TargetMode="External"/><Relationship Id="rId42" Type="http://schemas.openxmlformats.org/officeDocument/2006/relationships/hyperlink" Target="https://doi.org/10.1056/NEJMoa1903387" TargetMode="External"/><Relationship Id="rId43" Type="http://schemas.openxmlformats.org/officeDocument/2006/relationships/hyperlink" Target="https://libkey.io/libraries/480/10.1056/NEJMoa1903387" TargetMode="External"/><Relationship Id="rId44" Type="http://schemas.openxmlformats.org/officeDocument/2006/relationships/hyperlink" Target="https://doi.org/10.1016/j.annonc.2023.08.009" TargetMode="External"/><Relationship Id="rId45" Type="http://schemas.openxmlformats.org/officeDocument/2006/relationships/hyperlink" Target="https://libkey.io/libraries/480/10.1016/j.annonc.2023.08.009" TargetMode="External"/><Relationship Id="rId46" Type="http://schemas.openxmlformats.org/officeDocument/2006/relationships/hyperlink" Target="https://doi.org/10.1056/NEJMoa2405008" TargetMode="External"/><Relationship Id="rId47" Type="http://schemas.openxmlformats.org/officeDocument/2006/relationships/hyperlink" Target="https://libkey.io/libraries/480/10.1056/NEJMoa2405008" TargetMode="External"/><Relationship Id="rId48" Type="http://schemas.openxmlformats.org/officeDocument/2006/relationships/hyperlink" Target="https://doi.org/10.1016/j.annonc.2023.08.009" TargetMode="External"/><Relationship Id="rId49" Type="http://schemas.openxmlformats.org/officeDocument/2006/relationships/hyperlink" Target="https://libkey.io/libraries/480/10.1016/j.annonc.2023.08.009" TargetMode="External"/><Relationship Id="rId50" Type="http://schemas.openxmlformats.org/officeDocument/2006/relationships/hyperlink" Target="https://doi.org/10.1016/S0140-6736(25)01685-X" TargetMode="External"/><Relationship Id="rId51" Type="http://schemas.openxmlformats.org/officeDocument/2006/relationships/hyperlink" Target="https://libkey.io/libraries/480/10.1016/S0140-6736(25)01685-X" TargetMode="External"/><Relationship Id="rId52" Type="http://schemas.openxmlformats.org/officeDocument/2006/relationships/hyperlink" Target="https://doi.org/10.1016/S0140-6736(15)00986-1" TargetMode="External"/><Relationship Id="rId53" Type="http://schemas.openxmlformats.org/officeDocument/2006/relationships/hyperlink" Target="https://libkey.io/libraries/480/10.1016/S0140-6736(15)00986-1" TargetMode="External"/><Relationship Id="rId54" Type="http://schemas.openxmlformats.org/officeDocument/2006/relationships/hyperlink" Target="https://doi.org/10.1001/jamaoncol.2022.3829" TargetMode="External"/><Relationship Id="rId55" Type="http://schemas.openxmlformats.org/officeDocument/2006/relationships/hyperlink" Target="https://libkey.io/libraries/480/10.1001/jamaoncol.2022.3829" TargetMode="External"/><Relationship Id="rId56" Type="http://schemas.openxmlformats.org/officeDocument/2006/relationships/hyperlink" Target="https://doi.org/10.1016/j.annonc.2023.08.009" TargetMode="External"/><Relationship Id="rId57" Type="http://schemas.openxmlformats.org/officeDocument/2006/relationships/hyperlink" Target="https://libkey.io/libraries/480/10.1016/j.annonc.2023.08.009" TargetMode="External"/><Relationship Id="rId58" Type="http://schemas.openxmlformats.org/officeDocument/2006/relationships/hyperlink" Target="https://doi.org/10.1016/S0140-6736(16)32409-6" TargetMode="External"/><Relationship Id="rId59" Type="http://schemas.openxmlformats.org/officeDocument/2006/relationships/hyperlink" Target="https://libkey.io/libraries/480/10.1016/S0140-6736(16)32409-6" TargetMode="External"/><Relationship Id="rId60" Type="http://schemas.openxmlformats.org/officeDocument/2006/relationships/hyperlink" Target="https://doi.org/10.1001/jamaoncol.2022.2319" TargetMode="External"/><Relationship Id="rId61" Type="http://schemas.openxmlformats.org/officeDocument/2006/relationships/hyperlink" Target="https://libkey.io/libraries/480/10.1001/jamaoncol.2022.2319" TargetMode="External"/><Relationship Id="rId62" Type="http://schemas.openxmlformats.org/officeDocument/2006/relationships/hyperlink" Target="https://doi.org/10.1016/S2468-1253(23)00405-3" TargetMode="External"/><Relationship Id="rId63" Type="http://schemas.openxmlformats.org/officeDocument/2006/relationships/hyperlink" Target="https://libkey.io/libraries/480/10.1016/S2468-1253(23)00405-3" TargetMode="External"/><Relationship Id="rId64" Type="http://schemas.openxmlformats.org/officeDocument/2006/relationships/hyperlink" Target="https://doi.org/10.1016/S0140-6736(25)01685-X" TargetMode="External"/><Relationship Id="rId65" Type="http://schemas.openxmlformats.org/officeDocument/2006/relationships/hyperlink" Target="https://libkey.io/libraries/480/10.1016/S0140-6736(25)01685-X" TargetMode="External"/><Relationship Id="rId66" Type="http://schemas.openxmlformats.org/officeDocument/2006/relationships/hyperlink" Target="https://doi.org/10.1056/NEJMoa1011923" TargetMode="External"/><Relationship Id="rId67" Type="http://schemas.openxmlformats.org/officeDocument/2006/relationships/hyperlink" Target="https://libkey.io/libraries/480/10.1056/NEJMoa1011923" TargetMode="External"/><Relationship Id="rId68" Type="http://schemas.openxmlformats.org/officeDocument/2006/relationships/hyperlink" Target="https://doi.org/10.1016/S0140-6736(23)01366-1" TargetMode="External"/><Relationship Id="rId69" Type="http://schemas.openxmlformats.org/officeDocument/2006/relationships/hyperlink" Target="https://libkey.io/libraries/480/10.1016/S0140-6736(23)01366-1" TargetMode="External"/><Relationship Id="rId70" Type="http://schemas.openxmlformats.org/officeDocument/2006/relationships/hyperlink" Target="https://doi.org/10.1056/NEJMoa1304369" TargetMode="External"/><Relationship Id="rId71" Type="http://schemas.openxmlformats.org/officeDocument/2006/relationships/hyperlink" Target="https://libkey.io/libraries/480/10.1056/NEJMoa1304369" TargetMode="External"/><Relationship Id="rId72" Type="http://schemas.openxmlformats.org/officeDocument/2006/relationships/hyperlink" Target="https://doi.org/10.1016/S0140-6736(15)00986-1" TargetMode="External"/><Relationship Id="rId73" Type="http://schemas.openxmlformats.org/officeDocument/2006/relationships/hyperlink" Target="https://libkey.io/libraries/480/10.1016/S0140-6736(15)00986-1" TargetMode="External"/><Relationship Id="rId74" Type="http://schemas.openxmlformats.org/officeDocument/2006/relationships/hyperlink" Target="https://doi.org/10.1056/NEJMoa2605555" TargetMode="External"/><Relationship Id="rId75" Type="http://schemas.openxmlformats.org/officeDocument/2006/relationships/hyperlink" Target="https://libkey.io/libraries/480/10.1056/NEJMoa2605555" TargetMode="External"/><Relationship Id="rId76" Type="http://schemas.openxmlformats.org/officeDocument/2006/relationships/hyperlink" Target="https://www.fda.gov/drugs/resources-information-approved-drugs/fda-approves-daraxonrasib-metastatic-pancreatic-adenocarcinoma" TargetMode="External"/><Relationship Id="rId77" Type="http://schemas.openxmlformats.org/officeDocument/2006/relationships/hyperlink" Target="https://doi.org/10.1056/NEJMoa1903387" TargetMode="External"/><Relationship Id="rId78" Type="http://schemas.openxmlformats.org/officeDocument/2006/relationships/hyperlink" Target="https://libkey.io/libraries/480/10.1056/NEJMoa1903387" TargetMode="External"/><Relationship Id="rId79" Type="http://schemas.openxmlformats.org/officeDocument/2006/relationships/hyperlink" Target="https://doi.org/10.1056/NEJMoa2405008" TargetMode="External"/><Relationship Id="rId80" Type="http://schemas.openxmlformats.org/officeDocument/2006/relationships/hyperlink" Target="https://libkey.io/libraries/480/10.1056/NEJMoa2405008" TargetMode="External"/></Relationships>
</file>

<file path=word/_rels/endnotes.xml.rels><?xml version='1.0' encoding='UTF-8' standalone='yes'?>
<Relationships xmlns="http://schemas.openxmlformats.org/package/2006/relationships"/>
</file>

<file path=word/_rels/fontTable.xml.rels><?xml version='1.0' encoding='UTF-8' standalone='yes'?>
<Relationships xmlns="http://schemas.openxmlformats.org/package/2006/relationships"/>
</file>

<file path=word/_rels/footer1.xml.rels><?xml version='1.0' encoding='UTF-8' standalone='yes'?>
<Relationships xmlns="http://schemas.openxmlformats.org/package/2006/relationships"/>
</file>

<file path=word/_rels/footnotes.xml.rels><?xml version='1.0' encoding='UTF-8' standalone='yes'?>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PDAC system roadmap v0.2</dc:title>
  <dc:subject>Pancreatic ductal adenocarcinoma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2026-10-10T04:29:18.941Z</dcterms:created>
  <dcterms:modified xsi:type="dcterms:W3CDTF">2026-10-25T09:38:08Z</dcterms:modified>
</cp:coreProperties>
</file>

<file path=docProps/custom.xml><?xml version="1.0" encoding="utf-8"?>
<Properties xmlns="http://schemas.openxmlformats.org/officeDocument/2006/custom-properties" xmlns:vt="http://schemas.openxmlformats.org/officeDocument/2006/docPropsVTypes"/>
</file>