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600"/>
      </w:pPr>
      <w:r>
        <w:rPr>
          <w:b/>
          <w:bCs/>
          <w:color w:val="176A87"/>
          <w:spacing w:val="36"/>
          <w:sz w:val="16"/>
          <w:szCs w:val="16"/>
        </w:rPr>
        <w:t xml:space="preserve">MEMORIAL HERMANN / UTHEALTH HOUSTON</w:t>
      </w:r>
    </w:p>
    <w:p>
      <w:pPr>
        <w:spacing w:after="100"/>
      </w:pPr>
      <w:r>
        <w:rPr>
          <w:rFonts w:ascii="Cambria" w:cs="Cambria" w:eastAsia="Cambria" w:hAnsi="Cambria"/>
          <w:b/>
          <w:bCs/>
          <w:color w:val="17365D"/>
          <w:sz w:val="48"/>
          <w:szCs w:val="48"/>
        </w:rPr>
        <w:t xml:space="preserve">Intrahepatic cholangiocarcinoma</w:t>
      </w:r>
    </w:p>
    <w:p>
      <w:pPr>
        <w:spacing w:after="320"/>
      </w:pPr>
      <w:r>
        <w:rPr>
          <w:rFonts w:ascii="Cambria" w:cs="Cambria" w:eastAsia="Cambria" w:hAnsi="Cambria"/>
          <w:i/>
          <w:iCs/>
          <w:color w:val="5A6069"/>
          <w:sz w:val="28"/>
          <w:szCs w:val="28"/>
        </w:rPr>
        <w:t xml:space="preserve">Memorial Hermann system roadmap</w:t>
      </w:r>
    </w:p>
    <w:p>
      <w:pPr>
        <w:pBdr>
          <w:bottom w:val="single" w:color="D3DCE4" w:sz="6" w:space="1"/>
        </w:pBdr>
        <w:spacing w:after="260"/>
      </w:pPr>
    </w:p>
    <w:p>
      <w:pPr>
        <w:spacing w:after="60" w:line="276"/>
      </w:pPr>
      <w:r>
        <w:rPr>
          <w:b/>
          <w:bCs/>
          <w:color w:val="15181F"/>
          <w:sz w:val="22"/>
          <w:szCs w:val="22"/>
        </w:rPr>
        <w:t xml:space="preserve">Intrahepatic cholangiocarcinoma · system roadmap V12 · Full-text integration, 25 October 2026</w:t>
      </w:r>
    </w:p>
    <w:p>
      <w:pPr>
        <w:spacing w:after="320" w:line="276"/>
      </w:pPr>
      <w:r>
        <w:rPr>
          <w:color w:val="5A6069"/>
          <w:sz w:val="20"/>
          <w:szCs w:val="20"/>
        </w:rPr>
        <w:t xml:space="preserve">Original pathway: 10 gates · 43 cited sources · 30 stated uncertainties · 14 open decisions; V12 evidence integration follows.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9360"/>
      </w:tblGrid>
      <w:tr>
        <w:tc>
          <w:tcPr>
            <w:tcW w:type="dxa" w:w="9360"/>
            <w:shd w:fill="FBF1E2" w:color="auto" w:val="clear"/>
            <w:tcMar>
              <w:top w:type="dxa" w:w="70"/>
              <w:left w:type="dxa" w:w="110"/>
              <w:bottom w:type="dxa" w:w="70"/>
              <w:right w:type="dxa" w:w="110"/>
            </w:tcMar>
            <w:vAlign w:val="top"/>
          </w:tcPr>
          <w:p>
            <w:pPr>
              <w:spacing w:after="120"/>
            </w:pPr>
            <w:r>
              <w:rPr>
                <w:b/>
                <w:bCs/>
                <w:color w:val="8E5008"/>
                <w:spacing w:val="20"/>
                <w:sz w:val="20"/>
                <w:szCs w:val="20"/>
              </w:rPr>
              <w:t xml:space="preserve">DRAFT — NOT RATIFIED CLINICAL POLICY</w:t>
            </w:r>
          </w:p>
          <w:p>
            <w:pPr>
              <w:spacing w:after="100" w:line="276"/>
            </w:pPr>
            <w:r>
              <w:rPr>
                <w:color w:val="15181F"/>
                <w:sz w:val="18"/>
                <w:szCs w:val="18"/>
              </w:rPr>
              <w:t xml:space="preserve">This document is a draft under active development, prepared for multidisciplinary and institutional governance review. It has not been approved by the specialties named in it, and it must not be used for patient care decisions.</w:t>
            </w:r>
          </w:p>
          <w:p>
            <w:pPr>
              <w:spacing w:after="0" w:line="276"/>
            </w:pPr>
            <w:r>
              <w:rPr>
                <w:color w:val="15181F"/>
                <w:sz w:val="18"/>
                <w:szCs w:val="18"/>
              </w:rPr>
              <w:t xml:space="preserve">The content is a decision-focused evidence synthesis, not a systematic review. Every criterion drawn from OPTN policy, drug labelling, NCCN or a device authorisation must be re-verified against the current source before any use. Clinical transplant candidacy and allocation eligibility are separate judgements.</w:t>
            </w:r>
          </w:p>
        </w:tc>
      </w:tr>
    </w:tbl>
    <w:p>
      <w:r>
        <w:br w:type="page"/>
      </w:r>
    </w:p>
    <w:p>
      <w:pPr>
        <w:pStyle w:val="Heading1"/>
        <w:keepNext/>
        <w:spacing w:after="110" w:before="320"/>
      </w:pPr>
      <w:r>
        <w:rPr>
          <w:rFonts w:ascii="Cambria" w:cs="Cambria" w:eastAsia="Cambria" w:hAnsi="Cambria"/>
          <w:b/>
          <w:bCs/>
          <w:color w:val="17365D"/>
          <w:sz w:val="32"/>
          <w:szCs w:val="32"/>
        </w:rPr>
        <w:t xml:space="preserve">What this roadmap answers</w:t>
      </w:r>
    </w:p>
    <w:p>
      <w:pPr>
        <w:spacing w:after="120" w:line="276"/>
      </w:pPr>
      <w:r>
        <w:rPr>
          <w:color w:val="15181F"/>
          <w:sz w:val="20"/>
          <w:szCs w:val="20"/>
        </w:rPr>
        <w:t xml:space="preserve">Where this patient sits in the intrahepatic cholangiocarcinoma pathway, and what the evidence behind the next step actually shows.</w:t>
      </w:r>
    </w:p>
    <w:p>
      <w:pPr>
        <w:spacing w:after="120" w:line="276"/>
      </w:pPr>
      <w:r>
        <w:rPr>
          <w:color w:val="15181F"/>
          <w:sz w:val="20"/>
          <w:szCs w:val="20"/>
        </w:rPr>
        <w:t xml:space="preserve">The gates below run in the order the roadmap asks them, and the order is the point: each one can foreclose the next. Each gate states what has to be in hand before it can be answered, the question it actually settles, and then the standard, the reasonable alternative and what to avoid — each carrying a recommendation label, an evidence grade and the sources behind it.</w:t>
      </w:r>
    </w:p>
    <w:p>
      <w:pPr>
        <w:pStyle w:val="Heading2"/>
        <w:keepNext/>
        <w:spacing w:after="110" w:before="240"/>
      </w:pPr>
      <w:r>
        <w:rPr>
          <w:rFonts w:ascii="Cambria" w:cs="Cambria" w:eastAsia="Cambria" w:hAnsi="Cambria"/>
          <w:b/>
          <w:bCs/>
          <w:color w:val="17365D"/>
          <w:sz w:val="26"/>
          <w:szCs w:val="26"/>
        </w:rPr>
        <w:t xml:space="preserve">How to read a recommendation</w:t>
      </w:r>
    </w:p>
    <w:p>
      <w:pPr>
        <w:spacing w:after="60" w:before="160"/>
      </w:pPr>
      <w:r>
        <w:rPr>
          <w:b/>
          <w:bCs/>
          <w:color w:val="176A87"/>
          <w:spacing w:val="24"/>
          <w:sz w:val="15"/>
          <w:szCs w:val="15"/>
        </w:rPr>
        <w:t xml:space="preserve">RECOMMENDATION LABEL — WHAT WE ADVISE</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1500"/>
        <w:gridCol w:w="7860"/>
      </w:tblGrid>
      <w:tr>
        <w:trPr>
          <w:cantSplit/>
        </w:trPr>
        <w:tc>
          <w:tcPr>
            <w:tcW w:type="dxa" w:w="1500"/>
            <w:tcMar>
              <w:top w:type="dxa" w:w="70"/>
              <w:left w:type="dxa" w:w="110"/>
              <w:bottom w:type="dxa" w:w="70"/>
              <w:right w:type="dxa" w:w="110"/>
            </w:tcMar>
            <w:vAlign w:val="top"/>
          </w:tcPr>
          <w:p>
            <w:r>
              <w:rPr>
                <w:b/>
                <w:bCs/>
                <w:color w:val="17365D"/>
                <w:spacing w:val="16"/>
                <w:sz w:val="17"/>
                <w:szCs w:val="17"/>
              </w:rPr>
              <w:t xml:space="preserve">STANDARD</w:t>
            </w:r>
          </w:p>
        </w:tc>
        <w:tc>
          <w:tcPr>
            <w:tcW w:type="dxa" w:w="7860"/>
            <w:tcMar>
              <w:top w:type="dxa" w:w="70"/>
              <w:left w:type="dxa" w:w="110"/>
              <w:bottom w:type="dxa" w:w="70"/>
              <w:right w:type="dxa" w:w="110"/>
            </w:tcMar>
            <w:vAlign w:val="top"/>
          </w:tcPr>
          <w:p>
            <w:pPr>
              <w:spacing w:after="0" w:line="276"/>
            </w:pPr>
            <w:r>
              <w:rPr>
                <w:color w:val="15181F"/>
                <w:sz w:val="18"/>
                <w:szCs w:val="18"/>
              </w:rPr>
              <w:t xml:space="preserve">Default when eligibility is met; a departure needs a recorded reason.</w:t>
            </w:r>
          </w:p>
        </w:tc>
      </w:tr>
      <w:tr>
        <w:trPr>
          <w:cantSplit/>
        </w:trPr>
        <w:tc>
          <w:tcPr>
            <w:tcW w:type="dxa" w:w="1500"/>
            <w:tcMar>
              <w:top w:type="dxa" w:w="70"/>
              <w:left w:type="dxa" w:w="110"/>
              <w:bottom w:type="dxa" w:w="70"/>
              <w:right w:type="dxa" w:w="110"/>
            </w:tcMar>
            <w:vAlign w:val="top"/>
          </w:tcPr>
          <w:p>
            <w:r>
              <w:rPr>
                <w:b/>
                <w:bCs/>
                <w:color w:val="176A87"/>
                <w:spacing w:val="16"/>
                <w:sz w:val="17"/>
                <w:szCs w:val="17"/>
              </w:rPr>
              <w:t xml:space="preserve">REASONABLE</w:t>
            </w:r>
          </w:p>
        </w:tc>
        <w:tc>
          <w:tcPr>
            <w:tcW w:type="dxa" w:w="7860"/>
            <w:tcMar>
              <w:top w:type="dxa" w:w="70"/>
              <w:left w:type="dxa" w:w="110"/>
              <w:bottom w:type="dxa" w:w="70"/>
              <w:right w:type="dxa" w:w="110"/>
            </w:tcMar>
            <w:vAlign w:val="top"/>
          </w:tcPr>
          <w:p>
            <w:pPr>
              <w:spacing w:after="0" w:line="276"/>
            </w:pPr>
            <w:r>
              <w:rPr>
                <w:color w:val="15181F"/>
                <w:sz w:val="18"/>
                <w:szCs w:val="18"/>
              </w:rPr>
              <w:t xml:space="preserve">Acceptable after documented multidisciplinary review; the benefit is context dependent.</w:t>
            </w:r>
          </w:p>
        </w:tc>
      </w:tr>
      <w:tr>
        <w:trPr>
          <w:cantSplit/>
        </w:trPr>
        <w:tc>
          <w:tcPr>
            <w:tcW w:type="dxa" w:w="1500"/>
            <w:tcMar>
              <w:top w:type="dxa" w:w="70"/>
              <w:left w:type="dxa" w:w="110"/>
              <w:bottom w:type="dxa" w:w="70"/>
              <w:right w:type="dxa" w:w="110"/>
            </w:tcMar>
            <w:vAlign w:val="top"/>
          </w:tcPr>
          <w:p>
            <w:r>
              <w:rPr>
                <w:b/>
                <w:bCs/>
                <w:color w:val="8C2F26"/>
                <w:spacing w:val="16"/>
                <w:sz w:val="17"/>
                <w:szCs w:val="17"/>
              </w:rPr>
              <w:t xml:space="preserve">AVOID</w:t>
            </w:r>
          </w:p>
        </w:tc>
        <w:tc>
          <w:tcPr>
            <w:tcW w:type="dxa" w:w="7860"/>
            <w:tcMar>
              <w:top w:type="dxa" w:w="70"/>
              <w:left w:type="dxa" w:w="110"/>
              <w:bottom w:type="dxa" w:w="70"/>
              <w:right w:type="dxa" w:w="110"/>
            </w:tcMar>
            <w:vAlign w:val="top"/>
          </w:tcPr>
          <w:p>
            <w:pPr>
              <w:spacing w:after="0" w:line="276"/>
            </w:pPr>
            <w:r>
              <w:rPr>
                <w:color w:val="15181F"/>
                <w:sz w:val="18"/>
                <w:szCs w:val="18"/>
              </w:rPr>
              <w:t xml:space="preserve">Expected harm, futility, or absent benefit generally outweighs the benefit.</w:t>
            </w:r>
          </w:p>
        </w:tc>
      </w:tr>
    </w:tbl>
    <w:p>
      <w:pPr>
        <w:spacing w:after="120" w:line="276"/>
      </w:pPr>
      <w:r>
        <w:rPr>
          <w:color w:val="15181F"/>
          <w:sz w:val="20"/>
          <w:szCs w:val="20"/>
        </w:rPr>
        <w:t xml:space="preserve"/>
      </w:r>
    </w:p>
    <w:p>
      <w:pPr>
        <w:spacing w:after="60" w:before="160"/>
      </w:pPr>
      <w:r>
        <w:rPr>
          <w:b/>
          <w:bCs/>
          <w:color w:val="176A87"/>
          <w:spacing w:val="24"/>
          <w:sz w:val="15"/>
          <w:szCs w:val="15"/>
        </w:rPr>
        <w:t xml:space="preserve">EVIDENCE GRADE — HOW STRONG THE BASIS IS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1500"/>
        <w:gridCol w:w="7860"/>
      </w:tblGrid>
      <w:tr>
        <w:trPr>
          <w:cantSplit/>
        </w:trPr>
        <w:tc>
          <w:tcPr>
            <w:tcW w:type="dxa" w:w="1500"/>
            <w:tcMar>
              <w:top w:type="dxa" w:w="70"/>
              <w:left w:type="dxa" w:w="110"/>
              <w:bottom w:type="dxa" w:w="70"/>
              <w:right w:type="dxa" w:w="110"/>
            </w:tcMar>
            <w:vAlign w:val="top"/>
          </w:tcPr>
          <w:p>
            <w:r>
              <w:rPr>
                <w:b/>
                <w:bCs/>
                <w:color w:val="17365D"/>
                <w:sz w:val="20"/>
                <w:szCs w:val="20"/>
              </w:rPr>
              <w:t xml:space="preserve">A</w:t>
            </w:r>
          </w:p>
        </w:tc>
        <w:tc>
          <w:tcPr>
            <w:tcW w:type="dxa" w:w="7860"/>
            <w:tcMar>
              <w:top w:type="dxa" w:w="70"/>
              <w:left w:type="dxa" w:w="110"/>
              <w:bottom w:type="dxa" w:w="70"/>
              <w:right w:type="dxa" w:w="110"/>
            </w:tcMar>
            <w:vAlign w:val="top"/>
          </w:tcPr>
          <w:p>
            <w:pPr>
              <w:spacing w:after="0" w:line="276"/>
            </w:pPr>
            <w:r>
              <w:rPr>
                <w:color w:val="15181F"/>
                <w:sz w:val="18"/>
                <w:szCs w:val="18"/>
              </w:rPr>
              <w:t xml:space="preserve">Guideline supported by randomised trials or strong consistent comparative evidence.</w:t>
            </w:r>
          </w:p>
        </w:tc>
      </w:tr>
      <w:tr>
        <w:trPr>
          <w:cantSplit/>
        </w:trPr>
        <w:tc>
          <w:tcPr>
            <w:tcW w:type="dxa" w:w="1500"/>
            <w:tcMar>
              <w:top w:type="dxa" w:w="70"/>
              <w:left w:type="dxa" w:w="110"/>
              <w:bottom w:type="dxa" w:w="70"/>
              <w:right w:type="dxa" w:w="110"/>
            </w:tcMar>
            <w:vAlign w:val="top"/>
          </w:tcPr>
          <w:p>
            <w:r>
              <w:rPr>
                <w:b/>
                <w:bCs/>
                <w:color w:val="17365D"/>
                <w:sz w:val="20"/>
                <w:szCs w:val="20"/>
              </w:rPr>
              <w:t xml:space="preserve">B</w:t>
            </w:r>
          </w:p>
        </w:tc>
        <w:tc>
          <w:tcPr>
            <w:tcW w:type="dxa" w:w="7860"/>
            <w:tcMar>
              <w:top w:type="dxa" w:w="70"/>
              <w:left w:type="dxa" w:w="110"/>
              <w:bottom w:type="dxa" w:w="70"/>
              <w:right w:type="dxa" w:w="110"/>
            </w:tcMar>
            <w:vAlign w:val="top"/>
          </w:tcPr>
          <w:p>
            <w:pPr>
              <w:spacing w:after="0" w:line="276"/>
            </w:pPr>
            <w:r>
              <w:rPr>
                <w:color w:val="15181F"/>
                <w:sz w:val="18"/>
                <w:szCs w:val="18"/>
              </w:rPr>
              <w:t xml:space="preserve">One randomised trial, prospective comparative evidence, or strong prospective cohorts.</w:t>
            </w:r>
          </w:p>
        </w:tc>
      </w:tr>
      <w:tr>
        <w:trPr>
          <w:cantSplit/>
        </w:trPr>
        <w:tc>
          <w:tcPr>
            <w:tcW w:type="dxa" w:w="1500"/>
            <w:tcMar>
              <w:top w:type="dxa" w:w="70"/>
              <w:left w:type="dxa" w:w="110"/>
              <w:bottom w:type="dxa" w:w="70"/>
              <w:right w:type="dxa" w:w="110"/>
            </w:tcMar>
            <w:vAlign w:val="top"/>
          </w:tcPr>
          <w:p>
            <w:r>
              <w:rPr>
                <w:b/>
                <w:bCs/>
                <w:color w:val="17365D"/>
                <w:sz w:val="20"/>
                <w:szCs w:val="20"/>
              </w:rPr>
              <w:t xml:space="preserve">C</w:t>
            </w:r>
          </w:p>
        </w:tc>
        <w:tc>
          <w:tcPr>
            <w:tcW w:type="dxa" w:w="7860"/>
            <w:tcMar>
              <w:top w:type="dxa" w:w="70"/>
              <w:left w:type="dxa" w:w="110"/>
              <w:bottom w:type="dxa" w:w="70"/>
              <w:right w:type="dxa" w:w="110"/>
            </w:tcMar>
            <w:vAlign w:val="top"/>
          </w:tcPr>
          <w:p>
            <w:pPr>
              <w:spacing w:after="0" w:line="276"/>
            </w:pPr>
            <w:r>
              <w:rPr>
                <w:color w:val="15181F"/>
                <w:sz w:val="18"/>
                <w:szCs w:val="18"/>
              </w:rPr>
              <w:t xml:space="preserve">Single-arm prospective, retrospective comparative, or inconsistent evidence.</w:t>
            </w:r>
          </w:p>
        </w:tc>
      </w:tr>
      <w:tr>
        <w:trPr>
          <w:cantSplit/>
        </w:trPr>
        <w:tc>
          <w:tcPr>
            <w:tcW w:type="dxa" w:w="1500"/>
            <w:tcMar>
              <w:top w:type="dxa" w:w="70"/>
              <w:left w:type="dxa" w:w="110"/>
              <w:bottom w:type="dxa" w:w="70"/>
              <w:right w:type="dxa" w:w="110"/>
            </w:tcMar>
            <w:vAlign w:val="top"/>
          </w:tcPr>
          <w:p>
            <w:r>
              <w:rPr>
                <w:b/>
                <w:bCs/>
                <w:color w:val="17365D"/>
                <w:sz w:val="20"/>
                <w:szCs w:val="20"/>
              </w:rPr>
              <w:t xml:space="preserve">D</w:t>
            </w:r>
          </w:p>
        </w:tc>
        <w:tc>
          <w:tcPr>
            <w:tcW w:type="dxa" w:w="7860"/>
            <w:tcMar>
              <w:top w:type="dxa" w:w="70"/>
              <w:left w:type="dxa" w:w="110"/>
              <w:bottom w:type="dxa" w:w="70"/>
              <w:right w:type="dxa" w:w="110"/>
            </w:tcMar>
            <w:vAlign w:val="top"/>
          </w:tcPr>
          <w:p>
            <w:pPr>
              <w:spacing w:after="0" w:line="276"/>
            </w:pPr>
            <w:r>
              <w:rPr>
                <w:color w:val="15181F"/>
                <w:sz w:val="18"/>
                <w:szCs w:val="18"/>
              </w:rPr>
              <w:t xml:space="preserve">Expert consensus or local operational requirement, no comparative outcome data.</w:t>
            </w:r>
          </w:p>
        </w:tc>
      </w:tr>
    </w:tbl>
    <w:p>
      <w:pPr>
        <w:spacing w:after="160" w:line="276"/>
      </w:pPr>
      <w:r>
        <w:rPr>
          <w:i/>
          <w:iCs/>
          <w:color w:val="5A6069"/>
          <w:sz w:val="18"/>
          <w:szCs w:val="18"/>
        </w:rPr>
        <w:t xml:space="preserve">A strong label does not imply a high grade. Several operating requirements are deliberately Standard at grade D because they are local policy choices rather than evidence claims.</w:t>
      </w:r>
    </w:p>
    <w:p>
      <w:pPr>
        <w:spacing w:after="60" w:before="160"/>
      </w:pPr>
      <w:r>
        <w:rPr>
          <w:b/>
          <w:bCs/>
          <w:color w:val="176A87"/>
          <w:spacing w:val="24"/>
          <w:sz w:val="15"/>
          <w:szCs w:val="15"/>
        </w:rPr>
        <w:t xml:space="preserve">DEPENDENCY FLAGS — WHAT IT RESTS ON LOCALLY</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1500"/>
        <w:gridCol w:w="7860"/>
      </w:tblGrid>
      <w:tr>
        <w:trPr>
          <w:cantSplit/>
        </w:trPr>
        <w:tc>
          <w:tcPr>
            <w:tcW w:type="dxa" w:w="1500"/>
            <w:tcMar>
              <w:top w:type="dxa" w:w="70"/>
              <w:left w:type="dxa" w:w="110"/>
              <w:bottom w:type="dxa" w:w="70"/>
              <w:right w:type="dxa" w:w="110"/>
            </w:tcMar>
            <w:vAlign w:val="top"/>
          </w:tcPr>
          <w:p>
            <w:r>
              <w:rPr>
                <w:b/>
                <w:bCs/>
                <w:color w:val="8E5008"/>
                <w:spacing w:val="14"/>
                <w:sz w:val="16"/>
                <w:szCs w:val="16"/>
              </w:rPr>
              <w:t xml:space="preserve">EXPERTISE</w:t>
            </w:r>
          </w:p>
        </w:tc>
        <w:tc>
          <w:tcPr>
            <w:tcW w:type="dxa" w:w="7860"/>
            <w:tcMar>
              <w:top w:type="dxa" w:w="70"/>
              <w:left w:type="dxa" w:w="110"/>
              <w:bottom w:type="dxa" w:w="70"/>
              <w:right w:type="dxa" w:w="110"/>
            </w:tcMar>
            <w:vAlign w:val="top"/>
          </w:tcPr>
          <w:p>
            <w:pPr>
              <w:spacing w:after="0" w:line="276"/>
            </w:pPr>
            <w:r>
              <w:rPr>
                <w:color w:val="15181F"/>
                <w:sz w:val="18"/>
                <w:szCs w:val="18"/>
              </w:rPr>
              <w:t xml:space="preserve">Demonstrated operator and team experience with this technique at this site.</w:t>
            </w:r>
          </w:p>
        </w:tc>
      </w:tr>
      <w:tr>
        <w:trPr>
          <w:cantSplit/>
        </w:trPr>
        <w:tc>
          <w:tcPr>
            <w:tcW w:type="dxa" w:w="1500"/>
            <w:tcMar>
              <w:top w:type="dxa" w:w="70"/>
              <w:left w:type="dxa" w:w="110"/>
              <w:bottom w:type="dxa" w:w="70"/>
              <w:right w:type="dxa" w:w="110"/>
            </w:tcMar>
            <w:vAlign w:val="top"/>
          </w:tcPr>
          <w:p>
            <w:r>
              <w:rPr>
                <w:b/>
                <w:bCs/>
                <w:color w:val="8E5008"/>
                <w:spacing w:val="14"/>
                <w:sz w:val="16"/>
                <w:szCs w:val="16"/>
              </w:rPr>
              <w:t xml:space="preserve">REGISTRY</w:t>
            </w:r>
          </w:p>
        </w:tc>
        <w:tc>
          <w:tcPr>
            <w:tcW w:type="dxa" w:w="7860"/>
            <w:tcMar>
              <w:top w:type="dxa" w:w="70"/>
              <w:left w:type="dxa" w:w="110"/>
              <w:bottom w:type="dxa" w:w="70"/>
              <w:right w:type="dxa" w:w="110"/>
            </w:tcMar>
            <w:vAlign w:val="top"/>
          </w:tcPr>
          <w:p>
            <w:pPr>
              <w:spacing w:after="0" w:line="276"/>
            </w:pPr>
            <w:r>
              <w:rPr>
                <w:color w:val="15181F"/>
                <w:sz w:val="18"/>
                <w:szCs w:val="18"/>
              </w:rPr>
              <w:t xml:space="preserve">Mandatory prospective outcomes registry; effectiveness evidence is immature.</w:t>
            </w:r>
          </w:p>
        </w:tc>
      </w:tr>
      <w:tr>
        <w:trPr>
          <w:cantSplit/>
        </w:trPr>
        <w:tc>
          <w:tcPr>
            <w:tcW w:type="dxa" w:w="1500"/>
            <w:tcMar>
              <w:top w:type="dxa" w:w="70"/>
              <w:left w:type="dxa" w:w="110"/>
              <w:bottom w:type="dxa" w:w="70"/>
              <w:right w:type="dxa" w:w="110"/>
            </w:tcMar>
            <w:vAlign w:val="top"/>
          </w:tcPr>
          <w:p>
            <w:r>
              <w:rPr>
                <w:b/>
                <w:bCs/>
                <w:color w:val="8E5008"/>
                <w:spacing w:val="14"/>
                <w:sz w:val="16"/>
                <w:szCs w:val="16"/>
              </w:rPr>
              <w:t xml:space="preserve">PROTOCOL</w:t>
            </w:r>
          </w:p>
        </w:tc>
        <w:tc>
          <w:tcPr>
            <w:tcW w:type="dxa" w:w="7860"/>
            <w:tcMar>
              <w:top w:type="dxa" w:w="70"/>
              <w:left w:type="dxa" w:w="110"/>
              <w:bottom w:type="dxa" w:w="70"/>
              <w:right w:type="dxa" w:w="110"/>
            </w:tcMar>
            <w:vAlign w:val="top"/>
          </w:tcPr>
          <w:p>
            <w:pPr>
              <w:spacing w:after="0" w:line="276"/>
            </w:pPr>
            <w:r>
              <w:rPr>
                <w:color w:val="15181F"/>
                <w:sz w:val="18"/>
                <w:szCs w:val="18"/>
              </w:rPr>
              <w:t xml:space="preserve">Only inside a clinical trial or an approved institutional protocol.</w:t>
            </w:r>
          </w:p>
        </w:tc>
      </w:tr>
    </w:tbl>
    <w:p>
      <w:pPr>
        <w:pStyle w:val="Heading1"/>
        <w:keepNext/>
        <w:pageBreakBefore/>
        <w:spacing w:after="110" w:before="320"/>
      </w:pPr>
      <w:r>
        <w:rPr>
          <w:rFonts w:ascii="Cambria" w:cs="Cambria" w:eastAsia="Cambria" w:hAnsi="Cambria"/>
          <w:b/>
          <w:bCs/>
          <w:color w:val="17365D"/>
          <w:sz w:val="32"/>
          <w:szCs w:val="32"/>
        </w:rPr>
        <w:t xml:space="preserve">The gates</w:t>
      </w:r>
    </w:p>
    <w:p>
      <w:pPr>
        <w:spacing w:after="200" w:line="276"/>
      </w:pPr>
      <w:r>
        <w:rPr>
          <w:i/>
          <w:iCs/>
          <w:color w:val="5A6069"/>
          <w:sz w:val="20"/>
          <w:szCs w:val="20"/>
        </w:rPr>
        <w:t xml:space="preserve">In the order the roadmap asks them.</w:t>
      </w:r>
    </w:p>
    <w:p>
      <w:pPr>
        <w:pStyle w:val="Heading2"/>
        <w:keepNext/>
        <w:pageBreakBefore/>
        <w:spacing w:after="110" w:before="240"/>
      </w:pPr>
      <w:r>
        <w:rPr>
          <w:rFonts w:ascii="Cambria" w:cs="Cambria" w:eastAsia="Cambria" w:hAnsi="Cambria"/>
          <w:b/>
          <w:bCs/>
          <w:color w:val="17365D"/>
          <w:sz w:val="26"/>
          <w:szCs w:val="26"/>
        </w:rPr>
        <w:t xml:space="preserve">1 · Diagnosis confirmed and staged</w:t>
      </w:r>
    </w:p>
    <w:p>
      <w:pPr>
        <w:spacing w:after="140"/>
      </w:pPr>
      <w:r>
        <w:rPr>
          <w:b/>
          <w:bCs/>
          <w:color w:val="176A87"/>
          <w:sz w:val="19"/>
          <w:szCs w:val="19"/>
        </w:rPr>
        <w:t xml:space="preserve">The question. </w:t>
      </w:r>
      <w:r>
        <w:rPr>
          <w:sz w:val="19"/>
          <w:szCs w:val="19"/>
        </w:rPr>
        <w:t xml:space="preserve">Do I actually know this is intrahepatic cholangiocarcinoma, and do I have the imaging to plan an operation?</w:t>
      </w:r>
    </w:p>
    <w:p>
      <w:pPr>
        <w:spacing w:after="60" w:before="160"/>
      </w:pPr>
      <w:r>
        <w:rPr>
          <w:b/>
          <w:bCs/>
          <w:color w:val="176A87"/>
          <w:spacing w:val="24"/>
          <w:sz w:val="15"/>
          <w:szCs w:val="15"/>
        </w:rPr>
        <w:t xml:space="preserve">ALL OF THE FOLLOWING HAVE TO BE IN HAND</w:t>
      </w:r>
    </w:p>
    <w:p>
      <w:pPr>
        <w:pStyle w:val="ListParagraph"/>
        <w:numPr>
          <w:ilvl w:val="0"/>
          <w:numId w:val="2"/>
        </w:numPr>
        <w:spacing w:after="60" w:line="268"/>
      </w:pPr>
      <w:r>
        <w:rPr>
          <w:color w:val="15181F"/>
          <w:sz w:val="18"/>
          <w:szCs w:val="18"/>
        </w:rPr>
        <w:t xml:space="preserve">Histology consistent with intrahepatic cholangiocarcinoma, or a high-suspicion mass accepted for direct resection after multidisciplinary HPB review</w:t>
      </w:r>
    </w:p>
    <w:p>
      <w:pPr>
        <w:pStyle w:val="ListParagraph"/>
        <w:numPr>
          <w:ilvl w:val="0"/>
          <w:numId w:val="2"/>
        </w:numPr>
        <w:spacing w:after="60" w:line="268"/>
      </w:pPr>
      <w:r>
        <w:rPr>
          <w:color w:val="15181F"/>
          <w:sz w:val="18"/>
          <w:szCs w:val="18"/>
        </w:rPr>
        <w:t xml:space="preserve">Multiphase CT of chest, abdomen and pelvis plus liver MRI with cholangiographic (MRCP) sequences, completed before any stent is placed</w:t>
      </w:r>
    </w:p>
    <w:p>
      <w:pPr>
        <w:pStyle w:val="ListParagraph"/>
        <w:numPr>
          <w:ilvl w:val="0"/>
          <w:numId w:val="2"/>
        </w:numPr>
        <w:spacing w:after="60" w:line="268"/>
      </w:pPr>
      <w:r>
        <w:rPr>
          <w:color w:val="15181F"/>
          <w:sz w:val="18"/>
          <w:szCs w:val="18"/>
        </w:rPr>
        <w:t xml:space="preserve">Another primary excluded — colonoscopy, age-appropriate breast imaging and a CK7/CK20/CDX2-type panel as indicated</w:t>
      </w:r>
    </w:p>
    <w:p>
      <w:pPr>
        <w:pStyle w:val="ListParagraph"/>
        <w:numPr>
          <w:ilvl w:val="0"/>
          <w:numId w:val="2"/>
        </w:numPr>
        <w:spacing w:after="60" w:line="268"/>
      </w:pPr>
      <w:r>
        <w:rPr>
          <w:color w:val="15181F"/>
          <w:sz w:val="18"/>
          <w:szCs w:val="18"/>
        </w:rPr>
        <w:t xml:space="preserve">Perihilar and distal cholangiocarcinoma, gallbladder cancer and mixed hepatocellular-cholangiocarcinoma recognised as outside this pathway</w:t>
      </w:r>
    </w:p>
    <w:p>
      <w:pPr>
        <w:pStyle w:val="ListParagraph"/>
        <w:numPr>
          <w:ilvl w:val="0"/>
          <w:numId w:val="2"/>
        </w:numPr>
        <w:spacing w:after="60" w:line="268"/>
      </w:pPr>
      <w:r>
        <w:rPr>
          <w:color w:val="15181F"/>
          <w:sz w:val="18"/>
          <w:szCs w:val="18"/>
        </w:rPr>
        <w:t xml:space="preserve">Recorded: tumour number and size, vascular and biliary involvement, nodal status, extrahepatic sites, ECOG, Child-Pugh and bilirubin, CA 19-9 and CEA, hepatitis serology</w:t>
      </w:r>
    </w:p>
    <w:p>
      <w:pPr>
        <w:spacing w:after="80" w:line="276"/>
      </w:pPr>
      <w:r>
        <w:rPr>
          <w:color w:val="15181F"/>
          <w:sz w:val="20"/>
          <w:szCs w:val="20"/>
        </w:rPr>
        <w:t xml:space="preserve"/>
      </w:r>
    </w:p>
    <w:p>
      <w:pPr>
        <w:spacing w:after="60" w:before="180"/>
      </w:pPr>
      <w:r>
        <w:rPr>
          <w:b/>
          <w:bCs/>
          <w:color w:val="17365D"/>
          <w:spacing w:val="16"/>
          <w:sz w:val="16"/>
          <w:szCs w:val="16"/>
        </w:rPr>
        <w:t xml:space="preserve">STANDARD</w:t>
      </w:r>
      <w:r>
        <w:rPr>
          <w:color w:val="5A6069"/>
          <w:sz w:val="16"/>
          <w:szCs w:val="16"/>
        </w:rPr>
        <w:t xml:space="preserve">   grade B</w:t>
      </w:r>
    </w:p>
    <w:p>
      <w:pPr>
        <w:spacing w:after="60" w:line="276"/>
      </w:pPr>
      <w:r>
        <w:rPr>
          <w:color w:val="15181F"/>
          <w:sz w:val="19"/>
          <w:szCs w:val="19"/>
        </w:rPr>
        <w:t xml:space="preserve">There is no imaging-only diagnosis of intrahepatic cholangiocarcinoma: unlike hepatocellular carcinoma, where LR-5 imaging in an at-risk population is diagnostic, a mass suspected of being iCCA requires histologic confirmation before a treatment pathway is assigned.</w:t>
      </w:r>
    </w:p>
    <w:p>
      <w:pPr>
        <w:spacing w:after="50" w:line="276"/>
        <w:ind w:left="240"/>
      </w:pPr>
      <w:r>
        <w:rPr>
          <w:color w:val="15181F"/>
          <w:sz w:val="18"/>
          <w:szCs w:val="18"/>
        </w:rPr>
        <w:t xml:space="preserve">Every patient whose next step is systemic therapy, trial entry or tissue-defined transplant assessment — in those destinations the tissue criteria are not optional, and transplant assessment additionally needs the biopsy to grade differentiation and to exclude a mixed hepatocellular-cholangiocarcinoma.</w:t>
      </w:r>
    </w:p>
    <w:p>
      <w:pPr>
        <w:spacing w:after="50"/>
        <w:ind w:left="240"/>
      </w:pPr>
      <w:r>
        <w:rPr>
          <w:b/>
          <w:bCs/>
          <w:color w:val="8C2F26"/>
          <w:sz w:val="18"/>
          <w:szCs w:val="18"/>
        </w:rPr>
        <w:t xml:space="preserve">Caveat. </w:t>
      </w:r>
      <w:r>
        <w:rPr>
          <w:color w:val="15181F"/>
          <w:sz w:val="18"/>
          <w:szCs w:val="18"/>
        </w:rPr>
        <w:t xml:space="preserve">Do not demand a core from a high-suspicion, clearly resectable mass as a universal rule. NCCN states a suspicious mass on imaging in the proper clinical setting should be treated as malignant, and multidisciplinary HPB review may permit direct resection; the roadmap replaces universal pre-treatment biopsy with destination-specific confirmation.</w:t>
      </w:r>
    </w:p>
    <w:p>
      <w:pPr>
        <w:spacing w:after="50" w:line="276"/>
        <w:ind w:left="240"/>
      </w:pPr>
      <w:r>
        <w:rPr>
          <w:i/>
          <w:iCs/>
          <w:color w:val="5A6069"/>
          <w:sz w:val="17"/>
          <w:szCs w:val="17"/>
        </w:rPr>
        <w:t xml:space="preserve">AASLD 2023 and BSG 2023 require histological confirmation and LCSGJ 2022 regards biopsy as basically unnecessary for a typical resectable mass, so whether a core stays mandatory before resection is a ratification item (alignment worksheet, area 1). CEA and CA 19-9 are baseline and monitoring tests and never establish the diagnosis; CA 19-9 rises with biliary obstruction or cholangitis, so record it alongside the bilirubin and repeat it once the obstruction is relieved.</w:t>
      </w:r>
    </w:p>
    <w:p>
      <w:pPr>
        <w:spacing w:after="60" w:line="276"/>
        <w:ind w:left="240"/>
      </w:pPr>
      <w:r>
        <w:rPr>
          <w:color w:val="5A6069"/>
          <w:sz w:val="16"/>
          <w:szCs w:val="16"/>
        </w:rPr>
        <w:t xml:space="preserve">Sources: NCCN BTC v1.2026; AASLD PSC/CCA 2023; BSG CCA 2023; EASL-ILCA iCCA 2023; MH iCCA roadmap v0.6</w:t>
      </w:r>
    </w:p>
    <w:p>
      <w:pPr>
        <w:spacing w:after="60" w:before="180"/>
      </w:pPr>
      <w:r>
        <w:rPr>
          <w:b/>
          <w:bCs/>
          <w:color w:val="17365D"/>
          <w:spacing w:val="16"/>
          <w:sz w:val="16"/>
          <w:szCs w:val="16"/>
        </w:rPr>
        <w:t xml:space="preserve">STANDARD</w:t>
      </w:r>
      <w:r>
        <w:rPr>
          <w:color w:val="5A6069"/>
          <w:sz w:val="16"/>
          <w:szCs w:val="16"/>
        </w:rPr>
        <w:t xml:space="preserve">   grade B</w:t>
      </w:r>
    </w:p>
    <w:p>
      <w:pPr>
        <w:spacing w:after="60" w:line="276"/>
      </w:pPr>
      <w:r>
        <w:rPr>
          <w:color w:val="15181F"/>
          <w:sz w:val="19"/>
          <w:szCs w:val="19"/>
        </w:rPr>
        <w:t xml:space="preserve">Image before you instrument: complete the biliary-protocol imaging, and measure the future liver remnant on the same study where a major hepatectomy is contemplated.</w:t>
      </w:r>
    </w:p>
    <w:p>
      <w:pPr>
        <w:spacing w:after="50" w:line="276"/>
        <w:ind w:left="240"/>
      </w:pPr>
      <w:r>
        <w:rPr>
          <w:color w:val="15181F"/>
          <w:sz w:val="18"/>
          <w:szCs w:val="18"/>
        </w:rPr>
        <w:t xml:space="preserve">Any patient with a tumour obstructing the biliary tree who might be resected — reactive change from a stent obscures ductal extent, which is exactly what decides whether biliary resection and reconstruction are needed. MRI is the study that characterises the biliary and vascular relationships that determine resectability, and EASL-ILCA prefers it over CT for intrahepatic staging.</w:t>
      </w:r>
    </w:p>
    <w:p>
      <w:pPr>
        <w:spacing w:after="50"/>
        <w:ind w:left="240"/>
      </w:pPr>
      <w:r>
        <w:rPr>
          <w:b/>
          <w:bCs/>
          <w:color w:val="8C2F26"/>
          <w:sz w:val="18"/>
          <w:szCs w:val="18"/>
        </w:rPr>
        <w:t xml:space="preserve">Caveat. </w:t>
      </w:r>
      <w:r>
        <w:rPr>
          <w:color w:val="15181F"/>
          <w:sz w:val="18"/>
          <w:szCs w:val="18"/>
        </w:rPr>
        <w:t xml:space="preserve">Do not wait for imaging in cholangitis — that is drained without waiting for the discussion, and urgent sepsis treatment takes priority over the elective sequence.</w:t>
      </w:r>
    </w:p>
    <w:p>
      <w:pPr>
        <w:spacing w:after="50" w:line="276"/>
        <w:ind w:left="240"/>
      </w:pPr>
      <w:r>
        <w:rPr>
          <w:i/>
          <w:iCs/>
          <w:color w:val="5A6069"/>
          <w:sz w:val="17"/>
          <w:szCs w:val="17"/>
        </w:rPr>
        <w:t xml:space="preserve">Where the tumour obstructs the biliary tree, the need for drainage, its route and its side are decided with the hepatobiliary surgeon before any non-emergency procedure; resection without preoperative drainage can be considered when the future remnant is large. That drainage rule is grade D on its own — no comparative outcome data in intrahepatic disease were identified for it — while the grade B on this string covers the imaging sequence, which BSG 2023 and EASL-ILCA both recommend.</w:t>
      </w:r>
    </w:p>
    <w:p>
      <w:pPr>
        <w:spacing w:after="60" w:line="276"/>
        <w:ind w:left="240"/>
      </w:pPr>
      <w:r>
        <w:rPr>
          <w:color w:val="5A6069"/>
          <w:sz w:val="16"/>
          <w:szCs w:val="16"/>
        </w:rPr>
        <w:t xml:space="preserve">Sources: NCCN BTC v1.2026; BSG CCA 2023; EASL-ILCA iCCA 2023</w:t>
      </w:r>
    </w:p>
    <w:p>
      <w:pPr>
        <w:spacing w:after="60" w:before="180"/>
      </w:pPr>
      <w:r>
        <w:rPr>
          <w:b/>
          <w:bCs/>
          <w:color w:val="17365D"/>
          <w:spacing w:val="16"/>
          <w:sz w:val="16"/>
          <w:szCs w:val="16"/>
        </w:rPr>
        <w:t xml:space="preserve">STANDARD</w:t>
      </w:r>
      <w:r>
        <w:rPr>
          <w:color w:val="5A6069"/>
          <w:sz w:val="16"/>
          <w:szCs w:val="16"/>
        </w:rPr>
        <w:t xml:space="preserve">   grade D</w:t>
      </w:r>
    </w:p>
    <w:p>
      <w:pPr>
        <w:spacing w:after="60" w:line="276"/>
      </w:pPr>
      <w:r>
        <w:rPr>
          <w:color w:val="15181F"/>
          <w:sz w:val="19"/>
          <w:szCs w:val="19"/>
        </w:rPr>
        <w:t xml:space="preserve">Exclude another primary before committing to this pathway, because metastatic adenocarcinoma can be histologically indistinguishable from intrahepatic cholangiocarcinoma.</w:t>
      </w:r>
    </w:p>
    <w:p>
      <w:pPr>
        <w:spacing w:after="50" w:line="276"/>
        <w:ind w:left="240"/>
      </w:pPr>
      <w:r>
        <w:rPr>
          <w:color w:val="15181F"/>
          <w:sz w:val="18"/>
          <w:szCs w:val="18"/>
        </w:rPr>
        <w:t xml:space="preserve">Any adenocarcinoma in the liver without an established primary, and particularly before a patient is started on a biliary-tract regimen or entered into a biliary trial.</w:t>
      </w:r>
    </w:p>
    <w:p>
      <w:pPr>
        <w:spacing w:after="50"/>
        <w:ind w:left="240"/>
      </w:pPr>
      <w:r>
        <w:rPr>
          <w:b/>
          <w:bCs/>
          <w:color w:val="8C2F26"/>
          <w:sz w:val="18"/>
          <w:szCs w:val="18"/>
        </w:rPr>
        <w:t xml:space="preserve">Caveat. </w:t>
      </w:r>
      <w:r>
        <w:rPr>
          <w:color w:val="15181F"/>
          <w:sz w:val="18"/>
          <w:szCs w:val="18"/>
        </w:rPr>
        <w:t xml:space="preserve">Do not let the immunohistochemical panel consume the whole core: BSG 2023 asks that tissue be reserved for molecular profiling when immunohistochemistry is planned, and whether to add that instruction is a ratification item (alignment worksheet, area 12).</w:t>
      </w:r>
    </w:p>
    <w:p>
      <w:pPr>
        <w:spacing w:after="50" w:line="276"/>
        <w:ind w:left="240"/>
      </w:pPr>
      <w:r>
        <w:rPr>
          <w:i/>
          <w:iCs/>
          <w:color w:val="5A6069"/>
          <w:sz w:val="17"/>
          <w:szCs w:val="17"/>
        </w:rPr>
        <w:t xml:space="preserve">Treating a colorectal or pancreatic metastasis as intrahepatic cholangiocarcinoma is a recognised and consequential error. Hepatitis B and C status and any cirrhosis are established at entry: they change operative risk and, where a mixed tumour is possible, the differential.</w:t>
      </w:r>
    </w:p>
    <w:p>
      <w:pPr>
        <w:spacing w:after="60" w:line="276"/>
        <w:ind w:left="240"/>
      </w:pPr>
      <w:r>
        <w:rPr>
          <w:color w:val="5A6069"/>
          <w:sz w:val="16"/>
          <w:szCs w:val="16"/>
        </w:rPr>
        <w:t xml:space="preserve">Sources: MH iCCA roadmap v0.6</w:t>
      </w:r>
    </w:p>
    <w:p>
      <w:pPr>
        <w:spacing w:after="60" w:before="180"/>
      </w:pPr>
      <w:r>
        <w:rPr>
          <w:b/>
          <w:bCs/>
          <w:color w:val="176A87"/>
          <w:spacing w:val="16"/>
          <w:sz w:val="16"/>
          <w:szCs w:val="16"/>
        </w:rPr>
        <w:t xml:space="preserve">REASONABLE</w:t>
      </w:r>
      <w:r>
        <w:rPr>
          <w:color w:val="5A6069"/>
          <w:sz w:val="16"/>
          <w:szCs w:val="16"/>
        </w:rPr>
        <w:t xml:space="preserve">   grade C</w:t>
      </w:r>
    </w:p>
    <w:p>
      <w:pPr>
        <w:spacing w:after="60" w:line="276"/>
      </w:pPr>
      <w:r>
        <w:rPr>
          <w:color w:val="15181F"/>
          <w:sz w:val="19"/>
          <w:szCs w:val="19"/>
        </w:rPr>
        <w:t xml:space="preserve">Plan molecular testing of a dedicated biliary specimen at the index ERCP where the disease presents as an indeterminate stricture rather than a mass and the alternative is a repeat procedure.</w:t>
      </w:r>
    </w:p>
    <w:p>
      <w:pPr>
        <w:spacing w:after="50" w:line="276"/>
        <w:ind w:left="240"/>
      </w:pPr>
      <w:r>
        <w:rPr>
          <w:color w:val="15181F"/>
          <w:sz w:val="18"/>
          <w:szCs w:val="18"/>
        </w:rPr>
        <w:t xml:space="preserve">The patient entering the pathway as an indeterminate stricture, where pathology alone is weakest: in a 6-year prospective study of 2,116 patients across 28 institutions, pathologic assessment of ERCP brushings and biopsies had 44% sensitivity overall and 36% for intrahepatic or hilar strictures, while a DNA/RNA sequencing panel on separately collected specimens in a dedicated nucleic-acid buffer reached 82% sensitivity at 98% specificity and the combination 88% at 97%. Specificity was 99% for pathology, so sequencing bought sensitivity and gave up almost nothing.</w:t>
      </w:r>
    </w:p>
    <w:p>
      <w:pPr>
        <w:spacing w:after="50"/>
        <w:ind w:left="240"/>
      </w:pPr>
      <w:r>
        <w:rPr>
          <w:b/>
          <w:bCs/>
          <w:color w:val="8C2F26"/>
          <w:sz w:val="18"/>
          <w:szCs w:val="18"/>
        </w:rPr>
        <w:t xml:space="preserve">Caveat. </w:t>
      </w:r>
      <w:r>
        <w:rPr>
          <w:color w:val="15181F"/>
          <w:sz w:val="18"/>
          <w:szCs w:val="18"/>
        </w:rPr>
        <w:t xml:space="preserve">Do not read a negative molecular result as excluding malignancy — in the original single-centre cohort there were 37 false negatives (25%) and the negative predictive value was only 63%, with sampling failure the usual explanation; in 12 of those cases the same panel found an alteration in the resected tumour. Only 2% of neoplastic strictures in the 2026 study were purely dysplastic, so outside primary sclerosing cholangitis this is earlier diagnosis of established cancer, not early detection, and no resectability or survival benefit has been shown. Payer authorisation and the dedicated collection buffer have to be arranged before the procedure, not after.</w:t>
      </w:r>
    </w:p>
    <w:p>
      <w:pPr>
        <w:spacing w:after="50" w:line="276"/>
        <w:ind w:left="240"/>
      </w:pPr>
      <w:r>
        <w:rPr>
          <w:i/>
          <w:iCs/>
          <w:color w:val="5A6069"/>
          <w:sz w:val="17"/>
          <w:szCs w:val="17"/>
        </w:rPr>
        <w:t xml:space="preserve">Correct the yield figure: therapeutically relevant alterations were reported in 20 of 150 cancers (13%) in the original single-centre cohort, and in the 2026 multi-institutional study in 137 of 458 cholangiocarcinomas (30%) — but only on the 161-gene version of the panel. The 28-gene version used in the original cohort did not detect FGFR2 fusions at all, which with chromatin-remodelling genes accounts for up to 20% of intrahepatic tumours, so a biliary specimen substitutes for the gate 2 profile only if the panel actually run reports fusions. Downgraded from B: specimens were submitted at the endoscopist's discretion rather than consecutively, a stricture could be classified neoplastic on 12 months of clinical or radiographic progression rather than on tissue, and all testing was done in the laboratory that developed the assay.</w:t>
      </w:r>
    </w:p>
    <w:p>
      <w:pPr>
        <w:spacing w:after="60" w:line="276"/>
        <w:ind w:left="240"/>
      </w:pPr>
      <w:r>
        <w:rPr>
          <w:color w:val="5A6069"/>
          <w:sz w:val="16"/>
          <w:szCs w:val="16"/>
        </w:rPr>
        <w:t xml:space="preserve">Sources: Biliary-stricture NGS; BiliSeq original cohort</w:t>
      </w:r>
    </w:p>
    <w:p>
      <w:pPr>
        <w:spacing w:after="60" w:before="180"/>
      </w:pPr>
      <w:r>
        <w:rPr>
          <w:b/>
          <w:bCs/>
          <w:color w:val="176A87"/>
          <w:spacing w:val="16"/>
          <w:sz w:val="16"/>
          <w:szCs w:val="16"/>
        </w:rPr>
        <w:t xml:space="preserve">REASONABLE</w:t>
      </w:r>
      <w:r>
        <w:rPr>
          <w:color w:val="5A6069"/>
          <w:sz w:val="16"/>
          <w:szCs w:val="16"/>
        </w:rPr>
        <w:t xml:space="preserve">   grade B</w:t>
      </w:r>
    </w:p>
    <w:p>
      <w:pPr>
        <w:spacing w:after="60" w:line="276"/>
      </w:pPr>
      <w:r>
        <w:rPr>
          <w:color w:val="15181F"/>
          <w:sz w:val="19"/>
          <w:szCs w:val="19"/>
        </w:rPr>
        <w:t xml:space="preserve">Add FDG-PET selectively, for suspected occult spread and for transplant staging.</w:t>
      </w:r>
    </w:p>
    <w:p>
      <w:pPr>
        <w:spacing w:after="50" w:line="276"/>
        <w:ind w:left="240"/>
      </w:pPr>
      <w:r>
        <w:rPr>
          <w:color w:val="15181F"/>
          <w:sz w:val="18"/>
          <w:szCs w:val="18"/>
        </w:rPr>
        <w:t xml:space="preserve">Where occult nodal or distant disease would change the operation, and in any patient being staged for a transplant protocol.</w:t>
      </w:r>
    </w:p>
    <w:p>
      <w:pPr>
        <w:spacing w:after="50"/>
        <w:ind w:left="240"/>
      </w:pPr>
      <w:r>
        <w:rPr>
          <w:b/>
          <w:bCs/>
          <w:color w:val="8C2F26"/>
          <w:sz w:val="18"/>
          <w:szCs w:val="18"/>
        </w:rPr>
        <w:t xml:space="preserve">Caveat. </w:t>
      </w:r>
      <w:r>
        <w:rPr>
          <w:color w:val="15181F"/>
          <w:sz w:val="18"/>
          <w:szCs w:val="18"/>
        </w:rPr>
        <w:t xml:space="preserve">Do not substitute PET for MRI with MRCP in local planning; MRCP is preferred for biliary anatomy and ERCP or PTC are used more for therapeutic intervention.</w:t>
      </w:r>
    </w:p>
    <w:p>
      <w:pPr>
        <w:spacing w:after="50" w:line="276"/>
        <w:ind w:left="240"/>
      </w:pPr>
      <w:r>
        <w:rPr>
          <w:i/>
          <w:iCs/>
          <w:color w:val="5A6069"/>
          <w:sz w:val="17"/>
          <w:szCs w:val="17"/>
        </w:rPr>
        <w:t xml:space="preserve">BSG 2023 recommends FDG-PET-CT for nodal and distant disease as part of staging and EASL-ILCA recommends it routinely in apparently resectable patients, both more broadly than our selective wording — alignment worksheet, area 2. Read the strength of the broader recommendation honestly: the EASL-ILCA routine-PET statement passed its Delphi panel with only 78% agreement, the weakest consensus in that guideline's staging section, and AASLD 2023 states PET should not be used to assess the primary tumour.</w:t>
      </w:r>
    </w:p>
    <w:p>
      <w:pPr>
        <w:spacing w:after="60" w:line="276"/>
        <w:ind w:left="240"/>
      </w:pPr>
      <w:r>
        <w:rPr>
          <w:color w:val="5A6069"/>
          <w:sz w:val="16"/>
          <w:szCs w:val="16"/>
        </w:rPr>
        <w:t xml:space="preserve">Sources: NCCN BTC v1.2026; BSG CCA 2023; EASL-ILCA iCCA 2023</w:t>
      </w:r>
    </w:p>
    <w:p>
      <w:pPr>
        <w:spacing w:after="60" w:before="180"/>
      </w:pPr>
      <w:r>
        <w:rPr>
          <w:b/>
          <w:bCs/>
          <w:color w:val="8C2F26"/>
          <w:spacing w:val="16"/>
          <w:sz w:val="16"/>
          <w:szCs w:val="16"/>
        </w:rPr>
        <w:t xml:space="preserve">AVOID</w:t>
      </w:r>
      <w:r>
        <w:rPr>
          <w:color w:val="5A6069"/>
          <w:sz w:val="16"/>
          <w:szCs w:val="16"/>
        </w:rPr>
        <w:t xml:space="preserve">   grade D</w:t>
      </w:r>
    </w:p>
    <w:p>
      <w:pPr>
        <w:spacing w:after="60" w:line="276"/>
      </w:pPr>
      <w:r>
        <w:rPr>
          <w:color w:val="15181F"/>
          <w:sz w:val="19"/>
          <w:szCs w:val="19"/>
        </w:rPr>
        <w:t xml:space="preserve">Do not place a biliary stent in a potentially resectable patient before the biliary-protocol imaging is complete and the drainage plan is agreed with the hepatobiliary surgeon.</w:t>
      </w:r>
    </w:p>
    <w:p>
      <w:pPr>
        <w:spacing w:after="50" w:line="276"/>
        <w:ind w:left="240"/>
      </w:pPr>
      <w:r>
        <w:rPr>
          <w:color w:val="15181F"/>
          <w:sz w:val="18"/>
          <w:szCs w:val="18"/>
        </w:rPr>
        <w:t xml:space="preserve">The only exception is cholangitis, which is drained immediately.</w:t>
      </w:r>
    </w:p>
    <w:p>
      <w:pPr>
        <w:spacing w:after="50"/>
        <w:ind w:left="240"/>
      </w:pPr>
      <w:r>
        <w:rPr>
          <w:b/>
          <w:bCs/>
          <w:color w:val="8C2F26"/>
          <w:sz w:val="18"/>
          <w:szCs w:val="18"/>
        </w:rPr>
        <w:t xml:space="preserve">Caveat. </w:t>
      </w:r>
      <w:r>
        <w:rPr>
          <w:color w:val="15181F"/>
          <w:sz w:val="18"/>
          <w:szCs w:val="18"/>
        </w:rPr>
        <w:t xml:space="preserve">Stent-related inflammation obscures ductal extent, and drainage of the wrong side or an unnecessary procedure adds cholangitis risk and can delay both surgery and systemic therapy.</w:t>
      </w:r>
    </w:p>
    <w:p>
      <w:pPr>
        <w:spacing w:after="60" w:line="276"/>
        <w:ind w:left="240"/>
      </w:pPr>
      <w:r>
        <w:rPr>
          <w:color w:val="5A6069"/>
          <w:sz w:val="16"/>
          <w:szCs w:val="16"/>
        </w:rPr>
        <w:t xml:space="preserve">Sources: NCCN BTC v1.2026; BSG CCA 2023</w:t>
      </w:r>
    </w:p>
    <w:p>
      <w:pPr>
        <w:spacing w:after="60" w:before="180"/>
      </w:pPr>
      <w:r>
        <w:rPr>
          <w:b/>
          <w:bCs/>
          <w:color w:val="8C2F26"/>
          <w:spacing w:val="16"/>
          <w:sz w:val="16"/>
          <w:szCs w:val="16"/>
        </w:rPr>
        <w:t xml:space="preserve">AVOID</w:t>
      </w:r>
      <w:r>
        <w:rPr>
          <w:color w:val="5A6069"/>
          <w:sz w:val="16"/>
          <w:szCs w:val="16"/>
        </w:rPr>
        <w:t xml:space="preserve">   grade D</w:t>
      </w:r>
    </w:p>
    <w:p>
      <w:pPr>
        <w:spacing w:after="60" w:line="276"/>
      </w:pPr>
      <w:r>
        <w:rPr>
          <w:color w:val="15181F"/>
          <w:sz w:val="19"/>
          <w:szCs w:val="19"/>
        </w:rPr>
        <w:t xml:space="preserve">Do not assign this pathway to perihilar or distal cholangiocarcinoma — the drainage problem, the operation and the transplant question all differ.</w:t>
      </w:r>
    </w:p>
    <w:p>
      <w:pPr>
        <w:spacing w:after="50" w:line="276"/>
        <w:ind w:left="240"/>
      </w:pPr>
      <w:r>
        <w:rPr>
          <w:color w:val="15181F"/>
          <w:sz w:val="18"/>
          <w:szCs w:val="18"/>
        </w:rPr>
        <w:t xml:space="preserve">Use the separate perihilar roadmap; gallbladder cancer, mixed hepatocellular-cholangiocarcinoma and paediatric disease are out of scope here.</w:t>
      </w:r>
    </w:p>
    <w:p>
      <w:pPr>
        <w:spacing w:after="50"/>
        <w:ind w:left="240"/>
      </w:pPr>
      <w:r>
        <w:rPr>
          <w:b/>
          <w:bCs/>
          <w:color w:val="8C2F26"/>
          <w:sz w:val="18"/>
          <w:szCs w:val="18"/>
        </w:rPr>
        <w:t xml:space="preserve">Caveat. </w:t>
      </w:r>
      <w:r>
        <w:rPr>
          <w:color w:val="15181F"/>
          <w:sz w:val="18"/>
          <w:szCs w:val="18"/>
        </w:rPr>
        <w:t xml:space="preserve">In particular, the standardised perihilar MELD exception and its neoadjuvant/stricture protocol do not transfer to intrahepatic disease.</w:t>
      </w:r>
    </w:p>
    <w:p>
      <w:pPr>
        <w:spacing w:after="60" w:line="276"/>
        <w:ind w:left="240"/>
      </w:pPr>
      <w:r>
        <w:rPr>
          <w:color w:val="5A6069"/>
          <w:sz w:val="16"/>
          <w:szCs w:val="16"/>
        </w:rPr>
        <w:t xml:space="preserve">Sources: MH iCCA roadmap v0.6</w:t>
      </w:r>
    </w:p>
    <w:p>
      <w:pPr>
        <w:pBdr>
          <w:bottom w:val="single" w:color="D3DCE4" w:sz="6" w:space="1"/>
        </w:pBdr>
        <w:spacing w:after="80"/>
      </w:pPr>
    </w:p>
    <w:p>
      <w:pPr>
        <w:pStyle w:val="Heading2"/>
        <w:keepNext/>
        <w:pageBreakBefore/>
        <w:spacing w:after="110" w:before="240"/>
      </w:pPr>
      <w:r>
        <w:rPr>
          <w:rFonts w:ascii="Cambria" w:cs="Cambria" w:eastAsia="Cambria" w:hAnsi="Cambria"/>
          <w:b/>
          <w:bCs/>
          <w:color w:val="17365D"/>
          <w:sz w:val="26"/>
          <w:szCs w:val="26"/>
        </w:rPr>
        <w:t xml:space="preserve">2 · Molecular profile ordered at diagnosis</w:t>
      </w:r>
    </w:p>
    <w:p>
      <w:pPr>
        <w:spacing w:after="140"/>
      </w:pPr>
      <w:r>
        <w:rPr>
          <w:b/>
          <w:bCs/>
          <w:color w:val="176A87"/>
          <w:sz w:val="19"/>
          <w:szCs w:val="19"/>
        </w:rPr>
        <w:t xml:space="preserve">The question. </w:t>
      </w:r>
      <w:r>
        <w:rPr>
          <w:sz w:val="19"/>
          <w:szCs w:val="19"/>
        </w:rPr>
        <w:t xml:space="preserve">Will the molecular result be in my hand at the moment the second-line decision is made?</w:t>
      </w:r>
    </w:p>
    <w:p>
      <w:pPr>
        <w:spacing w:after="60" w:before="160"/>
      </w:pPr>
      <w:r>
        <w:rPr>
          <w:b/>
          <w:bCs/>
          <w:color w:val="176A87"/>
          <w:spacing w:val="24"/>
          <w:sz w:val="15"/>
          <w:szCs w:val="15"/>
        </w:rPr>
        <w:t xml:space="preserve">ANY ONE OF THE FOLLOWING HAS TO BE IN HAND</w:t>
      </w:r>
    </w:p>
    <w:p>
      <w:pPr>
        <w:pStyle w:val="ListParagraph"/>
        <w:numPr>
          <w:ilvl w:val="0"/>
          <w:numId w:val="2"/>
        </w:numPr>
        <w:spacing w:after="60" w:line="268"/>
      </w:pPr>
      <w:r>
        <w:rPr>
          <w:color w:val="15181F"/>
          <w:sz w:val="18"/>
          <w:szCs w:val="18"/>
        </w:rPr>
        <w:t xml:space="preserve">Unresectable or metastatic disease at diagnosis — order now, not at the point of second-line progression</w:t>
      </w:r>
    </w:p>
    <w:p>
      <w:pPr>
        <w:pStyle w:val="ListParagraph"/>
        <w:numPr>
          <w:ilvl w:val="0"/>
          <w:numId w:val="2"/>
        </w:numPr>
        <w:spacing w:after="60" w:line="268"/>
      </w:pPr>
      <w:r>
        <w:rPr>
          <w:color w:val="15181F"/>
          <w:sz w:val="18"/>
          <w:szCs w:val="18"/>
        </w:rPr>
        <w:t xml:space="preserve">Borderline or locally advanced disease where systemic therapy is the first step</w:t>
      </w:r>
    </w:p>
    <w:p>
      <w:pPr>
        <w:pStyle w:val="ListParagraph"/>
        <w:numPr>
          <w:ilvl w:val="0"/>
          <w:numId w:val="2"/>
        </w:numPr>
        <w:spacing w:after="60" w:line="268"/>
      </w:pPr>
      <w:r>
        <w:rPr>
          <w:color w:val="15181F"/>
          <w:sz w:val="18"/>
          <w:szCs w:val="18"/>
        </w:rPr>
        <w:t xml:space="preserve">Recurrence after resection that will be treated systemically</w:t>
      </w:r>
    </w:p>
    <w:p>
      <w:pPr>
        <w:pStyle w:val="ListParagraph"/>
        <w:numPr>
          <w:ilvl w:val="0"/>
          <w:numId w:val="2"/>
        </w:numPr>
        <w:spacing w:after="60" w:line="268"/>
      </w:pPr>
      <w:r>
        <w:rPr>
          <w:color w:val="15181F"/>
          <w:sz w:val="18"/>
          <w:szCs w:val="18"/>
        </w:rPr>
        <w:t xml:space="preserve">Adequate tissue preserved from the diagnostic core, or plasma where tissue is inadequate or a biopsy would delay treatment</w:t>
      </w:r>
    </w:p>
    <w:p>
      <w:pPr>
        <w:spacing w:after="80" w:line="276"/>
      </w:pPr>
      <w:r>
        <w:rPr>
          <w:color w:val="15181F"/>
          <w:sz w:val="20"/>
          <w:szCs w:val="20"/>
        </w:rPr>
        <w:t xml:space="preserve"/>
      </w:r>
    </w:p>
    <w:p>
      <w:pPr>
        <w:spacing w:after="60" w:before="180"/>
      </w:pPr>
      <w:r>
        <w:rPr>
          <w:b/>
          <w:bCs/>
          <w:color w:val="17365D"/>
          <w:spacing w:val="16"/>
          <w:sz w:val="16"/>
          <w:szCs w:val="16"/>
        </w:rPr>
        <w:t xml:space="preserve">STANDARD</w:t>
      </w:r>
      <w:r>
        <w:rPr>
          <w:color w:val="5A6069"/>
          <w:sz w:val="16"/>
          <w:szCs w:val="16"/>
        </w:rPr>
        <w:t xml:space="preserve">   grade B</w:t>
      </w:r>
    </w:p>
    <w:p>
      <w:pPr>
        <w:spacing w:after="60" w:line="276"/>
      </w:pPr>
      <w:r>
        <w:rPr>
          <w:color w:val="15181F"/>
          <w:sz w:val="19"/>
          <w:szCs w:val="19"/>
        </w:rPr>
        <w:t xml:space="preserve">Order broad molecular profiling at the diagnosis of unresectable or metastatic disease, not at the point of second-line progression.</w:t>
      </w:r>
    </w:p>
    <w:p>
      <w:pPr>
        <w:spacing w:after="50" w:line="276"/>
        <w:ind w:left="240"/>
      </w:pPr>
      <w:r>
        <w:rPr>
          <w:color w:val="15181F"/>
          <w:sz w:val="18"/>
          <w:szCs w:val="18"/>
        </w:rPr>
        <w:t xml:space="preserve">Everyone who will receive systemic therapy. The rationale is operational rather than biological: turnaround is typically two to four weeks, and a patient who progresses on first-line chemo-immunotherapy needs the result in hand at that moment.</w:t>
      </w:r>
    </w:p>
    <w:p>
      <w:pPr>
        <w:spacing w:after="50"/>
        <w:ind w:left="240"/>
      </w:pPr>
      <w:r>
        <w:rPr>
          <w:b/>
          <w:bCs/>
          <w:color w:val="8C2F26"/>
          <w:sz w:val="18"/>
          <w:szCs w:val="18"/>
        </w:rPr>
        <w:t xml:space="preserve">Caveat. </w:t>
      </w:r>
      <w:r>
        <w:rPr>
          <w:color w:val="15181F"/>
          <w:sz w:val="18"/>
          <w:szCs w:val="18"/>
        </w:rPr>
        <w:t xml:space="preserve">Ordering it at progression means the second-line decision is made without it, and the default becomes FOLFOX by omission rather than by choice. The obstacle here is payer authorisation and ordering discipline, not the clinical argument.</w:t>
      </w:r>
    </w:p>
    <w:p>
      <w:pPr>
        <w:spacing w:after="50" w:line="276"/>
        <w:ind w:left="240"/>
      </w:pPr>
      <w:r>
        <w:rPr>
          <w:i/>
          <w:iCs/>
          <w:color w:val="5A6069"/>
          <w:sz w:val="17"/>
          <w:szCs w:val="17"/>
        </w:rPr>
        <w:t xml:space="preserve">Our grade B is lower than ESMO 2024's [I, A] and BSG 2023's strong recommendation on high-quality evidence. ILTS-ILCA 2024 recommends comprehensive sequencing in unresectable or metastatic iCCA but finds no evidence for using it to select transplant candidates. Capture NRG1 and other actionable findings on the same panel; do not label each matched agent category 1 merely because testing is recommended.</w:t>
      </w:r>
    </w:p>
    <w:p>
      <w:pPr>
        <w:spacing w:after="60" w:line="276"/>
        <w:ind w:left="240"/>
      </w:pPr>
      <w:r>
        <w:rPr>
          <w:color w:val="5A6069"/>
          <w:sz w:val="16"/>
          <w:szCs w:val="16"/>
        </w:rPr>
        <w:t xml:space="preserve">Sources: NCCN BTC v1.2026; ESMO BTC 2024 interim; BSG CCA 2023; AASLD PSC/CCA 2023; ILTS-ILCA 2024 consensus</w:t>
      </w:r>
    </w:p>
    <w:p>
      <w:pPr>
        <w:spacing w:after="60" w:before="180"/>
      </w:pPr>
      <w:r>
        <w:rPr>
          <w:b/>
          <w:bCs/>
          <w:color w:val="17365D"/>
          <w:spacing w:val="16"/>
          <w:sz w:val="16"/>
          <w:szCs w:val="16"/>
        </w:rPr>
        <w:t xml:space="preserve">STANDARD</w:t>
      </w:r>
      <w:r>
        <w:rPr>
          <w:color w:val="5A6069"/>
          <w:sz w:val="16"/>
          <w:szCs w:val="16"/>
        </w:rPr>
        <w:t xml:space="preserve">   grade C</w:t>
      </w:r>
    </w:p>
    <w:p>
      <w:pPr>
        <w:spacing w:after="100" w:line="276"/>
      </w:pPr>
      <w:r>
        <w:rPr>
          <w:i/>
          <w:iCs/>
          <w:color w:val="5A6069"/>
          <w:sz w:val="17"/>
          <w:szCs w:val="17"/>
        </w:rPr>
        <w:t xml:space="preserve">This order reproduces the roadmap's table. It is not a ranking: each option applies only to the patient whose tumour carries that alteration, and there is no randomised evidence establishing a sequence among the targeted options. Only ivosidenib comes from a randomised trial, and that trial was positive on progression-free survival and not on intention-to-treat overall survival; the others are single-arm response data, not comparative survival data.</w:t>
      </w:r>
    </w:p>
    <w:p>
      <w:pPr>
        <w:spacing w:after="50" w:before="120"/>
        <w:ind w:left="240"/>
      </w:pPr>
      <w:r>
        <w:rPr>
          <w:b/>
          <w:bCs/>
          <w:color w:val="15181F"/>
          <w:sz w:val="19"/>
          <w:szCs w:val="19"/>
        </w:rPr>
        <w:t xml:space="preserve">FGFR2 fusion or rearrangement</w:t>
      </w:r>
      <w:r>
        <w:rPr>
          <w:color w:val="5A6069"/>
          <w:sz w:val="15"/>
          <w:szCs w:val="15"/>
        </w:rPr>
        <w:t xml:space="preserve">   grade C</w:t>
      </w:r>
    </w:p>
    <w:p>
      <w:pPr>
        <w:spacing w:after="50" w:line="276"/>
        <w:ind w:left="240"/>
      </w:pPr>
      <w:r>
        <w:rPr>
          <w:color w:val="15181F"/>
          <w:sz w:val="18"/>
          <w:szCs w:val="18"/>
        </w:rPr>
        <w:t xml:space="preserve">Preferred for a defined phenotype. Pemigatinib after prior systemic therapy, or futibatinib after gemcitabine–platinum. At final FIGHT-202 analysis, independently reviewed response was 37.0% with median progression-free survival 7.0 months and median overall survival 17.5 months in 108 patients; FOENIX-CCA2 gave response 42%, median progression-free survival 9.0 months and median overall survival 21.7 months in 103 patients.</w:t>
      </w:r>
    </w:p>
    <w:p>
      <w:pPr>
        <w:spacing w:after="50" w:line="276"/>
        <w:ind w:left="240"/>
      </w:pPr>
      <w:r>
        <w:rPr>
          <w:color w:val="15181F"/>
          <w:sz w:val="18"/>
          <w:szCs w:val="18"/>
        </w:rPr>
        <w:t xml:space="preserve">Second line or later in a patient fit for an oral targeted agent, where the alteration reported is a fusion or rearrangement — 90% of FIGHT-202 and the whole of FOENIX-CCA2 was intrahepatic disease, so this is the alteration with the most directly applicable data.</w:t>
      </w:r>
    </w:p>
    <w:p>
      <w:pPr>
        <w:spacing w:after="50"/>
        <w:ind w:left="240"/>
      </w:pPr>
      <w:r>
        <w:rPr>
          <w:b/>
          <w:bCs/>
          <w:color w:val="8C2F26"/>
          <w:sz w:val="18"/>
          <w:szCs w:val="18"/>
        </w:rPr>
        <w:t xml:space="preserve">Caveat. </w:t>
      </w:r>
      <w:r>
        <w:rPr>
          <w:color w:val="15181F"/>
          <w:sz w:val="18"/>
          <w:szCs w:val="18"/>
        </w:rPr>
        <w:t xml:space="preserve">Do not infer superiority over second-line chemotherapy: both trials are single-arm, neither has been compared with it, and the pemigatinib investigators explicitly warn against the cross-study comparison with pooled second-line chemotherapy (response 9.5%, progression-free survival 2.6 months) that makes the agent look better. Both drugs were approved on these single-arm data. Do not expect the alteration in an untested patient — 783 patients were screened to enrol 103 in FOENIX-CCA2, and 1,206 were prescreened to find 107 fusion-positive patients for FIGHT-202.</w:t>
      </w:r>
    </w:p>
    <w:p>
      <w:pPr>
        <w:spacing w:after="60" w:line="276"/>
        <w:ind w:left="240"/>
      </w:pPr>
      <w:r>
        <w:rPr>
          <w:color w:val="5A6069"/>
          <w:sz w:val="16"/>
          <w:szCs w:val="16"/>
        </w:rPr>
        <w:t xml:space="preserve">Sources: FIGHT-202 final; FIGHT-202; FOENIX-CCA2</w:t>
      </w:r>
    </w:p>
    <w:p>
      <w:pPr>
        <w:spacing w:after="50" w:before="120"/>
        <w:ind w:left="240"/>
      </w:pPr>
      <w:r>
        <w:rPr>
          <w:b/>
          <w:bCs/>
          <w:color w:val="15181F"/>
          <w:sz w:val="19"/>
          <w:szCs w:val="19"/>
        </w:rPr>
        <w:t xml:space="preserve">IDH1 mutation</w:t>
      </w:r>
      <w:r>
        <w:rPr>
          <w:color w:val="5A6069"/>
          <w:sz w:val="15"/>
          <w:szCs w:val="15"/>
        </w:rPr>
        <w:t xml:space="preserve">   grade B</w:t>
      </w:r>
    </w:p>
    <w:p>
      <w:pPr>
        <w:spacing w:after="50" w:line="276"/>
        <w:ind w:left="240"/>
      </w:pPr>
      <w:r>
        <w:rPr>
          <w:color w:val="15181F"/>
          <w:sz w:val="18"/>
          <w:szCs w:val="18"/>
        </w:rPr>
        <w:t xml:space="preserve">Preferred for a defined phenotype, positioned on progression-free survival grounds only. ClarIDHy met its primary endpoint — median progression-free survival 2.7 versus 1.4 months, hazard ratio 0.37 — but the final intention-to-treat overall survival was 10.3 versus 7.5 months, hazard ratio 0.79 (95% CI 0.56–1.12), p=0.09, not significant, with 70% of placebo patients crossing over.</w:t>
      </w:r>
    </w:p>
    <w:p>
      <w:pPr>
        <w:spacing w:after="50" w:line="276"/>
        <w:ind w:left="240"/>
      </w:pPr>
      <w:r>
        <w:rPr>
          <w:color w:val="15181F"/>
          <w:sz w:val="18"/>
          <w:szCs w:val="18"/>
        </w:rPr>
        <w:t xml:space="preserve">A chemotherapy-refractory patient with an IDH1 mutation who understands that the benefit is disease stabilisation: objective response was 2% and the signal came from stable disease, 51% versus 28%. Physical functioning was better preserved than on placebo.</w:t>
      </w:r>
    </w:p>
    <w:p>
      <w:pPr>
        <w:spacing w:after="50"/>
        <w:ind w:left="240"/>
      </w:pPr>
      <w:r>
        <w:rPr>
          <w:b/>
          <w:bCs/>
          <w:color w:val="8C2F26"/>
          <w:sz w:val="18"/>
          <w:szCs w:val="18"/>
        </w:rPr>
        <w:t xml:space="preserve">Caveat. </w:t>
      </w:r>
      <w:r>
        <w:rPr>
          <w:color w:val="15181F"/>
          <w:sz w:val="18"/>
          <w:szCs w:val="18"/>
        </w:rPr>
        <w:t xml:space="preserve">Do not use it to convert unresectable disease — response is almost absent, so it is useless as an on-treatment surgical decision point. Do not quote the crossover-adjusted survival figure (hazard ratio 0.49) as the trial result; it comes from a model that assumes the effect is identical whenever given.</w:t>
      </w:r>
    </w:p>
    <w:p>
      <w:pPr>
        <w:spacing w:after="60" w:line="276"/>
        <w:ind w:left="240"/>
      </w:pPr>
      <w:r>
        <w:rPr>
          <w:color w:val="5A6069"/>
          <w:sz w:val="16"/>
          <w:szCs w:val="16"/>
        </w:rPr>
        <w:t xml:space="preserve">Sources: ClarIDHy; ClarIDHy final OS</w:t>
      </w:r>
    </w:p>
    <w:p>
      <w:pPr>
        <w:spacing w:after="50" w:before="120"/>
        <w:ind w:left="240"/>
      </w:pPr>
      <w:r>
        <w:rPr>
          <w:b/>
          <w:bCs/>
          <w:color w:val="15181F"/>
          <w:sz w:val="19"/>
          <w:szCs w:val="19"/>
        </w:rPr>
        <w:t xml:space="preserve">BRAF V600E</w:t>
      </w:r>
      <w:r>
        <w:rPr>
          <w:color w:val="5A6069"/>
          <w:sz w:val="15"/>
          <w:szCs w:val="15"/>
        </w:rPr>
        <w:t xml:space="preserve">   grade C</w:t>
      </w:r>
    </w:p>
    <w:p>
      <w:pPr>
        <w:spacing w:after="50" w:line="276"/>
        <w:ind w:left="240"/>
      </w:pPr>
      <w:r>
        <w:rPr>
          <w:color w:val="15181F"/>
          <w:sz w:val="18"/>
          <w:szCs w:val="18"/>
        </w:rPr>
        <w:t xml:space="preserve">Preferred for a defined phenotype. Dabrafenib plus trametinib: single-arm, 43 patients, response 51% by investigator and 47% by independent review, median progression-free survival 9 months and median overall survival 14 months — interim analysis.</w:t>
      </w:r>
    </w:p>
    <w:p>
      <w:pPr>
        <w:spacing w:after="50" w:line="276"/>
        <w:ind w:left="240"/>
      </w:pPr>
      <w:r>
        <w:rPr>
          <w:color w:val="15181F"/>
          <w:sz w:val="18"/>
          <w:szCs w:val="18"/>
        </w:rPr>
        <w:t xml:space="preserve">A previously treated patient with a centrally confirmable V600E mutation; 39 of the 43 patients (91%) had intrahepatic disease, so the population matches.</w:t>
      </w:r>
    </w:p>
    <w:p>
      <w:pPr>
        <w:spacing w:after="50"/>
        <w:ind w:left="240"/>
      </w:pPr>
      <w:r>
        <w:rPr>
          <w:b/>
          <w:bCs/>
          <w:color w:val="8C2F26"/>
          <w:sz w:val="18"/>
          <w:szCs w:val="18"/>
        </w:rPr>
        <w:t xml:space="preserve">Caveat. </w:t>
      </w:r>
      <w:r>
        <w:rPr>
          <w:color w:val="15181F"/>
          <w:sz w:val="18"/>
          <w:szCs w:val="18"/>
        </w:rPr>
        <w:t xml:space="preserve">Do not expect the trial's 9% screening yield in practice — several sites entered already-known positives and the real rate is nearer 5–7%. Patients with bilirubin above three times normal or untreatable biliary obstruction were excluded, so this says nothing about the jaundiced patient.</w:t>
      </w:r>
    </w:p>
    <w:p>
      <w:pPr>
        <w:spacing w:after="60" w:line="276"/>
        <w:ind w:left="240"/>
      </w:pPr>
      <w:r>
        <w:rPr>
          <w:color w:val="5A6069"/>
          <w:sz w:val="16"/>
          <w:szCs w:val="16"/>
        </w:rPr>
        <w:t xml:space="preserve">Sources: ROAR</w:t>
      </w:r>
    </w:p>
    <w:p>
      <w:pPr>
        <w:spacing w:after="50" w:before="120"/>
        <w:ind w:left="240"/>
      </w:pPr>
      <w:r>
        <w:rPr>
          <w:b/>
          <w:bCs/>
          <w:color w:val="15181F"/>
          <w:sz w:val="19"/>
          <w:szCs w:val="19"/>
        </w:rPr>
        <w:t xml:space="preserve">HER2 amplification or overexpression</w:t>
      </w:r>
      <w:r>
        <w:rPr>
          <w:color w:val="5A6069"/>
          <w:sz w:val="15"/>
          <w:szCs w:val="15"/>
        </w:rPr>
        <w:t xml:space="preserve">   grade C</w:t>
      </w:r>
    </w:p>
    <w:p>
      <w:pPr>
        <w:spacing w:after="50" w:line="276"/>
        <w:ind w:left="240"/>
      </w:pPr>
      <w:r>
        <w:rPr>
          <w:color w:val="15181F"/>
          <w:sz w:val="18"/>
          <w:szCs w:val="18"/>
        </w:rPr>
        <w:t xml:space="preserve">Preferred for a defined phenotype. Zanidatamab: single-arm; at final analysis (median follow-up 33.4 months, 80 ERBB2-amplified patients) confirmed response was 41% (33 of 80, 95% CI 30–53) and median overall survival 15.5 months.</w:t>
      </w:r>
    </w:p>
    <w:p>
      <w:pPr>
        <w:spacing w:after="50" w:line="276"/>
        <w:ind w:left="240"/>
      </w:pPr>
      <w:r>
        <w:rPr>
          <w:color w:val="15181F"/>
          <w:sz w:val="18"/>
          <w:szCs w:val="18"/>
        </w:rPr>
        <w:t xml:space="preserve">An IHC 3+ tumour, where the activity is concentrated: response 52% (32 of 62) versus 6% (1 of 18) at IHC 2+, disease control 79% versus 33%, and median overall survival 18.1 versus 5.2 months — a post hoc split the authors themselves label as such.</w:t>
      </w:r>
    </w:p>
    <w:p>
      <w:pPr>
        <w:spacing w:after="50"/>
        <w:ind w:left="240"/>
      </w:pPr>
      <w:r>
        <w:rPr>
          <w:b/>
          <w:bCs/>
          <w:color w:val="8C2F26"/>
          <w:sz w:val="18"/>
          <w:szCs w:val="18"/>
        </w:rPr>
        <w:t xml:space="preserve">Caveat. </w:t>
      </w:r>
      <w:r>
        <w:rPr>
          <w:color w:val="15181F"/>
          <w:sz w:val="18"/>
          <w:szCs w:val="18"/>
        </w:rPr>
        <w:t xml:space="preserve">Do not offer it on an IHC 2+ result as though the trial supported it, and do not read the 15.5-month survival as attributable to the drug: there was no control group and 44% of patients received further anticancer therapy afterwards.</w:t>
      </w:r>
    </w:p>
    <w:p>
      <w:pPr>
        <w:spacing w:after="60" w:line="276"/>
        <w:ind w:left="240"/>
      </w:pPr>
      <w:r>
        <w:rPr>
          <w:color w:val="5A6069"/>
          <w:sz w:val="16"/>
          <w:szCs w:val="16"/>
        </w:rPr>
        <w:t xml:space="preserve">Sources: HERIZON-BTC-01; ESMO BTC 2024 interim</w:t>
      </w:r>
    </w:p>
    <w:p>
      <w:pPr>
        <w:spacing w:after="50" w:before="120"/>
        <w:ind w:left="240"/>
      </w:pPr>
      <w:r>
        <w:rPr>
          <w:b/>
          <w:bCs/>
          <w:color w:val="15181F"/>
          <w:sz w:val="19"/>
          <w:szCs w:val="19"/>
        </w:rPr>
        <w:t xml:space="preserve">MSI-high or mismatch-repair deficient</w:t>
      </w:r>
      <w:r>
        <w:rPr>
          <w:color w:val="5A6069"/>
          <w:sz w:val="15"/>
          <w:szCs w:val="15"/>
        </w:rPr>
        <w:t xml:space="preserve">   grade C</w:t>
      </w:r>
    </w:p>
    <w:p>
      <w:pPr>
        <w:spacing w:after="50" w:line="276"/>
        <w:ind w:left="240"/>
      </w:pPr>
      <w:r>
        <w:rPr>
          <w:color w:val="15181F"/>
          <w:sz w:val="18"/>
          <w:szCs w:val="18"/>
        </w:rPr>
        <w:t xml:space="preserve">Preferred for a defined phenotype. Checkpoint blockade, consistent with tumour-agnostic practice.</w:t>
      </w:r>
    </w:p>
    <w:p>
      <w:pPr>
        <w:spacing w:after="50" w:line="276"/>
        <w:ind w:left="240"/>
      </w:pPr>
      <w:r>
        <w:rPr>
          <w:color w:val="15181F"/>
          <w:sz w:val="18"/>
          <w:szCs w:val="18"/>
        </w:rPr>
        <w:t xml:space="preserve">The small hypermutated subset — and it is small: only 5 of 333 evaluable patients in TOPAZ-1 and 10 in KEYNOTE-966 were MSI-high.</w:t>
      </w:r>
    </w:p>
    <w:p>
      <w:pPr>
        <w:spacing w:after="50"/>
        <w:ind w:left="240"/>
      </w:pPr>
      <w:r>
        <w:rPr>
          <w:b/>
          <w:bCs/>
          <w:color w:val="8C2F26"/>
          <w:sz w:val="18"/>
          <w:szCs w:val="18"/>
        </w:rPr>
        <w:t xml:space="preserve">Caveat. </w:t>
      </w:r>
      <w:r>
        <w:rPr>
          <w:color w:val="15181F"/>
          <w:sz w:val="18"/>
          <w:szCs w:val="18"/>
        </w:rPr>
        <w:t xml:space="preserve">Do not recycle checkpoint blockade without accounting for prior exposure to first-line durvalumab or pembrolizumab.</w:t>
      </w:r>
    </w:p>
    <w:p>
      <w:pPr>
        <w:spacing w:after="60" w:line="276"/>
        <w:ind w:left="240"/>
      </w:pPr>
      <w:r>
        <w:rPr>
          <w:color w:val="5A6069"/>
          <w:sz w:val="16"/>
          <w:szCs w:val="16"/>
        </w:rPr>
        <w:t xml:space="preserve">Sources: NCCN BTC v1.2026; TOPAZ-1; KEYNOTE-966</w:t>
      </w:r>
    </w:p>
    <w:p>
      <w:pPr>
        <w:spacing w:after="50" w:before="120"/>
        <w:ind w:left="240"/>
      </w:pPr>
      <w:r>
        <w:rPr>
          <w:b/>
          <w:bCs/>
          <w:color w:val="15181F"/>
          <w:sz w:val="19"/>
          <w:szCs w:val="19"/>
        </w:rPr>
        <w:t xml:space="preserve">NTRK fusion, RET fusion, other actionable alterations</w:t>
      </w:r>
      <w:r>
        <w:rPr>
          <w:color w:val="5A6069"/>
          <w:sz w:val="15"/>
          <w:szCs w:val="15"/>
        </w:rPr>
        <w:t xml:space="preserve">   grade C</w:t>
      </w:r>
    </w:p>
    <w:p>
      <w:pPr>
        <w:spacing w:after="50" w:line="276"/>
        <w:ind w:left="240"/>
      </w:pPr>
      <w:r>
        <w:rPr>
          <w:color w:val="15181F"/>
          <w:sz w:val="18"/>
          <w:szCs w:val="18"/>
        </w:rPr>
        <w:t xml:space="preserve">Reasonable consideration. Capture on the same broad panel so a later line is not delayed by re-testing.</w:t>
      </w:r>
    </w:p>
    <w:p>
      <w:pPr>
        <w:spacing w:after="50" w:line="276"/>
        <w:ind w:left="240"/>
      </w:pPr>
      <w:r>
        <w:rPr>
          <w:color w:val="15181F"/>
          <w:sz w:val="18"/>
          <w:szCs w:val="18"/>
        </w:rPr>
        <w:t xml:space="preserve">Any patient being profiled — the panel costs nothing extra and removes a re-testing delay.</w:t>
      </w:r>
    </w:p>
    <w:p>
      <w:pPr>
        <w:spacing w:after="50"/>
        <w:ind w:left="240"/>
      </w:pPr>
      <w:r>
        <w:rPr>
          <w:b/>
          <w:bCs/>
          <w:color w:val="8C2F26"/>
          <w:sz w:val="18"/>
          <w:szCs w:val="18"/>
        </w:rPr>
        <w:t xml:space="preserve">Caveat. </w:t>
      </w:r>
      <w:r>
        <w:rPr>
          <w:color w:val="15181F"/>
          <w:sz w:val="18"/>
          <w:szCs w:val="18"/>
        </w:rPr>
        <w:t xml:space="preserve">Do not treat capture as a licence to prescribe: ESMO 2024 recommends NTRK inhibitors and selpercatinib for RET fusions on level III evidence, while our table only requires that these alterations be captured. Whether to name the agents is a ratification item.</w:t>
      </w:r>
    </w:p>
    <w:p>
      <w:pPr>
        <w:spacing w:after="60" w:line="276"/>
        <w:ind w:left="240"/>
      </w:pPr>
      <w:r>
        <w:rPr>
          <w:color w:val="5A6069"/>
          <w:sz w:val="16"/>
          <w:szCs w:val="16"/>
        </w:rPr>
        <w:t xml:space="preserve">Sources: ESMO BTC 2024 interim</w:t>
      </w:r>
    </w:p>
    <w:p>
      <w:pPr>
        <w:spacing w:after="60" w:line="276"/>
        <w:ind w:left="240"/>
      </w:pPr>
      <w:r>
        <w:rPr>
          <w:i/>
          <w:iCs/>
          <w:color w:val="5A6069"/>
          <w:sz w:val="16"/>
          <w:szCs w:val="16"/>
        </w:rPr>
        <w:t xml:space="preserve">Match treatment to the alteration class reported, not to the gene name. The evidence above is for FGFR2 fusions or rearrangements, IDH1 mutation, BRAF V600E, HER2 amplification or overexpression, and MSI-high or mismatch-repair deficiency; other alterations in the same genes are not interchangeable and should be reviewed with a clinician experienced in molecular oncology before a matched agent is chosen — Standard, grade D. Whether the HER2 row names trastuzumab deruxtecan and the NTRK/RET row names agents, as ESMO 2024 does, is a ratification item (alignment worksheet, area 14).</w:t>
      </w:r>
    </w:p>
    <w:p>
      <w:pPr>
        <w:spacing w:after="60" w:before="180"/>
      </w:pPr>
      <w:r>
        <w:rPr>
          <w:b/>
          <w:bCs/>
          <w:color w:val="176A87"/>
          <w:spacing w:val="16"/>
          <w:sz w:val="16"/>
          <w:szCs w:val="16"/>
        </w:rPr>
        <w:t xml:space="preserve">REASONABLE</w:t>
      </w:r>
      <w:r>
        <w:rPr>
          <w:color w:val="5A6069"/>
          <w:sz w:val="16"/>
          <w:szCs w:val="16"/>
        </w:rPr>
        <w:t xml:space="preserve">   grade C</w:t>
      </w:r>
    </w:p>
    <w:p>
      <w:pPr>
        <w:spacing w:after="60" w:line="276"/>
      </w:pPr>
      <w:r>
        <w:rPr>
          <w:color w:val="15181F"/>
          <w:sz w:val="19"/>
          <w:szCs w:val="19"/>
        </w:rPr>
        <w:t xml:space="preserve">Use circulating tumour DNA when tissue is inadequate or the biopsy would delay treatment.</w:t>
      </w:r>
    </w:p>
    <w:p>
      <w:pPr>
        <w:spacing w:after="50" w:line="276"/>
        <w:ind w:left="240"/>
      </w:pPr>
      <w:r>
        <w:rPr>
          <w:color w:val="15181F"/>
          <w:sz w:val="18"/>
          <w:szCs w:val="18"/>
        </w:rPr>
        <w:t xml:space="preserve">The patient whose core is exhausted or whose repeat biopsy would push the start of treatment out by weeks.</w:t>
      </w:r>
    </w:p>
    <w:p>
      <w:pPr>
        <w:spacing w:after="50"/>
        <w:ind w:left="240"/>
      </w:pPr>
      <w:r>
        <w:rPr>
          <w:b/>
          <w:bCs/>
          <w:color w:val="8C2F26"/>
          <w:sz w:val="18"/>
          <w:szCs w:val="18"/>
        </w:rPr>
        <w:t xml:space="preserve">Caveat. </w:t>
      </w:r>
      <w:r>
        <w:rPr>
          <w:color w:val="15181F"/>
          <w:sz w:val="18"/>
          <w:szCs w:val="18"/>
        </w:rPr>
        <w:t xml:space="preserve">Do not accept a negative plasma result as excluding a target — BSG 2023 notes DNA-based panels and most liquid biopsies are weaker at detecting fusions, so a negative plasma result should prompt tissue testing where it would change management.</w:t>
      </w:r>
    </w:p>
    <w:p>
      <w:pPr>
        <w:spacing w:after="50" w:line="276"/>
        <w:ind w:left="240"/>
      </w:pPr>
      <w:r>
        <w:rPr>
          <w:i/>
          <w:iCs/>
          <w:color w:val="5A6069"/>
          <w:sz w:val="17"/>
          <w:szCs w:val="17"/>
        </w:rPr>
        <w:t xml:space="preserve">Read the plasma figure for what it is: the FGFR2 fusion or rearrangement was detectable in plasma in 83 of 95 FOENIX-CCA2 patients tested (87%), but those patients were already known to be tissue-positive, so 87% is concordance in a positive population and not the chance of finding a target de novo in an unselected patient. No study in this disease reports the latter.</w:t>
      </w:r>
    </w:p>
    <w:p>
      <w:pPr>
        <w:spacing w:after="60" w:line="276"/>
        <w:ind w:left="240"/>
      </w:pPr>
      <w:r>
        <w:rPr>
          <w:color w:val="5A6069"/>
          <w:sz w:val="16"/>
          <w:szCs w:val="16"/>
        </w:rPr>
        <w:t xml:space="preserve">Sources: BSG CCA 2023; FOENIX-CCA2</w:t>
      </w:r>
    </w:p>
    <w:p>
      <w:pPr>
        <w:spacing w:after="60" w:before="180"/>
      </w:pPr>
      <w:r>
        <w:rPr>
          <w:b/>
          <w:bCs/>
          <w:color w:val="8C2F26"/>
          <w:spacing w:val="16"/>
          <w:sz w:val="16"/>
          <w:szCs w:val="16"/>
        </w:rPr>
        <w:t xml:space="preserve">AVOID</w:t>
      </w:r>
      <w:r>
        <w:rPr>
          <w:color w:val="5A6069"/>
          <w:sz w:val="16"/>
          <w:szCs w:val="16"/>
        </w:rPr>
        <w:t xml:space="preserve">   grade B</w:t>
      </w:r>
    </w:p>
    <w:p>
      <w:pPr>
        <w:spacing w:after="60" w:line="276"/>
      </w:pPr>
      <w:r>
        <w:rPr>
          <w:color w:val="15181F"/>
          <w:sz w:val="19"/>
          <w:szCs w:val="19"/>
        </w:rPr>
        <w:t xml:space="preserve">Do not defer profiling to the point of second-line progression.</w:t>
      </w:r>
    </w:p>
    <w:p>
      <w:pPr>
        <w:spacing w:after="50" w:line="276"/>
        <w:ind w:left="240"/>
      </w:pPr>
      <w:r>
        <w:rPr>
          <w:color w:val="15181F"/>
          <w:sz w:val="18"/>
          <w:szCs w:val="18"/>
        </w:rPr>
        <w:t xml:space="preserve">Order it at diagnosis of unresectable or metastatic disease; audit the proportion profiled before the second-line decision.</w:t>
      </w:r>
    </w:p>
    <w:p>
      <w:pPr>
        <w:spacing w:after="50"/>
        <w:ind w:left="240"/>
      </w:pPr>
      <w:r>
        <w:rPr>
          <w:b/>
          <w:bCs/>
          <w:color w:val="8C2F26"/>
          <w:sz w:val="18"/>
          <w:szCs w:val="18"/>
        </w:rPr>
        <w:t xml:space="preserve">Caveat. </w:t>
      </w:r>
      <w:r>
        <w:rPr>
          <w:color w:val="15181F"/>
          <w:sz w:val="18"/>
          <w:szCs w:val="18"/>
        </w:rPr>
        <w:t xml:space="preserve">The failure mode is not a wrong choice but no choice: the second-line decision gets made without the result, and FOLFOX becomes the default by omission.</w:t>
      </w:r>
    </w:p>
    <w:p>
      <w:pPr>
        <w:spacing w:after="60" w:line="276"/>
        <w:ind w:left="240"/>
      </w:pPr>
      <w:r>
        <w:rPr>
          <w:color w:val="5A6069"/>
          <w:sz w:val="16"/>
          <w:szCs w:val="16"/>
        </w:rPr>
        <w:t xml:space="preserve">Sources: NCCN BTC v1.2026; ESMO BTC 2024 interim</w:t>
      </w:r>
    </w:p>
    <w:p>
      <w:pPr>
        <w:pBdr>
          <w:bottom w:val="single" w:color="D3DCE4" w:sz="6" w:space="1"/>
        </w:pBdr>
        <w:spacing w:after="80"/>
      </w:pPr>
    </w:p>
    <w:p>
      <w:pPr>
        <w:pStyle w:val="Heading2"/>
        <w:keepNext/>
        <w:pageBreakBefore/>
        <w:spacing w:after="110" w:before="240"/>
      </w:pPr>
      <w:r>
        <w:rPr>
          <w:rFonts w:ascii="Cambria" w:cs="Cambria" w:eastAsia="Cambria" w:hAnsi="Cambria"/>
          <w:b/>
          <w:bCs/>
          <w:color w:val="17365D"/>
          <w:sz w:val="26"/>
          <w:szCs w:val="26"/>
        </w:rPr>
        <w:t xml:space="preserve">3 · Resectable now</w:t>
      </w:r>
    </w:p>
    <w:p>
      <w:pPr>
        <w:spacing w:after="140"/>
      </w:pPr>
      <w:r>
        <w:rPr>
          <w:b/>
          <w:bCs/>
          <w:color w:val="176A87"/>
          <w:sz w:val="19"/>
          <w:szCs w:val="19"/>
        </w:rPr>
        <w:t xml:space="preserve">The question. </w:t>
      </w:r>
      <w:r>
        <w:rPr>
          <w:sz w:val="19"/>
          <w:szCs w:val="19"/>
        </w:rPr>
        <w:t xml:space="preserve">Can I take all of this out with a negative margin and leave enough working liver?</w:t>
      </w:r>
    </w:p>
    <w:p>
      <w:pPr>
        <w:spacing w:after="60" w:before="160"/>
      </w:pPr>
      <w:r>
        <w:rPr>
          <w:b/>
          <w:bCs/>
          <w:color w:val="176A87"/>
          <w:spacing w:val="24"/>
          <w:sz w:val="15"/>
          <w:szCs w:val="15"/>
        </w:rPr>
        <w:t xml:space="preserve">ALL OF THE FOLLOWING HAVE TO BE IN HAND</w:t>
      </w:r>
    </w:p>
    <w:p>
      <w:pPr>
        <w:pStyle w:val="ListParagraph"/>
        <w:numPr>
          <w:ilvl w:val="0"/>
          <w:numId w:val="2"/>
        </w:numPr>
        <w:spacing w:after="60" w:line="268"/>
      </w:pPr>
      <w:r>
        <w:rPr>
          <w:color w:val="15181F"/>
          <w:sz w:val="18"/>
          <w:szCs w:val="18"/>
        </w:rPr>
        <w:t xml:space="preserve">R0 achievable: solitary or clustered disease clearable with an adequate functional remnant</w:t>
      </w:r>
    </w:p>
    <w:p>
      <w:pPr>
        <w:pStyle w:val="ListParagraph"/>
        <w:numPr>
          <w:ilvl w:val="0"/>
          <w:numId w:val="2"/>
        </w:numPr>
        <w:spacing w:after="60" w:line="268"/>
      </w:pPr>
      <w:r>
        <w:rPr>
          <w:color w:val="15181F"/>
          <w:sz w:val="18"/>
          <w:szCs w:val="18"/>
        </w:rPr>
        <w:t xml:space="preserve">Inflow, outflow and biliary drainage preservable or reconstructable</w:t>
      </w:r>
    </w:p>
    <w:p>
      <w:pPr>
        <w:pStyle w:val="ListParagraph"/>
        <w:numPr>
          <w:ilvl w:val="0"/>
          <w:numId w:val="2"/>
        </w:numPr>
        <w:spacing w:after="60" w:line="268"/>
      </w:pPr>
      <w:r>
        <w:rPr>
          <w:color w:val="15181F"/>
          <w:sz w:val="18"/>
          <w:szCs w:val="18"/>
        </w:rPr>
        <w:t xml:space="preserve">No nodal disease beyond the regional basin — no retroperitoneal or coeliac stations</w:t>
      </w:r>
    </w:p>
    <w:p>
      <w:pPr>
        <w:pStyle w:val="ListParagraph"/>
        <w:numPr>
          <w:ilvl w:val="0"/>
          <w:numId w:val="2"/>
        </w:numPr>
        <w:spacing w:after="60" w:line="268"/>
      </w:pPr>
      <w:r>
        <w:rPr>
          <w:color w:val="15181F"/>
          <w:sz w:val="18"/>
          <w:szCs w:val="18"/>
        </w:rPr>
        <w:t xml:space="preserve">No extrahepatic disease</w:t>
      </w:r>
    </w:p>
    <w:p>
      <w:pPr>
        <w:pStyle w:val="ListParagraph"/>
        <w:numPr>
          <w:ilvl w:val="0"/>
          <w:numId w:val="2"/>
        </w:numPr>
        <w:spacing w:after="60" w:line="268"/>
      </w:pPr>
      <w:r>
        <w:rPr>
          <w:color w:val="15181F"/>
          <w:sz w:val="18"/>
          <w:szCs w:val="18"/>
        </w:rPr>
        <w:t xml:space="preserve">Adequate reserve and performance status for the operation the anatomy requires</w:t>
      </w:r>
    </w:p>
    <w:p>
      <w:pPr>
        <w:spacing w:after="80" w:line="276"/>
      </w:pPr>
      <w:r>
        <w:rPr>
          <w:color w:val="15181F"/>
          <w:sz w:val="20"/>
          <w:szCs w:val="20"/>
        </w:rPr>
        <w:t xml:space="preserve"/>
      </w:r>
    </w:p>
    <w:p>
      <w:pPr>
        <w:spacing w:after="60" w:before="180"/>
      </w:pPr>
      <w:r>
        <w:rPr>
          <w:b/>
          <w:bCs/>
          <w:color w:val="17365D"/>
          <w:spacing w:val="16"/>
          <w:sz w:val="16"/>
          <w:szCs w:val="16"/>
        </w:rPr>
        <w:t xml:space="preserve">STANDARD</w:t>
      </w:r>
      <w:r>
        <w:rPr>
          <w:color w:val="5A6069"/>
          <w:sz w:val="16"/>
          <w:szCs w:val="16"/>
        </w:rPr>
        <w:t xml:space="preserve">   grade B</w:t>
      </w:r>
    </w:p>
    <w:p>
      <w:pPr>
        <w:spacing w:after="100" w:line="276"/>
      </w:pPr>
      <w:r>
        <w:rPr>
          <w:i/>
          <w:iCs/>
          <w:color w:val="5A6069"/>
          <w:sz w:val="17"/>
          <w:szCs w:val="17"/>
        </w:rPr>
        <w:t xml:space="preserve">Resection is first because it is the established curative standard, not because the alternatives have been shown to be inferior in a randomised trial — none exists in this disease. Ablation sits second on one large propensity-matched cohort plus guideline wording, ablative radiotherapy third on retrospective dose-response and single-arm phase II data with explicitly weaker cure evidence. The order reflects the guidelines' wording and the depth of each dataset, not a demonstrated survival advantage.</w:t>
      </w:r>
    </w:p>
    <w:p>
      <w:pPr>
        <w:spacing w:after="50" w:before="120"/>
        <w:ind w:left="240"/>
      </w:pPr>
      <w:r>
        <w:rPr>
          <w:b/>
          <w:bCs/>
          <w:color w:val="15181F"/>
          <w:sz w:val="19"/>
          <w:szCs w:val="19"/>
        </w:rPr>
        <w:t xml:space="preserve">Resection with regional lymphadenectomy</w:t>
      </w:r>
      <w:r>
        <w:rPr>
          <w:color w:val="5A6069"/>
          <w:sz w:val="15"/>
          <w:szCs w:val="15"/>
        </w:rPr>
        <w:t xml:space="preserve">   grade B</w:t>
      </w:r>
    </w:p>
    <w:p>
      <w:pPr>
        <w:spacing w:after="50" w:line="276"/>
        <w:ind w:left="240"/>
      </w:pPr>
      <w:r>
        <w:rPr>
          <w:color w:val="15181F"/>
          <w:sz w:val="18"/>
          <w:szCs w:val="18"/>
        </w:rPr>
        <w:t xml:space="preserve">The established curative standard. Hepatic resection with negative margins is the goal; major resections are often necessary but wedge and segmental resections are appropriate where a negative margin can be achieved, and a regional lymphadenectomy of the porta hepatis is carried out.</w:t>
      </w:r>
    </w:p>
    <w:p>
      <w:pPr>
        <w:spacing w:after="50" w:line="276"/>
        <w:ind w:left="240"/>
      </w:pPr>
      <w:r>
        <w:rPr>
          <w:color w:val="15181F"/>
          <w:sz w:val="18"/>
          <w:szCs w:val="18"/>
        </w:rPr>
        <w:t xml:space="preserve">Liver-confined disease where R0 is achievable with an adequate remnant and preserved or reconstructable biliary drainage, in a patient fit for the operation. Lymphadenectomy is part of the operation and informs the adjuvant decision in gate 8 — nodal status is the main staging variable afterwards and clinical nodal staging is insensitive.</w:t>
      </w:r>
    </w:p>
    <w:p>
      <w:pPr>
        <w:spacing w:after="50"/>
        <w:ind w:left="240"/>
      </w:pPr>
      <w:r>
        <w:rPr>
          <w:b/>
          <w:bCs/>
          <w:color w:val="8C2F26"/>
          <w:sz w:val="18"/>
          <w:szCs w:val="18"/>
        </w:rPr>
        <w:t xml:space="preserve">Caveat. </w:t>
      </w:r>
      <w:r>
        <w:rPr>
          <w:color w:val="15181F"/>
          <w:sz w:val="18"/>
          <w:szCs w:val="18"/>
        </w:rPr>
        <w:t xml:space="preserve">Multifocal disease across both lobes, satellite pattern implying field disease, encasement precluding reconstruction, bilateral second-order biliary involvement, nodal disease beyond the regional basin, any extrahepatic disease, or reserve that makes the necessary resection unsafe.</w:t>
      </w:r>
    </w:p>
    <w:p>
      <w:pPr>
        <w:spacing w:after="60" w:line="276"/>
        <w:ind w:left="240"/>
      </w:pPr>
      <w:r>
        <w:rPr>
          <w:color w:val="5A6069"/>
          <w:sz w:val="16"/>
          <w:szCs w:val="16"/>
        </w:rPr>
        <w:t xml:space="preserve">Sources: NCCN BTC v1.2026; AASLD PSC/CCA 2023; BSG CCA 2023; LCSGJ iCCA 2022; ESMO BTC 2023 guideline</w:t>
      </w:r>
    </w:p>
    <w:p>
      <w:pPr>
        <w:spacing w:after="50" w:before="120"/>
        <w:ind w:left="240"/>
      </w:pPr>
      <w:r>
        <w:rPr>
          <w:b/>
          <w:bCs/>
          <w:color w:val="15181F"/>
          <w:sz w:val="19"/>
          <w:szCs w:val="19"/>
        </w:rPr>
        <w:t xml:space="preserve">Definitive thermal ablation</w:t>
      </w:r>
      <w:r>
        <w:rPr>
          <w:color w:val="5A6069"/>
          <w:sz w:val="15"/>
          <w:szCs w:val="15"/>
        </w:rPr>
        <w:t xml:space="preserve">   grade C</w:t>
      </w:r>
    </w:p>
    <w:p>
      <w:pPr>
        <w:spacing w:after="50" w:line="276"/>
        <w:ind w:left="240"/>
      </w:pPr>
      <w:r>
        <w:rPr>
          <w:color w:val="15181F"/>
          <w:sz w:val="18"/>
          <w:szCs w:val="18"/>
        </w:rPr>
        <w:t xml:space="preserve">Potentially curative in a narrow nonsurgical group: solitary tumour under 3 cm with a complete safe margin. NCCN accepts thermal ablation for a small single primary or recurrent iCCA under 3 cm, particularly where surgery carries high risk; EASL-ILCA is narrower at single lesions under 2 cm, unresectable or inoperable, on low-level evidence.</w:t>
      </w:r>
    </w:p>
    <w:p>
      <w:pPr>
        <w:spacing w:after="50" w:line="276"/>
        <w:ind w:left="240"/>
      </w:pPr>
      <w:r>
        <w:rPr>
          <w:color w:val="15181F"/>
          <w:sz w:val="18"/>
          <w:szCs w:val="18"/>
        </w:rPr>
        <w:t xml:space="preserve">The small single lesion in a patient whose reserve or comorbidity makes resection unsuitable, where all disease can be treated with a margin of 5 mm or more and there is no uncontrolled nodal or distant disease. In a ten-centre propensity-matched cohort, microwave ablation gave 5-year overall survival of 44.8% versus 40.4% for resection (HR 0.96, 95% CI 0.71–1.29, p=0.761), and when both ablative and surgical margins exceeded 5 mm disease-free survival was also similar (HR 0.83, 95% CI 0.52–1.32, p=0.41).</w:t>
      </w:r>
    </w:p>
    <w:p>
      <w:pPr>
        <w:spacing w:after="50"/>
        <w:ind w:left="240"/>
      </w:pPr>
      <w:r>
        <w:rPr>
          <w:b/>
          <w:bCs/>
          <w:color w:val="8C2F26"/>
          <w:sz w:val="18"/>
          <w:szCs w:val="18"/>
        </w:rPr>
        <w:t xml:space="preserve">Caveat. </w:t>
      </w:r>
      <w:r>
        <w:rPr>
          <w:color w:val="15181F"/>
          <w:sz w:val="18"/>
          <w:szCs w:val="18"/>
        </w:rPr>
        <w:t xml:space="preserve">No safe margin obtainable, central bile duct injury risk, or disease left unaddressed. Do not extrapolate to large or multifocal tumours: in meta-analysis, tumours over 3 cm (HR 2.12) and multiple tumours (HR 1.67) carried shorter survival, and pooled 5-year survival after ablation was 28.5%.</w:t>
      </w:r>
    </w:p>
    <w:p>
      <w:pPr>
        <w:spacing w:after="60" w:line="276"/>
        <w:ind w:left="240"/>
      </w:pPr>
      <w:r>
        <w:rPr>
          <w:color w:val="5A6069"/>
          <w:sz w:val="16"/>
          <w:szCs w:val="16"/>
        </w:rPr>
        <w:t xml:space="preserve">Sources: NCCN BTC v1.2026; EASL-ILCA iCCA 2023; MALRIC primary; Ablation meta-analysis; BSG CCA 2023</w:t>
      </w:r>
    </w:p>
    <w:p>
      <w:pPr>
        <w:spacing w:after="50" w:before="120"/>
        <w:ind w:left="240"/>
      </w:pPr>
      <w:r>
        <w:rPr>
          <w:b/>
          <w:bCs/>
          <w:color w:val="15181F"/>
          <w:sz w:val="19"/>
          <w:szCs w:val="19"/>
        </w:rPr>
        <w:t xml:space="preserve">Ablative radiotherapy for inoperable localized disease</w:t>
      </w:r>
      <w:r>
        <w:rPr>
          <w:color w:val="5A6069"/>
          <w:sz w:val="15"/>
          <w:szCs w:val="15"/>
        </w:rPr>
        <w:t xml:space="preserve">   grade C</w:t>
      </w:r>
    </w:p>
    <w:p>
      <w:pPr>
        <w:spacing w:after="50" w:line="276"/>
        <w:ind w:left="240"/>
      </w:pPr>
      <w:r>
        <w:rPr>
          <w:color w:val="15181F"/>
          <w:sz w:val="18"/>
          <w:szCs w:val="18"/>
        </w:rPr>
        <w:t xml:space="preserve">Selected definitive or consolidative treatment where the disease is localized but the patient is inoperable; cure evidence is limited. It may be selected directly on geometry and reserve — unsuccessful catheter therapy is not a prerequisite.</w:t>
      </w:r>
    </w:p>
    <w:p>
      <w:pPr>
        <w:spacing w:after="50" w:line="276"/>
        <w:ind w:left="240"/>
      </w:pPr>
      <w:r>
        <w:rPr>
          <w:color w:val="15181F"/>
          <w:sz w:val="18"/>
          <w:szCs w:val="18"/>
        </w:rPr>
        <w:t xml:space="preserve">Localized, liver-confined disease in a patient who cannot have an operation or an ablation, with adequate uninvolved liver, relieved biliary obstruction and safe gastrointestinal and biliary doses. A retrospective dose-response analysis of 79 patients found 3-year overall survival of 73% with a biologic equivalent dose above 80.5 Gy versus 38% below it (p=0.017) and 3-year local control 78% versus 45% (p=0.04); a multi-institutional phase II proton study reported 2-year local control of 94.1% in its 39 iCCA patients with grade 3 toxicity in 7.7%.</w:t>
      </w:r>
    </w:p>
    <w:p>
      <w:pPr>
        <w:spacing w:after="50"/>
        <w:ind w:left="240"/>
      </w:pPr>
      <w:r>
        <w:rPr>
          <w:b/>
          <w:bCs/>
          <w:color w:val="8C2F26"/>
          <w:sz w:val="18"/>
          <w:szCs w:val="18"/>
        </w:rPr>
        <w:t xml:space="preserve">Caveat. </w:t>
      </w:r>
      <w:r>
        <w:rPr>
          <w:color w:val="15181F"/>
          <w:sz w:val="18"/>
          <w:szCs w:val="18"/>
        </w:rPr>
        <w:t xml:space="preserve">Insufficient uninvolved liver, unrelieved biliary obstruction, overlapping prior dose or refractory ascites. For bulky disease, coordinate systemic therapy rather than replacing it by default.</w:t>
      </w:r>
    </w:p>
    <w:p>
      <w:pPr>
        <w:spacing w:after="60" w:line="276"/>
        <w:ind w:left="240"/>
      </w:pPr>
      <w:r>
        <w:rPr>
          <w:color w:val="5A6069"/>
          <w:sz w:val="16"/>
          <w:szCs w:val="16"/>
        </w:rPr>
        <w:t xml:space="preserve">Sources: Tao dose-response; Hong proton phase II; BSG CCA 2023</w:t>
      </w:r>
    </w:p>
    <w:p>
      <w:pPr>
        <w:spacing w:after="60" w:line="276"/>
        <w:ind w:left="240"/>
      </w:pPr>
      <w:r>
        <w:rPr>
          <w:i/>
          <w:iCs/>
          <w:color w:val="5A6069"/>
          <w:sz w:val="16"/>
          <w:szCs w:val="16"/>
        </w:rPr>
        <w:t xml:space="preserve">Three ratification items sit on this gate. First, 'regional basin' is undefined in v0.6; AASLD 2023 draws the boundary at nodal metastasis beyond the hepatoduodenal and gastrohepatic ligaments, and an undefined basin is hard to audit (area 3). Second, the roadmap is silent on portal hypertension while AASLD 2023 names decompensated cirrhosis and/or portal hypertension contraindications to resection; numeric reserve rules remain specialty-approved local implementation (area 4). Third, routine lymphadenectomy is kept for every resection, where LCSGJ 2022 makes no recommendation and warns that prophylactic dissection in cirrhosis increases complications (area 5).</w:t>
      </w:r>
    </w:p>
    <w:p>
      <w:pPr>
        <w:spacing w:after="60" w:before="180"/>
      </w:pPr>
      <w:r>
        <w:rPr>
          <w:b/>
          <w:bCs/>
          <w:color w:val="176A87"/>
          <w:spacing w:val="16"/>
          <w:sz w:val="16"/>
          <w:szCs w:val="16"/>
        </w:rPr>
        <w:t xml:space="preserve">REASONABLE</w:t>
      </w:r>
      <w:r>
        <w:rPr>
          <w:color w:val="5A6069"/>
          <w:sz w:val="16"/>
          <w:szCs w:val="16"/>
        </w:rPr>
        <w:t xml:space="preserve">   grade C</w:t>
      </w:r>
    </w:p>
    <w:p>
      <w:pPr>
        <w:spacing w:after="60" w:line="276"/>
      </w:pPr>
      <w:r>
        <w:rPr>
          <w:color w:val="15181F"/>
          <w:sz w:val="19"/>
          <w:szCs w:val="19"/>
        </w:rPr>
        <w:t xml:space="preserve">Consider resection for limited multifocal disease only in highly selected cases, as an explicit exception rather than a rule.</w:t>
      </w:r>
    </w:p>
    <w:p>
      <w:pPr>
        <w:spacing w:after="50" w:line="276"/>
        <w:ind w:left="240"/>
      </w:pPr>
      <w:r>
        <w:rPr>
          <w:color w:val="15181F"/>
          <w:sz w:val="18"/>
          <w:szCs w:val="18"/>
        </w:rPr>
        <w:t xml:space="preserve">Unilobar limited multifocal disease in a fit patient where an R0 clearance with an adequate remnant is genuinely achievable — EASL-ILCA suggests resection may be considered in selected patients with multifocal unilobar iCCA (weak recommendation), and LCSGJ 2022 accepts resection for some node-positive patients.</w:t>
      </w:r>
    </w:p>
    <w:p>
      <w:pPr>
        <w:spacing w:after="50"/>
        <w:ind w:left="240"/>
      </w:pPr>
      <w:r>
        <w:rPr>
          <w:b/>
          <w:bCs/>
          <w:color w:val="8C2F26"/>
          <w:sz w:val="18"/>
          <w:szCs w:val="18"/>
        </w:rPr>
        <w:t xml:space="preserve">Caveat. </w:t>
      </w:r>
      <w:r>
        <w:rPr>
          <w:color w:val="15181F"/>
          <w:sz w:val="18"/>
          <w:szCs w:val="18"/>
        </w:rPr>
        <w:t xml:space="preserve">NCCN states that multifocal liver disease is generally representative of metastatic disease and is a contraindication to resection. Do not turn a narrow exception into unrestricted eligibility; a satellite pattern implying field disease belongs in gate 4 or 5.</w:t>
      </w:r>
    </w:p>
    <w:p>
      <w:pPr>
        <w:spacing w:after="60" w:line="276"/>
        <w:ind w:left="240"/>
      </w:pPr>
      <w:r>
        <w:rPr>
          <w:color w:val="5A6069"/>
          <w:sz w:val="16"/>
          <w:szCs w:val="16"/>
        </w:rPr>
        <w:t xml:space="preserve">Sources: NCCN BTC v1.2026; EASL-ILCA iCCA 2023; LCSGJ iCCA 2022</w:t>
      </w:r>
    </w:p>
    <w:p>
      <w:pPr>
        <w:spacing w:after="60" w:before="180"/>
      </w:pPr>
      <w:r>
        <w:rPr>
          <w:b/>
          <w:bCs/>
          <w:color w:val="176A87"/>
          <w:spacing w:val="16"/>
          <w:sz w:val="16"/>
          <w:szCs w:val="16"/>
        </w:rPr>
        <w:t xml:space="preserve">REASONABLE</w:t>
      </w:r>
      <w:r>
        <w:rPr>
          <w:color w:val="5A6069"/>
          <w:sz w:val="16"/>
          <w:szCs w:val="16"/>
        </w:rPr>
        <w:t xml:space="preserve">   grade C</w:t>
      </w:r>
    </w:p>
    <w:p>
      <w:pPr>
        <w:spacing w:after="60" w:line="276"/>
      </w:pPr>
      <w:r>
        <w:rPr>
          <w:color w:val="15181F"/>
          <w:sz w:val="19"/>
          <w:szCs w:val="19"/>
        </w:rPr>
        <w:t xml:space="preserve">Consider neoadjuvant systemic chemotherapy where the disease is technically resectable but only an R1 resection looks achievable.</w:t>
      </w:r>
    </w:p>
    <w:p>
      <w:pPr>
        <w:spacing w:after="50" w:line="276"/>
        <w:ind w:left="240"/>
      </w:pPr>
      <w:r>
        <w:rPr>
          <w:color w:val="15181F"/>
          <w:sz w:val="18"/>
          <w:szCs w:val="18"/>
        </w:rPr>
        <w:t xml:space="preserve">The technically challenging but resectable tumour where the surgeon's honest assessment is that the margin will be positive — EASL-ILCA considers this (weak recommendation, 92% consensus), and BSG 2023 recommends multidisciplinary re-discussion of curative resection in locally advanced disease that responds well.</w:t>
      </w:r>
    </w:p>
    <w:p>
      <w:pPr>
        <w:spacing w:after="50"/>
        <w:ind w:left="240"/>
      </w:pPr>
      <w:r>
        <w:rPr>
          <w:b/>
          <w:bCs/>
          <w:color w:val="8C2F26"/>
          <w:sz w:val="18"/>
          <w:szCs w:val="18"/>
        </w:rPr>
        <w:t xml:space="preserve">Caveat. </w:t>
      </w:r>
      <w:r>
        <w:rPr>
          <w:color w:val="15181F"/>
          <w:sz w:val="18"/>
          <w:szCs w:val="18"/>
        </w:rPr>
        <w:t xml:space="preserve">Not in clearly resectable disease, where the roadmap places neoadjuvant therapy off protocol in the Avoid column and BSG 2023 does not recommend routine neoadjuvant chemotherapy. Record the obstacle to R0 and the reassessment date, exactly as in gate 4.</w:t>
      </w:r>
    </w:p>
    <w:p>
      <w:pPr>
        <w:spacing w:after="60" w:line="276"/>
        <w:ind w:left="240"/>
      </w:pPr>
      <w:r>
        <w:rPr>
          <w:color w:val="5A6069"/>
          <w:sz w:val="16"/>
          <w:szCs w:val="16"/>
        </w:rPr>
        <w:t xml:space="preserve">Sources: EASL-ILCA iCCA 2023; BSG CCA 2023</w:t>
      </w:r>
    </w:p>
    <w:p>
      <w:pPr>
        <w:spacing w:after="60" w:before="180"/>
      </w:pPr>
      <w:r>
        <w:rPr>
          <w:b/>
          <w:bCs/>
          <w:color w:val="8C2F26"/>
          <w:spacing w:val="16"/>
          <w:sz w:val="16"/>
          <w:szCs w:val="16"/>
        </w:rPr>
        <w:t xml:space="preserve">AVOID</w:t>
      </w:r>
      <w:r>
        <w:rPr>
          <w:color w:val="5A6069"/>
          <w:sz w:val="16"/>
          <w:szCs w:val="16"/>
        </w:rPr>
        <w:t xml:space="preserve">   grade B</w:t>
      </w:r>
    </w:p>
    <w:p>
      <w:pPr>
        <w:spacing w:after="60" w:line="276"/>
      </w:pPr>
      <w:r>
        <w:rPr>
          <w:color w:val="15181F"/>
          <w:sz w:val="19"/>
          <w:szCs w:val="19"/>
        </w:rPr>
        <w:t xml:space="preserve">Do not give neoadjuvant therapy off protocol in clearly resectable disease.</w:t>
      </w:r>
    </w:p>
    <w:p>
      <w:pPr>
        <w:spacing w:after="50" w:line="276"/>
        <w:ind w:left="240"/>
      </w:pPr>
      <w:r>
        <w:rPr>
          <w:color w:val="15181F"/>
          <w:sz w:val="18"/>
          <w:szCs w:val="18"/>
        </w:rPr>
        <w:t xml:space="preserve">Operate, then have the adjuvant conversation in gate 8.</w:t>
      </w:r>
    </w:p>
    <w:p>
      <w:pPr>
        <w:spacing w:after="50"/>
        <w:ind w:left="240"/>
      </w:pPr>
      <w:r>
        <w:rPr>
          <w:b/>
          <w:bCs/>
          <w:color w:val="8C2F26"/>
          <w:sz w:val="18"/>
          <w:szCs w:val="18"/>
        </w:rPr>
        <w:t xml:space="preserve">Caveat. </w:t>
      </w:r>
      <w:r>
        <w:rPr>
          <w:color w:val="15181F"/>
          <w:sz w:val="18"/>
          <w:szCs w:val="18"/>
        </w:rPr>
        <w:t xml:space="preserve">BSG 2023 does not recommend routine neoadjuvant chemotherapy for resectable disease (strong recommendation, low-quality evidence) and LCSGJ 2022 found no evidence of benefit; the cost of delay is a resection not performed.</w:t>
      </w:r>
    </w:p>
    <w:p>
      <w:pPr>
        <w:spacing w:after="60" w:line="276"/>
        <w:ind w:left="240"/>
      </w:pPr>
      <w:r>
        <w:rPr>
          <w:color w:val="5A6069"/>
          <w:sz w:val="16"/>
          <w:szCs w:val="16"/>
        </w:rPr>
        <w:t xml:space="preserve">Sources: MH iCCA roadmap v0.6; BSG CCA 2023; LCSGJ iCCA 2022</w:t>
      </w:r>
    </w:p>
    <w:p>
      <w:pPr>
        <w:spacing w:after="60" w:before="180"/>
      </w:pPr>
      <w:r>
        <w:rPr>
          <w:b/>
          <w:bCs/>
          <w:color w:val="8C2F26"/>
          <w:spacing w:val="16"/>
          <w:sz w:val="16"/>
          <w:szCs w:val="16"/>
        </w:rPr>
        <w:t xml:space="preserve">AVOID</w:t>
      </w:r>
      <w:r>
        <w:rPr>
          <w:color w:val="5A6069"/>
          <w:sz w:val="16"/>
          <w:szCs w:val="16"/>
        </w:rPr>
        <w:t xml:space="preserve">   grade B</w:t>
      </w:r>
    </w:p>
    <w:p>
      <w:pPr>
        <w:spacing w:after="60" w:line="276"/>
      </w:pPr>
      <w:r>
        <w:rPr>
          <w:color w:val="15181F"/>
          <w:sz w:val="19"/>
          <w:szCs w:val="19"/>
        </w:rPr>
        <w:t xml:space="preserve">Do not operate in the presence of nodal disease beyond the regional basin or any extrahepatic disease.</w:t>
      </w:r>
    </w:p>
    <w:p>
      <w:pPr>
        <w:spacing w:after="50" w:line="276"/>
        <w:ind w:left="240"/>
      </w:pPr>
      <w:r>
        <w:rPr>
          <w:color w:val="15181F"/>
          <w:sz w:val="18"/>
          <w:szCs w:val="18"/>
        </w:rPr>
        <w:t xml:space="preserve">Any extrahepatic disease moves the pathway to systemic and molecularly directed therapy — gate 6.</w:t>
      </w:r>
    </w:p>
    <w:p>
      <w:pPr>
        <w:spacing w:after="50"/>
        <w:ind w:left="240"/>
      </w:pPr>
      <w:r>
        <w:rPr>
          <w:b/>
          <w:bCs/>
          <w:color w:val="8C2F26"/>
          <w:sz w:val="18"/>
          <w:szCs w:val="18"/>
        </w:rPr>
        <w:t xml:space="preserve">Caveat. </w:t>
      </w:r>
      <w:r>
        <w:rPr>
          <w:color w:val="15181F"/>
          <w:sz w:val="18"/>
          <w:szCs w:val="18"/>
        </w:rPr>
        <w:t xml:space="preserve">NCCN states lymph node metastases beyond the porta hepatis and distant metastatic disease contraindicate resection; AASLD 2023 prefers upfront chemotherapy and treats later rescue surgery as individualised.</w:t>
      </w:r>
    </w:p>
    <w:p>
      <w:pPr>
        <w:spacing w:after="60" w:line="276"/>
        <w:ind w:left="240"/>
      </w:pPr>
      <w:r>
        <w:rPr>
          <w:color w:val="5A6069"/>
          <w:sz w:val="16"/>
          <w:szCs w:val="16"/>
        </w:rPr>
        <w:t xml:space="preserve">Sources: NCCN BTC v1.2026; AASLD PSC/CCA 2023</w:t>
      </w:r>
    </w:p>
    <w:p>
      <w:pPr>
        <w:pBdr>
          <w:bottom w:val="single" w:color="D3DCE4" w:sz="6" w:space="1"/>
        </w:pBdr>
        <w:spacing w:after="80"/>
      </w:pPr>
    </w:p>
    <w:p>
      <w:pPr>
        <w:pStyle w:val="Heading2"/>
        <w:keepNext/>
        <w:pageBreakBefore/>
        <w:spacing w:after="110" w:before="240"/>
      </w:pPr>
      <w:r>
        <w:rPr>
          <w:rFonts w:ascii="Cambria" w:cs="Cambria" w:eastAsia="Cambria" w:hAnsi="Cambria"/>
          <w:b/>
          <w:bCs/>
          <w:color w:val="17365D"/>
          <w:sz w:val="26"/>
          <w:szCs w:val="26"/>
        </w:rPr>
        <w:t xml:space="preserve">4 · Resectable after conversion</w:t>
      </w:r>
    </w:p>
    <w:p>
      <w:pPr>
        <w:spacing w:after="140"/>
      </w:pPr>
      <w:r>
        <w:rPr>
          <w:b/>
          <w:bCs/>
          <w:color w:val="176A87"/>
          <w:sz w:val="19"/>
          <w:szCs w:val="19"/>
        </w:rPr>
        <w:t xml:space="preserve">The question. </w:t>
      </w:r>
      <w:r>
        <w:rPr>
          <w:sz w:val="19"/>
          <w:szCs w:val="19"/>
        </w:rPr>
        <w:t xml:space="preserve">What exactly has to change for this to become resectable, and when will I look?</w:t>
      </w:r>
    </w:p>
    <w:p>
      <w:pPr>
        <w:spacing w:after="60" w:before="160"/>
      </w:pPr>
      <w:r>
        <w:rPr>
          <w:b/>
          <w:bCs/>
          <w:color w:val="176A87"/>
          <w:spacing w:val="24"/>
          <w:sz w:val="15"/>
          <w:szCs w:val="15"/>
        </w:rPr>
        <w:t xml:space="preserve">ALL OF THE FOLLOWING HAVE TO BE IN HAND</w:t>
      </w:r>
    </w:p>
    <w:p>
      <w:pPr>
        <w:pStyle w:val="ListParagraph"/>
        <w:numPr>
          <w:ilvl w:val="0"/>
          <w:numId w:val="2"/>
        </w:numPr>
        <w:spacing w:after="60" w:line="268"/>
      </w:pPr>
      <w:r>
        <w:rPr>
          <w:color w:val="15181F"/>
          <w:sz w:val="18"/>
          <w:szCs w:val="18"/>
        </w:rPr>
        <w:t xml:space="preserve">Not R0 now, and the specific obstacle to R0 is recorded</w:t>
      </w:r>
    </w:p>
    <w:p>
      <w:pPr>
        <w:pStyle w:val="ListParagraph"/>
        <w:numPr>
          <w:ilvl w:val="0"/>
          <w:numId w:val="2"/>
        </w:numPr>
        <w:spacing w:after="60" w:line="268"/>
      </w:pPr>
      <w:r>
        <w:rPr>
          <w:color w:val="15181F"/>
          <w:sz w:val="18"/>
          <w:szCs w:val="18"/>
        </w:rPr>
        <w:t xml:space="preserve">No extrahepatic disease</w:t>
      </w:r>
    </w:p>
    <w:p>
      <w:pPr>
        <w:pStyle w:val="ListParagraph"/>
        <w:numPr>
          <w:ilvl w:val="0"/>
          <w:numId w:val="2"/>
        </w:numPr>
        <w:spacing w:after="60" w:line="268"/>
      </w:pPr>
      <w:r>
        <w:rPr>
          <w:color w:val="15181F"/>
          <w:sz w:val="18"/>
          <w:szCs w:val="18"/>
        </w:rPr>
        <w:t xml:space="preserve">What would have to change for resection to become possible is recorded alongside the plan</w:t>
      </w:r>
    </w:p>
    <w:p>
      <w:pPr>
        <w:pStyle w:val="ListParagraph"/>
        <w:numPr>
          <w:ilvl w:val="0"/>
          <w:numId w:val="2"/>
        </w:numPr>
        <w:spacing w:after="60" w:line="268"/>
      </w:pPr>
      <w:r>
        <w:rPr>
          <w:color w:val="15181F"/>
          <w:sz w:val="18"/>
          <w:szCs w:val="18"/>
        </w:rPr>
        <w:t xml:space="preserve">A reassessment date at 2–3 months is declared before treatment starts</w:t>
      </w:r>
    </w:p>
    <w:p>
      <w:pPr>
        <w:pStyle w:val="ListParagraph"/>
        <w:numPr>
          <w:ilvl w:val="0"/>
          <w:numId w:val="2"/>
        </w:numPr>
        <w:spacing w:after="60" w:line="268"/>
      </w:pPr>
      <w:r>
        <w:rPr>
          <w:color w:val="15181F"/>
          <w:sz w:val="18"/>
          <w:szCs w:val="18"/>
        </w:rPr>
        <w:t xml:space="preserve">Fit for the systemic regimen that is the backbone of any conversion attempt</w:t>
      </w:r>
    </w:p>
    <w:p>
      <w:pPr>
        <w:spacing w:after="80" w:line="276"/>
      </w:pPr>
      <w:r>
        <w:rPr>
          <w:color w:val="15181F"/>
          <w:sz w:val="20"/>
          <w:szCs w:val="20"/>
        </w:rPr>
        <w:t xml:space="preserve"/>
      </w:r>
    </w:p>
    <w:p>
      <w:pPr>
        <w:spacing w:after="60" w:before="180"/>
      </w:pPr>
      <w:r>
        <w:rPr>
          <w:b/>
          <w:bCs/>
          <w:color w:val="17365D"/>
          <w:spacing w:val="16"/>
          <w:sz w:val="16"/>
          <w:szCs w:val="16"/>
        </w:rPr>
        <w:t xml:space="preserve">STANDARD</w:t>
      </w:r>
      <w:r>
        <w:rPr>
          <w:color w:val="5A6069"/>
          <w:sz w:val="16"/>
          <w:szCs w:val="16"/>
        </w:rPr>
        <w:t xml:space="preserve">   grade C</w:t>
      </w:r>
    </w:p>
    <w:p>
      <w:pPr>
        <w:spacing w:after="60" w:line="276"/>
      </w:pPr>
      <w:r>
        <w:rPr>
          <w:color w:val="15181F"/>
          <w:sz w:val="19"/>
          <w:szCs w:val="19"/>
        </w:rPr>
        <w:t xml:space="preserve">Systemic therapy with a scheduled surgical reassessment at 2–3 months. The obstacle to R0 and what would have to change must both be recorded.</w:t>
      </w:r>
    </w:p>
    <w:p>
      <w:pPr>
        <w:spacing w:after="50" w:line="276"/>
        <w:ind w:left="240"/>
      </w:pPr>
      <w:r>
        <w:rPr>
          <w:color w:val="15181F"/>
          <w:sz w:val="18"/>
          <w:szCs w:val="18"/>
        </w:rPr>
        <w:t xml:space="preserve">Borderline or locally advanced liver-confined disease in a patient fit for chemo-immunotherapy, where conversion is a declared goal rather than a hope. Reassessment at the pre-declared point is a formal surgical re-review, not an imaging report alone.</w:t>
      </w:r>
    </w:p>
    <w:p>
      <w:pPr>
        <w:spacing w:after="50"/>
        <w:ind w:left="240"/>
      </w:pPr>
      <w:r>
        <w:rPr>
          <w:b/>
          <w:bCs/>
          <w:color w:val="8C2F26"/>
          <w:sz w:val="18"/>
          <w:szCs w:val="18"/>
        </w:rPr>
        <w:t xml:space="preserve">Caveat. </w:t>
      </w:r>
      <w:r>
        <w:rPr>
          <w:color w:val="15181F"/>
          <w:sz w:val="18"/>
          <w:szCs w:val="18"/>
        </w:rPr>
        <w:t xml:space="preserve">Do not run conversion therapy open-endedly. If R0 is not achievable at the reassessment, say so and record that the goal has changed from conversion to control — that is the decision the board has to make.</w:t>
      </w:r>
    </w:p>
    <w:p>
      <w:pPr>
        <w:spacing w:after="50" w:line="276"/>
        <w:ind w:left="240"/>
      </w:pPr>
      <w:r>
        <w:rPr>
          <w:i/>
          <w:iCs/>
          <w:color w:val="5A6069"/>
          <w:sz w:val="17"/>
          <w:szCs w:val="17"/>
        </w:rPr>
        <w:t xml:space="preserve">The conversion figures are weaker than they sound. The rates of 36.4% and 53% come from retrospective Japanese series quoted by LCSGJ 2022, which in the same breath records no evidence of benefit for neoadjuvant chemotherapy and makes no recommendation; the denominators are not defined and the series report median survival of 24.1 months in converted patients against 25.7 months in those primarily resectable. AASLD 2023 states the role of neoadjuvant downstaging is not well defined, and BSG 2023 does not recommend routine neoadjuvant chemotherapy. The roadmap grades this pathway C for those reasons. Note also that neither chemo-immunotherapy trial supports it: TOPAZ-1 and KEYNOTE-966 were 86% and 89% metastatic and neither says anything about downstaging.</w:t>
      </w:r>
    </w:p>
    <w:p>
      <w:pPr>
        <w:spacing w:after="60" w:line="276"/>
        <w:ind w:left="240"/>
      </w:pPr>
      <w:r>
        <w:rPr>
          <w:color w:val="5A6069"/>
          <w:sz w:val="16"/>
          <w:szCs w:val="16"/>
        </w:rPr>
        <w:t xml:space="preserve">Sources: MH iCCA roadmap v0.6; ABC-02; TOPAZ-1; KEYNOTE-966; BSG CCA 2023</w:t>
      </w:r>
    </w:p>
    <w:p>
      <w:pPr>
        <w:spacing w:after="60" w:before="180"/>
      </w:pPr>
      <w:r>
        <w:rPr>
          <w:b/>
          <w:bCs/>
          <w:color w:val="176A87"/>
          <w:spacing w:val="16"/>
          <w:sz w:val="16"/>
          <w:szCs w:val="16"/>
        </w:rPr>
        <w:t xml:space="preserve">REASONABLE</w:t>
      </w:r>
      <w:r>
        <w:rPr>
          <w:color w:val="5A6069"/>
          <w:sz w:val="16"/>
          <w:szCs w:val="16"/>
        </w:rPr>
        <w:t xml:space="preserve">   grade C</w:t>
      </w:r>
    </w:p>
    <w:p>
      <w:pPr>
        <w:spacing w:after="100" w:line="276"/>
      </w:pPr>
      <w:r>
        <w:rPr>
          <w:i/>
          <w:iCs/>
          <w:color w:val="5A6069"/>
          <w:sz w:val="17"/>
          <w:szCs w:val="17"/>
        </w:rPr>
        <w:t xml:space="preserve">No head-to-head comparison exists between these, and none has been tested against a modern chemo-immunotherapy backbone. The order follows the depth of the conversion data specifically — HAI and Y90 both report patients actually taken to resection (4 of 38 and 9 of 41), radiotherapy does not — and the roadmap's own condition that conversion be the explicit goal and the programme exist. It carries no survival claim.</w:t>
      </w:r>
    </w:p>
    <w:p>
      <w:pPr>
        <w:spacing w:after="50" w:before="120"/>
        <w:ind w:left="240"/>
      </w:pPr>
      <w:r>
        <w:rPr>
          <w:b/>
          <w:bCs/>
          <w:color w:val="15181F"/>
          <w:sz w:val="19"/>
          <w:szCs w:val="19"/>
        </w:rPr>
        <w:t xml:space="preserve">Hepatic arterial infusion plus systemic chemotherapy</w:t>
      </w:r>
      <w:r>
        <w:rPr>
          <w:color w:val="5A6069"/>
          <w:sz w:val="15"/>
          <w:szCs w:val="15"/>
        </w:rPr>
        <w:t xml:space="preserve">   grade C</w:t>
      </w:r>
      <w:r>
        <w:rPr>
          <w:b/>
          <w:bCs/>
          <w:color w:val="8E5008"/>
          <w:spacing w:val="12"/>
          <w:sz w:val="14"/>
          <w:szCs w:val="14"/>
        </w:rPr>
        <w:t xml:space="preserve">   EXPERTISE</w:t>
      </w:r>
    </w:p>
    <w:p>
      <w:pPr>
        <w:spacing w:after="50" w:line="276"/>
        <w:ind w:left="240"/>
      </w:pPr>
      <w:r>
        <w:rPr>
          <w:color w:val="15181F"/>
          <w:sz w:val="18"/>
          <w:szCs w:val="18"/>
        </w:rPr>
        <w:t xml:space="preserve">Conversion or hepatic control in an approved expert programme, generally with systemic therapy; no established cure as monotherapy. In a single-arm, single-institution phase 2 study of 38 treated patients, HAI floxuridine with systemic gemcitabine–oxaliplatin gave partial response in 22 of 38 (58%) and 6-month progression-free survival of 84.1% against an 80% target, with median progression-free survival 11.8 months and median overall survival 25.0 months, and four patients went on to resection.</w:t>
      </w:r>
    </w:p>
    <w:p>
      <w:pPr>
        <w:spacing w:after="50" w:line="276"/>
        <w:ind w:left="240"/>
      </w:pPr>
      <w:r>
        <w:rPr>
          <w:color w:val="15181F"/>
          <w:sz w:val="18"/>
          <w:szCs w:val="18"/>
        </w:rPr>
        <w:t xml:space="preserve">Liver-confined unresectable disease with favourable arterial anatomy in a centre with a functioning pump programme, where conversion or durable hepatic control is the stated goal. It can be considered early rather than only after a systemic line fails.</w:t>
      </w:r>
    </w:p>
    <w:p>
      <w:pPr>
        <w:spacing w:after="50"/>
        <w:ind w:left="240"/>
      </w:pPr>
      <w:r>
        <w:rPr>
          <w:b/>
          <w:bCs/>
          <w:color w:val="8C2F26"/>
          <w:sz w:val="18"/>
          <w:szCs w:val="18"/>
        </w:rPr>
        <w:t xml:space="preserve">Caveat. No dedicated pump programme, distant extrahepatic metastases, or unrelieved biliary obstruction. Do not treat it as interchangeable with a modern chemo-immunotherapy regimen, and do not count response as the curative event — conversion to a complete operation is.</w:t>
      </w:r>
      <w:r>
        <w:rPr>
          <w:color w:val="15181F"/>
          <w:sz w:val="18"/>
          <w:szCs w:val="18"/>
        </w:rPr>
        <w:t xml:space="preserve"/>
      </w:r>
    </w:p>
    <w:p>
      <w:pPr>
        <w:spacing w:after="60" w:line="276"/>
        <w:ind w:left="240"/>
      </w:pPr>
      <w:r>
        <w:rPr>
          <w:color w:val="5A6069"/>
          <w:sz w:val="16"/>
          <w:szCs w:val="16"/>
        </w:rPr>
        <w:t xml:space="preserve">Sources: Cercek HAI phase 2; Konstantinidis HAI cohort; NCCN BTC v1.2026</w:t>
      </w:r>
    </w:p>
    <w:p>
      <w:pPr>
        <w:spacing w:after="50" w:before="120"/>
        <w:ind w:left="240"/>
      </w:pPr>
      <w:r>
        <w:rPr>
          <w:b/>
          <w:bCs/>
          <w:color w:val="15181F"/>
          <w:sz w:val="19"/>
          <w:szCs w:val="19"/>
        </w:rPr>
        <w:t xml:space="preserve">Y90 radioembolisation with first-line chemotherapy</w:t>
      </w:r>
      <w:r>
        <w:rPr>
          <w:color w:val="5A6069"/>
          <w:sz w:val="15"/>
          <w:szCs w:val="15"/>
        </w:rPr>
        <w:t xml:space="preserve">   grade C</w:t>
      </w:r>
      <w:r>
        <w:rPr>
          <w:b/>
          <w:bCs/>
          <w:color w:val="8E5008"/>
          <w:spacing w:val="12"/>
          <w:sz w:val="14"/>
          <w:szCs w:val="14"/>
        </w:rPr>
        <w:t xml:space="preserve">   EXPERTISE</w:t>
      </w:r>
    </w:p>
    <w:p>
      <w:pPr>
        <w:spacing w:after="50" w:line="276"/>
        <w:ind w:left="240"/>
      </w:pPr>
      <w:r>
        <w:rPr>
          <w:color w:val="15181F"/>
          <w:sz w:val="18"/>
          <w:szCs w:val="18"/>
        </w:rPr>
        <w:t xml:space="preserve">Control or conversion with selected ablative use under expert review; curative evidence is emerging, not established. MISPHEC, a single-arm phase II study of 41 patients, combined Y90 with gemcitabine–cisplatin: response at 3 months was 39% by investigator assessment and 41% centrally, 9 patients (22%) were downstaged to surgery and 8 (20%) achieved an R0 resection, with median overall survival 22 months.</w:t>
      </w:r>
    </w:p>
    <w:p>
      <w:pPr>
        <w:spacing w:after="50" w:line="276"/>
        <w:ind w:left="240"/>
      </w:pPr>
      <w:r>
        <w:rPr>
          <w:color w:val="15181F"/>
          <w:sz w:val="18"/>
          <w:szCs w:val="18"/>
        </w:rPr>
        <w:t xml:space="preserve">Liver-dominant unresectable disease in a non-cirrhotic patient with personalised dosimetry available, where conversion is the explicit plan — among the 27 patients with disease confined to one hemiliver, 8 (30%) were resected.</w:t>
      </w:r>
    </w:p>
    <w:p>
      <w:pPr>
        <w:spacing w:after="50"/>
        <w:ind w:left="240"/>
      </w:pPr>
      <w:r>
        <w:rPr>
          <w:b/>
          <w:bCs/>
          <w:color w:val="8C2F26"/>
          <w:sz w:val="18"/>
          <w:szCs w:val="18"/>
        </w:rPr>
        <w:t xml:space="preserve">Caveat. </w:t>
      </w:r>
      <w:r>
        <w:rPr>
          <w:color w:val="15181F"/>
          <w:sz w:val="18"/>
          <w:szCs w:val="18"/>
        </w:rPr>
        <w:t xml:space="preserve">Cirrhosis above all: hepatic failure occurred in 9 of 12 cirrhotic patients (75%), irreversible in 5, versus 5 of 29 (17%) without cirrhosis, all reversible, and every irreversible case had whole-liver treatment. The trial's authors advise against radioembolisation plus chemotherapy in cirrhosis. Also avoid with inadequate future remnant or an unsafe shunt fraction.</w:t>
      </w:r>
    </w:p>
    <w:p>
      <w:pPr>
        <w:spacing w:after="60" w:line="276"/>
        <w:ind w:left="240"/>
      </w:pPr>
      <w:r>
        <w:rPr>
          <w:color w:val="5A6069"/>
          <w:sz w:val="16"/>
          <w:szCs w:val="16"/>
        </w:rPr>
        <w:t xml:space="preserve">Sources: MISPHEC; NCCN BTC v1.2026</w:t>
      </w:r>
    </w:p>
    <w:p>
      <w:pPr>
        <w:spacing w:after="50" w:before="120"/>
        <w:ind w:left="240"/>
      </w:pPr>
      <w:r>
        <w:rPr>
          <w:b/>
          <w:bCs/>
          <w:color w:val="15181F"/>
          <w:sz w:val="19"/>
          <w:szCs w:val="19"/>
        </w:rPr>
        <w:t xml:space="preserve">Liver-directed radiotherapy where conversion is the goal</w:t>
      </w:r>
      <w:r>
        <w:rPr>
          <w:color w:val="5A6069"/>
          <w:sz w:val="15"/>
          <w:szCs w:val="15"/>
        </w:rPr>
        <w:t xml:space="preserve">   grade C</w:t>
      </w:r>
    </w:p>
    <w:p>
      <w:pPr>
        <w:spacing w:after="50" w:line="276"/>
        <w:ind w:left="240"/>
      </w:pPr>
      <w:r>
        <w:rPr>
          <w:color w:val="15181F"/>
          <w:sz w:val="18"/>
          <w:szCs w:val="18"/>
        </w:rPr>
        <w:t xml:space="preserve">Ablative or hypofractionated radiotherapy as the liver-directed component of a conversion strategy, selected on geometry and reserve.</w:t>
      </w:r>
    </w:p>
    <w:p>
      <w:pPr>
        <w:spacing w:after="50" w:line="276"/>
        <w:ind w:left="240"/>
      </w:pPr>
      <w:r>
        <w:rPr>
          <w:color w:val="15181F"/>
          <w:sz w:val="18"/>
          <w:szCs w:val="18"/>
        </w:rPr>
        <w:t xml:space="preserve">Disease whose obstacle to resection is a single geometric relationship that dose can address, in a patient with adequate uninvolved liver and relieved biliary obstruction.</w:t>
      </w:r>
    </w:p>
    <w:p>
      <w:pPr>
        <w:spacing w:after="50"/>
        <w:ind w:left="240"/>
      </w:pPr>
      <w:r>
        <w:rPr>
          <w:b/>
          <w:bCs/>
          <w:color w:val="8C2F26"/>
          <w:sz w:val="18"/>
          <w:szCs w:val="18"/>
        </w:rPr>
        <w:t xml:space="preserve">Caveat. </w:t>
      </w:r>
      <w:r>
        <w:rPr>
          <w:color w:val="15181F"/>
          <w:sz w:val="18"/>
          <w:szCs w:val="18"/>
        </w:rPr>
        <w:t xml:space="preserve">Insufficient uninvolved liver, unrelieved biliary obstruction, overlapping prior dose or refractory ascites. The conversion evidence here is weaker than for HAI or Y90: the dose-response and proton datasets report local control and survival, not resection rates.</w:t>
      </w:r>
    </w:p>
    <w:p>
      <w:pPr>
        <w:spacing w:after="60" w:line="276"/>
        <w:ind w:left="240"/>
      </w:pPr>
      <w:r>
        <w:rPr>
          <w:color w:val="5A6069"/>
          <w:sz w:val="16"/>
          <w:szCs w:val="16"/>
        </w:rPr>
        <w:t xml:space="preserve">Sources: Tao dose-response; Hong proton phase II</w:t>
      </w:r>
    </w:p>
    <w:p>
      <w:pPr>
        <w:spacing w:after="60" w:line="276"/>
        <w:ind w:left="240"/>
      </w:pPr>
      <w:r>
        <w:rPr>
          <w:i/>
          <w:iCs/>
          <w:color w:val="5A6069"/>
          <w:sz w:val="16"/>
          <w:szCs w:val="16"/>
        </w:rPr>
        <w:t xml:space="preserve">Ratify whether the institution can deliver an iCCA HAI service and the selection/sequence criteria. PUMP-2 adds multicentre phase II evidence, but no randomized comparison against modern chemo-immunotherapy establishes a preferred regional modality (PMID 41082695).</w:t>
      </w:r>
    </w:p>
    <w:p>
      <w:pPr>
        <w:spacing w:after="60" w:before="180"/>
      </w:pPr>
      <w:r>
        <w:rPr>
          <w:b/>
          <w:bCs/>
          <w:color w:val="8C2F26"/>
          <w:spacing w:val="16"/>
          <w:sz w:val="16"/>
          <w:szCs w:val="16"/>
        </w:rPr>
        <w:t xml:space="preserve">AVOID</w:t>
      </w:r>
      <w:r>
        <w:rPr>
          <w:color w:val="5A6069"/>
          <w:sz w:val="16"/>
          <w:szCs w:val="16"/>
        </w:rPr>
        <w:t xml:space="preserve">   grade D</w:t>
      </w:r>
    </w:p>
    <w:p>
      <w:pPr>
        <w:spacing w:after="60" w:line="276"/>
      </w:pPr>
      <w:r>
        <w:rPr>
          <w:color w:val="15181F"/>
          <w:sz w:val="19"/>
          <w:szCs w:val="19"/>
        </w:rPr>
        <w:t xml:space="preserve">Do not run open-ended conversion therapy with no defined reassessment.</w:t>
      </w:r>
    </w:p>
    <w:p>
      <w:pPr>
        <w:spacing w:after="50" w:line="276"/>
        <w:ind w:left="240"/>
      </w:pPr>
      <w:r>
        <w:rPr>
          <w:color w:val="15181F"/>
          <w:sz w:val="18"/>
          <w:szCs w:val="18"/>
        </w:rPr>
        <w:t xml:space="preserve">Declare the reassessment point before treatment starts and hold to it; after progression or toxicity, restage and reconsider complete treatment rather than automatically repeating the same procedure.</w:t>
      </w:r>
    </w:p>
    <w:p>
      <w:pPr>
        <w:spacing w:after="50"/>
        <w:ind w:left="240"/>
      </w:pPr>
      <w:r>
        <w:rPr>
          <w:b/>
          <w:bCs/>
          <w:color w:val="8C2F26"/>
          <w:sz w:val="18"/>
          <w:szCs w:val="18"/>
        </w:rPr>
        <w:t xml:space="preserve">Caveat. </w:t>
      </w:r>
      <w:r>
        <w:rPr>
          <w:color w:val="15181F"/>
          <w:sz w:val="18"/>
          <w:szCs w:val="18"/>
        </w:rPr>
        <w:t xml:space="preserve">A patient who drifts through four months of therapy without a surgical re-review has lost the conversion opportunity without anyone deciding to abandon it.</w:t>
      </w:r>
    </w:p>
    <w:p>
      <w:pPr>
        <w:spacing w:after="60" w:line="276"/>
        <w:ind w:left="240"/>
      </w:pPr>
      <w:r>
        <w:rPr>
          <w:color w:val="5A6069"/>
          <w:sz w:val="16"/>
          <w:szCs w:val="16"/>
        </w:rPr>
        <w:t xml:space="preserve">Sources: MH iCCA roadmap v0.6</w:t>
      </w:r>
    </w:p>
    <w:p>
      <w:pPr>
        <w:spacing w:after="60" w:before="180"/>
      </w:pPr>
      <w:r>
        <w:rPr>
          <w:b/>
          <w:bCs/>
          <w:color w:val="8C2F26"/>
          <w:spacing w:val="16"/>
          <w:sz w:val="16"/>
          <w:szCs w:val="16"/>
        </w:rPr>
        <w:t xml:space="preserve">AVOID</w:t>
      </w:r>
      <w:r>
        <w:rPr>
          <w:color w:val="5A6069"/>
          <w:sz w:val="16"/>
          <w:szCs w:val="16"/>
        </w:rPr>
        <w:t xml:space="preserve">   grade C</w:t>
      </w:r>
    </w:p>
    <w:p>
      <w:pPr>
        <w:spacing w:after="60" w:line="276"/>
      </w:pPr>
      <w:r>
        <w:rPr>
          <w:color w:val="15181F"/>
          <w:sz w:val="19"/>
          <w:szCs w:val="19"/>
        </w:rPr>
        <w:t xml:space="preserve">Do not present conversion to resection as an expected outcome.</w:t>
      </w:r>
    </w:p>
    <w:p>
      <w:pPr>
        <w:spacing w:after="50" w:line="276"/>
        <w:ind w:left="240"/>
      </w:pPr>
      <w:r>
        <w:rPr>
          <w:color w:val="15181F"/>
          <w:sz w:val="18"/>
          <w:szCs w:val="18"/>
        </w:rPr>
        <w:t xml:space="preserve">Say what the numbers are: 22% downstaged and 20% resected with R0 in the Y90 study, 4 of 38 resected in the HAI study. Conversion treatment is not itself the curative operation.</w:t>
      </w:r>
    </w:p>
    <w:p>
      <w:pPr>
        <w:spacing w:after="50"/>
        <w:ind w:left="240"/>
      </w:pPr>
      <w:r>
        <w:rPr>
          <w:b/>
          <w:bCs/>
          <w:color w:val="8C2F26"/>
          <w:sz w:val="18"/>
          <w:szCs w:val="18"/>
        </w:rPr>
        <w:t xml:space="preserve">Caveat. </w:t>
      </w:r>
      <w:r>
        <w:rPr>
          <w:color w:val="15181F"/>
          <w:sz w:val="18"/>
          <w:szCs w:val="18"/>
        </w:rPr>
        <w:t xml:space="preserve">Promising conversion sets up both the patient and the programme for a decision that cannot be unmade — and a complete radiographic response is not the same outcome as an R0 resection.</w:t>
      </w:r>
    </w:p>
    <w:p>
      <w:pPr>
        <w:spacing w:after="60" w:line="276"/>
        <w:ind w:left="240"/>
      </w:pPr>
      <w:r>
        <w:rPr>
          <w:color w:val="5A6069"/>
          <w:sz w:val="16"/>
          <w:szCs w:val="16"/>
        </w:rPr>
        <w:t xml:space="preserve">Sources: MISPHEC; Cercek HAI phase 2</w:t>
      </w:r>
    </w:p>
    <w:p>
      <w:pPr>
        <w:pBdr>
          <w:bottom w:val="single" w:color="D3DCE4" w:sz="6" w:space="1"/>
        </w:pBdr>
        <w:spacing w:after="80"/>
      </w:pPr>
    </w:p>
    <w:p>
      <w:pPr>
        <w:pStyle w:val="Heading2"/>
        <w:keepNext/>
        <w:pageBreakBefore/>
        <w:spacing w:after="110" w:before="240"/>
      </w:pPr>
      <w:r>
        <w:rPr>
          <w:rFonts w:ascii="Cambria" w:cs="Cambria" w:eastAsia="Cambria" w:hAnsi="Cambria"/>
          <w:b/>
          <w:bCs/>
          <w:color w:val="17365D"/>
          <w:sz w:val="26"/>
          <w:szCs w:val="26"/>
        </w:rPr>
        <w:t xml:space="preserve">5 · Permanently unresectable, liver-confined</w:t>
      </w:r>
    </w:p>
    <w:p>
      <w:pPr>
        <w:spacing w:after="140"/>
      </w:pPr>
      <w:r>
        <w:rPr>
          <w:b/>
          <w:bCs/>
          <w:color w:val="176A87"/>
          <w:sz w:val="19"/>
          <w:szCs w:val="19"/>
        </w:rPr>
        <w:t xml:space="preserve">The question. </w:t>
      </w:r>
      <w:r>
        <w:rPr>
          <w:sz w:val="19"/>
          <w:szCs w:val="19"/>
        </w:rPr>
        <w:t xml:space="preserve">The liver is the whole problem and I cannot operate — what holds this disease, and in what order?</w:t>
      </w:r>
    </w:p>
    <w:p>
      <w:pPr>
        <w:spacing w:after="60" w:before="160"/>
      </w:pPr>
      <w:r>
        <w:rPr>
          <w:b/>
          <w:bCs/>
          <w:color w:val="176A87"/>
          <w:spacing w:val="24"/>
          <w:sz w:val="15"/>
          <w:szCs w:val="15"/>
        </w:rPr>
        <w:t xml:space="preserve">ALL OF THE FOLLOWING HAVE TO BE IN HAND</w:t>
      </w:r>
    </w:p>
    <w:p>
      <w:pPr>
        <w:pStyle w:val="ListParagraph"/>
        <w:numPr>
          <w:ilvl w:val="0"/>
          <w:numId w:val="2"/>
        </w:numPr>
        <w:spacing w:after="60" w:line="268"/>
      </w:pPr>
      <w:r>
        <w:rPr>
          <w:color w:val="15181F"/>
          <w:sz w:val="18"/>
          <w:szCs w:val="18"/>
        </w:rPr>
        <w:t xml:space="preserve">Not convertible at formal surgical re-review, not on an imaging report alone</w:t>
      </w:r>
    </w:p>
    <w:p>
      <w:pPr>
        <w:pStyle w:val="ListParagraph"/>
        <w:numPr>
          <w:ilvl w:val="0"/>
          <w:numId w:val="2"/>
        </w:numPr>
        <w:spacing w:after="60" w:line="268"/>
      </w:pPr>
      <w:r>
        <w:rPr>
          <w:color w:val="15181F"/>
          <w:sz w:val="18"/>
          <w:szCs w:val="18"/>
        </w:rPr>
        <w:t xml:space="preserve">No extrahepatic disease</w:t>
      </w:r>
    </w:p>
    <w:p>
      <w:pPr>
        <w:pStyle w:val="ListParagraph"/>
        <w:numPr>
          <w:ilvl w:val="0"/>
          <w:numId w:val="2"/>
        </w:numPr>
        <w:spacing w:after="60" w:line="268"/>
      </w:pPr>
      <w:r>
        <w:rPr>
          <w:color w:val="15181F"/>
          <w:sz w:val="18"/>
          <w:szCs w:val="18"/>
        </w:rPr>
        <w:t xml:space="preserve">Liver function and performance status adequate for systemic therapy</w:t>
      </w:r>
    </w:p>
    <w:p>
      <w:pPr>
        <w:pStyle w:val="ListParagraph"/>
        <w:numPr>
          <w:ilvl w:val="0"/>
          <w:numId w:val="2"/>
        </w:numPr>
        <w:spacing w:after="60" w:line="268"/>
      </w:pPr>
      <w:r>
        <w:rPr>
          <w:color w:val="15181F"/>
          <w:sz w:val="18"/>
          <w:szCs w:val="18"/>
        </w:rPr>
        <w:t xml:space="preserve">Biliary obstruction relieved, or a drainage plan agreed with the hepatobiliary surgeon</w:t>
      </w:r>
    </w:p>
    <w:p>
      <w:pPr>
        <w:spacing w:after="80" w:line="276"/>
      </w:pPr>
      <w:r>
        <w:rPr>
          <w:color w:val="15181F"/>
          <w:sz w:val="20"/>
          <w:szCs w:val="20"/>
        </w:rPr>
        <w:t xml:space="preserve"/>
      </w:r>
    </w:p>
    <w:p>
      <w:pPr>
        <w:spacing w:after="60" w:before="180"/>
      </w:pPr>
      <w:r>
        <w:rPr>
          <w:b/>
          <w:bCs/>
          <w:color w:val="17365D"/>
          <w:spacing w:val="16"/>
          <w:sz w:val="16"/>
          <w:szCs w:val="16"/>
        </w:rPr>
        <w:t xml:space="preserve">STANDARD</w:t>
      </w:r>
      <w:r>
        <w:rPr>
          <w:color w:val="5A6069"/>
          <w:sz w:val="16"/>
          <w:szCs w:val="16"/>
        </w:rPr>
        <w:t xml:space="preserve">   grade B</w:t>
      </w:r>
    </w:p>
    <w:p>
      <w:pPr>
        <w:spacing w:after="60" w:line="276"/>
      </w:pPr>
      <w:r>
        <w:rPr>
          <w:color w:val="15181F"/>
          <w:sz w:val="19"/>
          <w:szCs w:val="19"/>
        </w:rPr>
        <w:t xml:space="preserve">Systemic therapy is the backbone: gemcitabine and cisplatin with durvalumab, or with pembrolizumab.</w:t>
      </w:r>
    </w:p>
    <w:p>
      <w:pPr>
        <w:spacing w:after="50" w:line="276"/>
        <w:ind w:left="240"/>
      </w:pPr>
      <w:r>
        <w:rPr>
          <w:color w:val="15181F"/>
          <w:sz w:val="18"/>
          <w:szCs w:val="18"/>
        </w:rPr>
        <w:t xml:space="preserve">Every patient fit for it. The regimens and the fitness question are in gate 9; what this gate settles is that systemic therapy is the backbone and any liver-directed treatment is added to it, not substituted for it.</w:t>
      </w:r>
    </w:p>
    <w:p>
      <w:pPr>
        <w:spacing w:after="50"/>
        <w:ind w:left="240"/>
      </w:pPr>
      <w:r>
        <w:rPr>
          <w:b/>
          <w:bCs/>
          <w:color w:val="8C2F26"/>
          <w:sz w:val="18"/>
          <w:szCs w:val="18"/>
        </w:rPr>
        <w:t xml:space="preserve">Caveat. </w:t>
      </w:r>
      <w:r>
        <w:rPr>
          <w:color w:val="15181F"/>
          <w:sz w:val="18"/>
          <w:szCs w:val="18"/>
        </w:rPr>
        <w:t xml:space="preserve">A patient whose performance status, renal or hepatic function, or contraindication to checkpoint inhibition rules out the full regimen still gets a systemic plan, modified with the reason recorded — not a catheter instead.</w:t>
      </w:r>
    </w:p>
    <w:p>
      <w:pPr>
        <w:spacing w:after="50" w:line="276"/>
        <w:ind w:left="240"/>
      </w:pPr>
      <w:r>
        <w:rPr>
          <w:i/>
          <w:iCs/>
          <w:color w:val="5A6069"/>
          <w:sz w:val="17"/>
          <w:szCs w:val="17"/>
        </w:rPr>
        <w:t xml:space="preserve">Downgraded from A. The two trials that carry the grade did not study this gate's population. TOPAZ-1 was 86% metastatic and KEYNOTE-966 89%, both restricted to ECOG 0–1, and the TOPAZ-1 investigators state explicitly that the trial says nothing about neoadjuvant, downstaging or peri-transplant use in liver-confined disease, which is where this regimen is now borrowed. Grade A remains right for gate 9, where the population matches. Clinical trial eligibility is checked at diagnosis and at each progression — Standard, grade D.</w:t>
      </w:r>
    </w:p>
    <w:p>
      <w:pPr>
        <w:spacing w:after="60" w:line="276"/>
        <w:ind w:left="240"/>
      </w:pPr>
      <w:r>
        <w:rPr>
          <w:color w:val="5A6069"/>
          <w:sz w:val="16"/>
          <w:szCs w:val="16"/>
        </w:rPr>
        <w:t xml:space="preserve">Sources: NCCN BTC v1.2026; ABC-02; TOPAZ-1; KEYNOTE-966; ESMO BTC 2024 interim; EASL-ILCA iCCA 2023</w:t>
      </w:r>
    </w:p>
    <w:p>
      <w:pPr>
        <w:spacing w:after="60" w:before="180"/>
      </w:pPr>
      <w:r>
        <w:rPr>
          <w:b/>
          <w:bCs/>
          <w:color w:val="176A87"/>
          <w:spacing w:val="16"/>
          <w:sz w:val="16"/>
          <w:szCs w:val="16"/>
        </w:rPr>
        <w:t xml:space="preserve">REASONABLE</w:t>
      </w:r>
      <w:r>
        <w:rPr>
          <w:color w:val="5A6069"/>
          <w:sz w:val="16"/>
          <w:szCs w:val="16"/>
        </w:rPr>
        <w:t xml:space="preserve">   grade C</w:t>
      </w:r>
    </w:p>
    <w:p>
      <w:pPr>
        <w:spacing w:after="100" w:line="276"/>
      </w:pPr>
      <w:r>
        <w:rPr>
          <w:i/>
          <w:iCs/>
          <w:color w:val="5A6069"/>
          <w:sz w:val="17"/>
          <w:szCs w:val="17"/>
        </w:rPr>
        <w:t xml:space="preserve">This is the weakest evidence zone in the pathway. No randomised trial compares any two of these modalities in intrahepatic cholangiocarcinoma and none has been tested against a modern chemo-immunotherapy backbone, so selection is driven by treatment goal, target geometry, liver reserve and what the institution can actually deliver. The order below reproduces the roadmap's listing and the size of each dataset; it is not a hierarchy of evidence, because no such hierarchy exists.</w:t>
      </w:r>
    </w:p>
    <w:p>
      <w:pPr>
        <w:spacing w:after="50" w:before="120"/>
        <w:ind w:left="240"/>
      </w:pPr>
      <w:r>
        <w:rPr>
          <w:b/>
          <w:bCs/>
          <w:color w:val="15181F"/>
          <w:sz w:val="19"/>
          <w:szCs w:val="19"/>
        </w:rPr>
        <w:t xml:space="preserve">Hepatic arterial infusion</w:t>
      </w:r>
      <w:r>
        <w:rPr>
          <w:color w:val="5A6069"/>
          <w:sz w:val="15"/>
          <w:szCs w:val="15"/>
        </w:rPr>
        <w:t xml:space="preserve">   grade C</w:t>
      </w:r>
      <w:r>
        <w:rPr>
          <w:b/>
          <w:bCs/>
          <w:color w:val="8E5008"/>
          <w:spacing w:val="12"/>
          <w:sz w:val="14"/>
          <w:szCs w:val="14"/>
        </w:rPr>
        <w:t xml:space="preserve">   EXPERTISE</w:t>
      </w:r>
    </w:p>
    <w:p>
      <w:pPr>
        <w:spacing w:after="50" w:line="276"/>
        <w:ind w:left="240"/>
      </w:pPr>
      <w:r>
        <w:rPr>
          <w:color w:val="15181F"/>
          <w:sz w:val="18"/>
          <w:szCs w:val="18"/>
        </w:rPr>
        <w:t xml:space="preserve">Preferred for a defined phenotype: liver-confined unresectable disease, favourable arterial anatomy, with durable hepatic control or conversion as the stated goal. 6-month progression-free survival 84.1% and median overall survival 25.0 months in a 38-patient phase 2 cohort; 30.8 versus 18.4 months against systemic therapy alone in a retrospective liver-confined comparison.</w:t>
      </w:r>
    </w:p>
    <w:p>
      <w:pPr>
        <w:spacing w:after="50" w:line="276"/>
        <w:ind w:left="240"/>
      </w:pPr>
      <w:r>
        <w:rPr>
          <w:color w:val="15181F"/>
          <w:sz w:val="18"/>
          <w:szCs w:val="18"/>
        </w:rPr>
        <w:t xml:space="preserve">An expanded prospective HAI evidence base now includes PUMP-2 and pooled phase II follow-up (PMIDs 41082695, 42331230). No head-to-head trial establishes superiority over other regional options. Selected resectable regional nodes were included; this does not establish nodal equivalence or transplant candidacy.</w:t>
      </w:r>
    </w:p>
    <w:p>
      <w:pPr>
        <w:spacing w:after="50"/>
        <w:ind w:left="240"/>
      </w:pPr>
      <w:r>
        <w:rPr>
          <w:b/>
          <w:bCs/>
          <w:color w:val="8C2F26"/>
          <w:sz w:val="18"/>
          <w:szCs w:val="18"/>
        </w:rPr>
        <w:t xml:space="preserve">Caveat. No dedicated pump programme, distant extrahepatic metastases, unrelieved biliary obstruction. Grade 4 toxicity requiring withdrawal occurred in 11% of the phase 2 cohort and in 30% of the 10-patient confirmatory cohort.</w:t>
      </w:r>
      <w:r>
        <w:rPr>
          <w:color w:val="15181F"/>
          <w:sz w:val="18"/>
          <w:szCs w:val="18"/>
        </w:rPr>
        <w:t xml:space="preserve"/>
      </w:r>
    </w:p>
    <w:p>
      <w:pPr>
        <w:spacing w:after="60" w:line="276"/>
        <w:ind w:left="240"/>
      </w:pPr>
      <w:r>
        <w:rPr>
          <w:color w:val="5A6069"/>
          <w:sz w:val="16"/>
          <w:szCs w:val="16"/>
        </w:rPr>
        <w:t xml:space="preserve">Sources: Cercek HAI phase 2; Konstantinidis HAI cohort</w:t>
      </w:r>
    </w:p>
    <w:p>
      <w:pPr>
        <w:spacing w:after="50" w:before="120"/>
        <w:ind w:left="240"/>
      </w:pPr>
      <w:r>
        <w:rPr>
          <w:b/>
          <w:bCs/>
          <w:color w:val="15181F"/>
          <w:sz w:val="19"/>
          <w:szCs w:val="19"/>
        </w:rPr>
        <w:t xml:space="preserve">Radioembolisation or chemoembolisation</w:t>
      </w:r>
      <w:r>
        <w:rPr>
          <w:color w:val="5A6069"/>
          <w:sz w:val="15"/>
          <w:szCs w:val="15"/>
        </w:rPr>
        <w:t xml:space="preserve">   grade C</w:t>
      </w:r>
    </w:p>
    <w:p>
      <w:pPr>
        <w:spacing w:after="50" w:line="276"/>
        <w:ind w:left="240"/>
      </w:pPr>
      <w:r>
        <w:rPr>
          <w:color w:val="15181F"/>
          <w:sz w:val="18"/>
          <w:szCs w:val="18"/>
        </w:rPr>
        <w:t xml:space="preserve">Hepatic control. Liver-dominant disease with hepatic control as the goal, portal flow preserved and dosimetry planning available. Median overall survival was 22 months with Y90 plus gemcitabine–cisplatin in a 41-patient phase II, and 20 months from diagnosis in a 62-patient two-centre chemoembolisation cohort, where the 18 patients who also had systemic chemotherapy survived 28 versus 16 months (HR 1.94, p=0.02).</w:t>
      </w:r>
    </w:p>
    <w:p>
      <w:pPr>
        <w:spacing w:after="50" w:line="276"/>
        <w:ind w:left="240"/>
      </w:pPr>
      <w:r>
        <w:rPr>
          <w:color w:val="15181F"/>
          <w:sz w:val="18"/>
          <w:szCs w:val="18"/>
        </w:rPr>
        <w:t xml:space="preserve">Hepatic-dominant disease where selective delivery and reserve are adequate and the goal is stated as control, with the systemic plan running alongside. Procedural safety was the strongest chemoembolisation finding: major complications after 5 of 165 procedures (3%), 0% 30-day disease-specific mortality.</w:t>
      </w:r>
    </w:p>
    <w:p>
      <w:pPr>
        <w:spacing w:after="50"/>
        <w:ind w:left="240"/>
      </w:pPr>
      <w:r>
        <w:rPr>
          <w:b/>
          <w:bCs/>
          <w:color w:val="8C2F26"/>
          <w:sz w:val="18"/>
          <w:szCs w:val="18"/>
        </w:rPr>
        <w:t xml:space="preserve">Caveat. </w:t>
      </w:r>
      <w:r>
        <w:rPr>
          <w:color w:val="15181F"/>
          <w:sz w:val="18"/>
          <w:szCs w:val="18"/>
        </w:rPr>
        <w:t xml:space="preserve">Substitution for systemic therapy; use while extrahepatic disease progresses; inadequate future remnant or unsafe shunt fraction; biliary obstruction and infection risk. Avoid radioembolisation plus chemotherapy in cirrhosis, where hepatic failure occurred in 75% of cirrhotic patients and was irreversible in 5.</w:t>
      </w:r>
    </w:p>
    <w:p>
      <w:pPr>
        <w:spacing w:after="60" w:line="276"/>
        <w:ind w:left="240"/>
      </w:pPr>
      <w:r>
        <w:rPr>
          <w:color w:val="5A6069"/>
          <w:sz w:val="16"/>
          <w:szCs w:val="16"/>
        </w:rPr>
        <w:t xml:space="preserve">Sources: MISPHEC; Kiefer TACE 2-centre; NCCN BTC v1.2026</w:t>
      </w:r>
    </w:p>
    <w:p>
      <w:pPr>
        <w:spacing w:after="50" w:before="120"/>
        <w:ind w:left="240"/>
      </w:pPr>
      <w:r>
        <w:rPr>
          <w:b/>
          <w:bCs/>
          <w:color w:val="15181F"/>
          <w:sz w:val="19"/>
          <w:szCs w:val="19"/>
        </w:rPr>
        <w:t xml:space="preserve">SBRT or proton therapy</w:t>
      </w:r>
      <w:r>
        <w:rPr>
          <w:color w:val="5A6069"/>
          <w:sz w:val="15"/>
          <w:szCs w:val="15"/>
        </w:rPr>
        <w:t xml:space="preserve">   grade C</w:t>
      </w:r>
    </w:p>
    <w:p>
      <w:pPr>
        <w:spacing w:after="50" w:line="276"/>
        <w:ind w:left="240"/>
      </w:pPr>
      <w:r>
        <w:rPr>
          <w:color w:val="15181F"/>
          <w:sz w:val="18"/>
          <w:szCs w:val="18"/>
        </w:rPr>
        <w:t xml:space="preserve">Selected definitive or consolidative local treatment for localized inoperable disease; cure evidence limited. 3-year local control 78% and 3-year overall survival 73% above a biologic equivalent dose of 80.5 Gy in a retrospective series of 79; 2-year local control 94.1% and median overall survival 22.5 months in the 39 iCCA patients of a phase II proton study.</w:t>
      </w:r>
    </w:p>
    <w:p>
      <w:pPr>
        <w:spacing w:after="50" w:line="276"/>
        <w:ind w:left="240"/>
      </w:pPr>
      <w:r>
        <w:rPr>
          <w:color w:val="15181F"/>
          <w:sz w:val="18"/>
          <w:szCs w:val="18"/>
        </w:rPr>
        <w:t xml:space="preserve">Liver-confined, unresectable disease without nodal or extrahepatic involvement, where the geometry allows an ablative dose with safe gastrointestinal and biliary doses. It may be chosen directly on geometry and reserve; an unsuccessful catheter therapy is not a prerequisite.</w:t>
      </w:r>
    </w:p>
    <w:p>
      <w:pPr>
        <w:spacing w:after="50"/>
        <w:ind w:left="240"/>
      </w:pPr>
      <w:r>
        <w:rPr>
          <w:b/>
          <w:bCs/>
          <w:color w:val="8C2F26"/>
          <w:sz w:val="18"/>
          <w:szCs w:val="18"/>
        </w:rPr>
        <w:t xml:space="preserve">Caveat. </w:t>
      </w:r>
      <w:r>
        <w:rPr>
          <w:color w:val="15181F"/>
          <w:sz w:val="18"/>
          <w:szCs w:val="18"/>
        </w:rPr>
        <w:t xml:space="preserve">Insufficient uninvolved liver, unrelieved biliary obstruction, overlapping prior dose, refractory ascites. For bulky disease, coordinate systemic therapy rather than replacing it by default.</w:t>
      </w:r>
    </w:p>
    <w:p>
      <w:pPr>
        <w:spacing w:after="60" w:line="276"/>
        <w:ind w:left="240"/>
      </w:pPr>
      <w:r>
        <w:rPr>
          <w:color w:val="5A6069"/>
          <w:sz w:val="16"/>
          <w:szCs w:val="16"/>
        </w:rPr>
        <w:t xml:space="preserve">Sources: Tao dose-response; Hong proton phase II; BSG CCA 2023</w:t>
      </w:r>
    </w:p>
    <w:p>
      <w:pPr>
        <w:spacing w:after="50" w:before="120"/>
        <w:ind w:left="240"/>
      </w:pPr>
      <w:r>
        <w:rPr>
          <w:b/>
          <w:bCs/>
          <w:color w:val="15181F"/>
          <w:sz w:val="19"/>
          <w:szCs w:val="19"/>
        </w:rPr>
        <w:t xml:space="preserve">Thermal ablation</w:t>
      </w:r>
      <w:r>
        <w:rPr>
          <w:color w:val="5A6069"/>
          <w:sz w:val="15"/>
          <w:szCs w:val="15"/>
        </w:rPr>
        <w:t xml:space="preserve">   grade C</w:t>
      </w:r>
    </w:p>
    <w:p>
      <w:pPr>
        <w:spacing w:after="50" w:line="276"/>
        <w:ind w:left="240"/>
      </w:pPr>
      <w:r>
        <w:rPr>
          <w:color w:val="15181F"/>
          <w:sz w:val="18"/>
          <w:szCs w:val="18"/>
        </w:rPr>
        <w:t xml:space="preserve">Potentially curative intent in a narrow group: solitary tumour under 3 cm with a complete safe margin. Pooled survival after ablation across 20 retrospective studies and 917 patients was 82.4% at 1 year, 42.1% at 3 years and 28.5% at 5 years, with technical efficacy 91.9% and major complications 5.7%.</w:t>
      </w:r>
    </w:p>
    <w:p>
      <w:pPr>
        <w:spacing w:after="50" w:line="276"/>
        <w:ind w:left="240"/>
      </w:pPr>
      <w:r>
        <w:rPr>
          <w:color w:val="15181F"/>
          <w:sz w:val="18"/>
          <w:szCs w:val="18"/>
        </w:rPr>
        <w:t xml:space="preserve">The small solitary lesion in a patient unsuitable for resection, where every lesion can be covered with a margin. It is a selected definitive alternative, not automatically a second systemic line.</w:t>
      </w:r>
    </w:p>
    <w:p>
      <w:pPr>
        <w:spacing w:after="50"/>
        <w:ind w:left="240"/>
      </w:pPr>
      <w:r>
        <w:rPr>
          <w:b/>
          <w:bCs/>
          <w:color w:val="8C2F26"/>
          <w:sz w:val="18"/>
          <w:szCs w:val="18"/>
        </w:rPr>
        <w:t xml:space="preserve">Caveat. </w:t>
      </w:r>
      <w:r>
        <w:rPr>
          <w:color w:val="15181F"/>
          <w:sz w:val="18"/>
          <w:szCs w:val="18"/>
        </w:rPr>
        <w:t xml:space="preserve">No safe margin, central bile duct injury risk, or unaddressed disease; tumours over 3 cm and multiple tumours did worse (HR 2.12 and 1.67). Do not extrapolate to large or multifocal iCCA.</w:t>
      </w:r>
    </w:p>
    <w:p>
      <w:pPr>
        <w:spacing w:after="60" w:line="276"/>
        <w:ind w:left="240"/>
      </w:pPr>
      <w:r>
        <w:rPr>
          <w:color w:val="5A6069"/>
          <w:sz w:val="16"/>
          <w:szCs w:val="16"/>
        </w:rPr>
        <w:t xml:space="preserve">Sources: Ablation meta-analysis; MALRIC primary; EASL-ILCA iCCA 2023</w:t>
      </w:r>
    </w:p>
    <w:p>
      <w:pPr>
        <w:spacing w:after="60" w:line="276"/>
        <w:ind w:left="240"/>
      </w:pPr>
      <w:r>
        <w:rPr>
          <w:i/>
          <w:iCs/>
          <w:color w:val="5A6069"/>
          <w:sz w:val="16"/>
          <w:szCs w:val="16"/>
        </w:rPr>
        <w:t xml:space="preserve">Unresolved decisions 2, 6 and 7: which liver-directed modality is first choice here, what liver-function thresholds bar each modality (no comparative data define the cut-offs — they are safety conventions), and whether ablation is acceptable in iCCA and in whom. Dosimetry capability, device availability and payer authorisation are local dependencies, not universal ones.</w:t>
      </w:r>
    </w:p>
    <w:p>
      <w:pPr>
        <w:spacing w:after="60" w:before="180"/>
      </w:pPr>
      <w:r>
        <w:rPr>
          <w:b/>
          <w:bCs/>
          <w:color w:val="8C2F26"/>
          <w:spacing w:val="16"/>
          <w:sz w:val="16"/>
          <w:szCs w:val="16"/>
        </w:rPr>
        <w:t xml:space="preserve">AVOID</w:t>
      </w:r>
      <w:r>
        <w:rPr>
          <w:color w:val="5A6069"/>
          <w:sz w:val="16"/>
          <w:szCs w:val="16"/>
        </w:rPr>
        <w:t xml:space="preserve">   grade C</w:t>
      </w:r>
    </w:p>
    <w:p>
      <w:pPr>
        <w:spacing w:after="60" w:line="276"/>
      </w:pPr>
      <w:r>
        <w:rPr>
          <w:color w:val="15181F"/>
          <w:sz w:val="19"/>
          <w:szCs w:val="19"/>
        </w:rPr>
        <w:t xml:space="preserve">Do not substitute liver-directed therapy for systemic therapy.</w:t>
      </w:r>
    </w:p>
    <w:p>
      <w:pPr>
        <w:spacing w:after="50" w:line="276"/>
        <w:ind w:left="240"/>
      </w:pPr>
      <w:r>
        <w:rPr>
          <w:color w:val="15181F"/>
          <w:sz w:val="18"/>
          <w:szCs w:val="18"/>
        </w:rPr>
        <w:t xml:space="preserve">Keep the systemic backbone and add hepatic control to it; coordinate the two rather than choosing between them.</w:t>
      </w:r>
    </w:p>
    <w:p>
      <w:pPr>
        <w:spacing w:after="50"/>
        <w:ind w:left="240"/>
      </w:pPr>
      <w:r>
        <w:rPr>
          <w:b/>
          <w:bCs/>
          <w:color w:val="8C2F26"/>
          <w:sz w:val="18"/>
          <w:szCs w:val="18"/>
        </w:rPr>
        <w:t xml:space="preserve">Caveat. </w:t>
      </w:r>
      <w:r>
        <w:rPr>
          <w:color w:val="15181F"/>
          <w:sz w:val="18"/>
          <w:szCs w:val="18"/>
        </w:rPr>
        <w:t xml:space="preserve">AASLD 2023 states data are insufficient to recommend liver-directed therapy as a standard therapy for locally advanced unresectable iCCA. NCCN's wording that arterially directed therapies may be used alone can be read as permitting substitution; the roadmap keeps the Avoid label and puts that disagreement to a decision (alignment worksheet, area 9) — it is the one area where NCCN and this roadmap differ.</w:t>
      </w:r>
    </w:p>
    <w:p>
      <w:pPr>
        <w:spacing w:after="60" w:line="276"/>
        <w:ind w:left="240"/>
      </w:pPr>
      <w:r>
        <w:rPr>
          <w:color w:val="5A6069"/>
          <w:sz w:val="16"/>
          <w:szCs w:val="16"/>
        </w:rPr>
        <w:t xml:space="preserve">Sources: AASLD PSC/CCA 2023; NCCN BTC v1.2026; MH iCCA alignment worksheet</w:t>
      </w:r>
    </w:p>
    <w:p>
      <w:pPr>
        <w:spacing w:after="60" w:before="180"/>
      </w:pPr>
      <w:r>
        <w:rPr>
          <w:b/>
          <w:bCs/>
          <w:color w:val="8C2F26"/>
          <w:spacing w:val="16"/>
          <w:sz w:val="16"/>
          <w:szCs w:val="16"/>
        </w:rPr>
        <w:t xml:space="preserve">AVOID</w:t>
      </w:r>
      <w:r>
        <w:rPr>
          <w:color w:val="5A6069"/>
          <w:sz w:val="16"/>
          <w:szCs w:val="16"/>
        </w:rPr>
        <w:t xml:space="preserve">   grade C</w:t>
      </w:r>
    </w:p>
    <w:p>
      <w:pPr>
        <w:spacing w:after="60" w:line="276"/>
      </w:pPr>
      <w:r>
        <w:rPr>
          <w:color w:val="15181F"/>
          <w:sz w:val="19"/>
          <w:szCs w:val="19"/>
        </w:rPr>
        <w:t xml:space="preserve">Do not transplant outside a protocol.</w:t>
      </w:r>
    </w:p>
    <w:p>
      <w:pPr>
        <w:spacing w:after="50" w:line="276"/>
        <w:ind w:left="240"/>
      </w:pPr>
      <w:r>
        <w:rPr>
          <w:color w:val="15181F"/>
          <w:sz w:val="18"/>
          <w:szCs w:val="18"/>
        </w:rPr>
        <w:t xml:space="preserve">Gate 10 sets out the narrow phenotype and the route. A local complete response is not an automatic transplant exception.</w:t>
      </w:r>
    </w:p>
    <w:p>
      <w:pPr>
        <w:spacing w:after="50"/>
        <w:ind w:left="240"/>
      </w:pPr>
      <w:r>
        <w:rPr>
          <w:b/>
          <w:bCs/>
          <w:color w:val="8C2F26"/>
          <w:sz w:val="18"/>
          <w:szCs w:val="18"/>
        </w:rPr>
        <w:t xml:space="preserve">Caveat. </w:t>
      </w:r>
      <w:r>
        <w:rPr>
          <w:color w:val="15181F"/>
          <w:sz w:val="18"/>
          <w:szCs w:val="18"/>
        </w:rPr>
        <w:t xml:space="preserve">Record bridge and downstaging treatment separately from definitive local treatment, protect liver reserve, and preserve future resection and transplant options.</w:t>
      </w:r>
    </w:p>
    <w:p>
      <w:pPr>
        <w:spacing w:after="60" w:line="276"/>
        <w:ind w:left="240"/>
      </w:pPr>
      <w:r>
        <w:rPr>
          <w:color w:val="5A6069"/>
          <w:sz w:val="16"/>
          <w:szCs w:val="16"/>
        </w:rPr>
        <w:t xml:space="preserve">Sources: MH iCCA roadmap v0.6; OPTN transplant-oncology guidance</w:t>
      </w:r>
    </w:p>
    <w:p>
      <w:pPr>
        <w:spacing w:after="60" w:before="180"/>
      </w:pPr>
      <w:r>
        <w:rPr>
          <w:b/>
          <w:bCs/>
          <w:color w:val="8C2F26"/>
          <w:spacing w:val="16"/>
          <w:sz w:val="16"/>
          <w:szCs w:val="16"/>
        </w:rPr>
        <w:t xml:space="preserve">AVOID</w:t>
      </w:r>
      <w:r>
        <w:rPr>
          <w:color w:val="5A6069"/>
          <w:sz w:val="16"/>
          <w:szCs w:val="16"/>
        </w:rPr>
        <w:t xml:space="preserve">   grade D</w:t>
      </w:r>
    </w:p>
    <w:p>
      <w:pPr>
        <w:spacing w:after="60" w:line="276"/>
      </w:pPr>
      <w:r>
        <w:rPr>
          <w:color w:val="15181F"/>
          <w:sz w:val="19"/>
          <w:szCs w:val="19"/>
        </w:rPr>
        <w:t xml:space="preserve">Do not repeat the same procedure after progression without restaging and reconsidering the whole treatment plan.</w:t>
      </w:r>
    </w:p>
    <w:p>
      <w:pPr>
        <w:spacing w:after="50" w:line="276"/>
        <w:ind w:left="240"/>
      </w:pPr>
      <w:r>
        <w:rPr>
          <w:color w:val="15181F"/>
          <w:sz w:val="18"/>
          <w:szCs w:val="18"/>
        </w:rPr>
        <w:t xml:space="preserve">After progression or toxicity, restage and reconsider complete treatment; an upfront alternative chosen because of anatomy or organ reserve is not a post-progression second line.</w:t>
      </w:r>
    </w:p>
    <w:p>
      <w:pPr>
        <w:spacing w:after="50"/>
        <w:ind w:left="240"/>
      </w:pPr>
      <w:r>
        <w:rPr>
          <w:b/>
          <w:bCs/>
          <w:color w:val="8C2F26"/>
          <w:sz w:val="18"/>
          <w:szCs w:val="18"/>
        </w:rPr>
        <w:t xml:space="preserve">Caveat. </w:t>
      </w:r>
      <w:r>
        <w:rPr>
          <w:color w:val="15181F"/>
          <w:sz w:val="18"/>
          <w:szCs w:val="18"/>
        </w:rPr>
        <w:t xml:space="preserve">Do not use a universal ablation &gt; SBRT &gt; Y90 &gt; TACE &gt; HAI &gt; histotripsy ladder — there is no such ladder in this disease.</w:t>
      </w:r>
    </w:p>
    <w:p>
      <w:pPr>
        <w:spacing w:after="60" w:line="276"/>
        <w:ind w:left="240"/>
      </w:pPr>
      <w:r>
        <w:rPr>
          <w:color w:val="5A6069"/>
          <w:sz w:val="16"/>
          <w:szCs w:val="16"/>
        </w:rPr>
        <w:t xml:space="preserve">Sources: MH iCCA roadmap v0.6</w:t>
      </w:r>
    </w:p>
    <w:p>
      <w:pPr>
        <w:pBdr>
          <w:bottom w:val="single" w:color="D3DCE4" w:sz="6" w:space="1"/>
        </w:pBdr>
        <w:spacing w:after="80"/>
      </w:pPr>
    </w:p>
    <w:p>
      <w:pPr>
        <w:pStyle w:val="Heading2"/>
        <w:keepNext/>
        <w:pageBreakBefore/>
        <w:spacing w:after="110" w:before="240"/>
      </w:pPr>
      <w:r>
        <w:rPr>
          <w:rFonts w:ascii="Cambria" w:cs="Cambria" w:eastAsia="Cambria" w:hAnsi="Cambria"/>
          <w:b/>
          <w:bCs/>
          <w:color w:val="17365D"/>
          <w:sz w:val="26"/>
          <w:szCs w:val="26"/>
        </w:rPr>
        <w:t xml:space="preserve">6 · Metastatic — extrahepatic disease present</w:t>
      </w:r>
    </w:p>
    <w:p>
      <w:pPr>
        <w:spacing w:after="140"/>
      </w:pPr>
      <w:r>
        <w:rPr>
          <w:b/>
          <w:bCs/>
          <w:color w:val="176A87"/>
          <w:sz w:val="19"/>
          <w:szCs w:val="19"/>
        </w:rPr>
        <w:t xml:space="preserve">The question. </w:t>
      </w:r>
      <w:r>
        <w:rPr>
          <w:sz w:val="19"/>
          <w:szCs w:val="19"/>
        </w:rPr>
        <w:t xml:space="preserve">Extrahepatic disease is present — what is the systemic plan, and what should I stop doing to the liver?</w:t>
      </w:r>
    </w:p>
    <w:p>
      <w:pPr>
        <w:spacing w:after="60" w:before="160"/>
      </w:pPr>
      <w:r>
        <w:rPr>
          <w:b/>
          <w:bCs/>
          <w:color w:val="176A87"/>
          <w:spacing w:val="24"/>
          <w:sz w:val="15"/>
          <w:szCs w:val="15"/>
        </w:rPr>
        <w:t xml:space="preserve">ANY ONE OF THE FOLLOWING HAS TO BE IN HAND</w:t>
      </w:r>
    </w:p>
    <w:p>
      <w:pPr>
        <w:pStyle w:val="ListParagraph"/>
        <w:numPr>
          <w:ilvl w:val="0"/>
          <w:numId w:val="2"/>
        </w:numPr>
        <w:spacing w:after="60" w:line="268"/>
      </w:pPr>
      <w:r>
        <w:rPr>
          <w:color w:val="15181F"/>
          <w:sz w:val="18"/>
          <w:szCs w:val="18"/>
        </w:rPr>
        <w:t xml:space="preserve">Any extrahepatic disease on staging imaging</w:t>
      </w:r>
    </w:p>
    <w:p>
      <w:pPr>
        <w:pStyle w:val="ListParagraph"/>
        <w:numPr>
          <w:ilvl w:val="0"/>
          <w:numId w:val="2"/>
        </w:numPr>
        <w:spacing w:after="60" w:line="268"/>
      </w:pPr>
      <w:r>
        <w:rPr>
          <w:color w:val="15181F"/>
          <w:sz w:val="18"/>
          <w:szCs w:val="18"/>
        </w:rPr>
        <w:t xml:space="preserve">Nodal disease beyond the regional basin, including retroperitoneal or coeliac stations</w:t>
      </w:r>
    </w:p>
    <w:p>
      <w:pPr>
        <w:pStyle w:val="ListParagraph"/>
        <w:numPr>
          <w:ilvl w:val="0"/>
          <w:numId w:val="2"/>
        </w:numPr>
        <w:spacing w:after="60" w:line="268"/>
      </w:pPr>
      <w:r>
        <w:rPr>
          <w:color w:val="15181F"/>
          <w:sz w:val="18"/>
          <w:szCs w:val="18"/>
        </w:rPr>
        <w:t xml:space="preserve">A new extrahepatic site found at reassessment</w:t>
      </w:r>
    </w:p>
    <w:p>
      <w:pPr>
        <w:pStyle w:val="ListParagraph"/>
        <w:numPr>
          <w:ilvl w:val="0"/>
          <w:numId w:val="2"/>
        </w:numPr>
        <w:spacing w:after="60" w:line="268"/>
      </w:pPr>
      <w:r>
        <w:rPr>
          <w:color w:val="15181F"/>
          <w:sz w:val="18"/>
          <w:szCs w:val="18"/>
        </w:rPr>
        <w:t xml:space="preserve">Distant metastatic disease at recurrence after resection</w:t>
      </w:r>
    </w:p>
    <w:p>
      <w:pPr>
        <w:spacing w:after="80" w:line="276"/>
      </w:pPr>
      <w:r>
        <w:rPr>
          <w:color w:val="15181F"/>
          <w:sz w:val="20"/>
          <w:szCs w:val="20"/>
        </w:rPr>
        <w:t xml:space="preserve"/>
      </w:r>
    </w:p>
    <w:p>
      <w:pPr>
        <w:spacing w:after="60" w:before="180"/>
      </w:pPr>
      <w:r>
        <w:rPr>
          <w:b/>
          <w:bCs/>
          <w:color w:val="17365D"/>
          <w:spacing w:val="16"/>
          <w:sz w:val="16"/>
          <w:szCs w:val="16"/>
        </w:rPr>
        <w:t xml:space="preserve">STANDARD</w:t>
      </w:r>
      <w:r>
        <w:rPr>
          <w:color w:val="5A6069"/>
          <w:sz w:val="16"/>
          <w:szCs w:val="16"/>
        </w:rPr>
        <w:t xml:space="preserve">   grade A</w:t>
      </w:r>
    </w:p>
    <w:p>
      <w:pPr>
        <w:spacing w:after="100" w:line="276"/>
      </w:pPr>
      <w:r>
        <w:rPr>
          <w:i/>
          <w:iCs/>
          <w:color w:val="5A6069"/>
          <w:sz w:val="17"/>
          <w:szCs w:val="17"/>
        </w:rPr>
        <w:t xml:space="preserve">The roadmap does not rank them. Both improved survival against chemotherapy alone and there is no head-to-head comparison, so the choice is made on toxicity profile, schedule and access — exactly ESMO 2024's position, which states no biomarker and no difference in efficacy or toxicity favours one checkpoint inhibitor over the other. Nothing in this order implies a survival advantage for either.</w:t>
      </w:r>
    </w:p>
    <w:p>
      <w:pPr>
        <w:spacing w:after="50" w:before="120"/>
        <w:ind w:left="240"/>
      </w:pPr>
      <w:r>
        <w:rPr>
          <w:b/>
          <w:bCs/>
          <w:color w:val="15181F"/>
          <w:sz w:val="19"/>
          <w:szCs w:val="19"/>
        </w:rPr>
        <w:t xml:space="preserve">Gemcitabine and cisplatin plus durvalumab (TOPAZ-1)</w:t>
      </w:r>
      <w:r>
        <w:rPr>
          <w:color w:val="5A6069"/>
          <w:sz w:val="15"/>
          <w:szCs w:val="15"/>
        </w:rPr>
        <w:t xml:space="preserve">   grade A</w:t>
      </w:r>
    </w:p>
    <w:p>
      <w:pPr>
        <w:spacing w:after="50" w:line="276"/>
        <w:ind w:left="240"/>
      </w:pPr>
      <w:r>
        <w:rPr>
          <w:color w:val="15181F"/>
          <w:sz w:val="18"/>
          <w:szCs w:val="18"/>
        </w:rPr>
        <w:t xml:space="preserve">Overall survival hazard ratio 0.80 (95% CI 0.66–0.97), median 12.8 versus 11.5 months, with 24-month survival 24.9% versus 10.4% in 685 patients. In the intrahepatic subgroup (n=383) the hazard ratio was 0.76 (0.58–0.98).</w:t>
      </w:r>
    </w:p>
    <w:p>
      <w:pPr>
        <w:spacing w:after="50" w:line="276"/>
        <w:ind w:left="240"/>
      </w:pPr>
      <w:r>
        <w:rPr>
          <w:color w:val="15181F"/>
          <w:sz w:val="18"/>
          <w:szCs w:val="18"/>
        </w:rPr>
        <w:t xml:space="preserve">A patient fit for platinum and for checkpoint inhibition who wants the regimen with the longer tail: almost all of the benefit accrues after 6 months (hazard ratio 0.91 up to 6 months, 0.74 thereafter), and gemcitabine is capped at eight cycles.</w:t>
      </w:r>
    </w:p>
    <w:p>
      <w:pPr>
        <w:spacing w:after="50"/>
        <w:ind w:left="240"/>
      </w:pPr>
      <w:r>
        <w:rPr>
          <w:b/>
          <w:bCs/>
          <w:color w:val="8C2F26"/>
          <w:sz w:val="18"/>
          <w:szCs w:val="18"/>
        </w:rPr>
        <w:t xml:space="preserve">Caveat. </w:t>
      </w:r>
      <w:r>
        <w:rPr>
          <w:color w:val="15181F"/>
          <w:sz w:val="18"/>
          <w:szCs w:val="18"/>
        </w:rPr>
        <w:t xml:space="preserve">Active or prior autoimmune or inflammatory disorders, or any contraindication to checkpoint inhibition. Do not promise the median — the absolute gain in median survival is 1.3 months, the proportional-hazards assumption was formally violated on kernel-smoothed and log-log plots so a single hazard ratio misrepresents a time-varying effect, and this was a prespecified interim analysis at 424 of 496 planned deaths, powered to about 75%. The 24-month figures are Kaplan-Meier estimates, not counted survivors.</w:t>
      </w:r>
    </w:p>
    <w:p>
      <w:pPr>
        <w:spacing w:after="60" w:line="276"/>
        <w:ind w:left="240"/>
      </w:pPr>
      <w:r>
        <w:rPr>
          <w:color w:val="5A6069"/>
          <w:sz w:val="16"/>
          <w:szCs w:val="16"/>
        </w:rPr>
        <w:t xml:space="preserve">Sources: TOPAZ-1</w:t>
      </w:r>
    </w:p>
    <w:p>
      <w:pPr>
        <w:spacing w:after="50" w:before="120"/>
        <w:ind w:left="240"/>
      </w:pPr>
      <w:r>
        <w:rPr>
          <w:b/>
          <w:bCs/>
          <w:color w:val="15181F"/>
          <w:sz w:val="19"/>
          <w:szCs w:val="19"/>
        </w:rPr>
        <w:t xml:space="preserve">Gemcitabine and cisplatin plus pembrolizumab (KEYNOTE-966)</w:t>
      </w:r>
      <w:r>
        <w:rPr>
          <w:color w:val="5A6069"/>
          <w:sz w:val="15"/>
          <w:szCs w:val="15"/>
        </w:rPr>
        <w:t xml:space="preserve">   grade A</w:t>
      </w:r>
    </w:p>
    <w:p>
      <w:pPr>
        <w:spacing w:after="50" w:line="276"/>
        <w:ind w:left="240"/>
      </w:pPr>
      <w:r>
        <w:rPr>
          <w:color w:val="15181F"/>
          <w:sz w:val="18"/>
          <w:szCs w:val="18"/>
        </w:rPr>
        <w:t xml:space="preserve">Median overall survival 12.7 versus 10.9 months, hazard ratio 0.83 (95% CI 0.72–0.95) in 1069 patients, with 24-month survival 25% versus 18%. The intrahepatic subgroup (n=633) carried the effect: hazard ratio 0.76 (0.64–0.91), against 0.99 extrahepatic and 0.96 gallbladder.</w:t>
      </w:r>
    </w:p>
    <w:p>
      <w:pPr>
        <w:spacing w:after="50" w:line="276"/>
        <w:ind w:left="240"/>
      </w:pPr>
      <w:r>
        <w:rPr>
          <w:color w:val="15181F"/>
          <w:sz w:val="18"/>
          <w:szCs w:val="18"/>
        </w:rPr>
        <w:t xml:space="preserve">A patient fit for checkpoint inhibition where gemcitabine continued to progression without a cycle cap suits the plan, and where the largest intrahepatic dataset is the reassurance wanted.</w:t>
      </w:r>
    </w:p>
    <w:p>
      <w:pPr>
        <w:spacing w:after="50"/>
        <w:ind w:left="240"/>
      </w:pPr>
      <w:r>
        <w:rPr>
          <w:b/>
          <w:bCs/>
          <w:color w:val="8C2F26"/>
          <w:sz w:val="18"/>
          <w:szCs w:val="18"/>
        </w:rPr>
        <w:t xml:space="preserve">Caveat. </w:t>
      </w:r>
      <w:r>
        <w:rPr>
          <w:color w:val="15181F"/>
          <w:sz w:val="18"/>
          <w:szCs w:val="18"/>
        </w:rPr>
        <w:t xml:space="preserve">Contraindication to checkpoint inhibition, or prior systemic therapy for advanced disease. The absolute gain is 1.8 months of median survival, and both supporting endpoints failed their prespecified boundaries — progression-free survival hazard ratio 0.86 (p=0.023 against 0.0125) and objective response 29% versus 29% (p=0.47) — so the benefit rests on overall survival with no response signal behind it. Treatment-related deaths were 8 (2%) versus 3 (1%), immune-mediated events 22% versus 13%, and quality of life did not improve (EORTC QLQ-C30 global health change −2.5 in both arms).</w:t>
      </w:r>
    </w:p>
    <w:p>
      <w:pPr>
        <w:spacing w:after="60" w:line="276"/>
        <w:ind w:left="240"/>
      </w:pPr>
      <w:r>
        <w:rPr>
          <w:color w:val="5A6069"/>
          <w:sz w:val="16"/>
          <w:szCs w:val="16"/>
        </w:rPr>
        <w:t xml:space="preserve">Sources: KEYNOTE-966</w:t>
      </w:r>
    </w:p>
    <w:p>
      <w:pPr>
        <w:spacing w:after="60" w:line="276"/>
        <w:ind w:left="240"/>
      </w:pPr>
      <w:r>
        <w:rPr>
          <w:i/>
          <w:iCs/>
          <w:color w:val="5A6069"/>
          <w:sz w:val="16"/>
          <w:szCs w:val="16"/>
        </w:rPr>
        <w:t xml:space="preserve">Our position retains an unranked checkpoint-combination choice and leaves modification to the treating oncologist; BSG 2023 regards oxaliplatin substitution in renal impairment and gemcitabine alone in poor performance status as reasonable, and whether to name those defaults is a ratification item (alignment worksheet, area 13). Reserve, infection control and transplant intent affect eligibility.</w:t>
      </w:r>
    </w:p>
    <w:p>
      <w:pPr>
        <w:spacing w:after="60" w:before="180"/>
      </w:pPr>
      <w:r>
        <w:rPr>
          <w:b/>
          <w:bCs/>
          <w:color w:val="176A87"/>
          <w:spacing w:val="16"/>
          <w:sz w:val="16"/>
          <w:szCs w:val="16"/>
        </w:rPr>
        <w:t xml:space="preserve">REASONABLE</w:t>
      </w:r>
      <w:r>
        <w:rPr>
          <w:color w:val="5A6069"/>
          <w:sz w:val="16"/>
          <w:szCs w:val="16"/>
        </w:rPr>
        <w:t xml:space="preserve">   grade B</w:t>
      </w:r>
    </w:p>
    <w:p>
      <w:pPr>
        <w:spacing w:after="100" w:line="276"/>
      </w:pPr>
      <w:r>
        <w:rPr>
          <w:i/>
          <w:iCs/>
          <w:color w:val="5A6069"/>
          <w:sz w:val="17"/>
          <w:szCs w:val="17"/>
        </w:rPr>
        <w:t xml:space="preserve">The order follows the roadmap's wording — use the matched agent where a driver is present, otherwise FOLFOX — not a survival comparison. FOLFOX carries the only randomised second-line evidence in this disease; the matched agents carry larger single-arm response and survival figures that have never been tested against chemotherapy. No randomised evidence establishes a sequence among the targeted options.</w:t>
      </w:r>
    </w:p>
    <w:p>
      <w:pPr>
        <w:spacing w:after="50" w:before="120"/>
        <w:ind w:left="240"/>
      </w:pPr>
      <w:r>
        <w:rPr>
          <w:b/>
          <w:bCs/>
          <w:color w:val="15181F"/>
          <w:sz w:val="19"/>
          <w:szCs w:val="19"/>
        </w:rPr>
        <w:t xml:space="preserve">A matched targeted agent, if a driver is present</w:t>
      </w:r>
      <w:r>
        <w:rPr>
          <w:color w:val="5A6069"/>
          <w:sz w:val="15"/>
          <w:szCs w:val="15"/>
        </w:rPr>
        <w:t xml:space="preserve">   grade C</w:t>
      </w:r>
    </w:p>
    <w:p>
      <w:pPr>
        <w:spacing w:after="50" w:line="276"/>
        <w:ind w:left="240"/>
      </w:pPr>
      <w:r>
        <w:rPr>
          <w:color w:val="15181F"/>
          <w:sz w:val="18"/>
          <w:szCs w:val="18"/>
        </w:rPr>
        <w:t xml:space="preserve">Second line, where the molecular result from gate 2 shows an alteration of the class the evidence covers. These are single-arm response data — pemigatinib 37.0% response and 17.5 months median survival, futibatinib 42% and 21.7 months, zanidatamab 41% and 15.5 months, dabrafenib–trametinib 51% by investigator and 47% centrally — not comparative survival data.</w:t>
      </w:r>
    </w:p>
    <w:p>
      <w:pPr>
        <w:spacing w:after="50" w:line="276"/>
        <w:ind w:left="240"/>
      </w:pPr>
      <w:r>
        <w:rPr>
          <w:color w:val="15181F"/>
          <w:sz w:val="18"/>
          <w:szCs w:val="18"/>
        </w:rPr>
        <w:t xml:space="preserve">The patient whose tumour carries an FGFR2 fusion or rearrangement, IDH1 mutation, BRAF V600E, HER2 amplification or overexpression, or MSI-high disease, and whose result is already in hand.</w:t>
      </w:r>
    </w:p>
    <w:p>
      <w:pPr>
        <w:spacing w:after="50"/>
        <w:ind w:left="240"/>
      </w:pPr>
      <w:r>
        <w:rPr>
          <w:b/>
          <w:bCs/>
          <w:color w:val="8C2F26"/>
          <w:sz w:val="18"/>
          <w:szCs w:val="18"/>
        </w:rPr>
        <w:t xml:space="preserve">Caveat. </w:t>
      </w:r>
      <w:r>
        <w:rPr>
          <w:color w:val="15181F"/>
          <w:sz w:val="18"/>
          <w:szCs w:val="18"/>
        </w:rPr>
        <w:t xml:space="preserve">Do not substitute a gene name for an alteration class, and do not read the single-arm survival figures as showing superiority over FOLFOX. Ivosidenib is the only randomised option and it met progression-free survival, not intention-to-treat overall survival.</w:t>
      </w:r>
    </w:p>
    <w:p>
      <w:pPr>
        <w:spacing w:after="60" w:line="276"/>
        <w:ind w:left="240"/>
      </w:pPr>
      <w:r>
        <w:rPr>
          <w:color w:val="5A6069"/>
          <w:sz w:val="16"/>
          <w:szCs w:val="16"/>
        </w:rPr>
        <w:t xml:space="preserve">Sources: FIGHT-202 final; FOENIX-CCA2; HERIZON-BTC-01; ROAR; ClarIDHy final OS; ESMO BTC 2024 interim</w:t>
      </w:r>
    </w:p>
    <w:p>
      <w:pPr>
        <w:spacing w:after="50" w:before="120"/>
        <w:ind w:left="240"/>
      </w:pPr>
      <w:r>
        <w:rPr>
          <w:b/>
          <w:bCs/>
          <w:color w:val="15181F"/>
          <w:sz w:val="19"/>
          <w:szCs w:val="19"/>
        </w:rPr>
        <w:t xml:space="preserve">FOLFOX, where no driver is present</w:t>
      </w:r>
      <w:r>
        <w:rPr>
          <w:color w:val="5A6069"/>
          <w:sz w:val="15"/>
          <w:szCs w:val="15"/>
        </w:rPr>
        <w:t xml:space="preserve">   grade B</w:t>
      </w:r>
    </w:p>
    <w:p>
      <w:pPr>
        <w:spacing w:after="50" w:line="276"/>
        <w:ind w:left="240"/>
      </w:pPr>
      <w:r>
        <w:rPr>
          <w:color w:val="15181F"/>
          <w:sz w:val="18"/>
          <w:szCs w:val="18"/>
        </w:rPr>
        <w:t xml:space="preserve">ABC-06 gave median overall survival 6.2 versus 5.3 months against active symptom control, adjusted hazard ratio 0.69 (95% CI 0.50–0.97), p=0.031 — an absolute median gain of 0.9 months, open label, with grade 3–5 events in 69% versus 52% and three chemotherapy-related deaths (infection, acute kidney injury, febrile neutropenia).</w:t>
      </w:r>
    </w:p>
    <w:p>
      <w:pPr>
        <w:spacing w:after="50" w:line="276"/>
        <w:ind w:left="240"/>
      </w:pPr>
      <w:r>
        <w:rPr>
          <w:color w:val="15181F"/>
          <w:sz w:val="18"/>
          <w:szCs w:val="18"/>
        </w:rPr>
        <w:t xml:space="preserve">A fit patient after progression on gemcitabine–platinum with no actionable alteration; the gain is clearest in survival rates, 25.9% versus 11.4% alive at 12 months, and albumin of 35 g/L or above was independently prognostic.</w:t>
      </w:r>
    </w:p>
    <w:p>
      <w:pPr>
        <w:spacing w:after="50"/>
        <w:ind w:left="240"/>
      </w:pPr>
      <w:r>
        <w:rPr>
          <w:b/>
          <w:bCs/>
          <w:color w:val="8C2F26"/>
          <w:sz w:val="18"/>
          <w:szCs w:val="18"/>
        </w:rPr>
        <w:t xml:space="preserve">Caveat. </w:t>
      </w:r>
      <w:r>
        <w:rPr>
          <w:color w:val="15181F"/>
          <w:sz w:val="18"/>
          <w:szCs w:val="18"/>
        </w:rPr>
        <w:t xml:space="preserve">A patient whose performance status or albumin makes 69% grade 3–5 toxicity the dominant outcome. Objective response was 5% and disease control 33%, so this is not a conversion strategy.</w:t>
      </w:r>
    </w:p>
    <w:p>
      <w:pPr>
        <w:spacing w:after="60" w:line="276"/>
        <w:ind w:left="240"/>
      </w:pPr>
      <w:r>
        <w:rPr>
          <w:color w:val="5A6069"/>
          <w:sz w:val="16"/>
          <w:szCs w:val="16"/>
        </w:rPr>
        <w:t xml:space="preserve">Sources: ABC-06; AASLD PSC/CCA 2023; BSG CCA 2023</w:t>
      </w:r>
    </w:p>
    <w:p>
      <w:pPr>
        <w:spacing w:after="60" w:line="276"/>
        <w:ind w:left="240"/>
      </w:pPr>
      <w:r>
        <w:rPr>
          <w:i/>
          <w:iCs/>
          <w:color w:val="5A6069"/>
          <w:sz w:val="16"/>
          <w:szCs w:val="16"/>
        </w:rPr>
        <w:t xml:space="preserve">The molecular result should already be in hand at this point; if it is not, the omission in gate 2 has made this decision for you. Do not recycle immunotherapy without considering prior exposure.</w:t>
      </w:r>
    </w:p>
    <w:p>
      <w:pPr>
        <w:spacing w:after="60" w:before="180"/>
      </w:pPr>
      <w:r>
        <w:rPr>
          <w:b/>
          <w:bCs/>
          <w:color w:val="8C2F26"/>
          <w:spacing w:val="16"/>
          <w:sz w:val="16"/>
          <w:szCs w:val="16"/>
        </w:rPr>
        <w:t xml:space="preserve">AVOID</w:t>
      </w:r>
      <w:r>
        <w:rPr>
          <w:color w:val="5A6069"/>
          <w:sz w:val="16"/>
          <w:szCs w:val="16"/>
        </w:rPr>
        <w:t xml:space="preserve">   grade C</w:t>
      </w:r>
    </w:p>
    <w:p>
      <w:pPr>
        <w:spacing w:after="60" w:line="276"/>
      </w:pPr>
      <w:r>
        <w:rPr>
          <w:color w:val="15181F"/>
          <w:sz w:val="19"/>
          <w:szCs w:val="19"/>
        </w:rPr>
        <w:t xml:space="preserve">Do not give liver-directed therapy for hepatic control while extrahepatic disease is progressing.</w:t>
      </w:r>
    </w:p>
    <w:p>
      <w:pPr>
        <w:spacing w:after="50" w:line="276"/>
        <w:ind w:left="240"/>
      </w:pPr>
      <w:r>
        <w:rPr>
          <w:color w:val="15181F"/>
          <w:sz w:val="18"/>
          <w:szCs w:val="18"/>
        </w:rPr>
        <w:t xml:space="preserve">If the liver is causing the symptoms and the extrahepatic disease is controlled, hepatic control can be discussed at the board with the goal stated explicitly.</w:t>
      </w:r>
    </w:p>
    <w:p>
      <w:pPr>
        <w:spacing w:after="50"/>
        <w:ind w:left="240"/>
      </w:pPr>
      <w:r>
        <w:rPr>
          <w:b/>
          <w:bCs/>
          <w:color w:val="8C2F26"/>
          <w:sz w:val="18"/>
          <w:szCs w:val="18"/>
        </w:rPr>
        <w:t xml:space="preserve">Caveat. </w:t>
      </w:r>
      <w:r>
        <w:rPr>
          <w:color w:val="15181F"/>
          <w:sz w:val="18"/>
          <w:szCs w:val="18"/>
        </w:rPr>
        <w:t xml:space="preserve">Treating the liver while the disease progresses elsewhere spends liver reserve and time on an outcome that will not change the course.</w:t>
      </w:r>
    </w:p>
    <w:p>
      <w:pPr>
        <w:spacing w:after="60" w:line="276"/>
        <w:ind w:left="240"/>
      </w:pPr>
      <w:r>
        <w:rPr>
          <w:color w:val="5A6069"/>
          <w:sz w:val="16"/>
          <w:szCs w:val="16"/>
        </w:rPr>
        <w:t xml:space="preserve">Sources: MH iCCA roadmap v0.6; AASLD PSC/CCA 2023</w:t>
      </w:r>
    </w:p>
    <w:p>
      <w:pPr>
        <w:pBdr>
          <w:bottom w:val="single" w:color="D3DCE4" w:sz="6" w:space="1"/>
        </w:pBdr>
        <w:spacing w:after="80"/>
      </w:pPr>
    </w:p>
    <w:p>
      <w:pPr>
        <w:pStyle w:val="Heading2"/>
        <w:keepNext/>
        <w:pageBreakBefore/>
        <w:spacing w:after="110" w:before="240"/>
      </w:pPr>
      <w:r>
        <w:rPr>
          <w:rFonts w:ascii="Cambria" w:cs="Cambria" w:eastAsia="Cambria" w:hAnsi="Cambria"/>
          <w:b/>
          <w:bCs/>
          <w:color w:val="17365D"/>
          <w:sz w:val="26"/>
          <w:szCs w:val="26"/>
        </w:rPr>
        <w:t xml:space="preserve">7 · Which liver-directed treatment, and for what goal</w:t>
      </w:r>
    </w:p>
    <w:p>
      <w:pPr>
        <w:spacing w:after="140"/>
      </w:pPr>
      <w:r>
        <w:rPr>
          <w:b/>
          <w:bCs/>
          <w:color w:val="176A87"/>
          <w:sz w:val="19"/>
          <w:szCs w:val="19"/>
        </w:rPr>
        <w:t xml:space="preserve">The question. </w:t>
      </w:r>
      <w:r>
        <w:rPr>
          <w:sz w:val="19"/>
          <w:szCs w:val="19"/>
        </w:rPr>
        <w:t xml:space="preserve">What am I trying to achieve in this liver, and which device actually achieves it here?</w:t>
      </w:r>
    </w:p>
    <w:p>
      <w:pPr>
        <w:spacing w:after="60" w:before="160"/>
      </w:pPr>
      <w:r>
        <w:rPr>
          <w:b/>
          <w:bCs/>
          <w:color w:val="176A87"/>
          <w:spacing w:val="24"/>
          <w:sz w:val="15"/>
          <w:szCs w:val="15"/>
        </w:rPr>
        <w:t xml:space="preserve">ALL OF THE FOLLOWING HAVE TO BE IN HAND</w:t>
      </w:r>
    </w:p>
    <w:p>
      <w:pPr>
        <w:pStyle w:val="ListParagraph"/>
        <w:numPr>
          <w:ilvl w:val="0"/>
          <w:numId w:val="2"/>
        </w:numPr>
        <w:spacing w:after="60" w:line="268"/>
      </w:pPr>
      <w:r>
        <w:rPr>
          <w:color w:val="15181F"/>
          <w:sz w:val="18"/>
          <w:szCs w:val="18"/>
        </w:rPr>
        <w:t xml:space="preserve">Treatment intent assigned before a device is chosen — cure, conversion or bridge, or hepatic control</w:t>
      </w:r>
    </w:p>
    <w:p>
      <w:pPr>
        <w:pStyle w:val="ListParagraph"/>
        <w:numPr>
          <w:ilvl w:val="0"/>
          <w:numId w:val="2"/>
        </w:numPr>
        <w:spacing w:after="60" w:line="268"/>
      </w:pPr>
      <w:r>
        <w:rPr>
          <w:color w:val="15181F"/>
          <w:sz w:val="18"/>
          <w:szCs w:val="18"/>
        </w:rPr>
        <w:t xml:space="preserve">Target geometry, liver reserve and biliary drainage assessed, not described from a report</w:t>
      </w:r>
    </w:p>
    <w:p>
      <w:pPr>
        <w:pStyle w:val="ListParagraph"/>
        <w:numPr>
          <w:ilvl w:val="0"/>
          <w:numId w:val="2"/>
        </w:numPr>
        <w:spacing w:after="60" w:line="268"/>
      </w:pPr>
      <w:r>
        <w:rPr>
          <w:color w:val="15181F"/>
          <w:sz w:val="18"/>
          <w:szCs w:val="18"/>
        </w:rPr>
        <w:t xml:space="preserve">What this institution can actually deliver confirmed — pump, personalised dosimetry, device and radiopharmaceutical availability, payer authorisation</w:t>
      </w:r>
    </w:p>
    <w:p>
      <w:pPr>
        <w:pStyle w:val="ListParagraph"/>
        <w:numPr>
          <w:ilvl w:val="0"/>
          <w:numId w:val="2"/>
        </w:numPr>
        <w:spacing w:after="60" w:line="268"/>
      </w:pPr>
      <w:r>
        <w:rPr>
          <w:color w:val="15181F"/>
          <w:sz w:val="18"/>
          <w:szCs w:val="18"/>
        </w:rPr>
        <w:t xml:space="preserve">Resection, local ablation and transplant compared at multidisciplinary review where appropriate</w:t>
      </w:r>
    </w:p>
    <w:p>
      <w:pPr>
        <w:pStyle w:val="ListParagraph"/>
        <w:numPr>
          <w:ilvl w:val="0"/>
          <w:numId w:val="2"/>
        </w:numPr>
        <w:spacing w:after="60" w:line="268"/>
      </w:pPr>
      <w:r>
        <w:rPr>
          <w:color w:val="15181F"/>
          <w:sz w:val="18"/>
          <w:szCs w:val="18"/>
        </w:rPr>
        <w:t xml:space="preserve">Intended outcome, why the alternatives do not fit, the systemic plan, the reassessment date and the next action all recorded</w:t>
      </w:r>
    </w:p>
    <w:p>
      <w:pPr>
        <w:spacing w:after="80" w:line="276"/>
      </w:pPr>
      <w:r>
        <w:rPr>
          <w:color w:val="15181F"/>
          <w:sz w:val="20"/>
          <w:szCs w:val="20"/>
        </w:rPr>
        <w:t xml:space="preserve"/>
      </w:r>
    </w:p>
    <w:p>
      <w:pPr>
        <w:spacing w:after="60" w:before="180"/>
      </w:pPr>
      <w:r>
        <w:rPr>
          <w:b/>
          <w:bCs/>
          <w:color w:val="17365D"/>
          <w:spacing w:val="16"/>
          <w:sz w:val="16"/>
          <w:szCs w:val="16"/>
        </w:rPr>
        <w:t xml:space="preserve">STANDARD</w:t>
      </w:r>
      <w:r>
        <w:rPr>
          <w:color w:val="5A6069"/>
          <w:sz w:val="16"/>
          <w:szCs w:val="16"/>
        </w:rPr>
        <w:t xml:space="preserve">   grade D</w:t>
      </w:r>
    </w:p>
    <w:p>
      <w:pPr>
        <w:spacing w:after="60" w:line="276"/>
      </w:pPr>
      <w:r>
        <w:rPr>
          <w:color w:val="15181F"/>
          <w:sz w:val="19"/>
          <w:szCs w:val="19"/>
        </w:rPr>
        <w:t xml:space="preserve">Assign the treatment intent before choosing a device. Curative intent means an attempt to eradicate all known cancer; it does not establish a cure rate.</w:t>
      </w:r>
    </w:p>
    <w:p>
      <w:pPr>
        <w:spacing w:after="50" w:line="276"/>
        <w:ind w:left="240"/>
      </w:pPr>
      <w:r>
        <w:rPr>
          <w:color w:val="15181F"/>
          <w:sz w:val="18"/>
          <w:szCs w:val="18"/>
        </w:rPr>
        <w:t xml:space="preserve">Every liver-directed decision. Local control, complete radiographic response, complete pathologic necrosis in a treated lesion, and overall survival are different outcomes; conflating hepatic control with cure is the commonest reasoning error here. Bridge and downstaging preserve a later transplant or resection opportunity and are recorded separately from definitive local treatment.</w:t>
      </w:r>
    </w:p>
    <w:p>
      <w:pPr>
        <w:spacing w:after="50"/>
        <w:ind w:left="240"/>
      </w:pPr>
      <w:r>
        <w:rPr>
          <w:b/>
          <w:bCs/>
          <w:color w:val="8C2F26"/>
          <w:sz w:val="18"/>
          <w:szCs w:val="18"/>
        </w:rPr>
        <w:t xml:space="preserve">Caveat. </w:t>
      </w:r>
      <w:r>
        <w:rPr>
          <w:color w:val="15181F"/>
          <w:sz w:val="18"/>
          <w:szCs w:val="18"/>
        </w:rPr>
        <w:t xml:space="preserve">Do not use a universal ablation &gt; SBRT &gt; Y90 &gt; TACE &gt; HAI &gt; histotripsy ladder, and do not treat an upfront alternative chosen because of anatomy or organ reserve as a post-progression second line.</w:t>
      </w:r>
    </w:p>
    <w:p>
      <w:pPr>
        <w:spacing w:after="50" w:line="276"/>
        <w:ind w:left="240"/>
      </w:pPr>
      <w:r>
        <w:rPr>
          <w:i/>
          <w:iCs/>
          <w:color w:val="5A6069"/>
          <w:sz w:val="17"/>
          <w:szCs w:val="17"/>
        </w:rPr>
        <w:t xml:space="preserve">The categories in the selector are a clinical synthesis, not a new formal evidence-grading system.</w:t>
      </w:r>
    </w:p>
    <w:p>
      <w:pPr>
        <w:spacing w:after="60" w:line="276"/>
        <w:ind w:left="240"/>
      </w:pPr>
      <w:r>
        <w:rPr>
          <w:color w:val="5A6069"/>
          <w:sz w:val="16"/>
          <w:szCs w:val="16"/>
        </w:rPr>
        <w:t xml:space="preserve">Sources: MH iCCA roadmap v0.6</w:t>
      </w:r>
    </w:p>
    <w:p>
      <w:pPr>
        <w:spacing w:after="60" w:before="180"/>
      </w:pPr>
      <w:r>
        <w:rPr>
          <w:b/>
          <w:bCs/>
          <w:color w:val="17365D"/>
          <w:spacing w:val="16"/>
          <w:sz w:val="16"/>
          <w:szCs w:val="16"/>
        </w:rPr>
        <w:t xml:space="preserve">STANDARD</w:t>
      </w:r>
      <w:r>
        <w:rPr>
          <w:color w:val="5A6069"/>
          <w:sz w:val="16"/>
          <w:szCs w:val="16"/>
        </w:rPr>
        <w:t xml:space="preserve">   grade C</w:t>
      </w:r>
    </w:p>
    <w:p>
      <w:pPr>
        <w:spacing w:after="100" w:line="276"/>
      </w:pPr>
      <w:r>
        <w:rPr>
          <w:i/>
          <w:iCs/>
          <w:color w:val="5A6069"/>
          <w:sz w:val="17"/>
          <w:szCs w:val="17"/>
        </w:rPr>
        <w:t xml:space="preserve">Intent, target geometry, liver reserve and what the institution can deliver choose the modality — not a hierarchy of evidence, because none exists. No randomised trial compares any two of these in intrahepatic cholangiocarcinoma and none has been tested against a modern chemo-immunotherapy backbone. This order reproduces the roadmap's own selector table and carries no survival claim; resection is first because it is the established curative standard, and transplantation and histotripsy are last because both are protocol-only.</w:t>
      </w:r>
    </w:p>
    <w:p>
      <w:pPr>
        <w:spacing w:after="50" w:before="120"/>
        <w:ind w:left="240"/>
      </w:pPr>
      <w:r>
        <w:rPr>
          <w:b/>
          <w:bCs/>
          <w:color w:val="15181F"/>
          <w:sz w:val="19"/>
          <w:szCs w:val="19"/>
        </w:rPr>
        <w:t xml:space="preserve">Resection</w:t>
      </w:r>
      <w:r>
        <w:rPr>
          <w:color w:val="5A6069"/>
          <w:sz w:val="15"/>
          <w:szCs w:val="15"/>
        </w:rPr>
        <w:t xml:space="preserve">   grade B</w:t>
      </w:r>
    </w:p>
    <w:p>
      <w:pPr>
        <w:spacing w:after="50" w:line="276"/>
        <w:ind w:left="240"/>
      </w:pPr>
      <w:r>
        <w:rPr>
          <w:color w:val="15181F"/>
          <w:sz w:val="18"/>
          <w:szCs w:val="18"/>
        </w:rPr>
        <w:t xml:space="preserve">Goal: curative. Standard in the selector. Fits R0 achievable, liver-confined, adequate remnant and biliary drainage, fit patient.</w:t>
      </w:r>
    </w:p>
    <w:p>
      <w:pPr>
        <w:spacing w:after="50" w:line="276"/>
        <w:ind w:left="240"/>
      </w:pPr>
      <w:r>
        <w:rPr>
          <w:color w:val="15181F"/>
          <w:sz w:val="18"/>
          <w:szCs w:val="18"/>
        </w:rPr>
        <w:t xml:space="preserve">The established curative standard whenever the anatomy and the reserve allow it — gate 3.</w:t>
      </w:r>
    </w:p>
    <w:p>
      <w:pPr>
        <w:spacing w:after="50"/>
        <w:ind w:left="240"/>
      </w:pPr>
      <w:r>
        <w:rPr>
          <w:b/>
          <w:bCs/>
          <w:color w:val="8C2F26"/>
          <w:sz w:val="18"/>
          <w:szCs w:val="18"/>
        </w:rPr>
        <w:t xml:space="preserve">Caveat. </w:t>
      </w:r>
      <w:r>
        <w:rPr>
          <w:color w:val="15181F"/>
          <w:sz w:val="18"/>
          <w:szCs w:val="18"/>
        </w:rPr>
        <w:t xml:space="preserve">Multifocal disease; nodal disease beyond the regional basin; inadequate remnant; any extrahepatic disease.</w:t>
      </w:r>
    </w:p>
    <w:p>
      <w:pPr>
        <w:spacing w:after="60" w:line="276"/>
        <w:ind w:left="240"/>
      </w:pPr>
      <w:r>
        <w:rPr>
          <w:color w:val="5A6069"/>
          <w:sz w:val="16"/>
          <w:szCs w:val="16"/>
        </w:rPr>
        <w:t xml:space="preserve">Sources: NCCN BTC v1.2026; AASLD PSC/CCA 2023</w:t>
      </w:r>
    </w:p>
    <w:p>
      <w:pPr>
        <w:spacing w:after="50" w:before="120"/>
        <w:ind w:left="240"/>
      </w:pPr>
      <w:r>
        <w:rPr>
          <w:b/>
          <w:bCs/>
          <w:color w:val="15181F"/>
          <w:sz w:val="19"/>
          <w:szCs w:val="19"/>
        </w:rPr>
        <w:t xml:space="preserve">Hepatic arterial infusion</w:t>
      </w:r>
      <w:r>
        <w:rPr>
          <w:color w:val="5A6069"/>
          <w:sz w:val="15"/>
          <w:szCs w:val="15"/>
        </w:rPr>
        <w:t xml:space="preserve">   grade C</w:t>
      </w:r>
      <w:r>
        <w:rPr>
          <w:b/>
          <w:bCs/>
          <w:color w:val="8E5008"/>
          <w:spacing w:val="12"/>
          <w:sz w:val="14"/>
          <w:szCs w:val="14"/>
        </w:rPr>
        <w:t xml:space="preserve">   EXPERTISE</w:t>
      </w:r>
    </w:p>
    <w:p>
      <w:pPr>
        <w:spacing w:after="50" w:line="276"/>
        <w:ind w:left="240"/>
      </w:pPr>
      <w:r>
        <w:rPr>
          <w:color w:val="15181F"/>
          <w:sz w:val="18"/>
          <w:szCs w:val="18"/>
        </w:rPr>
        <w:t xml:space="preserve">Goal: hepatic control or conversion. Expert-centre option for a defined phenotype. Fits liver-confined unresectable disease, favourable arterial anatomy, with durable hepatic control or conversion as the stated goal. NCCN permits HAI in trials or experienced centres for carefully selected patients.</w:t>
      </w:r>
    </w:p>
    <w:p>
      <w:pPr>
        <w:spacing w:after="50" w:line="276"/>
        <w:ind w:left="240"/>
      </w:pPr>
      <w:r>
        <w:rPr>
          <w:color w:val="15181F"/>
          <w:sz w:val="18"/>
          <w:szCs w:val="18"/>
        </w:rPr>
        <w:t xml:space="preserve">An approved expert programme with pump and arterial expertise, biliary toxicity monitoring and systemic coverage; it can be considered early rather than as a generic second line.</w:t>
      </w:r>
    </w:p>
    <w:p>
      <w:pPr>
        <w:spacing w:after="50"/>
        <w:ind w:left="240"/>
      </w:pPr>
      <w:r>
        <w:rPr>
          <w:b/>
          <w:bCs/>
          <w:color w:val="8C2F26"/>
          <w:sz w:val="18"/>
          <w:szCs w:val="18"/>
        </w:rPr>
        <w:t xml:space="preserve">Caveat. No dedicated pump programme; distant extrahepatic metastases; unrelieved biliary obstruction. Grade 4 toxicity requiring withdrawal occurred in 11% of the phase 2 cohort.</w:t>
      </w:r>
      <w:r>
        <w:rPr>
          <w:color w:val="15181F"/>
          <w:sz w:val="18"/>
          <w:szCs w:val="18"/>
        </w:rPr>
        <w:t xml:space="preserve"/>
      </w:r>
    </w:p>
    <w:p>
      <w:pPr>
        <w:spacing w:after="60" w:line="276"/>
        <w:ind w:left="240"/>
      </w:pPr>
      <w:r>
        <w:rPr>
          <w:color w:val="5A6069"/>
          <w:sz w:val="16"/>
          <w:szCs w:val="16"/>
        </w:rPr>
        <w:t xml:space="preserve">Sources: Cercek HAI phase 2; Konstantinidis HAI cohort; NCCN BTC v1.2026</w:t>
      </w:r>
    </w:p>
    <w:p>
      <w:pPr>
        <w:spacing w:after="50" w:before="120"/>
        <w:ind w:left="240"/>
      </w:pPr>
      <w:r>
        <w:rPr>
          <w:b/>
          <w:bCs/>
          <w:color w:val="15181F"/>
          <w:sz w:val="19"/>
          <w:szCs w:val="19"/>
        </w:rPr>
        <w:t xml:space="preserve">SBRT or proton therapy</w:t>
      </w:r>
      <w:r>
        <w:rPr>
          <w:color w:val="5A6069"/>
          <w:sz w:val="15"/>
          <w:szCs w:val="15"/>
        </w:rPr>
        <w:t xml:space="preserve">   grade C</w:t>
      </w:r>
    </w:p>
    <w:p>
      <w:pPr>
        <w:spacing w:after="50" w:line="276"/>
        <w:ind w:left="240"/>
      </w:pPr>
      <w:r>
        <w:rPr>
          <w:color w:val="15181F"/>
          <w:sz w:val="18"/>
          <w:szCs w:val="18"/>
        </w:rPr>
        <w:t xml:space="preserve">Goal: selected definitive or consolidative local treatment. Reasonable consideration. Fits localized inoperable disease; cure evidence limited. Some of the evidence uses longer hypofractionated photon or proton schedules, not only 3–5-fraction SBRT.</w:t>
      </w:r>
    </w:p>
    <w:p>
      <w:pPr>
        <w:spacing w:after="50" w:line="276"/>
        <w:ind w:left="240"/>
      </w:pPr>
      <w:r>
        <w:rPr>
          <w:color w:val="15181F"/>
          <w:sz w:val="18"/>
          <w:szCs w:val="18"/>
        </w:rPr>
        <w:t xml:space="preserve">May be selected directly on geometry and reserve; an unsuccessful catheter therapy is not a prerequisite. Requires adequate liver reserve, biliary drainage and safe gastrointestinal and biliary doses.</w:t>
      </w:r>
    </w:p>
    <w:p>
      <w:pPr>
        <w:spacing w:after="50"/>
        <w:ind w:left="240"/>
      </w:pPr>
      <w:r>
        <w:rPr>
          <w:b/>
          <w:bCs/>
          <w:color w:val="8C2F26"/>
          <w:sz w:val="18"/>
          <w:szCs w:val="18"/>
        </w:rPr>
        <w:t xml:space="preserve">Caveat. </w:t>
      </w:r>
      <w:r>
        <w:rPr>
          <w:color w:val="15181F"/>
          <w:sz w:val="18"/>
          <w:szCs w:val="18"/>
        </w:rPr>
        <w:t xml:space="preserve">Insufficient uninvolved liver; unrelieved biliary obstruction; overlapping prior dose; refractory ascites. For bulky unresectable disease, coordinate systemic therapy rather than replacing it by default.</w:t>
      </w:r>
    </w:p>
    <w:p>
      <w:pPr>
        <w:spacing w:after="60" w:line="276"/>
        <w:ind w:left="240"/>
      </w:pPr>
      <w:r>
        <w:rPr>
          <w:color w:val="5A6069"/>
          <w:sz w:val="16"/>
          <w:szCs w:val="16"/>
        </w:rPr>
        <w:t xml:space="preserve">Sources: Tao dose-response; Hong proton phase II; BSG CCA 2023</w:t>
      </w:r>
    </w:p>
    <w:p>
      <w:pPr>
        <w:spacing w:after="50" w:before="120"/>
        <w:ind w:left="240"/>
      </w:pPr>
      <w:r>
        <w:rPr>
          <w:b/>
          <w:bCs/>
          <w:color w:val="15181F"/>
          <w:sz w:val="19"/>
          <w:szCs w:val="19"/>
        </w:rPr>
        <w:t xml:space="preserve">Radioembolisation or chemoembolisation</w:t>
      </w:r>
      <w:r>
        <w:rPr>
          <w:color w:val="5A6069"/>
          <w:sz w:val="15"/>
          <w:szCs w:val="15"/>
        </w:rPr>
        <w:t xml:space="preserve">   grade C</w:t>
      </w:r>
    </w:p>
    <w:p>
      <w:pPr>
        <w:spacing w:after="50" w:line="276"/>
        <w:ind w:left="240"/>
      </w:pPr>
      <w:r>
        <w:rPr>
          <w:color w:val="15181F"/>
          <w:sz w:val="18"/>
          <w:szCs w:val="18"/>
        </w:rPr>
        <w:t xml:space="preserve">Goal: hepatic control. Reasonable consideration. Fits liver-dominant disease with hepatic control as the goal, portal flow preserved and dosimetry planning available. Y90 may also be used in a planned conversion strategy.</w:t>
      </w:r>
    </w:p>
    <w:p>
      <w:pPr>
        <w:spacing w:after="50" w:line="276"/>
        <w:ind w:left="240"/>
      </w:pPr>
      <w:r>
        <w:rPr>
          <w:color w:val="15181F"/>
          <w:sz w:val="18"/>
          <w:szCs w:val="18"/>
        </w:rPr>
        <w:t xml:space="preserve">Selected hepatic-dominant disease where selective delivery and reserve are adequate, with personalised dosimetry and the systemic plan running alongside.</w:t>
      </w:r>
    </w:p>
    <w:p>
      <w:pPr>
        <w:spacing w:after="50"/>
        <w:ind w:left="240"/>
      </w:pPr>
      <w:r>
        <w:rPr>
          <w:b/>
          <w:bCs/>
          <w:color w:val="8C2F26"/>
          <w:sz w:val="18"/>
          <w:szCs w:val="18"/>
        </w:rPr>
        <w:t xml:space="preserve">Caveat. </w:t>
      </w:r>
      <w:r>
        <w:rPr>
          <w:color w:val="15181F"/>
          <w:sz w:val="18"/>
          <w:szCs w:val="18"/>
        </w:rPr>
        <w:t xml:space="preserve">Substituted for systemic therapy; used while extrahepatic disease progresses; inadequate future remnant or unsafe shunt fraction. Cirrhosis is the hard stop for radioembolisation plus chemotherapy — hepatic failure in 75% of cirrhotic patients, irreversible in 5 of 12.</w:t>
      </w:r>
    </w:p>
    <w:p>
      <w:pPr>
        <w:spacing w:after="60" w:line="276"/>
        <w:ind w:left="240"/>
      </w:pPr>
      <w:r>
        <w:rPr>
          <w:color w:val="5A6069"/>
          <w:sz w:val="16"/>
          <w:szCs w:val="16"/>
        </w:rPr>
        <w:t xml:space="preserve">Sources: MISPHEC; Kiefer TACE 2-centre; NCCN BTC v1.2026</w:t>
      </w:r>
    </w:p>
    <w:p>
      <w:pPr>
        <w:spacing w:after="50" w:before="120"/>
        <w:ind w:left="240"/>
      </w:pPr>
      <w:r>
        <w:rPr>
          <w:b/>
          <w:bCs/>
          <w:color w:val="15181F"/>
          <w:sz w:val="19"/>
          <w:szCs w:val="19"/>
        </w:rPr>
        <w:t xml:space="preserve">Thermal ablation</w:t>
      </w:r>
      <w:r>
        <w:rPr>
          <w:color w:val="5A6069"/>
          <w:sz w:val="15"/>
          <w:szCs w:val="15"/>
        </w:rPr>
        <w:t xml:space="preserve">   grade C</w:t>
      </w:r>
    </w:p>
    <w:p>
      <w:pPr>
        <w:spacing w:after="50" w:line="276"/>
        <w:ind w:left="240"/>
      </w:pPr>
      <w:r>
        <w:rPr>
          <w:color w:val="15181F"/>
          <w:sz w:val="18"/>
          <w:szCs w:val="18"/>
        </w:rPr>
        <w:t xml:space="preserve">Goal: potentially curative intent in a narrow group. Reasonable consideration. Fits solitary tumour under 3 cm with a complete safe margin; EASL-ILCA is narrower at under 2 cm. Central ducts often limit feasibility.</w:t>
      </w:r>
    </w:p>
    <w:p>
      <w:pPr>
        <w:spacing w:after="50" w:line="276"/>
        <w:ind w:left="240"/>
      </w:pPr>
      <w:r>
        <w:rPr>
          <w:color w:val="15181F"/>
          <w:sz w:val="18"/>
          <w:szCs w:val="18"/>
        </w:rPr>
        <w:t xml:space="preserve">A small lesion when resection is unsuitable, with all disease treated to a safe margin and no uncontrolled nodal or distant disease; also at a first intrahepatic recurrence, where microwave ablation gave median overall survival 29.8 versus 34.0 months against repeat resection (HR 0.89, p=0.31) with major complications in 5.5% versus 31.3%.</w:t>
      </w:r>
    </w:p>
    <w:p>
      <w:pPr>
        <w:spacing w:after="50"/>
        <w:ind w:left="240"/>
      </w:pPr>
      <w:r>
        <w:rPr>
          <w:b/>
          <w:bCs/>
          <w:color w:val="8C2F26"/>
          <w:sz w:val="18"/>
          <w:szCs w:val="18"/>
        </w:rPr>
        <w:t xml:space="preserve">Caveat. </w:t>
      </w:r>
      <w:r>
        <w:rPr>
          <w:color w:val="15181F"/>
          <w:sz w:val="18"/>
          <w:szCs w:val="18"/>
        </w:rPr>
        <w:t xml:space="preserve">No safe margin, central bile duct injury risk, or unaddressed disease. Evidence is mainly retrospective and weaker than in hepatocellular carcinoma or colorectal liver metastases; do not extrapolate to large or multifocal iCCA. Document why the patient fits the narrower evidence base.</w:t>
      </w:r>
    </w:p>
    <w:p>
      <w:pPr>
        <w:spacing w:after="60" w:line="276"/>
        <w:ind w:left="240"/>
      </w:pPr>
      <w:r>
        <w:rPr>
          <w:color w:val="5A6069"/>
          <w:sz w:val="16"/>
          <w:szCs w:val="16"/>
        </w:rPr>
        <w:t xml:space="preserve">Sources: MALRIC recurrent; MALRIC primary; Ablation meta-analysis; EASL-ILCA iCCA 2023; NCCN BTC v1.2026</w:t>
      </w:r>
    </w:p>
    <w:p>
      <w:pPr>
        <w:spacing w:after="50" w:before="120"/>
        <w:ind w:left="240"/>
      </w:pPr>
      <w:r>
        <w:rPr>
          <w:b/>
          <w:bCs/>
          <w:color w:val="15181F"/>
          <w:sz w:val="19"/>
          <w:szCs w:val="19"/>
        </w:rPr>
        <w:t xml:space="preserve">Liver transplantation</w:t>
      </w:r>
      <w:r>
        <w:rPr>
          <w:color w:val="5A6069"/>
          <w:sz w:val="15"/>
          <w:szCs w:val="15"/>
        </w:rPr>
        <w:t xml:space="preserve">   grade C</w:t>
      </w:r>
      <w:r>
        <w:rPr>
          <w:b/>
          <w:bCs/>
          <w:color w:val="8E5008"/>
          <w:spacing w:val="12"/>
          <w:sz w:val="14"/>
          <w:szCs w:val="14"/>
        </w:rPr>
        <w:t xml:space="preserve">   PROTOCOL</w:t>
      </w:r>
      <w:r>
        <w:rPr>
          <w:b/>
          <w:bCs/>
          <w:color w:val="8E5008"/>
          <w:spacing w:val="12"/>
          <w:sz w:val="14"/>
          <w:szCs w:val="14"/>
        </w:rPr>
        <w:t xml:space="preserve">   REGISTRY</w:t>
      </w:r>
    </w:p>
    <w:p>
      <w:pPr>
        <w:spacing w:after="50" w:line="276"/>
        <w:ind w:left="240"/>
      </w:pPr>
      <w:r>
        <w:rPr>
          <w:color w:val="15181F"/>
          <w:sz w:val="18"/>
          <w:szCs w:val="18"/>
        </w:rPr>
        <w:t xml:space="preserve">Goal: total clearance. Trial or registry only. The best-characterised setting is a single tumour of 2 cm or less first diagnosed on cirrhotic explant pathology, most having been seen before transplant as presumed hepatocellular carcinoma — 15 patients in the index series, and mixed hepatocellular-cholangiocarcinoma was excluded from it.</w:t>
      </w:r>
    </w:p>
    <w:p>
      <w:pPr>
        <w:spacing w:after="50" w:line="276"/>
        <w:ind w:left="240"/>
      </w:pPr>
      <w:r>
        <w:rPr>
          <w:color w:val="15181F"/>
          <w:sz w:val="18"/>
          <w:szCs w:val="18"/>
        </w:rPr>
        <w:t xml:space="preserve">Only inside a formally approved protocol with review-board approval and registry entry — gate 10.</w:t>
      </w:r>
    </w:p>
    <w:p>
      <w:pPr>
        <w:spacing w:after="50"/>
        <w:ind w:left="240"/>
      </w:pPr>
      <w:r>
        <w:rPr>
          <w:b/>
          <w:bCs/>
          <w:color w:val="8C2F26"/>
          <w:sz w:val="18"/>
          <w:szCs w:val="18"/>
        </w:rPr>
        <w:t xml:space="preserve">Caveat. </w:t>
      </w:r>
      <w:r>
        <w:rPr>
          <w:color w:val="15181F"/>
          <w:sz w:val="18"/>
          <w:szCs w:val="18"/>
        </w:rPr>
        <w:t xml:space="preserve">Multifocal or larger disease outside a protocol; any extrahepatic disease; no registry entry. A technical response does not establish transplant eligibility.</w:t>
      </w:r>
    </w:p>
    <w:p>
      <w:pPr>
        <w:spacing w:after="60" w:line="276"/>
        <w:ind w:left="240"/>
      </w:pPr>
      <w:r>
        <w:rPr>
          <w:color w:val="5A6069"/>
          <w:sz w:val="16"/>
          <w:szCs w:val="16"/>
        </w:rPr>
        <w:t xml:space="preserve">Sources: Sapisochin very early iCCA; Sapisochin review; OPTN transplant-oncology guidance</w:t>
      </w:r>
    </w:p>
    <w:p>
      <w:pPr>
        <w:spacing w:after="50" w:before="120"/>
        <w:ind w:left="240"/>
      </w:pPr>
      <w:r>
        <w:rPr>
          <w:b/>
          <w:bCs/>
          <w:color w:val="15181F"/>
          <w:sz w:val="19"/>
          <w:szCs w:val="19"/>
        </w:rPr>
        <w:t xml:space="preserve">Histotripsy</w:t>
      </w:r>
      <w:r>
        <w:rPr>
          <w:color w:val="5A6069"/>
          <w:sz w:val="15"/>
          <w:szCs w:val="15"/>
        </w:rPr>
        <w:t xml:space="preserve">   grade D</w:t>
      </w:r>
      <w:r>
        <w:rPr>
          <w:b/>
          <w:bCs/>
          <w:color w:val="8E5008"/>
          <w:spacing w:val="12"/>
          <w:sz w:val="14"/>
          <w:szCs w:val="14"/>
        </w:rPr>
        <w:t xml:space="preserve">   PROTOCOL</w:t>
      </w:r>
      <w:r>
        <w:rPr>
          <w:b/>
          <w:bCs/>
          <w:color w:val="8E5008"/>
          <w:spacing w:val="12"/>
          <w:sz w:val="14"/>
          <w:szCs w:val="14"/>
        </w:rPr>
        <w:t xml:space="preserve">   REGISTRY</w:t>
      </w:r>
    </w:p>
    <w:p>
      <w:pPr>
        <w:spacing w:after="50" w:line="276"/>
        <w:ind w:left="240"/>
      </w:pPr>
      <w:r>
        <w:rPr>
          <w:color w:val="15181F"/>
          <w:sz w:val="18"/>
          <w:szCs w:val="18"/>
        </w:rPr>
        <w:t xml:space="preserve">Investigational oncologic role: no tumour-specific curative evidence in intrahepatic cholangiocarcinoma. Consider only under a prospective trial or institutional registry, with explicit consent about oncologic uncertainty, suitable ultrasound visibility and acoustic access, device-compliant target size and depth, and an independent standard-treatment review.</w:t>
      </w:r>
    </w:p>
    <w:p>
      <w:pPr>
        <w:spacing w:after="50" w:line="276"/>
        <w:ind w:left="240"/>
      </w:pPr>
      <w:r>
        <w:rPr>
          <w:color w:val="15181F"/>
          <w:sz w:val="18"/>
          <w:szCs w:val="18"/>
        </w:rPr>
        <w:t xml:space="preserve">Nothing outside a protocol. In the one-year update of the pivotal experience, local control was 63.4% on the primary assessment versus 90% post hoc in 47 patients with 52 tumours.</w:t>
      </w:r>
    </w:p>
    <w:p>
      <w:pPr>
        <w:spacing w:after="50"/>
        <w:ind w:left="240"/>
      </w:pPr>
      <w:r>
        <w:rPr>
          <w:b/>
          <w:bCs/>
          <w:color w:val="8C2F26"/>
          <w:sz w:val="18"/>
          <w:szCs w:val="18"/>
        </w:rPr>
        <w:t xml:space="preserve">Caveat. </w:t>
      </w:r>
      <w:r>
        <w:rPr>
          <w:color w:val="15181F"/>
          <w:sz w:val="18"/>
          <w:szCs w:val="18"/>
        </w:rPr>
        <w:t xml:space="preserve">FDA device clearance for tumour destruction does not establish survival benefit or equivalence to established ablation. Be particularly cautious around central biliary structures and prior instrumentation; a bridge-to-transplant use remains protocol-based.</w:t>
      </w:r>
    </w:p>
    <w:p>
      <w:pPr>
        <w:spacing w:after="60" w:line="276"/>
        <w:ind w:left="240"/>
      </w:pPr>
      <w:r>
        <w:rPr>
          <w:color w:val="5A6069"/>
          <w:sz w:val="16"/>
          <w:szCs w:val="16"/>
        </w:rPr>
        <w:t xml:space="preserve">Sources: HOPE4LIVER one-year update</w:t>
      </w:r>
    </w:p>
    <w:p>
      <w:pPr>
        <w:spacing w:after="60" w:line="276"/>
        <w:ind w:left="240"/>
      </w:pPr>
      <w:r>
        <w:rPr>
          <w:i/>
          <w:iCs/>
          <w:color w:val="5A6069"/>
          <w:sz w:val="16"/>
          <w:szCs w:val="16"/>
        </w:rPr>
        <w:t xml:space="preserve">Unresolved decisions 1, 2, 6 and 7 all live here: whether the programme runs a hepatic arterial infusion service, which modality is first choice for unresectable liver-confined disease, the liver-function thresholds that bar each modality, and whether ablation is acceptable and in whom. The dependency flags the roadmap uses beyond demonstrated expertise — personalised dosimetry, device and radiopharmaceutical availability, payer authorisation and transplant timing — are local feasibility questions, not evidence questions.</w:t>
      </w:r>
    </w:p>
    <w:p>
      <w:pPr>
        <w:spacing w:after="60" w:before="180"/>
      </w:pPr>
      <w:r>
        <w:rPr>
          <w:b/>
          <w:bCs/>
          <w:color w:val="176A87"/>
          <w:spacing w:val="16"/>
          <w:sz w:val="16"/>
          <w:szCs w:val="16"/>
        </w:rPr>
        <w:t xml:space="preserve">REASONABLE</w:t>
      </w:r>
      <w:r>
        <w:rPr>
          <w:color w:val="5A6069"/>
          <w:sz w:val="16"/>
          <w:szCs w:val="16"/>
        </w:rPr>
        <w:t xml:space="preserve">   grade D</w:t>
      </w:r>
    </w:p>
    <w:p>
      <w:pPr>
        <w:spacing w:after="60" w:line="276"/>
      </w:pPr>
      <w:r>
        <w:rPr>
          <w:color w:val="15181F"/>
          <w:sz w:val="19"/>
          <w:szCs w:val="19"/>
        </w:rPr>
        <w:t xml:space="preserve">Record the decision in the form the registry can audit: intended outcome, why the alternatives fit or do not fit, the systemic-treatment plan, the reassessment date and the next action.</w:t>
      </w:r>
    </w:p>
    <w:p>
      <w:pPr>
        <w:spacing w:after="50" w:line="276"/>
        <w:ind w:left="240"/>
      </w:pPr>
      <w:r>
        <w:rPr>
          <w:color w:val="15181F"/>
          <w:sz w:val="18"/>
          <w:szCs w:val="18"/>
        </w:rPr>
        <w:t xml:space="preserve">Every liver-directed case, because the unresolved questions above can only be answered from the programme's own data — modality, goal, hepatic progression-free survival and change in liver function.</w:t>
      </w:r>
    </w:p>
    <w:p>
      <w:pPr>
        <w:spacing w:after="50"/>
        <w:ind w:left="240"/>
      </w:pPr>
      <w:r>
        <w:rPr>
          <w:b/>
          <w:bCs/>
          <w:color w:val="8C2F26"/>
          <w:sz w:val="18"/>
          <w:szCs w:val="18"/>
        </w:rPr>
        <w:t xml:space="preserve">Caveat. </w:t>
      </w:r>
      <w:r>
        <w:rPr>
          <w:color w:val="15181F"/>
          <w:sz w:val="18"/>
          <w:szCs w:val="18"/>
        </w:rPr>
        <w:t xml:space="preserve">A note that records the device but not the goal makes the case useless for the registry and leaves the next team unable to tell a bridge from a definitive treatment.</w:t>
      </w:r>
    </w:p>
    <w:p>
      <w:pPr>
        <w:spacing w:after="60" w:line="276"/>
        <w:ind w:left="240"/>
      </w:pPr>
      <w:r>
        <w:rPr>
          <w:color w:val="5A6069"/>
          <w:sz w:val="16"/>
          <w:szCs w:val="16"/>
        </w:rPr>
        <w:t xml:space="preserve">Sources: MH iCCA roadmap v0.6</w:t>
      </w:r>
    </w:p>
    <w:p>
      <w:pPr>
        <w:spacing w:after="60" w:before="180"/>
      </w:pPr>
      <w:r>
        <w:rPr>
          <w:b/>
          <w:bCs/>
          <w:color w:val="8C2F26"/>
          <w:spacing w:val="16"/>
          <w:sz w:val="16"/>
          <w:szCs w:val="16"/>
        </w:rPr>
        <w:t xml:space="preserve">AVOID</w:t>
      </w:r>
      <w:r>
        <w:rPr>
          <w:color w:val="5A6069"/>
          <w:sz w:val="16"/>
          <w:szCs w:val="16"/>
        </w:rPr>
        <w:t xml:space="preserve">   grade C</w:t>
      </w:r>
    </w:p>
    <w:p>
      <w:pPr>
        <w:spacing w:after="60" w:line="276"/>
      </w:pPr>
      <w:r>
        <w:rPr>
          <w:color w:val="15181F"/>
          <w:sz w:val="19"/>
          <w:szCs w:val="19"/>
        </w:rPr>
        <w:t xml:space="preserve">Do not treat a complete local response as cure, or as a transplant exception.</w:t>
      </w:r>
    </w:p>
    <w:p>
      <w:pPr>
        <w:spacing w:after="50" w:line="276"/>
        <w:ind w:left="240"/>
      </w:pPr>
      <w:r>
        <w:rPr>
          <w:color w:val="15181F"/>
          <w:sz w:val="18"/>
          <w:szCs w:val="18"/>
        </w:rPr>
        <w:t xml:space="preserve">Reassess at 8–12 weeks allowing for the delayed response pattern after radiation-based therapy; nonprogression is not treatment failure.</w:t>
      </w:r>
    </w:p>
    <w:p>
      <w:pPr>
        <w:spacing w:after="50"/>
        <w:ind w:left="240"/>
      </w:pPr>
      <w:r>
        <w:rPr>
          <w:b/>
          <w:bCs/>
          <w:color w:val="8C2F26"/>
          <w:sz w:val="18"/>
          <w:szCs w:val="18"/>
        </w:rPr>
        <w:t xml:space="preserve">Caveat. </w:t>
      </w:r>
      <w:r>
        <w:rPr>
          <w:color w:val="15181F"/>
          <w:sz w:val="18"/>
          <w:szCs w:val="18"/>
        </w:rPr>
        <w:t xml:space="preserve">A local complete response is not an automatic transplant exception, and a technical response does not establish transplant eligibility.</w:t>
      </w:r>
    </w:p>
    <w:p>
      <w:pPr>
        <w:spacing w:after="60" w:line="276"/>
        <w:ind w:left="240"/>
      </w:pPr>
      <w:r>
        <w:rPr>
          <w:color w:val="5A6069"/>
          <w:sz w:val="16"/>
          <w:szCs w:val="16"/>
        </w:rPr>
        <w:t xml:space="preserve">Sources: MH iCCA roadmap v0.6; OPTN transplant-oncology guidance</w:t>
      </w:r>
    </w:p>
    <w:p>
      <w:pPr>
        <w:pBdr>
          <w:bottom w:val="single" w:color="D3DCE4" w:sz="6" w:space="1"/>
        </w:pBdr>
        <w:spacing w:after="80"/>
      </w:pPr>
    </w:p>
    <w:p>
      <w:pPr>
        <w:pStyle w:val="Heading2"/>
        <w:keepNext/>
        <w:pageBreakBefore/>
        <w:spacing w:after="110" w:before="240"/>
      </w:pPr>
      <w:r>
        <w:rPr>
          <w:rFonts w:ascii="Cambria" w:cs="Cambria" w:eastAsia="Cambria" w:hAnsi="Cambria"/>
          <w:b/>
          <w:bCs/>
          <w:color w:val="17365D"/>
          <w:sz w:val="26"/>
          <w:szCs w:val="26"/>
        </w:rPr>
        <w:t xml:space="preserve">8 · Adjuvant therapy after resection</w:t>
      </w:r>
    </w:p>
    <w:p>
      <w:pPr>
        <w:spacing w:after="140"/>
      </w:pPr>
      <w:r>
        <w:rPr>
          <w:b/>
          <w:bCs/>
          <w:color w:val="176A87"/>
          <w:sz w:val="19"/>
          <w:szCs w:val="19"/>
        </w:rPr>
        <w:t xml:space="preserve">The question. </w:t>
      </w:r>
      <w:r>
        <w:rPr>
          <w:sz w:val="19"/>
          <w:szCs w:val="19"/>
        </w:rPr>
        <w:t xml:space="preserve">Do I offer capecitabine, and what do I tell this patient the trial showed?</w:t>
      </w:r>
    </w:p>
    <w:p>
      <w:pPr>
        <w:spacing w:after="60" w:before="160"/>
      </w:pPr>
      <w:r>
        <w:rPr>
          <w:b/>
          <w:bCs/>
          <w:color w:val="176A87"/>
          <w:spacing w:val="24"/>
          <w:sz w:val="15"/>
          <w:szCs w:val="15"/>
        </w:rPr>
        <w:t xml:space="preserve">ANY ONE OF THE FOLLOWING HAS TO BE IN HAND</w:t>
      </w:r>
    </w:p>
    <w:p>
      <w:pPr>
        <w:pStyle w:val="ListParagraph"/>
        <w:numPr>
          <w:ilvl w:val="0"/>
          <w:numId w:val="2"/>
        </w:numPr>
        <w:spacing w:after="60" w:line="268"/>
      </w:pPr>
      <w:r>
        <w:rPr>
          <w:color w:val="15181F"/>
          <w:sz w:val="18"/>
          <w:szCs w:val="18"/>
        </w:rPr>
        <w:t xml:space="preserve">Macroscopically complete resection with curative intent, R0 or R1</w:t>
      </w:r>
    </w:p>
    <w:p>
      <w:pPr>
        <w:pStyle w:val="ListParagraph"/>
        <w:numPr>
          <w:ilvl w:val="0"/>
          <w:numId w:val="2"/>
        </w:numPr>
        <w:spacing w:after="60" w:line="268"/>
      </w:pPr>
      <w:r>
        <w:rPr>
          <w:color w:val="15181F"/>
          <w:sz w:val="18"/>
          <w:szCs w:val="18"/>
        </w:rPr>
        <w:t xml:space="preserve">Recovered enough to start within 16 weeks of surgery, with performance status and organ function to match</w:t>
      </w:r>
    </w:p>
    <w:p>
      <w:pPr>
        <w:pStyle w:val="ListParagraph"/>
        <w:numPr>
          <w:ilvl w:val="0"/>
          <w:numId w:val="2"/>
        </w:numPr>
        <w:spacing w:after="60" w:line="268"/>
      </w:pPr>
      <w:r>
        <w:rPr>
          <w:color w:val="15181F"/>
          <w:sz w:val="18"/>
          <w:szCs w:val="18"/>
        </w:rPr>
        <w:t xml:space="preserve">Node-positive or R1 disease, where the discussion carries most weight</w:t>
      </w:r>
    </w:p>
    <w:p>
      <w:pPr>
        <w:pStyle w:val="ListParagraph"/>
        <w:numPr>
          <w:ilvl w:val="0"/>
          <w:numId w:val="2"/>
        </w:numPr>
        <w:spacing w:after="60" w:line="268"/>
      </w:pPr>
      <w:r>
        <w:rPr>
          <w:color w:val="15181F"/>
          <w:sz w:val="18"/>
          <w:szCs w:val="18"/>
        </w:rPr>
        <w:t xml:space="preserve">A patient who wants to know what the trial actually showed before deciding</w:t>
      </w:r>
    </w:p>
    <w:p>
      <w:pPr>
        <w:spacing w:after="80" w:line="276"/>
      </w:pPr>
      <w:r>
        <w:rPr>
          <w:color w:val="15181F"/>
          <w:sz w:val="20"/>
          <w:szCs w:val="20"/>
        </w:rPr>
        <w:t xml:space="preserve"/>
      </w:r>
    </w:p>
    <w:p>
      <w:pPr>
        <w:spacing w:after="60" w:before="180"/>
      </w:pPr>
      <w:r>
        <w:rPr>
          <w:b/>
          <w:bCs/>
          <w:color w:val="17365D"/>
          <w:spacing w:val="16"/>
          <w:sz w:val="16"/>
          <w:szCs w:val="16"/>
        </w:rPr>
        <w:t xml:space="preserve">STANDARD</w:t>
      </w:r>
      <w:r>
        <w:rPr>
          <w:color w:val="5A6069"/>
          <w:sz w:val="16"/>
          <w:szCs w:val="16"/>
        </w:rPr>
        <w:t xml:space="preserve">   grade B</w:t>
      </w:r>
    </w:p>
    <w:p>
      <w:pPr>
        <w:spacing w:after="60" w:line="276"/>
      </w:pPr>
      <w:r>
        <w:rPr>
          <w:color w:val="15181F"/>
          <w:sz w:val="19"/>
          <w:szCs w:val="19"/>
        </w:rPr>
        <w:t xml:space="preserve">Have the adjuvant conversation with the numbers in front of you: BILCAP's intention-to-treat primary analysis did </w:t>
      </w:r>
      <w:r>
        <w:rPr>
          <w:b/>
          <w:bCs/>
          <w:color w:val="15181F"/>
          <w:sz w:val="19"/>
          <w:szCs w:val="19"/>
        </w:rPr>
        <w:t xml:space="preserve">not</w:t>
      </w:r>
      <w:r>
        <w:rPr>
          <w:color w:val="15181F"/>
          <w:sz w:val="19"/>
          <w:szCs w:val="19"/>
        </w:rPr>
        <w:t xml:space="preserve"> meet statistical significance — median overall survival 51.1 versus 36.4 months, adjusted hazard ratio 0.81 (95% CI 0.63–1.04), p=0.097.</w:t>
      </w:r>
    </w:p>
    <w:p>
      <w:pPr>
        <w:spacing w:after="50" w:line="276"/>
        <w:ind w:left="240"/>
      </w:pPr>
      <w:r>
        <w:rPr>
          <w:color w:val="15181F"/>
          <w:sz w:val="18"/>
          <w:szCs w:val="18"/>
        </w:rPr>
        <w:t xml:space="preserve">Every patient being offered capecitabine. Significance appeared in the prespecified intention-to-treat sensitivity analysis adjusted for nodal status, tumour grade and sex (hazard ratio 0.71, 95% CI 0.55–0.92, p=0.010) and in the per-protocol analysis (hazard ratio 0.75, 95% CI 0.58–0.97, p=0.028); the trial was unmasked. Say both halves.</w:t>
      </w:r>
    </w:p>
    <w:p>
      <w:pPr>
        <w:spacing w:after="50"/>
        <w:ind w:left="240"/>
      </w:pPr>
      <w:r>
        <w:rPr>
          <w:b/>
          <w:bCs/>
          <w:color w:val="8C2F26"/>
          <w:sz w:val="18"/>
          <w:szCs w:val="18"/>
        </w:rPr>
        <w:t xml:space="preserve">Caveat. </w:t>
      </w:r>
      <w:r>
        <w:rPr>
          <w:color w:val="15181F"/>
          <w:sz w:val="18"/>
          <w:szCs w:val="18"/>
        </w:rPr>
        <w:t xml:space="preserve">Do not present it as settled. Only 84 of 447 patients (19%) had intrahepatic disease and the trial was not powered for site-specific effects, so the iCCA-specific benefit is unproven; LCSGJ 2022 reports no significant benefit in the intrahepatic subgroup, while EASL-ILCA cites an iCCA hazard ratio of 0.65 — the best of the subtypes — and still grades the recommendation on a trial that was negative on intention to treat.</w:t>
      </w:r>
    </w:p>
    <w:p>
      <w:pPr>
        <w:spacing w:after="50" w:line="276"/>
        <w:ind w:left="240"/>
      </w:pPr>
      <w:r>
        <w:rPr>
          <w:i/>
          <w:iCs/>
          <w:color w:val="5A6069"/>
          <w:sz w:val="17"/>
          <w:szCs w:val="17"/>
        </w:rPr>
        <w:t xml:space="preserve">Lymphadenectomy was not mandated for intrahepatic patients in BILCAP, yet nodal status is one of the covariates that turns the sensitivity analysis positive. Recurrence-free survival favoured capecitabine over the first 24 months (median 24.4 versus 17.5 months, adjusted hazard ratio 0.75, 95% CI 0.58–0.98, p=0.033) with no difference from 24 to 60 months (hazard ratio 1.48, 0.80–2.77, p=0.21), which the authors read as deferred rather than prevented recurrence. Recruitment ran nearly nine years with no fully defined analysis plan at the outset and the monitoring committee had to reset the event target when survival on observation proved far better than assumed. Two guideline readings of the same subgroup conflict and should not be presented as two datasets: LCSGJ 2022 reports no significant benefit in the intrahepatic subgroup while EASL-ILCA cites an iCCA hazard ratio of 0.65 as the best of the subtypes — both are unpowered subgroup estimates from the trial that was negative on intention to treat. NCCN Biliary Tract Cancers v1.2026 designates capecitabine preferred, category 1, while acknowledging the nonsignificant intention-to-treat analysis; our Reasonable consideration is deliberately more cautious and requires explicit multidisciplinary ratification (alignment worksheet, area 11).</w:t>
      </w:r>
    </w:p>
    <w:p>
      <w:pPr>
        <w:spacing w:after="60" w:line="276"/>
        <w:ind w:left="240"/>
      </w:pPr>
      <w:r>
        <w:rPr>
          <w:color w:val="5A6069"/>
          <w:sz w:val="16"/>
          <w:szCs w:val="16"/>
        </w:rPr>
        <w:t xml:space="preserve">Sources: BILCAP; NCCN BTC v1.2026; LCSGJ iCCA 2022; EASL-ILCA iCCA 2023</w:t>
      </w:r>
    </w:p>
    <w:p>
      <w:pPr>
        <w:spacing w:after="60" w:before="180"/>
      </w:pPr>
      <w:r>
        <w:rPr>
          <w:b/>
          <w:bCs/>
          <w:color w:val="176A87"/>
          <w:spacing w:val="16"/>
          <w:sz w:val="16"/>
          <w:szCs w:val="16"/>
        </w:rPr>
        <w:t xml:space="preserve">REASONABLE</w:t>
      </w:r>
      <w:r>
        <w:rPr>
          <w:color w:val="5A6069"/>
          <w:sz w:val="16"/>
          <w:szCs w:val="16"/>
        </w:rPr>
        <w:t xml:space="preserve">   grade C</w:t>
      </w:r>
    </w:p>
    <w:p>
      <w:pPr>
        <w:spacing w:after="60" w:line="276"/>
      </w:pPr>
      <w:r>
        <w:rPr>
          <w:color w:val="15181F"/>
          <w:sz w:val="19"/>
          <w:szCs w:val="19"/>
        </w:rPr>
        <w:t xml:space="preserve">Offer adjuvant capecitabine for 6 months as a reasonable consideration, not an obligation.</w:t>
      </w:r>
    </w:p>
    <w:p>
      <w:pPr>
        <w:spacing w:after="50" w:line="276"/>
        <w:ind w:left="240"/>
      </w:pPr>
      <w:r>
        <w:rPr>
          <w:color w:val="15181F"/>
          <w:sz w:val="18"/>
          <w:szCs w:val="18"/>
        </w:rPr>
        <w:t xml:space="preserve">The fit patient after R0 or R1 resection, particularly node-positive or R1 disease, who has heard the trial endpoints and wants treatment. AASLD 2023 says capecitabine should be considered for all patients with cholangiocarcinoma and BSG 2023 recommends considering 24 weeks (strong recommendation, moderate-quality evidence).</w:t>
      </w:r>
    </w:p>
    <w:p>
      <w:pPr>
        <w:spacing w:after="50"/>
        <w:ind w:left="240"/>
      </w:pPr>
      <w:r>
        <w:rPr>
          <w:b/>
          <w:bCs/>
          <w:color w:val="8C2F26"/>
          <w:sz w:val="18"/>
          <w:szCs w:val="18"/>
        </w:rPr>
        <w:t xml:space="preserve">Caveat. </w:t>
      </w:r>
      <w:r>
        <w:rPr>
          <w:color w:val="15181F"/>
          <w:sz w:val="18"/>
          <w:szCs w:val="18"/>
        </w:rPr>
        <w:t xml:space="preserve">A patient for whom the toxicity outweighs an unproven site-specific gain: grade 3 or worse events affected 44% of the 213 treated patients, most often hand-foot syndrome (20%), 32% stopped for toxicity and only 55% completed all eight cycles. Serious adverse events were 21% versus 10% on observation.</w:t>
      </w:r>
    </w:p>
    <w:p>
      <w:pPr>
        <w:spacing w:after="50" w:line="276"/>
        <w:ind w:left="240"/>
      </w:pPr>
      <w:r>
        <w:rPr>
          <w:i/>
          <w:iCs/>
          <w:color w:val="5A6069"/>
          <w:sz w:val="17"/>
          <w:szCs w:val="17"/>
        </w:rPr>
        <w:t xml:space="preserve">Downgraded from B. The trial that supports it did not meet its primary intention-to-treat endpoint (adjusted hazard ratio 0.81, 95% CI 0.63–1.04, p=0.097), only 84 of 447 patients (19%) had intrahepatic disease and it was not powered for site-specific effects, so for this pathway the benefit is an unpowered subgroup of a negative trial. ACTICCA-1 has not reported. Our label sits closest to LCSGJ 2022's weak recommendation and is more cautious than AASLD 2023, BSG 2023 and EASL-ILCA, each of which grades the recommendation strong. Whether it moves to Standard is unresolved decision 3.</w:t>
      </w:r>
    </w:p>
    <w:p>
      <w:pPr>
        <w:spacing w:after="60" w:line="276"/>
        <w:ind w:left="240"/>
      </w:pPr>
      <w:r>
        <w:rPr>
          <w:color w:val="5A6069"/>
          <w:sz w:val="16"/>
          <w:szCs w:val="16"/>
        </w:rPr>
        <w:t xml:space="preserve">Sources: BILCAP; AASLD PSC/CCA 2023; BSG CCA 2023; LCSGJ iCCA 2022</w:t>
      </w:r>
    </w:p>
    <w:p>
      <w:pPr>
        <w:spacing w:after="60" w:before="180"/>
      </w:pPr>
      <w:r>
        <w:rPr>
          <w:b/>
          <w:bCs/>
          <w:color w:val="176A87"/>
          <w:spacing w:val="16"/>
          <w:sz w:val="16"/>
          <w:szCs w:val="16"/>
        </w:rPr>
        <w:t xml:space="preserve">REASONABLE</w:t>
      </w:r>
      <w:r>
        <w:rPr>
          <w:color w:val="5A6069"/>
          <w:sz w:val="16"/>
          <w:szCs w:val="16"/>
        </w:rPr>
        <w:t xml:space="preserve">   grade C</w:t>
      </w:r>
    </w:p>
    <w:p>
      <w:pPr>
        <w:spacing w:after="60" w:line="276"/>
      </w:pPr>
      <w:r>
        <w:rPr>
          <w:color w:val="15181F"/>
          <w:sz w:val="19"/>
          <w:szCs w:val="19"/>
        </w:rPr>
        <w:t xml:space="preserve">Discuss adjuvant chemoradiotherapy case by case at tumour board after an R1 or node-positive resection; it is not routine.</w:t>
      </w:r>
    </w:p>
    <w:p>
      <w:pPr>
        <w:spacing w:after="50" w:line="276"/>
        <w:ind w:left="240"/>
      </w:pPr>
      <w:r>
        <w:rPr>
          <w:color w:val="15181F"/>
          <w:sz w:val="18"/>
          <w:szCs w:val="18"/>
        </w:rPr>
        <w:t xml:space="preserve">A margin or nodal result that genuinely changes the local-failure risk, discussed as a one-off decision with the radiation oncologist present.</w:t>
      </w:r>
    </w:p>
    <w:p>
      <w:pPr>
        <w:spacing w:after="50"/>
        <w:ind w:left="240"/>
      </w:pPr>
      <w:r>
        <w:rPr>
          <w:b/>
          <w:bCs/>
          <w:color w:val="8C2F26"/>
          <w:sz w:val="18"/>
          <w:szCs w:val="18"/>
        </w:rPr>
        <w:t xml:space="preserve">Caveat. </w:t>
      </w:r>
      <w:r>
        <w:rPr>
          <w:color w:val="15181F"/>
          <w:sz w:val="18"/>
          <w:szCs w:val="18"/>
        </w:rPr>
        <w:t xml:space="preserve">In intrahepatic disease the support is retrospective only, and BSG 2023 confines its recommendation for chemoradiotherapy after an R1 resection to extrahepatic cholangiocarcinoma and gallbladder cancer (alignment worksheet, area 11). Do not make it a standing rule for R1 iCCA.</w:t>
      </w:r>
    </w:p>
    <w:p>
      <w:pPr>
        <w:spacing w:after="60" w:line="276"/>
        <w:ind w:left="240"/>
      </w:pPr>
      <w:r>
        <w:rPr>
          <w:color w:val="5A6069"/>
          <w:sz w:val="16"/>
          <w:szCs w:val="16"/>
        </w:rPr>
        <w:t xml:space="preserve">Sources: MH iCCA alignment worksheet; BSG CCA 2023</w:t>
      </w:r>
    </w:p>
    <w:p>
      <w:pPr>
        <w:spacing w:after="60" w:before="180"/>
      </w:pPr>
      <w:r>
        <w:rPr>
          <w:b/>
          <w:bCs/>
          <w:color w:val="8C2F26"/>
          <w:spacing w:val="16"/>
          <w:sz w:val="16"/>
          <w:szCs w:val="16"/>
        </w:rPr>
        <w:t xml:space="preserve">AVOID</w:t>
      </w:r>
      <w:r>
        <w:rPr>
          <w:color w:val="5A6069"/>
          <w:sz w:val="16"/>
          <w:szCs w:val="16"/>
        </w:rPr>
        <w:t xml:space="preserve">   grade B</w:t>
      </w:r>
    </w:p>
    <w:p>
      <w:pPr>
        <w:spacing w:after="60" w:line="276"/>
      </w:pPr>
      <w:r>
        <w:rPr>
          <w:color w:val="15181F"/>
          <w:sz w:val="19"/>
          <w:szCs w:val="19"/>
        </w:rPr>
        <w:t xml:space="preserve">Do not give adjuvant gemcitabine–oxaliplatin.</w:t>
      </w:r>
    </w:p>
    <w:p>
      <w:pPr>
        <w:spacing w:after="50" w:line="276"/>
        <w:ind w:left="240"/>
      </w:pPr>
      <w:r>
        <w:rPr>
          <w:color w:val="15181F"/>
          <w:sz w:val="18"/>
          <w:szCs w:val="18"/>
        </w:rPr>
        <w:t xml:space="preserve">PRODIGE-12 was negative on both co-primary endpoints: relapse-free survival 30.4 versus 18.5 months, hazard ratio 0.88 (95% CI 0.62–1.25), p=0.48, and median time to definitive quality-of-life deterioration 31.8 versus 32.1 months, hazard ratio 1.28 (0.73–2.26), p=0.39; overall survival numerically favoured surveillance (median 75.8 versus 50.8 months, hazard ratio 1.08, 0.70–1.66).</w:t>
      </w:r>
    </w:p>
    <w:p>
      <w:pPr>
        <w:spacing w:after="50"/>
        <w:ind w:left="240"/>
      </w:pPr>
      <w:r>
        <w:rPr>
          <w:b/>
          <w:bCs/>
          <w:color w:val="8C2F26"/>
          <w:sz w:val="18"/>
          <w:szCs w:val="18"/>
        </w:rPr>
        <w:t xml:space="preserve">Caveat. </w:t>
      </w:r>
      <w:r>
        <w:rPr>
          <w:color w:val="15181F"/>
          <w:sz w:val="18"/>
          <w:szCs w:val="18"/>
        </w:rPr>
        <w:t xml:space="preserve">Grade 3 toxicity affected 62% and grade 4 11%, with grade 3 peripheral sensory neuropathy in 18%. Intrahepatic patients were 86 of 194 (44%) and their relapse-free survival hazard ratio was 0.718 (0.431–1.196), so this is not a population mismatch excuse. Say what kind of negative it is: the trial was powered for a hazard ratio of 0.60 on 126 events, its medians fell on a plateau of the curves, and salvage differed sharply by arm (40 of 41 surveillance relapses received gemcitabine-based salvage versus 9 of 33 after GEMOX), so this is a failed superiority trial in a lower-risk population than BILCAP (13% R1 and 38% node-positive, against 38% and 47%) rather than a demonstration that adjuvant therapy does nothing.</w:t>
      </w:r>
    </w:p>
    <w:p>
      <w:pPr>
        <w:spacing w:after="60" w:line="276"/>
        <w:ind w:left="240"/>
      </w:pPr>
      <w:r>
        <w:rPr>
          <w:color w:val="5A6069"/>
          <w:sz w:val="16"/>
          <w:szCs w:val="16"/>
        </w:rPr>
        <w:t xml:space="preserve">Sources: PRODIGE-12</w:t>
      </w:r>
    </w:p>
    <w:p>
      <w:pPr>
        <w:spacing w:after="60" w:before="180"/>
      </w:pPr>
      <w:r>
        <w:rPr>
          <w:b/>
          <w:bCs/>
          <w:color w:val="8C2F26"/>
          <w:spacing w:val="16"/>
          <w:sz w:val="16"/>
          <w:szCs w:val="16"/>
        </w:rPr>
        <w:t xml:space="preserve">AVOID</w:t>
      </w:r>
      <w:r>
        <w:rPr>
          <w:color w:val="5A6069"/>
          <w:sz w:val="16"/>
          <w:szCs w:val="16"/>
        </w:rPr>
        <w:t xml:space="preserve">   grade B</w:t>
      </w:r>
    </w:p>
    <w:p>
      <w:pPr>
        <w:spacing w:after="60" w:line="276"/>
      </w:pPr>
      <w:r>
        <w:rPr>
          <w:color w:val="15181F"/>
          <w:sz w:val="19"/>
          <w:szCs w:val="19"/>
        </w:rPr>
        <w:t xml:space="preserve">Do not offer S-1 as the adjuvant option here, and do not use BCAT to argue against adjuvant therapy in intrahepatic disease.</w:t>
      </w:r>
    </w:p>
    <w:p>
      <w:pPr>
        <w:spacing w:after="50" w:line="276"/>
        <w:ind w:left="240"/>
      </w:pPr>
      <w:r>
        <w:rPr>
          <w:color w:val="15181F"/>
          <w:sz w:val="18"/>
          <w:szCs w:val="18"/>
        </w:rPr>
        <w:t xml:space="preserve">ASCOT met its primary endpoint — 3-year overall survival 77.1% versus 67.6%, stratified hazard ratio 0.69 (95% CI 0.51–0.94) — but relapse-free survival did not reach significance (hazard ratio 0.80, 0.61–1.04, p=0.088) with the curves crossing at 6 years, the analysis was done at 179 deaths, 62.8% of the 285 prespecified events, and the observation arm did far better than the hypothesised 47%. It was conducted entirely in Japan and S-1 is not available in the United States; only 58 of 440 patients (13%) had intrahepatic disease and that subgroup's hazard ratio, 0.75 (95% CI 0.30–1.89), is uninformative.</w:t>
      </w:r>
    </w:p>
    <w:p>
      <w:pPr>
        <w:spacing w:after="50"/>
        <w:ind w:left="240"/>
      </w:pPr>
      <w:r>
        <w:rPr>
          <w:b/>
          <w:bCs/>
          <w:color w:val="8C2F26"/>
          <w:sz w:val="18"/>
          <w:szCs w:val="18"/>
        </w:rPr>
        <w:t xml:space="preserve">Caveat. </w:t>
      </w:r>
      <w:r>
        <w:rPr>
          <w:color w:val="15181F"/>
          <w:sz w:val="18"/>
          <w:szCs w:val="18"/>
        </w:rPr>
        <w:t xml:space="preserve">BCAT found no benefit for gemcitabine (hazard ratio 1.01, 95% CI 0.70–1.45) but enrolled only resected extrahepatic bile duct cancer — intrahepatic disease was not eligible — which is why EASL-ILCA excluded it when answering the adjuvant question for iCCA. It is also underpowered on its own terms: recruitment stopped at 226 of a planned 300 because patients wanted adjuvant chemotherapy, and the authors calculate only a 2.8% probability the result would have reached significance even with the planned 189 deaths. Neither trial can be quoted as evidence that adjuvant therapy is futile.</w:t>
      </w:r>
    </w:p>
    <w:p>
      <w:pPr>
        <w:spacing w:after="60" w:line="276"/>
        <w:ind w:left="240"/>
      </w:pPr>
      <w:r>
        <w:rPr>
          <w:color w:val="5A6069"/>
          <w:sz w:val="16"/>
          <w:szCs w:val="16"/>
        </w:rPr>
        <w:t xml:space="preserve">Sources: ASCOT; BCAT</w:t>
      </w:r>
    </w:p>
    <w:p>
      <w:pPr>
        <w:pBdr>
          <w:bottom w:val="single" w:color="D3DCE4" w:sz="6" w:space="1"/>
        </w:pBdr>
        <w:spacing w:after="80"/>
      </w:pPr>
    </w:p>
    <w:p>
      <w:pPr>
        <w:pStyle w:val="Heading2"/>
        <w:keepNext/>
        <w:pageBreakBefore/>
        <w:spacing w:after="110" w:before="240"/>
      </w:pPr>
      <w:r>
        <w:rPr>
          <w:rFonts w:ascii="Cambria" w:cs="Cambria" w:eastAsia="Cambria" w:hAnsi="Cambria"/>
          <w:b/>
          <w:bCs/>
          <w:color w:val="17365D"/>
          <w:sz w:val="26"/>
          <w:szCs w:val="26"/>
        </w:rPr>
        <w:t xml:space="preserve">9 · First line and beyond for advanced disease</w:t>
      </w:r>
    </w:p>
    <w:p>
      <w:pPr>
        <w:spacing w:after="140"/>
      </w:pPr>
      <w:r>
        <w:rPr>
          <w:b/>
          <w:bCs/>
          <w:color w:val="176A87"/>
          <w:sz w:val="19"/>
          <w:szCs w:val="19"/>
        </w:rPr>
        <w:t xml:space="preserve">The question. </w:t>
      </w:r>
      <w:r>
        <w:rPr>
          <w:sz w:val="19"/>
          <w:szCs w:val="19"/>
        </w:rPr>
        <w:t xml:space="preserve">Is this patient fit for the full regimen, and what comes next when it fails?</w:t>
      </w:r>
    </w:p>
    <w:p>
      <w:pPr>
        <w:spacing w:after="60" w:before="160"/>
      </w:pPr>
      <w:r>
        <w:rPr>
          <w:b/>
          <w:bCs/>
          <w:color w:val="176A87"/>
          <w:spacing w:val="24"/>
          <w:sz w:val="15"/>
          <w:szCs w:val="15"/>
        </w:rPr>
        <w:t xml:space="preserve">ANY ONE OF THE FOLLOWING HAS TO BE IN HAND</w:t>
      </w:r>
    </w:p>
    <w:p>
      <w:pPr>
        <w:pStyle w:val="ListParagraph"/>
        <w:numPr>
          <w:ilvl w:val="0"/>
          <w:numId w:val="2"/>
        </w:numPr>
        <w:spacing w:after="60" w:line="268"/>
      </w:pPr>
      <w:r>
        <w:rPr>
          <w:color w:val="15181F"/>
          <w:sz w:val="18"/>
          <w:szCs w:val="18"/>
        </w:rPr>
        <w:t xml:space="preserve">Unresectable or metastatic disease, treated with systemic intent</w:t>
      </w:r>
    </w:p>
    <w:p>
      <w:pPr>
        <w:pStyle w:val="ListParagraph"/>
        <w:numPr>
          <w:ilvl w:val="0"/>
          <w:numId w:val="2"/>
        </w:numPr>
        <w:spacing w:after="60" w:line="268"/>
      </w:pPr>
      <w:r>
        <w:rPr>
          <w:color w:val="15181F"/>
          <w:sz w:val="18"/>
          <w:szCs w:val="18"/>
        </w:rPr>
        <w:t xml:space="preserve">Performance status, renal and hepatic function and contraindications to checkpoint inhibition assessed, including any prior adjuvant therapy</w:t>
      </w:r>
    </w:p>
    <w:p>
      <w:pPr>
        <w:pStyle w:val="ListParagraph"/>
        <w:numPr>
          <w:ilvl w:val="0"/>
          <w:numId w:val="2"/>
        </w:numPr>
        <w:spacing w:after="60" w:line="268"/>
      </w:pPr>
      <w:r>
        <w:rPr>
          <w:color w:val="15181F"/>
          <w:sz w:val="18"/>
          <w:szCs w:val="18"/>
        </w:rPr>
        <w:t xml:space="preserve">Progression on first-line gemcitabine–platinum, with the molecular result already in hand</w:t>
      </w:r>
    </w:p>
    <w:p>
      <w:pPr>
        <w:pStyle w:val="ListParagraph"/>
        <w:numPr>
          <w:ilvl w:val="0"/>
          <w:numId w:val="2"/>
        </w:numPr>
        <w:spacing w:after="60" w:line="268"/>
      </w:pPr>
      <w:r>
        <w:rPr>
          <w:color w:val="15181F"/>
          <w:sz w:val="18"/>
          <w:szCs w:val="18"/>
        </w:rPr>
        <w:t xml:space="preserve">Trial eligibility checked — at diagnosis and again at each progression</w:t>
      </w:r>
    </w:p>
    <w:p>
      <w:pPr>
        <w:spacing w:after="80" w:line="276"/>
      </w:pPr>
      <w:r>
        <w:rPr>
          <w:color w:val="15181F"/>
          <w:sz w:val="20"/>
          <w:szCs w:val="20"/>
        </w:rPr>
        <w:t xml:space="preserve"/>
      </w:r>
    </w:p>
    <w:p>
      <w:pPr>
        <w:spacing w:after="60" w:before="180"/>
      </w:pPr>
      <w:r>
        <w:rPr>
          <w:b/>
          <w:bCs/>
          <w:color w:val="17365D"/>
          <w:spacing w:val="16"/>
          <w:sz w:val="16"/>
          <w:szCs w:val="16"/>
        </w:rPr>
        <w:t xml:space="preserve">STANDARD</w:t>
      </w:r>
      <w:r>
        <w:rPr>
          <w:color w:val="5A6069"/>
          <w:sz w:val="16"/>
          <w:szCs w:val="16"/>
        </w:rPr>
        <w:t xml:space="preserve">   grade A</w:t>
      </w:r>
    </w:p>
    <w:p>
      <w:pPr>
        <w:spacing w:after="60" w:line="276"/>
      </w:pPr>
      <w:r>
        <w:rPr>
          <w:color w:val="15181F"/>
          <w:sz w:val="19"/>
          <w:szCs w:val="19"/>
        </w:rPr>
        <w:t xml:space="preserve">Cisplatin–gemcitabine with a checkpoint inhibitor is the first-line standard: ABC-02 established the backbone (overall survival 11.7 versus 8.1 months, hazard ratio 0.64, 95% CI 0.52–0.80), durvalumab added a hazard ratio of 0.80 and pembrolizumab 0.83.</w:t>
      </w:r>
    </w:p>
    <w:p>
      <w:pPr>
        <w:spacing w:after="50" w:line="276"/>
        <w:ind w:left="240"/>
      </w:pPr>
      <w:r>
        <w:rPr>
          <w:color w:val="15181F"/>
          <w:sz w:val="18"/>
          <w:szCs w:val="18"/>
        </w:rPr>
        <w:t xml:space="preserve">Either combination is acceptable and the roadmap does not rank them; no trial compares them, so the choice is made on toxicity profile, schedule and access. ESMO 2024 recommends both [I, A] and states no biomarker favours one checkpoint inhibitor over the other.</w:t>
      </w:r>
    </w:p>
    <w:p>
      <w:pPr>
        <w:spacing w:after="50"/>
        <w:ind w:left="240"/>
      </w:pPr>
      <w:r>
        <w:rPr>
          <w:b/>
          <w:bCs/>
          <w:color w:val="8C2F26"/>
          <w:sz w:val="18"/>
          <w:szCs w:val="18"/>
        </w:rPr>
        <w:t xml:space="preserve">Caveat. </w:t>
      </w:r>
      <w:r>
        <w:rPr>
          <w:color w:val="15181F"/>
          <w:sz w:val="18"/>
          <w:szCs w:val="18"/>
        </w:rPr>
        <w:t xml:space="preserve">Do not read the backbone trial as an iCCA trial. The three trials differ sharply in how much of their population was actually intrahepatic: 80 of 410 patients (20%) in ABC-02, 383 of 685 (55.9%) in TOPAZ-1 and 633 of 1069 (59%) in KEYNOTE-966 — the last enriched because tumour tissue was mandatory and intrahepatic tumours are easier to sample. The modern figures are the ones that apply to this clinic; ABC-02's 11.7 months rests on a population in which gallbladder cancer was the largest single site at 36%, with a median follow-up of only 8.2 months, scans at weeks 12 and 24 by RECIST 1.0, and no molecular selection.</w:t>
      </w:r>
    </w:p>
    <w:p>
      <w:pPr>
        <w:spacing w:after="50" w:line="276"/>
        <w:ind w:left="240"/>
      </w:pPr>
      <w:r>
        <w:rPr>
          <w:i/>
          <w:iCs/>
          <w:color w:val="5A6069"/>
          <w:sz w:val="17"/>
          <w:szCs w:val="17"/>
        </w:rPr>
        <w:t xml:space="preserve">In both chemo-immunotherapy trials the intrahepatic subgroup carried the effect — hazard ratio 0.76 in each — which is the opposite of the adjuvant picture in gate 8, where intrahepatic patients were a small minority. The absolute gains are small: 1.3 months of median survival with durvalumab and 1.8 with pembrolizumab, both bought with immune toxicity and, in KEYNOTE-966, more treatment-related deaths and no quality-of-life gain. The claim that the two are interchangeable is an indirect comparison across trials that differ in chemotherapy duration, geography and population; ESMO states no biomarker or efficacy difference separates them, and no randomised comparison exists.</w:t>
      </w:r>
    </w:p>
    <w:p>
      <w:pPr>
        <w:spacing w:after="60" w:line="276"/>
        <w:ind w:left="240"/>
      </w:pPr>
      <w:r>
        <w:rPr>
          <w:color w:val="5A6069"/>
          <w:sz w:val="16"/>
          <w:szCs w:val="16"/>
        </w:rPr>
        <w:t xml:space="preserve">Sources: ABC-02; TOPAZ-1; KEYNOTE-966; NCCN BTC v1.2026; ESMO BTC 2024 interim; EASL-ILCA iCCA 2023</w:t>
      </w:r>
    </w:p>
    <w:p>
      <w:pPr>
        <w:spacing w:after="60" w:before="180"/>
      </w:pPr>
      <w:r>
        <w:rPr>
          <w:b/>
          <w:bCs/>
          <w:color w:val="17365D"/>
          <w:spacing w:val="16"/>
          <w:sz w:val="16"/>
          <w:szCs w:val="16"/>
        </w:rPr>
        <w:t xml:space="preserve">STANDARD</w:t>
      </w:r>
      <w:r>
        <w:rPr>
          <w:color w:val="5A6069"/>
          <w:sz w:val="16"/>
          <w:szCs w:val="16"/>
        </w:rPr>
        <w:t xml:space="preserve">   grade D</w:t>
      </w:r>
    </w:p>
    <w:p>
      <w:pPr>
        <w:spacing w:after="60" w:line="276"/>
      </w:pPr>
      <w:r>
        <w:rPr>
          <w:color w:val="15181F"/>
          <w:sz w:val="19"/>
          <w:szCs w:val="19"/>
        </w:rPr>
        <w:t xml:space="preserve">Performance status, renal and hepatic function, contraindications to checkpoint inhibition and prior therapy determine whether the full regimen is appropriate and at what intensity; any modification is recorded with its reason.</w:t>
      </w:r>
    </w:p>
    <w:p>
      <w:pPr>
        <w:spacing w:after="50" w:line="276"/>
        <w:ind w:left="240"/>
      </w:pPr>
      <w:r>
        <w:rPr>
          <w:color w:val="15181F"/>
          <w:sz w:val="18"/>
          <w:szCs w:val="18"/>
        </w:rPr>
        <w:t xml:space="preserve">Every patient, before the first cycle. Both pivotal trials enrolled only ECOG 0–1 patients, so the standard assumes a patient fit for it.</w:t>
      </w:r>
    </w:p>
    <w:p>
      <w:pPr>
        <w:spacing w:after="50"/>
        <w:ind w:left="240"/>
      </w:pPr>
      <w:r>
        <w:rPr>
          <w:b/>
          <w:bCs/>
          <w:color w:val="8C2F26"/>
          <w:sz w:val="18"/>
          <w:szCs w:val="18"/>
        </w:rPr>
        <w:t xml:space="preserve">Caveat. </w:t>
      </w:r>
      <w:r>
        <w:rPr>
          <w:color w:val="15181F"/>
          <w:sz w:val="18"/>
          <w:szCs w:val="18"/>
        </w:rPr>
        <w:t xml:space="preserve">Do not quietly drop a component without recording why. BSG 2023 regards oxaliplatin substitution in renal impairment and gemcitabine alone in poor performance status as reasonable; our roadmap leaves the choice to the treating oncologist, and whether to name defaults is a ratification item.</w:t>
      </w:r>
    </w:p>
    <w:p>
      <w:pPr>
        <w:spacing w:after="50" w:line="276"/>
        <w:ind w:left="240"/>
      </w:pPr>
      <w:r>
        <w:rPr>
          <w:i/>
          <w:iCs/>
          <w:color w:val="5A6069"/>
          <w:sz w:val="17"/>
          <w:szCs w:val="17"/>
        </w:rPr>
        <w:t xml:space="preserve">Clinical trial eligibility is checked at diagnosis and at each progression. Standard, grade D.</w:t>
      </w:r>
    </w:p>
    <w:p>
      <w:pPr>
        <w:spacing w:after="60" w:line="276"/>
        <w:ind w:left="240"/>
      </w:pPr>
      <w:r>
        <w:rPr>
          <w:color w:val="5A6069"/>
          <w:sz w:val="16"/>
          <w:szCs w:val="16"/>
        </w:rPr>
        <w:t xml:space="preserve">Sources: MH iCCA roadmap v0.6; BSG CCA 2023</w:t>
      </w:r>
    </w:p>
    <w:p>
      <w:pPr>
        <w:spacing w:after="60" w:before="180"/>
      </w:pPr>
      <w:r>
        <w:rPr>
          <w:b/>
          <w:bCs/>
          <w:color w:val="176A87"/>
          <w:spacing w:val="16"/>
          <w:sz w:val="16"/>
          <w:szCs w:val="16"/>
        </w:rPr>
        <w:t xml:space="preserve">REASONABLE</w:t>
      </w:r>
      <w:r>
        <w:rPr>
          <w:color w:val="5A6069"/>
          <w:sz w:val="16"/>
          <w:szCs w:val="16"/>
        </w:rPr>
        <w:t xml:space="preserve">   grade B</w:t>
      </w:r>
    </w:p>
    <w:p>
      <w:pPr>
        <w:spacing w:after="60" w:line="276"/>
      </w:pPr>
      <w:r>
        <w:rPr>
          <w:color w:val="15181F"/>
          <w:sz w:val="19"/>
          <w:szCs w:val="19"/>
        </w:rPr>
        <w:t xml:space="preserve">At progression, use the matched agent where a driver is present and FOLFOX where none is; recognise that those are different kinds of evidence.</w:t>
      </w:r>
    </w:p>
    <w:p>
      <w:pPr>
        <w:spacing w:after="50" w:line="276"/>
        <w:ind w:left="240"/>
      </w:pPr>
      <w:r>
        <w:rPr>
          <w:color w:val="15181F"/>
          <w:sz w:val="18"/>
          <w:szCs w:val="18"/>
        </w:rPr>
        <w:t xml:space="preserve">ABC-06 is the only randomised second-line evidence: FOLFOX 6.2 versus 5.3 months against active symptom control, adjusted hazard ratio 0.69 (95% CI 0.50–0.97), with 12-month survival 25.9% versus 11.4%. The matched agents report larger response and survival figures from single-arm trials and have never been compared with chemotherapy.</w:t>
      </w:r>
    </w:p>
    <w:p>
      <w:pPr>
        <w:spacing w:after="50"/>
        <w:ind w:left="240"/>
      </w:pPr>
      <w:r>
        <w:rPr>
          <w:b/>
          <w:bCs/>
          <w:color w:val="8C2F26"/>
          <w:sz w:val="18"/>
          <w:szCs w:val="18"/>
        </w:rPr>
        <w:t xml:space="preserve">Caveat. </w:t>
      </w:r>
      <w:r>
        <w:rPr>
          <w:color w:val="15181F"/>
          <w:sz w:val="18"/>
          <w:szCs w:val="18"/>
        </w:rPr>
        <w:t xml:space="preserve">Do not treat the single-arm figures as comparative survival data, and do not expect a response-driven surgical opportunity from ivosidenib (response 2%) or from any of these agents. There is no randomised evidence establishing a sequence among the targeted options.</w:t>
      </w:r>
    </w:p>
    <w:p>
      <w:pPr>
        <w:spacing w:after="50" w:line="276"/>
        <w:ind w:left="240"/>
      </w:pPr>
      <w:r>
        <w:rPr>
          <w:i/>
          <w:iCs/>
          <w:color w:val="5A6069"/>
          <w:sz w:val="17"/>
          <w:szCs w:val="17"/>
        </w:rPr>
        <w:t xml:space="preserve">ABC-06's benefit is an absolute median gain of 0.9 months and cost grade 3–5 toxicity in 69% versus 52% and three chemotherapy-related deaths; 44% of its patients had intrahepatic disease, and stratification errors discovered in data cleaning required a post hoc sensitivity analysis to confirm the result.</w:t>
      </w:r>
    </w:p>
    <w:p>
      <w:pPr>
        <w:spacing w:after="60" w:line="276"/>
        <w:ind w:left="240"/>
      </w:pPr>
      <w:r>
        <w:rPr>
          <w:color w:val="5A6069"/>
          <w:sz w:val="16"/>
          <w:szCs w:val="16"/>
        </w:rPr>
        <w:t xml:space="preserve">Sources: ABC-06; FIGHT-202 final; FOENIX-CCA2; ClarIDHy final OS; HERIZON-BTC-01; ROAR</w:t>
      </w:r>
    </w:p>
    <w:p>
      <w:pPr>
        <w:spacing w:after="60" w:before="180"/>
      </w:pPr>
      <w:r>
        <w:rPr>
          <w:b/>
          <w:bCs/>
          <w:color w:val="176A87"/>
          <w:spacing w:val="16"/>
          <w:sz w:val="16"/>
          <w:szCs w:val="16"/>
        </w:rPr>
        <w:t xml:space="preserve">REASONABLE</w:t>
      </w:r>
      <w:r>
        <w:rPr>
          <w:color w:val="5A6069"/>
          <w:sz w:val="16"/>
          <w:szCs w:val="16"/>
        </w:rPr>
        <w:t xml:space="preserve">   grade D</w:t>
      </w:r>
    </w:p>
    <w:p>
      <w:pPr>
        <w:spacing w:after="60" w:line="276"/>
      </w:pPr>
      <w:r>
        <w:rPr>
          <w:color w:val="15181F"/>
          <w:sz w:val="19"/>
          <w:szCs w:val="19"/>
        </w:rPr>
        <w:t xml:space="preserve">Move to symptom-focused care when the reassessment answers that question, and make that an explicit tumour-board decision rather than a default.</w:t>
      </w:r>
    </w:p>
    <w:p>
      <w:pPr>
        <w:spacing w:after="50" w:line="276"/>
        <w:ind w:left="240"/>
      </w:pPr>
      <w:r>
        <w:rPr>
          <w:color w:val="15181F"/>
          <w:sz w:val="18"/>
          <w:szCs w:val="18"/>
        </w:rPr>
        <w:t xml:space="preserve">The patient in whom the next line would buy toxicity rather than time. Biliary function is monitored alongside the disease throughout: liver biochemistry at every assessment, and a defined route for early detection of stent blockage.</w:t>
      </w:r>
    </w:p>
    <w:p>
      <w:pPr>
        <w:spacing w:after="50"/>
        <w:ind w:left="240"/>
      </w:pPr>
      <w:r>
        <w:rPr>
          <w:b/>
          <w:bCs/>
          <w:color w:val="8C2F26"/>
          <w:sz w:val="18"/>
          <w:szCs w:val="18"/>
        </w:rPr>
        <w:t xml:space="preserve">Caveat. </w:t>
      </w:r>
      <w:r>
        <w:rPr>
          <w:color w:val="15181F"/>
          <w:sz w:val="18"/>
          <w:szCs w:val="18"/>
        </w:rPr>
        <w:t xml:space="preserve">Do not let symptom-focused care mean no biliary care — BSG 2023 attributes the better-than-expected survival in the ABC-06 active-symptom-control arm to proactive treatment of biliary obstruction and infection. New jaundice, a rising bilirubin or cholangitis is evaluated promptly and does not wait for the next scheduled scan.</w:t>
      </w:r>
    </w:p>
    <w:p>
      <w:pPr>
        <w:spacing w:after="60" w:line="276"/>
        <w:ind w:left="240"/>
      </w:pPr>
      <w:r>
        <w:rPr>
          <w:color w:val="5A6069"/>
          <w:sz w:val="16"/>
          <w:szCs w:val="16"/>
        </w:rPr>
        <w:t xml:space="preserve">Sources: MH iCCA roadmap v0.6; BSG CCA 2023</w:t>
      </w:r>
    </w:p>
    <w:p>
      <w:pPr>
        <w:spacing w:after="60" w:before="180"/>
      </w:pPr>
      <w:r>
        <w:rPr>
          <w:b/>
          <w:bCs/>
          <w:color w:val="8C2F26"/>
          <w:spacing w:val="16"/>
          <w:sz w:val="16"/>
          <w:szCs w:val="16"/>
        </w:rPr>
        <w:t xml:space="preserve">AVOID</w:t>
      </w:r>
      <w:r>
        <w:rPr>
          <w:color w:val="5A6069"/>
          <w:sz w:val="16"/>
          <w:szCs w:val="16"/>
        </w:rPr>
        <w:t xml:space="preserve">   grade D</w:t>
      </w:r>
    </w:p>
    <w:p>
      <w:pPr>
        <w:spacing w:after="60" w:line="276"/>
      </w:pPr>
      <w:r>
        <w:rPr>
          <w:color w:val="15181F"/>
          <w:sz w:val="19"/>
          <w:szCs w:val="19"/>
        </w:rPr>
        <w:t xml:space="preserve">Do not recycle immunotherapy without considering prior exposure, and do not reach for a static second-line drug list instead of the molecular result.</w:t>
      </w:r>
    </w:p>
    <w:p>
      <w:pPr>
        <w:spacing w:after="50" w:line="276"/>
        <w:ind w:left="240"/>
      </w:pPr>
      <w:r>
        <w:rPr>
          <w:color w:val="15181F"/>
          <w:sz w:val="18"/>
          <w:szCs w:val="18"/>
        </w:rPr>
        <w:t xml:space="preserve">Confirm biomarker, line, label and access with oncology; NCCN states that treatment selection depends on previous regimen, somatic molecular testing results and extent of liver dysfunction.</w:t>
      </w:r>
    </w:p>
    <w:p>
      <w:pPr>
        <w:spacing w:after="50"/>
        <w:ind w:left="240"/>
      </w:pPr>
      <w:r>
        <w:rPr>
          <w:b/>
          <w:bCs/>
          <w:color w:val="8C2F26"/>
          <w:sz w:val="18"/>
          <w:szCs w:val="18"/>
        </w:rPr>
        <w:t xml:space="preserve">Caveat. </w:t>
      </w:r>
      <w:r>
        <w:rPr>
          <w:color w:val="15181F"/>
          <w:sz w:val="18"/>
          <w:szCs w:val="18"/>
        </w:rPr>
        <w:t xml:space="preserve">Our position deliberately expands the molecular branch to the edition's matched options rather than a short static list (alignment worksheet, area 14).</w:t>
      </w:r>
    </w:p>
    <w:p>
      <w:pPr>
        <w:spacing w:after="60" w:line="276"/>
        <w:ind w:left="240"/>
      </w:pPr>
      <w:r>
        <w:rPr>
          <w:color w:val="5A6069"/>
          <w:sz w:val="16"/>
          <w:szCs w:val="16"/>
        </w:rPr>
        <w:t xml:space="preserve">Sources: NCCN BTC v1.2026; ESMO BTC 2024 interim</w:t>
      </w:r>
    </w:p>
    <w:p>
      <w:pPr>
        <w:pBdr>
          <w:bottom w:val="single" w:color="D3DCE4" w:sz="6" w:space="1"/>
        </w:pBdr>
        <w:spacing w:after="80"/>
      </w:pPr>
    </w:p>
    <w:p>
      <w:pPr>
        <w:pStyle w:val="Heading2"/>
        <w:keepNext/>
        <w:pageBreakBefore/>
        <w:spacing w:after="110" w:before="240"/>
      </w:pPr>
      <w:r>
        <w:rPr>
          <w:rFonts w:ascii="Cambria" w:cs="Cambria" w:eastAsia="Cambria" w:hAnsi="Cambria"/>
          <w:b/>
          <w:bCs/>
          <w:color w:val="17365D"/>
          <w:sz w:val="26"/>
          <w:szCs w:val="26"/>
        </w:rPr>
        <w:t xml:space="preserve">10 · Transplant candidate</w:t>
      </w:r>
    </w:p>
    <w:p>
      <w:pPr>
        <w:spacing w:after="140"/>
      </w:pPr>
      <w:r>
        <w:rPr>
          <w:b/>
          <w:bCs/>
          <w:color w:val="176A87"/>
          <w:sz w:val="19"/>
          <w:szCs w:val="19"/>
        </w:rPr>
        <w:t xml:space="preserve">The question. </w:t>
      </w:r>
      <w:r>
        <w:rPr>
          <w:sz w:val="19"/>
          <w:szCs w:val="19"/>
        </w:rPr>
        <w:t xml:space="preserve">Is this patient inside the narrow phenotype, and do we have a protocol to put them on?</w:t>
      </w:r>
    </w:p>
    <w:p>
      <w:pPr>
        <w:spacing w:after="60" w:before="160"/>
      </w:pPr>
      <w:r>
        <w:rPr>
          <w:b/>
          <w:bCs/>
          <w:color w:val="176A87"/>
          <w:spacing w:val="24"/>
          <w:sz w:val="15"/>
          <w:szCs w:val="15"/>
        </w:rPr>
        <w:t xml:space="preserve">ALL OF THE FOLLOWING HAVE TO BE IN HAND</w:t>
      </w:r>
    </w:p>
    <w:p>
      <w:pPr>
        <w:pStyle w:val="ListParagraph"/>
        <w:numPr>
          <w:ilvl w:val="0"/>
          <w:numId w:val="2"/>
        </w:numPr>
        <w:spacing w:after="60" w:line="268"/>
      </w:pPr>
      <w:r>
        <w:rPr>
          <w:color w:val="15181F"/>
          <w:sz w:val="18"/>
          <w:szCs w:val="18"/>
        </w:rPr>
        <w:t xml:space="preserve">Biopsy-proven solitary unresectable iCCA or mixed HCC-iCCA</w:t>
      </w:r>
    </w:p>
    <w:p>
      <w:pPr>
        <w:pStyle w:val="ListParagraph"/>
        <w:numPr>
          <w:ilvl w:val="0"/>
          <w:numId w:val="2"/>
        </w:numPr>
        <w:spacing w:after="60" w:line="268"/>
      </w:pPr>
      <w:r>
        <w:rPr>
          <w:color w:val="15181F"/>
          <w:sz w:val="18"/>
          <w:szCs w:val="18"/>
        </w:rPr>
        <w:t xml:space="preserve">Tumour 3 cm or less, with underlying cirrhosis</w:t>
      </w:r>
    </w:p>
    <w:p>
      <w:pPr>
        <w:pStyle w:val="ListParagraph"/>
        <w:numPr>
          <w:ilvl w:val="0"/>
          <w:numId w:val="2"/>
        </w:numPr>
        <w:spacing w:after="60" w:line="268"/>
      </w:pPr>
      <w:r>
        <w:rPr>
          <w:color w:val="15181F"/>
          <w:sz w:val="18"/>
          <w:szCs w:val="18"/>
        </w:rPr>
        <w:t xml:space="preserve">Locoregional or systemic therapy received</w:t>
      </w:r>
    </w:p>
    <w:p>
      <w:pPr>
        <w:pStyle w:val="ListParagraph"/>
        <w:numPr>
          <w:ilvl w:val="0"/>
          <w:numId w:val="2"/>
        </w:numPr>
        <w:spacing w:after="60" w:line="268"/>
      </w:pPr>
      <w:r>
        <w:rPr>
          <w:color w:val="15181F"/>
          <w:sz w:val="18"/>
          <w:szCs w:val="18"/>
        </w:rPr>
        <w:t xml:space="preserve">Six months from diagnosis or last treatment with tumour stability on serial scans — still 3 cm or less, no new lesions, no extrahepatic disease</w:t>
      </w:r>
    </w:p>
    <w:p>
      <w:pPr>
        <w:pStyle w:val="ListParagraph"/>
        <w:numPr>
          <w:ilvl w:val="0"/>
          <w:numId w:val="2"/>
        </w:numPr>
        <w:spacing w:after="60" w:line="268"/>
      </w:pPr>
      <w:r>
        <w:rPr>
          <w:color w:val="15181F"/>
          <w:sz w:val="18"/>
          <w:szCs w:val="18"/>
        </w:rPr>
        <w:t xml:space="preserve">A formally approved trial or prospective registry protocol open, with review-board approval and registry entry</w:t>
      </w:r>
    </w:p>
    <w:p>
      <w:pPr>
        <w:spacing w:after="80" w:line="276"/>
      </w:pPr>
      <w:r>
        <w:rPr>
          <w:color w:val="15181F"/>
          <w:sz w:val="20"/>
          <w:szCs w:val="20"/>
        </w:rPr>
        <w:t xml:space="preserve"/>
      </w:r>
    </w:p>
    <w:p>
      <w:pPr>
        <w:spacing w:after="60" w:before="180"/>
      </w:pPr>
      <w:r>
        <w:rPr>
          <w:b/>
          <w:bCs/>
          <w:color w:val="17365D"/>
          <w:spacing w:val="16"/>
          <w:sz w:val="16"/>
          <w:szCs w:val="16"/>
        </w:rPr>
        <w:t xml:space="preserve">STANDARD</w:t>
      </w:r>
      <w:r>
        <w:rPr>
          <w:color w:val="5A6069"/>
          <w:sz w:val="16"/>
          <w:szCs w:val="16"/>
        </w:rPr>
        <w:t xml:space="preserve">   grade D</w:t>
      </w:r>
      <w:r>
        <w:rPr>
          <w:b/>
          <w:bCs/>
          <w:color w:val="8E5008"/>
          <w:spacing w:val="12"/>
          <w:sz w:val="14"/>
          <w:szCs w:val="14"/>
        </w:rPr>
        <w:t xml:space="preserve">   PROTOCOL</w:t>
      </w:r>
      <w:r>
        <w:rPr>
          <w:b/>
          <w:bCs/>
          <w:color w:val="8E5008"/>
          <w:spacing w:val="12"/>
          <w:sz w:val="14"/>
          <w:szCs w:val="14"/>
        </w:rPr>
        <w:t xml:space="preserve">   REGISTRY</w:t>
      </w:r>
    </w:p>
    <w:p>
      <w:pPr>
        <w:spacing w:after="60" w:line="276"/>
      </w:pPr>
      <w:r>
        <w:rPr>
          <w:color w:val="15181F"/>
          <w:sz w:val="19"/>
          <w:szCs w:val="19"/>
        </w:rPr>
        <w:t xml:space="preserve">Treat transplantation for known intrahepatic cholangiocarcinoma as trial or prospective registry only: protocol, review-board approval and registry entry are prerequisites, not formalities.</w:t>
      </w:r>
    </w:p>
    <w:p>
      <w:pPr>
        <w:spacing w:after="50" w:line="276"/>
        <w:ind w:left="240"/>
      </w:pPr>
      <w:r>
        <w:rPr>
          <w:color w:val="15181F"/>
          <w:sz w:val="18"/>
          <w:szCs w:val="18"/>
        </w:rPr>
        <w:t xml:space="preserve">This is our added institutional restriction, and it is a judgement about graft stewardship rather than an evidence finding. It sits closest to AASLD 2023 (research protocols only) and BSG 2023 (prospective national protocol), and is stricter than OPTN 2025 and ILTS-ILCA 2024, which both support consideration for cirrhotic, unresectable, biopsy-proven tumours of 3 cm or less after a period of stability.</w:t>
      </w:r>
    </w:p>
    <w:p>
      <w:pPr>
        <w:spacing w:after="50"/>
        <w:ind w:left="240"/>
      </w:pPr>
      <w:r>
        <w:rPr>
          <w:b/>
          <w:bCs/>
          <w:color w:val="8C2F26"/>
          <w:sz w:val="18"/>
          <w:szCs w:val="18"/>
        </w:rPr>
        <w:t xml:space="preserve">Caveat. </w:t>
      </w:r>
      <w:r>
        <w:rPr>
          <w:color w:val="15181F"/>
          <w:sz w:val="18"/>
          <w:szCs w:val="18"/>
        </w:rPr>
        <w:t xml:space="preserve">Do not state that iCCA has no exception route — OPTN review-board guidance now describes one — and do not apply the perihilar neoadjuvant or stricture pathway to intrahepatic disease. LCSGJ 2022 states iCCA is generally not an indication for transplantation at all.</w:t>
      </w:r>
    </w:p>
    <w:p>
      <w:pPr>
        <w:spacing w:after="50" w:line="276"/>
        <w:ind w:left="240"/>
      </w:pPr>
      <w:r>
        <w:rPr>
          <w:i/>
          <w:iCs/>
          <w:color w:val="5A6069"/>
          <w:sz w:val="17"/>
          <w:szCs w:val="17"/>
        </w:rPr>
        <w:t xml:space="preserve">ILTS-ILCA 2024 — published twice, in Liver Transplantation 2025 and Liver Cancer 2026 — grades the cirrhotic ≤3 cm recommendation moderate evidence, moderate strength, and confines non-cirrhotic disease to investigational protocols after at least 6 months of stability on systemic therapy (moderate evidence, weak strength). It also makes biopsy mandatory to confirm iCCA, assess differentiation and exclude mixed hepatocellular-cholangiocarcinoma, and finds no evidence for using molecular profiling to select candidates. Every one of its iCCA recommendations rests on low or moderate evidence and is graded weak or moderate, and the consensus reports modern 5-year post-transplant outcomes spanning 25–73% overall survival and 29–82% recurrence-free survival, almost entirely from single-centre retrospective series — a range too wide to support a selection rule. It makes no recommendation on allocation priority, exception points or acceptable waitlist dropout, and reached no agreement on large, locally advanced or non-cirrhotic disease.</w:t>
      </w:r>
    </w:p>
    <w:p>
      <w:pPr>
        <w:spacing w:after="60" w:line="276"/>
        <w:ind w:left="240"/>
      </w:pPr>
      <w:r>
        <w:rPr>
          <w:color w:val="5A6069"/>
          <w:sz w:val="16"/>
          <w:szCs w:val="16"/>
        </w:rPr>
        <w:t xml:space="preserve">Sources: MH iCCA roadmap v0.6; AASLD PSC/CCA 2023; BSG CCA 2023; LCSGJ iCCA 2022; ILTS-ILCA 2024 consensus; ILTS-ILCA 2024 (Liver Transpl)</w:t>
      </w:r>
    </w:p>
    <w:p>
      <w:pPr>
        <w:spacing w:after="60" w:before="180"/>
      </w:pPr>
      <w:r>
        <w:rPr>
          <w:b/>
          <w:bCs/>
          <w:color w:val="17365D"/>
          <w:spacing w:val="16"/>
          <w:sz w:val="16"/>
          <w:szCs w:val="16"/>
        </w:rPr>
        <w:t xml:space="preserve">STANDARD</w:t>
      </w:r>
      <w:r>
        <w:rPr>
          <w:color w:val="5A6069"/>
          <w:sz w:val="16"/>
          <w:szCs w:val="16"/>
        </w:rPr>
        <w:t xml:space="preserve">   grade D</w:t>
      </w:r>
    </w:p>
    <w:p>
      <w:pPr>
        <w:spacing w:after="60" w:line="276"/>
      </w:pPr>
      <w:r>
        <w:rPr>
          <w:color w:val="15181F"/>
          <w:sz w:val="19"/>
          <w:szCs w:val="19"/>
        </w:rPr>
        <w:t xml:space="preserve">Where a protocol exists, the allocation route is a nonstandard MMaT-3 exception: select the CCA diagnosis form and submit a written narrative to the Adult Transplant Oncology Review Board.</w:t>
      </w:r>
    </w:p>
    <w:p>
      <w:pPr>
        <w:spacing w:after="50" w:line="276"/>
        <w:ind w:left="240"/>
      </w:pPr>
      <w:r>
        <w:rPr>
          <w:color w:val="15181F"/>
          <w:sz w:val="18"/>
          <w:szCs w:val="18"/>
        </w:rPr>
        <w:t xml:space="preserve">iCCA, neuroendocrine liver metastasis and colorectal liver metastasis all go through nonstandard review; hepatocellular carcinoma and perihilar cholangiocarcinoma have standardised routes. Clinical transplant candidacy and local protocol approval remain separate from allocation eligibility.</w:t>
      </w:r>
    </w:p>
    <w:p>
      <w:pPr>
        <w:spacing w:after="50"/>
        <w:ind w:left="240"/>
      </w:pPr>
      <w:r>
        <w:rPr>
          <w:b/>
          <w:bCs/>
          <w:color w:val="8C2F26"/>
          <w:sz w:val="18"/>
          <w:szCs w:val="18"/>
        </w:rPr>
        <w:t xml:space="preserve">Caveat. </w:t>
      </w:r>
      <w:r>
        <w:rPr>
          <w:color w:val="15181F"/>
          <w:sz w:val="18"/>
          <w:szCs w:val="18"/>
        </w:rPr>
        <w:t xml:space="preserve">Do not treat the guidance as policy: OPTN Policy 9.5 defines standardised exceptions, and the Adult MELD Exceptions for Transplant Oncology document is review-board guidance, not OPTN Policy or a clinical standard of care.</w:t>
      </w:r>
    </w:p>
    <w:p>
      <w:pPr>
        <w:spacing w:after="50" w:line="276"/>
        <w:ind w:left="240"/>
      </w:pPr>
      <w:r>
        <w:rPr>
          <w:i/>
          <w:iCs/>
          <w:color w:val="5A6069"/>
          <w:sz w:val="17"/>
          <w:szCs w:val="17"/>
        </w:rPr>
        <w:t xml:space="preserve">MMaT is the median MELD at transplant for the donor hospital used in the match run, not one fixed national score; under Policy 9.4.E an MMaT-relative exception below 15 is assigned 15, and exceptions generally require 90-day extensions (9.4.C). The coordinator records source version, eligibility dates, request and extension dates, imaging, laboratory values and a named renewal owner; transplant leadership signs the allocation assessment. Required allocation record: diagnosis and histology; baseline burden and AFP/CEA where applicable; primary and last-treatment dates; serial response imaging; extrahepatic staging; request and extension dates; score route; named coordinator and physician sign-off. Reassess at progression, recurrence, new extrahepatic findings and each extension.</w:t>
      </w:r>
    </w:p>
    <w:p>
      <w:pPr>
        <w:spacing w:after="60" w:line="276"/>
        <w:ind w:left="240"/>
      </w:pPr>
      <w:r>
        <w:rPr>
          <w:color w:val="5A6069"/>
          <w:sz w:val="16"/>
          <w:szCs w:val="16"/>
        </w:rPr>
        <w:t xml:space="preserve">Sources: OPTN Policy 9; OPTN transplant-oncology guidance; NCCN BTC v1.2026</w:t>
      </w:r>
    </w:p>
    <w:p>
      <w:pPr>
        <w:spacing w:after="60" w:before="180"/>
      </w:pPr>
      <w:r>
        <w:rPr>
          <w:b/>
          <w:bCs/>
          <w:color w:val="17365D"/>
          <w:spacing w:val="16"/>
          <w:sz w:val="16"/>
          <w:szCs w:val="16"/>
        </w:rPr>
        <w:t xml:space="preserve">STANDARD</w:t>
      </w:r>
      <w:r>
        <w:rPr>
          <w:color w:val="5A6069"/>
          <w:sz w:val="16"/>
          <w:szCs w:val="16"/>
        </w:rPr>
        <w:t xml:space="preserve">   grade C</w:t>
      </w:r>
    </w:p>
    <w:p>
      <w:pPr>
        <w:spacing w:after="60" w:line="276"/>
      </w:pPr>
      <w:r>
        <w:rPr>
          <w:color w:val="15181F"/>
          <w:sz w:val="19"/>
          <w:szCs w:val="19"/>
        </w:rPr>
        <w:t xml:space="preserve">Read the supporting evidence for what it is: in 15 patients with a single tumour of 2 cm or less, the 5-year recurrence risk was 18% versus 61% for larger or multifocal disease, with 5-year survival 65% versus 45% — in explants where the cancer was first diagnosed on explant pathology.</w:t>
      </w:r>
    </w:p>
    <w:p>
      <w:pPr>
        <w:spacing w:after="50" w:line="276"/>
        <w:ind w:left="240"/>
      </w:pPr>
      <w:r>
        <w:rPr>
          <w:color w:val="15181F"/>
          <w:sz w:val="18"/>
          <w:szCs w:val="18"/>
        </w:rPr>
        <w:t xml:space="preserve">Quote it when the question is the prognosis of a very small intrahepatic cholangiocarcinoma discovered on an explant removed for another reason, which is the population it describes: 15 patients, 7 of them (47%) entirely incidental, from 17 centres and 25,016 transplants.</w:t>
      </w:r>
    </w:p>
    <w:p>
      <w:pPr>
        <w:spacing w:after="50"/>
        <w:ind w:left="240"/>
      </w:pPr>
      <w:r>
        <w:rPr>
          <w:b/>
          <w:bCs/>
          <w:color w:val="8C2F26"/>
          <w:sz w:val="18"/>
          <w:szCs w:val="18"/>
        </w:rPr>
        <w:t xml:space="preserve">Caveat. </w:t>
      </w:r>
      <w:r>
        <w:rPr>
          <w:color w:val="15181F"/>
          <w:sz w:val="18"/>
          <w:szCs w:val="18"/>
        </w:rPr>
        <w:t xml:space="preserve">Crucially these tumours were recognised as intrahepatic cholangiocarcinoma only at explant, not selected for transplantation, so the result cannot be read as licensing transplantation of known disease. Fifteen patients leaves very few still at risk at 5 years and the authors call the 3- and 5-year rates encouraging rather than established. No lymphadenectomy was performed because iCCA was not suspected, central pathology review was possible in only 55 of 81 cases (68%), each of 17 centres used its own pathologist so number and size may be understaged, and recurrence was driven by microvascular invasion (HR 4.7, 1.6–13.8) and poor differentiation (HR 6.1, 1.9–20.2) — neither of which is knowable before transplant.</w:t>
      </w:r>
    </w:p>
    <w:p>
      <w:pPr>
        <w:spacing w:after="50" w:line="276"/>
        <w:ind w:left="240"/>
      </w:pPr>
      <w:r>
        <w:rPr>
          <w:i/>
          <w:iCs/>
          <w:color w:val="5A6069"/>
          <w:sz w:val="17"/>
          <w:szCs w:val="17"/>
        </w:rPr>
        <w:t xml:space="preserve">Three limits of this series bear directly on how it is cited here. It studied tumours of 2 cm or less, not 3 cm: the ceiling in our criteria comes from EASL-ILCA, OPTN and ILTS-ILCA, and inside this series it rests on a 6-patient subgroup of single 2.1–3 cm, not poorly differentiated tumours whose 5-year survival was 61%. It required no period of disease stability on therapy and could not have — the diagnosis was made on the explant, bridging chemoembolisation, ablation or ethanol injection was permitted but was not a selection test, and 7 of the 15 (47%) were incidental findings after transplant for decompensated cirrhosis. And it excluded mixed hepatocellular-cholangiocarcinoma within a nodule outright, analysing the 33 explants with separate iCCA and hepatocellular nodules as a separate group outside the 48-patient study population, so it reports no outcome at all for the mixed tumours our gate criteria admit. The wider literature is no firmer: a 2020 meta-analysis of 18 studies and 355 patients gave pooled 5-year survival of 42% and pooled recurrence 43%, with 5-year recurrence-free survival 67% for single tumours of 2 cm or less versus 34% for more advanced disease, and a propensity-matched National Cancer Database comparison found transplant and resection within a few percentage points of each other at 5 years — whose authors argued resection should remain preferred for localised iCCA.</w:t>
      </w:r>
    </w:p>
    <w:p>
      <w:pPr>
        <w:spacing w:after="60" w:line="276"/>
        <w:ind w:left="240"/>
      </w:pPr>
      <w:r>
        <w:rPr>
          <w:color w:val="5A6069"/>
          <w:sz w:val="16"/>
          <w:szCs w:val="16"/>
        </w:rPr>
        <w:t xml:space="preserve">Sources: Sapisochin very early iCCA; Sapisochin review</w:t>
      </w:r>
    </w:p>
    <w:p>
      <w:pPr>
        <w:spacing w:after="60" w:before="180"/>
      </w:pPr>
      <w:r>
        <w:rPr>
          <w:b/>
          <w:bCs/>
          <w:color w:val="176A87"/>
          <w:spacing w:val="16"/>
          <w:sz w:val="16"/>
          <w:szCs w:val="16"/>
        </w:rPr>
        <w:t xml:space="preserve">REASONABLE</w:t>
      </w:r>
      <w:r>
        <w:rPr>
          <w:color w:val="5A6069"/>
          <w:sz w:val="16"/>
          <w:szCs w:val="16"/>
        </w:rPr>
        <w:t xml:space="preserve">   grade C</w:t>
      </w:r>
    </w:p>
    <w:p>
      <w:pPr>
        <w:spacing w:after="100" w:line="276"/>
      </w:pPr>
      <w:r>
        <w:rPr>
          <w:i/>
          <w:iCs/>
          <w:color w:val="5A6069"/>
          <w:sz w:val="17"/>
          <w:szCs w:val="17"/>
        </w:rPr>
        <w:t xml:space="preserve">These are not ranked by survival — no comparison between them exists, and a randomised comparison is not feasible. The first is the roadmap's current position, the second is the question the group is being asked to decide, and the third is the protocol experience that both the OPTN biology clock and the sceptics draw on. Area 15 of the alignment worksheet asks explicitly which of the first two the programme adopts.</w:t>
      </w:r>
    </w:p>
    <w:p>
      <w:pPr>
        <w:spacing w:after="50" w:before="120"/>
        <w:ind w:left="240"/>
      </w:pPr>
      <w:r>
        <w:rPr>
          <w:b/>
          <w:bCs/>
          <w:color w:val="15181F"/>
          <w:sz w:val="19"/>
          <w:szCs w:val="19"/>
        </w:rPr>
        <w:t xml:space="preserve">Keep all transplantation for known iCCA inside a research protocol (current roadmap position)</w:t>
      </w:r>
      <w:r>
        <w:rPr>
          <w:color w:val="5A6069"/>
          <w:sz w:val="15"/>
          <w:szCs w:val="15"/>
        </w:rPr>
        <w:t xml:space="preserve">   grade D</w:t>
      </w:r>
      <w:r>
        <w:rPr>
          <w:b/>
          <w:bCs/>
          <w:color w:val="8E5008"/>
          <w:spacing w:val="12"/>
          <w:sz w:val="14"/>
          <w:szCs w:val="14"/>
        </w:rPr>
        <w:t xml:space="preserve">   PROTOCOL</w:t>
      </w:r>
      <w:r>
        <w:rPr>
          <w:b/>
          <w:bCs/>
          <w:color w:val="8E5008"/>
          <w:spacing w:val="12"/>
          <w:sz w:val="14"/>
          <w:szCs w:val="14"/>
        </w:rPr>
        <w:t xml:space="preserve">   REGISTRY</w:t>
      </w:r>
    </w:p>
    <w:p>
      <w:pPr>
        <w:spacing w:after="50" w:line="276"/>
        <w:ind w:left="240"/>
      </w:pPr>
      <w:r>
        <w:rPr>
          <w:color w:val="15181F"/>
          <w:sz w:val="18"/>
          <w:szCs w:val="18"/>
        </w:rPr>
        <w:t xml:space="preserve">v0.6 cites the OPTN guidance without changing the label: Trial or prospective registry only.</w:t>
      </w:r>
    </w:p>
    <w:p>
      <w:pPr>
        <w:spacing w:after="50" w:line="276"/>
        <w:ind w:left="240"/>
      </w:pPr>
      <w:r>
        <w:rPr>
          <w:color w:val="15181F"/>
          <w:sz w:val="18"/>
          <w:szCs w:val="18"/>
        </w:rPr>
        <w:t xml:space="preserve">A programme that is not prepared to commit the organ, the registry infrastructure and the transplant-oncology selection expertise that the alternative requires.</w:t>
      </w:r>
    </w:p>
    <w:p>
      <w:pPr>
        <w:spacing w:after="50"/>
        <w:ind w:left="240"/>
      </w:pPr>
      <w:r>
        <w:rPr>
          <w:b/>
          <w:bCs/>
          <w:color w:val="8C2F26"/>
          <w:sz w:val="18"/>
          <w:szCs w:val="18"/>
        </w:rPr>
        <w:t xml:space="preserve">Caveat. </w:t>
      </w:r>
      <w:r>
        <w:rPr>
          <w:color w:val="15181F"/>
          <w:sz w:val="18"/>
          <w:szCs w:val="18"/>
        </w:rPr>
        <w:t xml:space="preserve">It leaves a patient who meets every OPTN criterion without a route here, which is the cost that has to be stated openly when the decision is ratified.</w:t>
      </w:r>
    </w:p>
    <w:p>
      <w:pPr>
        <w:spacing w:after="60" w:line="276"/>
        <w:ind w:left="240"/>
      </w:pPr>
      <w:r>
        <w:rPr>
          <w:color w:val="5A6069"/>
          <w:sz w:val="16"/>
          <w:szCs w:val="16"/>
        </w:rPr>
        <w:t xml:space="preserve">Sources: MH iCCA roadmap v0.6; AASLD PSC/CCA 2023; BSG CCA 2023</w:t>
      </w:r>
    </w:p>
    <w:p>
      <w:pPr>
        <w:spacing w:after="50" w:before="120"/>
        <w:ind w:left="240"/>
      </w:pPr>
      <w:r>
        <w:rPr>
          <w:b/>
          <w:bCs/>
          <w:color w:val="15181F"/>
          <w:sz w:val="19"/>
          <w:szCs w:val="19"/>
        </w:rPr>
        <w:t xml:space="preserve">Open a defined, registry-tracked pathway on the OPTN 2025 and ILTS-ILCA 2024 criteria</w:t>
      </w:r>
      <w:r>
        <w:rPr>
          <w:color w:val="5A6069"/>
          <w:sz w:val="15"/>
          <w:szCs w:val="15"/>
        </w:rPr>
        <w:t xml:space="preserve">   grade C</w:t>
      </w:r>
      <w:r>
        <w:rPr>
          <w:b/>
          <w:bCs/>
          <w:color w:val="8E5008"/>
          <w:spacing w:val="12"/>
          <w:sz w:val="14"/>
          <w:szCs w:val="14"/>
        </w:rPr>
        <w:t xml:space="preserve">   REGISTRY</w:t>
      </w:r>
    </w:p>
    <w:p>
      <w:pPr>
        <w:spacing w:after="50" w:line="276"/>
        <w:ind w:left="240"/>
      </w:pPr>
      <w:r>
        <w:rPr>
          <w:color w:val="15181F"/>
          <w:sz w:val="18"/>
          <w:szCs w:val="18"/>
        </w:rPr>
        <w:t xml:space="preserve">Biopsy-proven, unresectable, solitary iCCA or mixed HCC-iCCA of 3 cm or less, in cirrhosis, after a period of observed radiographic stability, scored at MMaT-3. Note that ILTS-ILCA attaches no duration to that period for the cirrhotic ≤3 cm phenotype; the six-month figure in our criteria comes from its separate, weakly graded route for non-cirrhotic locally advanced disease and from the prospective protocol below.</w:t>
      </w:r>
    </w:p>
    <w:p>
      <w:pPr>
        <w:spacing w:after="50" w:line="276"/>
        <w:ind w:left="240"/>
      </w:pPr>
      <w:r>
        <w:rPr>
          <w:color w:val="15181F"/>
          <w:sz w:val="18"/>
          <w:szCs w:val="18"/>
        </w:rPr>
        <w:t xml:space="preserve">The route both documents describe; OPTN 2025 gives the review board defined criteria and ILTS-ILCA 2024 reports broad community agreement on the cirrhotic ≤3 cm phenotype.</w:t>
      </w:r>
    </w:p>
    <w:p>
      <w:pPr>
        <w:spacing w:after="50"/>
        <w:ind w:left="240"/>
      </w:pPr>
      <w:r>
        <w:rPr>
          <w:b/>
          <w:bCs/>
          <w:color w:val="8C2F26"/>
          <w:sz w:val="18"/>
          <w:szCs w:val="18"/>
        </w:rPr>
        <w:t xml:space="preserve">Caveat. </w:t>
      </w:r>
      <w:r>
        <w:rPr>
          <w:color w:val="15181F"/>
          <w:sz w:val="18"/>
          <w:szCs w:val="18"/>
        </w:rPr>
        <w:t xml:space="preserve">Every iCCA recommendation in the ILTS-ILCA consensus rests on low or moderate evidence and is graded weak or moderate, and the 3 cm threshold is carried forward from a small retrospective series of explant-discovered tumours whose own cut-off was 2 cm — the single-centre series behind it span 5-year survival of 25–73%. EASL-ILCA concedes the 3 cm figure is more permissive than the 2 cm cut-off used in the series and trials it cites, and ILTS-ILCA notes the ceiling mirrors the June 2024 OPTN review-board criteria rather than any new data. The consensus also recommends nothing on allocation priority or acceptable waitlist dropout, which makes the criterion hard to act on where iCCA earns no priority.</w:t>
      </w:r>
    </w:p>
    <w:p>
      <w:pPr>
        <w:spacing w:after="60" w:line="276"/>
        <w:ind w:left="240"/>
      </w:pPr>
      <w:r>
        <w:rPr>
          <w:color w:val="5A6069"/>
          <w:sz w:val="16"/>
          <w:szCs w:val="16"/>
        </w:rPr>
        <w:t xml:space="preserve">Sources: OPTN transplant-oncology guidance; ILTS-ILCA 2024 consensus; ILTS-ILCA 2024 (Liver Transpl); Sapisochin very early iCCA; EASL-ILCA iCCA 2023</w:t>
      </w:r>
    </w:p>
    <w:p>
      <w:pPr>
        <w:spacing w:after="50" w:before="120"/>
        <w:ind w:left="240"/>
      </w:pPr>
      <w:r>
        <w:rPr>
          <w:b/>
          <w:bCs/>
          <w:color w:val="15181F"/>
          <w:sz w:val="19"/>
          <w:szCs w:val="19"/>
        </w:rPr>
        <w:t xml:space="preserve">Locally advanced disease selected on sustained stability, under protocol</w:t>
      </w:r>
      <w:r>
        <w:rPr>
          <w:color w:val="5A6069"/>
          <w:sz w:val="15"/>
          <w:szCs w:val="15"/>
        </w:rPr>
        <w:t xml:space="preserve">   grade C</w:t>
      </w:r>
      <w:r>
        <w:rPr>
          <w:b/>
          <w:bCs/>
          <w:color w:val="8E5008"/>
          <w:spacing w:val="12"/>
          <w:sz w:val="14"/>
          <w:szCs w:val="14"/>
        </w:rPr>
        <w:t xml:space="preserve">   PROTOCOL</w:t>
      </w:r>
      <w:r>
        <w:rPr>
          <w:b/>
          <w:bCs/>
          <w:color w:val="8E5008"/>
          <w:spacing w:val="12"/>
          <w:sz w:val="14"/>
          <w:szCs w:val="14"/>
        </w:rPr>
        <w:t xml:space="preserve">   REGISTRY</w:t>
      </w:r>
    </w:p>
    <w:p>
      <w:pPr>
        <w:spacing w:after="50" w:line="276"/>
        <w:ind w:left="240"/>
      </w:pPr>
      <w:r>
        <w:rPr>
          <w:color w:val="15181F"/>
          <w:sz w:val="18"/>
          <w:szCs w:val="18"/>
        </w:rPr>
        <w:t xml:space="preserve">The prospective Houston Methodist–MD Anderson protocol: 21 patients referred, 12 listed, 6 transplanted after a mandatory 6 months of radiographic stability on gemcitabine-based therapy. Post-transplant survival 100% at 1 year and 83.3% at 3 and 5 years, but recurrence-free survival 50% at 1, 3 and 5 years.</w:t>
      </w:r>
    </w:p>
    <w:p>
      <w:pPr>
        <w:spacing w:after="50" w:line="276"/>
        <w:ind w:left="240"/>
      </w:pPr>
      <w:r>
        <w:rPr>
          <w:color w:val="15181F"/>
          <w:sz w:val="18"/>
          <w:szCs w:val="18"/>
        </w:rPr>
        <w:t xml:space="preserve">This is the only prospective experience in locally advanced disease, and it is where the 6-month stability requirement in the OPTN biology clock comes from.</w:t>
      </w:r>
    </w:p>
    <w:p>
      <w:pPr>
        <w:spacing w:after="50"/>
        <w:ind w:left="240"/>
      </w:pPr>
      <w:r>
        <w:rPr>
          <w:b/>
          <w:bCs/>
          <w:color w:val="8C2F26"/>
          <w:sz w:val="18"/>
          <w:szCs w:val="18"/>
        </w:rPr>
        <w:t xml:space="preserve">Caveat. </w:t>
      </w:r>
      <w:r>
        <w:rPr>
          <w:color w:val="15181F"/>
          <w:sz w:val="18"/>
          <w:szCs w:val="18"/>
        </w:rPr>
        <w:t xml:space="preserve">Six patients, no control arm, no power calculation and no trial registration — it was run as a centre policy. Median cumulative tumour diameter was 14.2 cm with no patient under 5 cm, and 3 of 6 recurred at a median of 7.6 months. Two of the six had stable extrahepatic lesions before transplant that proved to be metastases and a third recurred after perihilar fat invasion found only on explant, so the authors concede more aggressive pre-transplant sampling is needed. Only 9 patients were listed in 6 years, so the strategy reaches a very small fraction of referrals. Selecting for 6 months of chemotherapy stability may itself be selecting indolent biology, and without a comparator it cannot be known whether these patients would have done as well on continued chemotherapy. Half the grafts were extended-criteria livers refused by every other centre — used because no MELD exception existed at the time — so the approach is not reproducible where such organs are not available. ILTS-ILCA confines non-cirrhotic locally advanced disease to investigational protocols with a weak recommendation.</w:t>
      </w:r>
    </w:p>
    <w:p>
      <w:pPr>
        <w:spacing w:after="60" w:line="276"/>
        <w:ind w:left="240"/>
      </w:pPr>
      <w:r>
        <w:rPr>
          <w:color w:val="5A6069"/>
          <w:sz w:val="16"/>
          <w:szCs w:val="16"/>
        </w:rPr>
        <w:t xml:space="preserve">Sources: Lunsford protocol series; Sapisochin review; ILTS-ILCA 2024 consensus</w:t>
      </w:r>
    </w:p>
    <w:p>
      <w:pPr>
        <w:spacing w:after="60" w:line="276"/>
        <w:ind w:left="240"/>
      </w:pPr>
      <w:r>
        <w:rPr>
          <w:i/>
          <w:iCs/>
          <w:color w:val="5A6069"/>
          <w:sz w:val="16"/>
          <w:szCs w:val="16"/>
        </w:rPr>
        <w:t xml:space="preserve">Unresolved decision 5: does the programme open an intrahepatic cholangiocarcinoma transplant protocol? The evidence is retrospective and confined to small tumours first diagnosed on explant pathology, most seen before transplant as presumed hepatocellular carcinoma; graft stewardship is an institutional judgement, not an evidence question. Transplant timing and payer authorisation are local dependencies.</w:t>
      </w:r>
    </w:p>
    <w:p>
      <w:pPr>
        <w:spacing w:after="60" w:before="180"/>
      </w:pPr>
      <w:r>
        <w:rPr>
          <w:b/>
          <w:bCs/>
          <w:color w:val="176A87"/>
          <w:spacing w:val="16"/>
          <w:sz w:val="16"/>
          <w:szCs w:val="16"/>
        </w:rPr>
        <w:t xml:space="preserve">REASONABLE</w:t>
      </w:r>
      <w:r>
        <w:rPr>
          <w:color w:val="5A6069"/>
          <w:sz w:val="16"/>
          <w:szCs w:val="16"/>
        </w:rPr>
        <w:t xml:space="preserve">   grade D</w:t>
      </w:r>
    </w:p>
    <w:p>
      <w:pPr>
        <w:spacing w:after="60" w:line="276"/>
      </w:pPr>
      <w:r>
        <w:rPr>
          <w:color w:val="15181F"/>
          <w:sz w:val="19"/>
          <w:szCs w:val="19"/>
        </w:rPr>
        <w:t xml:space="preserve">If intrahepatic cholangiocarcinoma is found in an explant removed for another indication, enter the patient into structured surveillance and the registry.</w:t>
      </w:r>
    </w:p>
    <w:p>
      <w:pPr>
        <w:spacing w:after="50" w:line="276"/>
        <w:ind w:left="240"/>
      </w:pPr>
      <w:r>
        <w:rPr>
          <w:color w:val="15181F"/>
          <w:sz w:val="18"/>
          <w:szCs w:val="18"/>
        </w:rPr>
        <w:t xml:space="preserve">This is the population the published outcomes actually describe, and it is where the programme's own data will come from.</w:t>
      </w:r>
    </w:p>
    <w:p>
      <w:pPr>
        <w:spacing w:after="50"/>
        <w:ind w:left="240"/>
      </w:pPr>
      <w:r>
        <w:rPr>
          <w:b/>
          <w:bCs/>
          <w:color w:val="8C2F26"/>
          <w:sz w:val="18"/>
          <w:szCs w:val="18"/>
        </w:rPr>
        <w:t xml:space="preserve">Caveat. </w:t>
      </w:r>
      <w:r>
        <w:rPr>
          <w:color w:val="15181F"/>
          <w:sz w:val="18"/>
          <w:szCs w:val="18"/>
        </w:rPr>
        <w:t xml:space="preserve">Immunosuppression minimisation and adjuvant therapy are individualised; there is no comparative evidence to support either, so do not present a protocol where none exists.</w:t>
      </w:r>
    </w:p>
    <w:p>
      <w:pPr>
        <w:spacing w:after="60" w:line="276"/>
        <w:ind w:left="240"/>
      </w:pPr>
      <w:r>
        <w:rPr>
          <w:color w:val="5A6069"/>
          <w:sz w:val="16"/>
          <w:szCs w:val="16"/>
        </w:rPr>
        <w:t xml:space="preserve">Sources: MH iCCA roadmap v0.6; Sapisochin very early iCCA</w:t>
      </w:r>
    </w:p>
    <w:p>
      <w:pPr>
        <w:spacing w:after="60" w:before="180"/>
      </w:pPr>
      <w:r>
        <w:rPr>
          <w:b/>
          <w:bCs/>
          <w:color w:val="8C2F26"/>
          <w:spacing w:val="16"/>
          <w:sz w:val="16"/>
          <w:szCs w:val="16"/>
        </w:rPr>
        <w:t xml:space="preserve">AVOID</w:t>
      </w:r>
      <w:r>
        <w:rPr>
          <w:color w:val="5A6069"/>
          <w:sz w:val="16"/>
          <w:szCs w:val="16"/>
        </w:rPr>
        <w:t xml:space="preserve">   grade C</w:t>
      </w:r>
    </w:p>
    <w:p>
      <w:pPr>
        <w:spacing w:after="60" w:line="276"/>
      </w:pPr>
      <w:r>
        <w:rPr>
          <w:color w:val="15181F"/>
          <w:sz w:val="19"/>
          <w:szCs w:val="19"/>
        </w:rPr>
        <w:t xml:space="preserve">Do not transplant multifocal or larger disease outside a protocol, and never with any extrahepatic disease or without registry entry.</w:t>
      </w:r>
    </w:p>
    <w:p>
      <w:pPr>
        <w:spacing w:after="50" w:line="276"/>
        <w:ind w:left="240"/>
      </w:pPr>
      <w:r>
        <w:rPr>
          <w:color w:val="15181F"/>
          <w:sz w:val="18"/>
          <w:szCs w:val="18"/>
        </w:rPr>
        <w:t xml:space="preserve">The eligible phenotype is narrow and explicit — solitary, 3 cm or less, cirrhosis, treated, six months stable — but say where each limb comes from: the size ceiling and the stability requirement are guideline and review-board criteria, not findings of the explant series, whose own cut-off was 2 cm and which required no stability at all.</w:t>
      </w:r>
    </w:p>
    <w:p>
      <w:pPr>
        <w:spacing w:after="50"/>
        <w:ind w:left="240"/>
      </w:pPr>
      <w:r>
        <w:rPr>
          <w:b/>
          <w:bCs/>
          <w:color w:val="8C2F26"/>
          <w:sz w:val="18"/>
          <w:szCs w:val="18"/>
        </w:rPr>
        <w:t xml:space="preserve">Caveat. </w:t>
      </w:r>
      <w:r>
        <w:rPr>
          <w:color w:val="15181F"/>
          <w:sz w:val="18"/>
          <w:szCs w:val="18"/>
        </w:rPr>
        <w:t xml:space="preserve">In the explant series, larger or multifocal tumours recurred in 61% by 5 years with 45% survival, and the crude recurrence split was 2 of 15 versus 18 of 33. A broader resection or systemic-treatment population must not be treated as exception-eligible.</w:t>
      </w:r>
    </w:p>
    <w:p>
      <w:pPr>
        <w:spacing w:after="60" w:line="276"/>
        <w:ind w:left="240"/>
      </w:pPr>
      <w:r>
        <w:rPr>
          <w:color w:val="5A6069"/>
          <w:sz w:val="16"/>
          <w:szCs w:val="16"/>
        </w:rPr>
        <w:t xml:space="preserve">Sources: MH iCCA roadmap v0.6; Sapisochin very early iCCA</w:t>
      </w:r>
    </w:p>
    <w:p>
      <w:pPr>
        <w:spacing w:after="60" w:before="180"/>
      </w:pPr>
      <w:r>
        <w:rPr>
          <w:b/>
          <w:bCs/>
          <w:color w:val="8C2F26"/>
          <w:spacing w:val="16"/>
          <w:sz w:val="16"/>
          <w:szCs w:val="16"/>
        </w:rPr>
        <w:t xml:space="preserve">AVOID</w:t>
      </w:r>
      <w:r>
        <w:rPr>
          <w:color w:val="5A6069"/>
          <w:sz w:val="16"/>
          <w:szCs w:val="16"/>
        </w:rPr>
        <w:t xml:space="preserve">   grade D</w:t>
      </w:r>
    </w:p>
    <w:p>
      <w:pPr>
        <w:spacing w:after="60" w:line="276"/>
      </w:pPr>
      <w:r>
        <w:rPr>
          <w:color w:val="15181F"/>
          <w:sz w:val="19"/>
          <w:szCs w:val="19"/>
        </w:rPr>
        <w:t xml:space="preserve">Do not treat mixed hepatocellular-cholangiocarcinoma as eligible for the hepatocellular carcinoma exception pathway.</w:t>
      </w:r>
    </w:p>
    <w:p>
      <w:pPr>
        <w:spacing w:after="50" w:line="276"/>
        <w:ind w:left="240"/>
      </w:pPr>
      <w:r>
        <w:rPr>
          <w:color w:val="15181F"/>
          <w:sz w:val="18"/>
          <w:szCs w:val="18"/>
        </w:rPr>
        <w:t xml:space="preserve">Treat it as biliary disease for transplant purposes unless a protocol states otherwise, and flag it to the transplant team explicitly; OPTN 2025 routes mixed HCC-iCCA through the same nonstandard request as iCCA.</w:t>
      </w:r>
    </w:p>
    <w:p>
      <w:pPr>
        <w:spacing w:after="50"/>
        <w:ind w:left="240"/>
      </w:pPr>
      <w:r>
        <w:rPr>
          <w:b/>
          <w:bCs/>
          <w:color w:val="8C2F26"/>
          <w:sz w:val="18"/>
          <w:szCs w:val="18"/>
        </w:rPr>
        <w:t xml:space="preserve">Caveat. </w:t>
      </w:r>
      <w:r>
        <w:rPr>
          <w:color w:val="15181F"/>
          <w:sz w:val="18"/>
          <w:szCs w:val="18"/>
        </w:rPr>
        <w:t xml:space="preserve">ILTS-ILCA makes biopsy mandatory partly to exclude a mixed tumour, and reviews note that pooling mixed tumours with pure iCCA can make survival and recurrence look falsely favourable when the dominant phenotype is hepatocellular. The index explant series excluded mixed tumours within a nodule entirely, so there is no transplant outcome dataset for this phenotype to argue from in either direction.</w:t>
      </w:r>
    </w:p>
    <w:p>
      <w:pPr>
        <w:spacing w:after="60" w:line="276"/>
        <w:ind w:left="240"/>
      </w:pPr>
      <w:r>
        <w:rPr>
          <w:color w:val="5A6069"/>
          <w:sz w:val="16"/>
          <w:szCs w:val="16"/>
        </w:rPr>
        <w:t xml:space="preserve">Sources: MH iCCA roadmap v0.6; OPTN transplant-oncology guidance; ILTS-ILCA 2024 consensus; Sapisochin very early iCCA; Sapisochin review</w:t>
      </w:r>
    </w:p>
    <w:p>
      <w:pPr>
        <w:pBdr>
          <w:bottom w:val="single" w:color="D3DCE4" w:sz="6" w:space="1"/>
        </w:pBdr>
        <w:spacing w:after="80"/>
      </w:pPr>
    </w:p>
    <w:p>
      <w:pPr>
        <w:pStyle w:val="Heading1"/>
        <w:keepNext/>
        <w:pageBreakBefore/>
        <w:spacing w:after="110" w:before="320"/>
      </w:pPr>
      <w:r>
        <w:rPr>
          <w:rFonts w:ascii="Cambria" w:cs="Cambria" w:eastAsia="Cambria" w:hAnsi="Cambria"/>
          <w:b/>
          <w:bCs/>
          <w:color w:val="17365D"/>
          <w:sz w:val="32"/>
          <w:szCs w:val="32"/>
        </w:rPr>
        <w:t xml:space="preserve">Quick reference</w:t>
      </w:r>
    </w:p>
    <w:p>
      <w:pPr>
        <w:pStyle w:val="Heading3"/>
        <w:keepNext/>
        <w:spacing w:after="110" w:before="240"/>
      </w:pPr>
      <w:r>
        <w:rPr>
          <w:rFonts w:ascii="Cambria" w:cs="Cambria" w:eastAsia="Cambria" w:hAnsi="Cambria"/>
          <w:b/>
          <w:bCs/>
          <w:color w:val="17365D"/>
          <w:sz w:val="22"/>
          <w:szCs w:val="22"/>
        </w:rPr>
        <w:t xml:space="preserve">Molecular alterations that change treatment</w:t>
      </w:r>
    </w:p>
    <w:p>
      <w:pPr>
        <w:spacing w:after="120" w:line="276"/>
      </w:pPr>
      <w:r>
        <w:rPr>
          <w:i/>
          <w:iCs/>
          <w:color w:val="5A6069"/>
          <w:sz w:val="18"/>
          <w:szCs w:val="18"/>
        </w:rPr>
        <w:t xml:space="preserve">Ordered at the diagnosis of unresectable or metastatic disease, not at second-line progression; turnaround is two to four weeks.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100"/>
        <w:gridCol w:w="5260"/>
      </w:tblGrid>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FGFR2 fusion or rearrangement</w:t>
            </w:r>
          </w:p>
        </w:tc>
        <w:tc>
          <w:tcPr>
            <w:tcW w:type="dxa" w:w="5260"/>
            <w:tcMar>
              <w:top w:type="dxa" w:w="70"/>
              <w:left w:type="dxa" w:w="110"/>
              <w:bottom w:type="dxa" w:w="70"/>
              <w:right w:type="dxa" w:w="110"/>
            </w:tcMar>
            <w:vAlign w:val="top"/>
          </w:tcPr>
          <w:p>
            <w:pPr>
              <w:spacing w:after="0" w:line="276"/>
            </w:pPr>
            <w:r>
              <w:rPr>
                <w:color w:val="15181F"/>
                <w:sz w:val="17"/>
                <w:szCs w:val="17"/>
              </w:rPr>
              <w:t xml:space="preserve">Pemigatinib after prior systemic therapy, or futibatinib after gemcitabine–platinum. Response 37% and 42%, median overall survival 17.5 and 21.7 months. Both single-arm; neither compared with second-line chemotherapy.</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IDH1 mutation</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Ivosidenib. Met progression-free survival (2.7 versus 1.4 months, HR 0.37); final intention-to-treat overall survival 10.3 versus 7.5 months, HR 0.79, p=0.09, not significant with crossover permitted. Response 2% — position it on progression-free survival grounds only.</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BRAF V600E</w:t>
            </w:r>
          </w:p>
        </w:tc>
        <w:tc>
          <w:tcPr>
            <w:tcW w:type="dxa" w:w="5260"/>
            <w:tcMar>
              <w:top w:type="dxa" w:w="70"/>
              <w:left w:type="dxa" w:w="110"/>
              <w:bottom w:type="dxa" w:w="70"/>
              <w:right w:type="dxa" w:w="110"/>
            </w:tcMar>
            <w:vAlign w:val="top"/>
          </w:tcPr>
          <w:p>
            <w:pPr>
              <w:spacing w:after="0" w:line="276"/>
            </w:pPr>
            <w:r>
              <w:rPr>
                <w:color w:val="15181F"/>
                <w:sz w:val="17"/>
                <w:szCs w:val="17"/>
              </w:rPr>
              <w:t xml:space="preserve">Dabrafenib plus trametinib. Single-arm, 43 patients, response 51% by investigator and 47% by independent review, interim analysis.</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HER2 amplification or overexpression</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Zanidatamab. Single-arm; final analysis of 80 ERBB2-amplified patients gave confirmed response 41.3% and median overall survival 15.5 months, concentrated in IHC 3+ (51.6% versus 1 of 18 at IHC 2+; post hoc).</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MSI-high or mismatch-repair deficient</w:t>
            </w:r>
          </w:p>
        </w:tc>
        <w:tc>
          <w:tcPr>
            <w:tcW w:type="dxa" w:w="5260"/>
            <w:tcMar>
              <w:top w:type="dxa" w:w="70"/>
              <w:left w:type="dxa" w:w="110"/>
              <w:bottom w:type="dxa" w:w="70"/>
              <w:right w:type="dxa" w:w="110"/>
            </w:tcMar>
            <w:vAlign w:val="top"/>
          </w:tcPr>
          <w:p>
            <w:pPr>
              <w:spacing w:after="0" w:line="276"/>
            </w:pPr>
            <w:r>
              <w:rPr>
                <w:color w:val="15181F"/>
                <w:sz w:val="17"/>
                <w:szCs w:val="17"/>
              </w:rPr>
              <w:t xml:space="preserve">Checkpoint blockade, consistent with tumour-agnostic practice.</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NTRK fusion, RET fusion, other actionable</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Capture on the same broad panel so a later line is not delayed by re-testing. Reasonable consideration, grade C.</w:t>
            </w:r>
          </w:p>
        </w:tc>
      </w:tr>
    </w:tbl>
    <w:p>
      <w:pPr>
        <w:spacing w:after="200" w:line="276"/>
      </w:pPr>
      <w:r>
        <w:rPr>
          <w:i/>
          <w:iCs/>
          <w:color w:val="5A6069"/>
          <w:sz w:val="16"/>
          <w:szCs w:val="16"/>
        </w:rPr>
        <w:t xml:space="preserve">Match the alteration class reported, not the gene name: other alterations in these same genes are not interchangeable with the ones studied and go to molecular-oncology review first (Standard, grade D). Use circulating tumour DNA when tissue is inadequate or biopsy would delay treatment, but a negative plasma result does not exclude a target and should prompt tissue testing where it would change management. No randomised evidence establishes a sequence among these options.</w:t>
      </w:r>
    </w:p>
    <w:p>
      <w:pPr>
        <w:pStyle w:val="Heading3"/>
        <w:keepNext/>
        <w:spacing w:after="110" w:before="240"/>
      </w:pPr>
      <w:r>
        <w:rPr>
          <w:rFonts w:ascii="Cambria" w:cs="Cambria" w:eastAsia="Cambria" w:hAnsi="Cambria"/>
          <w:b/>
          <w:bCs/>
          <w:color w:val="17365D"/>
          <w:sz w:val="22"/>
          <w:szCs w:val="22"/>
        </w:rPr>
        <w:t xml:space="preserve">Resectability, as the roadmap defines it</w:t>
      </w:r>
    </w:p>
    <w:p>
      <w:pPr>
        <w:spacing w:after="120" w:line="276"/>
      </w:pPr>
      <w:r>
        <w:rPr>
          <w:i/>
          <w:iCs/>
          <w:color w:val="5A6069"/>
          <w:sz w:val="18"/>
          <w:szCs w:val="18"/>
        </w:rPr>
        <w:t xml:space="preserve">A surgical determination made by a hepatobiliary surgeon, not a radiological impression, reassessed whenever the disease or the liver changes.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100"/>
        <w:gridCol w:w="5260"/>
      </w:tblGrid>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Hepatic extent</w:t>
            </w:r>
          </w:p>
        </w:tc>
        <w:tc>
          <w:tcPr>
            <w:tcW w:type="dxa" w:w="5260"/>
            <w:tcMar>
              <w:top w:type="dxa" w:w="70"/>
              <w:left w:type="dxa" w:w="110"/>
              <w:bottom w:type="dxa" w:w="70"/>
              <w:right w:type="dxa" w:w="110"/>
            </w:tcMar>
            <w:vAlign w:val="top"/>
          </w:tcPr>
          <w:p>
            <w:pPr>
              <w:spacing w:after="0" w:line="276"/>
            </w:pPr>
            <w:r>
              <w:rPr>
                <w:color w:val="15181F"/>
                <w:sz w:val="17"/>
                <w:szCs w:val="17"/>
              </w:rPr>
              <w:t xml:space="preserve">Favours: solitary or clustered disease clearable with an R0 margin and an adequate functional remnant. Against: multifocal disease across both lobes; satellite pattern implying field disease.</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Vascular and biliary</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Favours: inflow, outflow and biliary drainage preservable or reconstructable. Against: encasement precluding reconstruction; bilateral second-order biliary involvement.</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Nodal</w:t>
            </w:r>
          </w:p>
        </w:tc>
        <w:tc>
          <w:tcPr>
            <w:tcW w:type="dxa" w:w="5260"/>
            <w:tcMar>
              <w:top w:type="dxa" w:w="70"/>
              <w:left w:type="dxa" w:w="110"/>
              <w:bottom w:type="dxa" w:w="70"/>
              <w:right w:type="dxa" w:w="110"/>
            </w:tcMar>
            <w:vAlign w:val="top"/>
          </w:tcPr>
          <w:p>
            <w:pPr>
              <w:spacing w:after="0" w:line="276"/>
            </w:pPr>
            <w:r>
              <w:rPr>
                <w:color w:val="15181F"/>
                <w:sz w:val="17"/>
                <w:szCs w:val="17"/>
              </w:rPr>
              <w:t xml:space="preserve">Favours: no nodal disease, or regional nodes resectable within the standard basin — lymphadenectomy is part of the operation and informs adjuvant decisions. Against: nodal disease beyond the regional basin, including retroperitoneal or coeliac stations.</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Systemic</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Favours: no extrahepatic disease. Against: any extrahepatic disease — this moves the pathway to systemic and molecularly directed therapy.</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Host</w:t>
            </w:r>
          </w:p>
        </w:tc>
        <w:tc>
          <w:tcPr>
            <w:tcW w:type="dxa" w:w="5260"/>
            <w:tcMar>
              <w:top w:type="dxa" w:w="70"/>
              <w:left w:type="dxa" w:w="110"/>
              <w:bottom w:type="dxa" w:w="70"/>
              <w:right w:type="dxa" w:w="110"/>
            </w:tcMar>
            <w:vAlign w:val="top"/>
          </w:tcPr>
          <w:p>
            <w:pPr>
              <w:spacing w:after="0" w:line="276"/>
            </w:pPr>
            <w:r>
              <w:rPr>
                <w:color w:val="15181F"/>
                <w:sz w:val="17"/>
                <w:szCs w:val="17"/>
              </w:rPr>
              <w:t xml:space="preserve">Favours: adequate reserve and performance status. Against: parenchymal disease or reserve that makes the necessary resection unsafe.</w:t>
            </w:r>
          </w:p>
        </w:tc>
      </w:tr>
    </w:tbl>
    <w:p>
      <w:pPr>
        <w:spacing w:after="200" w:line="276"/>
      </w:pPr>
      <w:r>
        <w:rPr>
          <w:i/>
          <w:iCs/>
          <w:color w:val="5A6069"/>
          <w:sz w:val="16"/>
          <w:szCs w:val="16"/>
        </w:rPr>
        <w:t xml:space="preserve">Three gaps to know about. 'Regional basin' is undefined in v0.6; AASLD 2023 draws the line at nodal metastasis beyond the hepatoduodenal and gastrohepatic ligaments. Numeric reserve rules remain specialty-approved local implementation, and the roadmap is silent on portal hypertension, which AASLD 2023 names a contraindication to resection. Where the tumour obstructs the biliary tree, the need for drainage, its route and its side are decided with the hepatobiliary surgeon before any non-emergency procedure — resection without preoperative drainage can be considered when the future remnant is large, and BSG 2023 puts that threshold at a remnant above 50%; cholangitis is drained without waiting.</w:t>
      </w:r>
    </w:p>
    <w:p>
      <w:pPr>
        <w:pStyle w:val="Heading3"/>
        <w:keepNext/>
        <w:spacing w:after="110" w:before="240"/>
      </w:pPr>
      <w:r>
        <w:rPr>
          <w:rFonts w:ascii="Cambria" w:cs="Cambria" w:eastAsia="Cambria" w:hAnsi="Cambria"/>
          <w:b/>
          <w:bCs/>
          <w:color w:val="17365D"/>
          <w:sz w:val="22"/>
          <w:szCs w:val="22"/>
        </w:rPr>
        <w:t xml:space="preserve">Transplant eligibility — the nonstandard MMaT-3 route</w:t>
      </w:r>
    </w:p>
    <w:p>
      <w:pPr>
        <w:spacing w:after="120" w:line="276"/>
      </w:pPr>
      <w:r>
        <w:rPr>
          <w:i/>
          <w:iCs/>
          <w:color w:val="5A6069"/>
          <w:sz w:val="18"/>
          <w:szCs w:val="18"/>
        </w:rPr>
        <w:t xml:space="preserve">All of these are required by the described route, and our programme adds a protocol requirement on top.</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100"/>
        <w:gridCol w:w="5260"/>
      </w:tblGrid>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Diagnosis</w:t>
            </w:r>
          </w:p>
        </w:tc>
        <w:tc>
          <w:tcPr>
            <w:tcW w:type="dxa" w:w="5260"/>
            <w:tcMar>
              <w:top w:type="dxa" w:w="70"/>
              <w:left w:type="dxa" w:w="110"/>
              <w:bottom w:type="dxa" w:w="70"/>
              <w:right w:type="dxa" w:w="110"/>
            </w:tcMar>
            <w:vAlign w:val="top"/>
          </w:tcPr>
          <w:p>
            <w:pPr>
              <w:spacing w:after="0" w:line="276"/>
            </w:pPr>
            <w:r>
              <w:rPr>
                <w:color w:val="15181F"/>
                <w:sz w:val="17"/>
                <w:szCs w:val="17"/>
              </w:rPr>
              <w:t xml:space="preserve">Biopsy-proven solitary unresectable iCCA or mixed HCC-iCCA.</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Size</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Tumour 3 cm or less.</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Liver</w:t>
            </w:r>
          </w:p>
        </w:tc>
        <w:tc>
          <w:tcPr>
            <w:tcW w:type="dxa" w:w="5260"/>
            <w:tcMar>
              <w:top w:type="dxa" w:w="70"/>
              <w:left w:type="dxa" w:w="110"/>
              <w:bottom w:type="dxa" w:w="70"/>
              <w:right w:type="dxa" w:w="110"/>
            </w:tcMar>
            <w:vAlign w:val="top"/>
          </w:tcPr>
          <w:p>
            <w:pPr>
              <w:spacing w:after="0" w:line="276"/>
            </w:pPr>
            <w:r>
              <w:rPr>
                <w:color w:val="15181F"/>
                <w:sz w:val="17"/>
                <w:szCs w:val="17"/>
              </w:rPr>
              <w:t xml:space="preserve">Underlying cirrhosis.</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Prior treatment</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Locoregional or systemic therapy received.</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Biology clock</w:t>
            </w:r>
          </w:p>
        </w:tc>
        <w:tc>
          <w:tcPr>
            <w:tcW w:type="dxa" w:w="5260"/>
            <w:tcMar>
              <w:top w:type="dxa" w:w="70"/>
              <w:left w:type="dxa" w:w="110"/>
              <w:bottom w:type="dxa" w:w="70"/>
              <w:right w:type="dxa" w:w="110"/>
            </w:tcMar>
            <w:vAlign w:val="top"/>
          </w:tcPr>
          <w:p>
            <w:pPr>
              <w:spacing w:after="0" w:line="276"/>
            </w:pPr>
            <w:r>
              <w:rPr>
                <w:color w:val="15181F"/>
                <w:sz w:val="17"/>
                <w:szCs w:val="17"/>
              </w:rPr>
              <w:t xml:space="preserve">Six months from diagnosis or last treatment with tumour stability: still 3 cm or less, no new lesions, no extrahepatic disease. Record both diagnosis and last-treatment dates and the serial scans that establish the interval — a response on one scan is insufficient.</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Extensions</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Imaging every three months showing tumour still 3 cm or less with no extrahepatic disease; track the general 90-day extension cycle with a named renewal owner.</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Score and route</w:t>
            </w:r>
          </w:p>
        </w:tc>
        <w:tc>
          <w:tcPr>
            <w:tcW w:type="dxa" w:w="5260"/>
            <w:tcMar>
              <w:top w:type="dxa" w:w="70"/>
              <w:left w:type="dxa" w:w="110"/>
              <w:bottom w:type="dxa" w:w="70"/>
              <w:right w:type="dxa" w:w="110"/>
            </w:tcMar>
            <w:vAlign w:val="top"/>
          </w:tcPr>
          <w:p>
            <w:pPr>
              <w:spacing w:after="0" w:line="276"/>
            </w:pPr>
            <w:r>
              <w:rPr>
                <w:color w:val="15181F"/>
                <w:sz w:val="17"/>
                <w:szCs w:val="17"/>
              </w:rPr>
              <w:t xml:space="preserve">Nonstandard MMaT-3 exception: CCA diagnosis form plus a written narrative to the Adult Transplant Oncology Review Board. An MMaT-relative exception below 15 is assigned 15 (Policy 9.4.E).</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Local restriction</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A formally approved trial or prospective registry protocol, plus expert transplant-oncology selection. This is an additional institutional restriction, not an OPTN requirement.</w:t>
            </w:r>
          </w:p>
        </w:tc>
      </w:tr>
    </w:tbl>
    <w:p>
      <w:pPr>
        <w:spacing w:after="200" w:line="276"/>
      </w:pPr>
      <w:r>
        <w:rPr>
          <w:i/>
          <w:iCs/>
          <w:color w:val="5A6069"/>
          <w:sz w:val="16"/>
          <w:szCs w:val="16"/>
        </w:rPr>
        <w:t xml:space="preserve">MMaT is the median MELD at transplant for the donor hospital used in the match run, not one fixed national score, and the supplied document is review-board guidance, not OPTN policy or a clinical standard of care. Six months is also the period of radiographic stability the Houston Methodist–MD Anderson prospective series required before listing: 6 of 21 referred patients were transplanted, with 5-year survival 83.3% but recurrence-free survival 50% and a median cumulative tumour diameter of 14.2 cm. Poor differentiation is associated with worse outcome in the guidance footnote — a clinical selection concern, not a separately stated automatic exclusion. A local complete response is not an automatic transplant exception.</w:t>
      </w:r>
    </w:p>
    <w:p>
      <w:pPr>
        <w:pStyle w:val="Heading3"/>
        <w:keepNext/>
        <w:spacing w:after="110" w:before="240"/>
      </w:pPr>
      <w:r>
        <w:rPr>
          <w:rFonts w:ascii="Cambria" w:cs="Cambria" w:eastAsia="Cambria" w:hAnsi="Cambria"/>
          <w:b/>
          <w:bCs/>
          <w:color w:val="17365D"/>
          <w:sz w:val="22"/>
          <w:szCs w:val="22"/>
        </w:rPr>
        <w:t xml:space="preserve">BILCAP, as published</w:t>
      </w:r>
    </w:p>
    <w:p>
      <w:pPr>
        <w:spacing w:after="120" w:line="276"/>
      </w:pPr>
      <w:r>
        <w:rPr>
          <w:i/>
          <w:iCs/>
          <w:color w:val="5A6069"/>
          <w:sz w:val="18"/>
          <w:szCs w:val="18"/>
        </w:rPr>
        <w:t xml:space="preserve">The trial the adjuvant capecitabine recommendation rests on. Read the primary analysis, not the habit.</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100"/>
        <w:gridCol w:w="5260"/>
      </w:tblGrid>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Population</w:t>
            </w:r>
          </w:p>
        </w:tc>
        <w:tc>
          <w:tcPr>
            <w:tcW w:type="dxa" w:w="5260"/>
            <w:tcMar>
              <w:top w:type="dxa" w:w="70"/>
              <w:left w:type="dxa" w:w="110"/>
              <w:bottom w:type="dxa" w:w="70"/>
              <w:right w:type="dxa" w:w="110"/>
            </w:tcMar>
            <w:vAlign w:val="top"/>
          </w:tcPr>
          <w:p>
            <w:pPr>
              <w:spacing w:after="0" w:line="276"/>
            </w:pPr>
            <w:r>
              <w:rPr>
                <w:color w:val="15181F"/>
                <w:sz w:val="17"/>
                <w:szCs w:val="17"/>
              </w:rPr>
              <w:t xml:space="preserve">447 patients with resected biliary tract cancer: 84 (19%) intrahepatic, 128 (29%) hilar, 156 (35%) lower common bile duct, 79 (18%) muscle-invasive gallbladder; 38% R1 and 47% node-positive.</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Primary analysis, intention to treat</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Median overall survival 51.1 versus 36.4 months, adjusted hazard ratio 0.81 (95% CI 0.63–1.04), p=0.097. Not significant.</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Prespecified sensitivity analysis</w:t>
            </w:r>
          </w:p>
        </w:tc>
        <w:tc>
          <w:tcPr>
            <w:tcW w:type="dxa" w:w="5260"/>
            <w:tcMar>
              <w:top w:type="dxa" w:w="70"/>
              <w:left w:type="dxa" w:w="110"/>
              <w:bottom w:type="dxa" w:w="70"/>
              <w:right w:type="dxa" w:w="110"/>
            </w:tcMar>
            <w:vAlign w:val="top"/>
          </w:tcPr>
          <w:p>
            <w:pPr>
              <w:spacing w:after="0" w:line="276"/>
            </w:pPr>
            <w:r>
              <w:rPr>
                <w:color w:val="15181F"/>
                <w:sz w:val="17"/>
                <w:szCs w:val="17"/>
              </w:rPr>
              <w:t xml:space="preserve">Adjusted for nodal status, tumour grade and sex: hazard ratio 0.71 (95% CI 0.55–0.92), p=0.010.</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Per-protocol analysis</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Hazard ratio 0.75 (95% CI 0.58–0.97), p=0.028. The trial was unmasked.</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Recurrence-free survival</w:t>
            </w:r>
          </w:p>
        </w:tc>
        <w:tc>
          <w:tcPr>
            <w:tcW w:type="dxa" w:w="5260"/>
            <w:tcMar>
              <w:top w:type="dxa" w:w="70"/>
              <w:left w:type="dxa" w:w="110"/>
              <w:bottom w:type="dxa" w:w="70"/>
              <w:right w:type="dxa" w:w="110"/>
            </w:tcMar>
            <w:vAlign w:val="top"/>
          </w:tcPr>
          <w:p>
            <w:pPr>
              <w:spacing w:after="0" w:line="276"/>
            </w:pPr>
            <w:r>
              <w:rPr>
                <w:color w:val="15181F"/>
                <w:sz w:val="17"/>
                <w:szCs w:val="17"/>
              </w:rPr>
              <w:t xml:space="preserve">24.4 versus 17.5 months, hazard ratio 0.75 over the first 24 months, with no difference from 24 to 60 months — the authors read this as deferred rather than prevented recurrence.</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Toxicity</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Grade 3 or worse in 44% of the 213 treated, most often hand-foot syndrome (20%); 55% completed all eight cycles, 46% needed a dose reduction and 32% stopped for toxicity.</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The other adjuvant trials</w:t>
            </w:r>
          </w:p>
        </w:tc>
        <w:tc>
          <w:tcPr>
            <w:tcW w:type="dxa" w:w="5260"/>
            <w:tcMar>
              <w:top w:type="dxa" w:w="70"/>
              <w:left w:type="dxa" w:w="110"/>
              <w:bottom w:type="dxa" w:w="70"/>
              <w:right w:type="dxa" w:w="110"/>
            </w:tcMar>
            <w:vAlign w:val="top"/>
          </w:tcPr>
          <w:p>
            <w:pPr>
              <w:spacing w:after="0" w:line="276"/>
            </w:pPr>
            <w:r>
              <w:rPr>
                <w:color w:val="15181F"/>
                <w:sz w:val="17"/>
                <w:szCs w:val="17"/>
              </w:rPr>
              <w:t xml:space="preserve">ASCOT: 3-year survival 77.1% versus 67.6%, hazard ratio 0.69 — Japan only, S-1 unavailable in the United States, 13% intrahepatic. PRODIGE-12: negative for gemcitabine–oxaliplatin, grade 3–4 toxicity 73%. BCAT: no benefit for gemcitabine (hazard ratio 1.01) in extrahepatic bile duct cancer only, iCCA not eligible.</w:t>
            </w:r>
          </w:p>
        </w:tc>
      </w:tr>
    </w:tbl>
    <w:p>
      <w:pPr>
        <w:spacing w:after="200" w:line="276"/>
      </w:pPr>
      <w:r>
        <w:rPr>
          <w:i/>
          <w:iCs/>
          <w:color w:val="5A6069"/>
          <w:sz w:val="16"/>
          <w:szCs w:val="16"/>
        </w:rPr>
        <w:t xml:space="preserve">Local label: Reasonable consideration, grade B. NCCN Biliary Tract Cancers v1.2026 designates capecitabine preferred, category 1, while acknowledging the nonsignificant intention-to-treat analysis; AASLD 2023 and BSG 2023 treat it as standard, and LCSGJ 2022 makes a weak recommendation and reports no significant benefit in the intrahepatic subgroup. Lymphadenectomy was not mandated for intrahepatic patients, yet nodal status is one of the covariates that turns the sensitivity analysis positive. Offer capecitabine, discuss it with these numbers, and do not present it as settled — whether the label moves to Standard is unresolved decision 3.</w:t>
      </w:r>
    </w:p>
    <w:p>
      <w:pPr>
        <w:pStyle w:val="Heading1"/>
        <w:keepNext/>
        <w:pageBreakBefore/>
        <w:spacing w:after="110" w:before="320"/>
      </w:pPr>
      <w:r>
        <w:rPr>
          <w:rFonts w:ascii="Cambria" w:cs="Cambria" w:eastAsia="Cambria" w:hAnsi="Cambria"/>
          <w:b/>
          <w:bCs/>
          <w:color w:val="17365D"/>
          <w:sz w:val="32"/>
          <w:szCs w:val="32"/>
        </w:rPr>
        <w:t xml:space="preserve">What we are not sure about</w:t>
      </w:r>
    </w:p>
    <w:p>
      <w:pPr>
        <w:spacing w:after="200" w:line="276"/>
      </w:pPr>
      <w:r>
        <w:rPr>
          <w:i/>
          <w:iCs/>
          <w:color w:val="5A6069"/>
          <w:sz w:val="20"/>
          <w:szCs w:val="20"/>
        </w:rPr>
        <w:t xml:space="preserve">Every statement below is a limit on what this page can claim. They come from reading each cited paper in full, including the limitations the authors state themselves and the objections the text supports but the authors do not raise.</w:t>
      </w:r>
    </w:p>
    <w:p>
      <w:pPr>
        <w:spacing w:after="60" w:before="160"/>
      </w:pPr>
      <w:r>
        <w:rPr>
          <w:b/>
          <w:bCs/>
          <w:color w:val="8E5008"/>
          <w:sz w:val="19"/>
          <w:szCs w:val="19"/>
        </w:rPr>
        <w:t xml:space="preserve">1. </w:t>
      </w:r>
      <w:r>
        <w:rPr>
          <w:b/>
          <w:bCs/>
          <w:sz w:val="19"/>
          <w:szCs w:val="19"/>
        </w:rPr>
        <w:t xml:space="preserve">Where the tumour obstructs the biliary tree, the need for drainage, its route and its side are decided with the hepatobiliary surgeon before any non-emergency procedure, particularly when a major hepatectomy is contemplated. Cholangitis is drained without waiting for that discussion.</w:t>
      </w:r>
    </w:p>
    <w:p>
      <w:pPr>
        <w:spacing w:after="40" w:line="276"/>
        <w:ind w:left="260"/>
      </w:pPr>
      <w:r>
        <w:rPr>
          <w:color w:val="15181F"/>
          <w:sz w:val="18"/>
          <w:szCs w:val="18"/>
        </w:rPr>
        <w:t xml:space="preserve">Standard, grade D. No comparative outcome data were identified for intrahepatic disease. The reasoning is mechanical rather than empirical: stent-related inflammation distorts the ductal extent that decides whether biliary resection and reconstruction are needed, and drainage of the wrong side adds cholangitis risk and delay.</w:t>
      </w:r>
    </w:p>
    <w:p>
      <w:pPr>
        <w:spacing w:after="40" w:line="276"/>
        <w:ind w:left="260"/>
      </w:pPr>
      <w:r>
        <w:rPr>
          <w:color w:val="5A6069"/>
          <w:sz w:val="16"/>
          <w:szCs w:val="16"/>
        </w:rPr>
        <w:t xml:space="preserve">Sources: NCCN BTC v1.2026; BSG CCA 2023</w:t>
      </w:r>
    </w:p>
    <w:p>
      <w:pPr>
        <w:spacing w:after="60" w:before="160"/>
      </w:pPr>
      <w:r>
        <w:rPr>
          <w:b/>
          <w:bCs/>
          <w:color w:val="8E5008"/>
          <w:sz w:val="19"/>
          <w:szCs w:val="19"/>
        </w:rPr>
        <w:t xml:space="preserve">2. </w:t>
      </w:r>
      <w:r>
        <w:rPr>
          <w:b/>
          <w:bCs/>
          <w:sz w:val="19"/>
          <w:szCs w:val="19"/>
        </w:rPr>
        <w:t xml:space="preserve">Exclude another primary before committing to this pathway, and record the entry dataset: tumour number and size, vascular and biliary involvement, regional nodal status, extrahepatic sites, ECOG, Child-Pugh and bilirubin, CA 19-9 and CEA, hepatitis serology.</w:t>
      </w:r>
    </w:p>
    <w:p>
      <w:pPr>
        <w:spacing w:after="40" w:line="276"/>
        <w:ind w:left="260"/>
      </w:pPr>
      <w:r>
        <w:rPr>
          <w:color w:val="15181F"/>
          <w:sz w:val="18"/>
          <w:szCs w:val="18"/>
        </w:rPr>
        <w:t xml:space="preserve">Both are grade D. The work-up justification is that metastatic adenocarcinoma can be histologically indistinguishable from intrahepatic cholangiocarcinoma and that treating a colorectal or pancreatic metastasis as iCCA is a recognised and consequential error — not that any study shows colonoscopy, age-appropriate breast imaging or a CK7/CK20/CDX2-type panel changes outcomes. The recorded dataset is a documentation standard the programme has chosen so that resectability, candidacy and the registry can be audited; no comparative outcome evidence supports the particular list. CA 19-9 and CEA are baseline and monitoring tests and never establish the diagnosis, and AASLD 2023 states explicitly that an elevated CA 19-9 alone must not be used to diagnose cholangiocarcinoma.</w:t>
      </w:r>
    </w:p>
    <w:p>
      <w:pPr>
        <w:spacing w:after="40" w:line="276"/>
        <w:ind w:left="260"/>
      </w:pPr>
      <w:r>
        <w:rPr>
          <w:color w:val="5A6069"/>
          <w:sz w:val="16"/>
          <w:szCs w:val="16"/>
        </w:rPr>
        <w:t xml:space="preserve">Sources: MH iCCA roadmap v0.6; BSG CCA 2023; AASLD PSC/CCA 2023; LCSGJ iCCA 2022</w:t>
      </w:r>
    </w:p>
    <w:p>
      <w:pPr>
        <w:spacing w:after="60" w:before="160"/>
      </w:pPr>
      <w:r>
        <w:rPr>
          <w:b/>
          <w:bCs/>
          <w:color w:val="8E5008"/>
          <w:sz w:val="19"/>
          <w:szCs w:val="19"/>
        </w:rPr>
        <w:t xml:space="preserve">3. </w:t>
      </w:r>
      <w:r>
        <w:rPr>
          <w:b/>
          <w:bCs/>
          <w:sz w:val="19"/>
          <w:szCs w:val="19"/>
        </w:rPr>
        <w:t xml:space="preserve">Match treatment to the alteration class reported, not to the gene name; other alterations in the same genes are not interchangeable and should be reviewed with a clinician experienced in molecular oncology before a matched agent is chosen.</w:t>
      </w:r>
    </w:p>
    <w:p>
      <w:pPr>
        <w:spacing w:after="40" w:line="276"/>
        <w:ind w:left="260"/>
      </w:pPr>
      <w:r>
        <w:rPr>
          <w:color w:val="15181F"/>
          <w:sz w:val="18"/>
          <w:szCs w:val="18"/>
        </w:rPr>
        <w:t xml:space="preserve">Standard, grade D. Locally reasonable and consistent with how the trials selected patients, but it is a consensus rule: no comparative data establish what happens when a non-canonical alteration is treated with a matched agent.</w:t>
      </w:r>
    </w:p>
    <w:p>
      <w:pPr>
        <w:spacing w:after="40" w:line="276"/>
        <w:ind w:left="260"/>
      </w:pPr>
      <w:r>
        <w:rPr>
          <w:color w:val="5A6069"/>
          <w:sz w:val="16"/>
          <w:szCs w:val="16"/>
        </w:rPr>
        <w:t xml:space="preserve">Sources: ESMO BTC 2024 interim; FIGHT-202 final; FIGHT-202</w:t>
      </w:r>
    </w:p>
    <w:p>
      <w:pPr>
        <w:spacing w:after="60" w:before="160"/>
      </w:pPr>
      <w:r>
        <w:rPr>
          <w:b/>
          <w:bCs/>
          <w:color w:val="8E5008"/>
          <w:sz w:val="19"/>
          <w:szCs w:val="19"/>
        </w:rPr>
        <w:t xml:space="preserve">4. </w:t>
      </w:r>
      <w:r>
        <w:rPr>
          <w:b/>
          <w:bCs/>
          <w:sz w:val="19"/>
          <w:szCs w:val="19"/>
        </w:rPr>
        <w:t xml:space="preserve">Reassessment intervals: systemic therapy every 8–12 weeks by RECIST 1.1 with CA 19-9 as a supporting trend only; after resection every 3–6 months for 2 years then less frequently; after liver-directed therapy at 8–12 weeks allowing for the delayed response pattern; conversion intent at the pre-declared 2–3 month point, by formal surgical re-review rather than an imaging report alone.</w:t>
      </w:r>
    </w:p>
    <w:p>
      <w:pPr>
        <w:spacing w:after="40" w:line="276"/>
        <w:ind w:left="260"/>
      </w:pPr>
      <w:r>
        <w:rPr>
          <w:color w:val="15181F"/>
          <w:sz w:val="18"/>
          <w:szCs w:val="18"/>
        </w:rPr>
        <w:t xml:space="preserve">The response-assessment framework in this disease is expert consensus, not randomised evidence — grade C to D. NCCN states there are no data to support a specific surveillance schedule. Whether post-resection imaging should be fixed at 3-monthly, given that most recurrences are intrahepatic and some are re-resectable, or 6-monthly as most UK centres practise, is a ratification item (alignment worksheet, area 16).</w:t>
      </w:r>
    </w:p>
    <w:p>
      <w:pPr>
        <w:spacing w:after="40" w:line="276"/>
        <w:ind w:left="260"/>
      </w:pPr>
      <w:r>
        <w:rPr>
          <w:color w:val="5A6069"/>
          <w:sz w:val="16"/>
          <w:szCs w:val="16"/>
        </w:rPr>
        <w:t xml:space="preserve">Sources: NCCN BTC v1.2026; BSG CCA 2023; MISPHEC</w:t>
      </w:r>
    </w:p>
    <w:p>
      <w:pPr>
        <w:spacing w:after="60" w:before="160"/>
      </w:pPr>
      <w:r>
        <w:rPr>
          <w:b/>
          <w:bCs/>
          <w:color w:val="8E5008"/>
          <w:sz w:val="19"/>
          <w:szCs w:val="19"/>
        </w:rPr>
        <w:t xml:space="preserve">5. </w:t>
      </w:r>
      <w:r>
        <w:rPr>
          <w:b/>
          <w:bCs/>
          <w:sz w:val="19"/>
          <w:szCs w:val="19"/>
        </w:rPr>
        <w:t xml:space="preserve">Biliary function is monitored alongside the disease: liver biochemistry at each assessment, and every patient with a biliary stent has a defined route for early detection of blockage. New jaundice, a rising bilirubin or cholangitis is evaluated promptly and does not wait for the next scheduled scan.</w:t>
      </w:r>
    </w:p>
    <w:p>
      <w:pPr>
        <w:spacing w:after="40" w:line="276"/>
        <w:ind w:left="260"/>
      </w:pPr>
      <w:r>
        <w:rPr>
          <w:color w:val="15181F"/>
          <w:sz w:val="18"/>
          <w:szCs w:val="18"/>
        </w:rPr>
        <w:t xml:space="preserve">Standard, grade D. Supported only indirectly — BSG 2023 attributes the better-than-expected survival of the ABC-06 active-symptom-control arm to proactive treatment of biliary obstruction and infection.</w:t>
      </w:r>
    </w:p>
    <w:p>
      <w:pPr>
        <w:spacing w:after="40" w:line="276"/>
        <w:ind w:left="260"/>
      </w:pPr>
      <w:r>
        <w:rPr>
          <w:color w:val="5A6069"/>
          <w:sz w:val="16"/>
          <w:szCs w:val="16"/>
        </w:rPr>
        <w:t xml:space="preserve">Sources: BSG CCA 2023; ABC-06</w:t>
      </w:r>
    </w:p>
    <w:p>
      <w:pPr>
        <w:spacing w:after="60" w:before="160"/>
      </w:pPr>
      <w:r>
        <w:rPr>
          <w:b/>
          <w:bCs/>
          <w:color w:val="8E5008"/>
          <w:sz w:val="19"/>
          <w:szCs w:val="19"/>
        </w:rPr>
        <w:t xml:space="preserve">6. </w:t>
      </w:r>
      <w:r>
        <w:rPr>
          <w:b/>
          <w:bCs/>
          <w:sz w:val="19"/>
          <w:szCs w:val="19"/>
        </w:rPr>
        <w:t xml:space="preserve">The tumour board operating model, and the standing rule that trial eligibility is checked at diagnosis and at each progression.</w:t>
      </w:r>
    </w:p>
    <w:p>
      <w:pPr>
        <w:spacing w:after="40" w:line="276"/>
        <w:ind w:left="260"/>
      </w:pPr>
      <w:r>
        <w:rPr>
          <w:color w:val="15181F"/>
          <w:sz w:val="18"/>
          <w:szCs w:val="18"/>
        </w:rPr>
        <w:t xml:space="preserve">These are stakeholder-derived operating requirements, reproduced unchanged across every disease roadmap so the programme has one operating standard rather than five: submission form, triage, stable agenda, urgent lane, required attendance, imaging reviewed rather than described, pathology pre-alerted, one recommendation with one owner and one reassessment date, documentation within one business day, registry closure. The trial-eligibility rule belongs to the same class. All are evidence grade D by construction — local policy choices with no comparative outcome evidence — and are labelled Standard because the programme has chosen them, not because trials support them. The eligibility rule is defensible in a disease where most of the molecularly matched evidence is single-arm, but no study shows that systematic eligibility checking improves outcome. Audit them for adherence, not for effectiveness.</w:t>
      </w:r>
    </w:p>
    <w:p>
      <w:pPr>
        <w:spacing w:after="40" w:line="276"/>
        <w:ind w:left="260"/>
      </w:pPr>
      <w:r>
        <w:rPr>
          <w:color w:val="5A6069"/>
          <w:sz w:val="16"/>
          <w:szCs w:val="16"/>
        </w:rPr>
        <w:t xml:space="preserve">Sources: MH iCCA roadmap v0.6</w:t>
      </w:r>
    </w:p>
    <w:p>
      <w:pPr>
        <w:spacing w:after="60" w:before="160"/>
      </w:pPr>
      <w:r>
        <w:rPr>
          <w:b/>
          <w:bCs/>
          <w:color w:val="8E5008"/>
          <w:sz w:val="19"/>
          <w:szCs w:val="19"/>
        </w:rPr>
        <w:t xml:space="preserve">7. </w:t>
      </w:r>
      <w:r>
        <w:rPr>
          <w:b/>
          <w:bCs/>
          <w:sz w:val="19"/>
          <w:szCs w:val="19"/>
        </w:rPr>
        <w:t xml:space="preserve">Thresholds barring each liver-directed modality by liver function, and the order in which the modalities are listed.</w:t>
      </w:r>
    </w:p>
    <w:p>
      <w:pPr>
        <w:spacing w:after="40" w:line="276"/>
        <w:ind w:left="260"/>
      </w:pPr>
      <w:r>
        <w:rPr>
          <w:color w:val="15181F"/>
          <w:sz w:val="18"/>
          <w:szCs w:val="18"/>
        </w:rPr>
        <w:t xml:space="preserve">No comparative data define the cut-offs; they are safety conventions. The one hard stop that does come from data is cirrhosis before radioembolisation with chemotherapy, where hepatic failure occurred in 9 of 12 cirrhotic patients (75%), irreversible in 5, against 5 of 29 (17%) without cirrhosis, all reversible — and every irreversible case had whole-liver treatment. Everything else, including the liver-function limits for ablation and for ablative radiotherapy, is convention. Unresolved decision 6, audited through decompensation after liver-directed therapy. The order itself carries no claim either. No randomised trial compares any two of hepatic arterial infusion, radioembolisation, chemoembolisation, ablative radiotherapy and thermal ablation in this disease, and none has been tested against a modern systemic backbone, so the sequence on the page reproduces the roadmap's table and the depth of each dataset rather than a hierarchy of evidence. Selection runs on treatment goal, target geometry, liver reserve and what the institution can deliver, and an upfront alternative chosen for anatomy or reserve is not a post-progression second line. Unresolved decisions 2, 6 and 7.</w:t>
      </w:r>
    </w:p>
    <w:p>
      <w:pPr>
        <w:spacing w:after="40" w:line="276"/>
        <w:ind w:left="260"/>
      </w:pPr>
      <w:r>
        <w:rPr>
          <w:color w:val="5A6069"/>
          <w:sz w:val="16"/>
          <w:szCs w:val="16"/>
        </w:rPr>
        <w:t xml:space="preserve">Sources: MH iCCA roadmap v0.6; MISPHEC; Hong proton phase II; Cercek HAI phase 2; Kiefer TACE 2-centre; Ablation meta-analysis</w:t>
      </w:r>
    </w:p>
    <w:p>
      <w:pPr>
        <w:spacing w:after="60" w:before="160"/>
      </w:pPr>
      <w:r>
        <w:rPr>
          <w:b/>
          <w:bCs/>
          <w:color w:val="8E5008"/>
          <w:sz w:val="19"/>
          <w:szCs w:val="19"/>
        </w:rPr>
        <w:t xml:space="preserve">8. </w:t>
      </w:r>
      <w:r>
        <w:rPr>
          <w:b/>
          <w:bCs/>
          <w:sz w:val="19"/>
          <w:szCs w:val="19"/>
        </w:rPr>
        <w:t xml:space="preserve">Retain the local requirement for a formally approved trial or prospective registry protocol and expert transplant-oncology selection before any transplantation for known intrahepatic cholangiocarcinoma.</w:t>
      </w:r>
    </w:p>
    <w:p>
      <w:pPr>
        <w:spacing w:after="40" w:line="276"/>
        <w:ind w:left="260"/>
      </w:pPr>
      <w:r>
        <w:rPr>
          <w:color w:val="15181F"/>
          <w:sz w:val="18"/>
          <w:szCs w:val="18"/>
        </w:rPr>
        <w:t xml:space="preserve">This is an additional institutional restriction, not an evidence finding. OPTN 2025 guidance and ILTS-ILCA 2024 both describe a route for cirrhotic, unresectable, biopsy-proven tumours of 3 cm or less after six months of stability; the roadmap declines to open it outside a protocol because graft stewardship is an institutional judgement, not an evidence question. Unresolved decision 5. What cannot honestly be given alongside it is an expected outcome. The published 5-year figures in iCCA span 25–73% overall survival and 29–82% recurrence-free survival, almost entirely from single-centre retrospective series, a range the ILTS-ILCA panel itself calls too wide to support a selection rule; almost every series describes iCCA found incidentally or misdiagnosed as hepatocellular carcinoma, so none is an intention-to-treat result and waitlist dropout for progression is unmeasured. A propensity-matched National Cancer Database comparison put transplant and resection within a few percentage points of each other at 5 years, and its authors argued resection should remain preferred for localised disease.</w:t>
      </w:r>
    </w:p>
    <w:p>
      <w:pPr>
        <w:spacing w:after="40" w:line="276"/>
        <w:ind w:left="260"/>
      </w:pPr>
      <w:r>
        <w:rPr>
          <w:color w:val="5A6069"/>
          <w:sz w:val="16"/>
          <w:szCs w:val="16"/>
        </w:rPr>
        <w:t xml:space="preserve">Sources: OPTN transplant-oncology guidance; ILTS-ILCA 2024 consensus; ILTS-ILCA 2024 (Liver Transpl); AASLD PSC/CCA 2023; BSG CCA 2023; Sapisochin review</w:t>
      </w:r>
    </w:p>
    <w:p>
      <w:pPr>
        <w:spacing w:after="60" w:before="160"/>
      </w:pPr>
      <w:r>
        <w:rPr>
          <w:b/>
          <w:bCs/>
          <w:color w:val="8E5008"/>
          <w:sz w:val="19"/>
          <w:szCs w:val="19"/>
        </w:rPr>
        <w:t xml:space="preserve">9. </w:t>
      </w:r>
      <w:r>
        <w:rPr>
          <w:b/>
          <w:bCs/>
          <w:sz w:val="19"/>
          <w:szCs w:val="19"/>
        </w:rPr>
        <w:t xml:space="preserve">If intrahepatic cholangiocarcinoma is found in an explant removed for another indication, enter the patient into structured surveillance and the registry; immunosuppression minimisation and adjuvant therapy are individualised.</w:t>
      </w:r>
    </w:p>
    <w:p>
      <w:pPr>
        <w:spacing w:after="40" w:line="276"/>
        <w:ind w:left="260"/>
      </w:pPr>
      <w:r>
        <w:rPr>
          <w:color w:val="15181F"/>
          <w:sz w:val="18"/>
          <w:szCs w:val="18"/>
        </w:rPr>
        <w:t xml:space="preserve">Local policy. There is no comparative evidence for either immunosuppression minimisation or adjuvant therapy in this situation, and the published outcomes describe exactly this incidentally diagnosed population rather than a selected one.</w:t>
      </w:r>
    </w:p>
    <w:p>
      <w:pPr>
        <w:spacing w:after="40" w:line="276"/>
        <w:ind w:left="260"/>
      </w:pPr>
      <w:r>
        <w:rPr>
          <w:color w:val="5A6069"/>
          <w:sz w:val="16"/>
          <w:szCs w:val="16"/>
        </w:rPr>
        <w:t xml:space="preserve">Sources: Sapisochin very early iCCA; Sapisochin review</w:t>
      </w:r>
    </w:p>
    <w:p>
      <w:pPr>
        <w:spacing w:after="60" w:before="160"/>
      </w:pPr>
      <w:r>
        <w:rPr>
          <w:b/>
          <w:bCs/>
          <w:color w:val="8E5008"/>
          <w:sz w:val="19"/>
          <w:szCs w:val="19"/>
        </w:rPr>
        <w:t xml:space="preserve">10. </w:t>
      </w:r>
      <w:r>
        <w:rPr>
          <w:b/>
          <w:bCs/>
          <w:sz w:val="19"/>
          <w:szCs w:val="19"/>
        </w:rPr>
        <w:t xml:space="preserve">Mixed hepatocellular-cholangiocarcinoma is out of scope for the hepatocellular carcinoma exception pathway: treat it as biliary disease for transplant purposes unless a protocol states otherwise, and flag it to the transplant team explicitly.</w:t>
      </w:r>
    </w:p>
    <w:p>
      <w:pPr>
        <w:spacing w:after="40" w:line="276"/>
        <w:ind w:left="260"/>
      </w:pPr>
      <w:r>
        <w:rPr>
          <w:color w:val="15181F"/>
          <w:sz w:val="18"/>
          <w:szCs w:val="18"/>
        </w:rPr>
        <w:t xml:space="preserve">Local policy, concordant with OPTN 2025, which routes mixed tumours through the same nonstandard request as iCCA, and with ILTS-ILCA 2024, which makes biopsy mandatory partly to exclude a mixed tumour. What is not known is how these patients do after transplantation. The index explant series excluded mixed tumours within a nodule outright and analysed the 33 explants with separate iCCA and hepatocellular nodules as a group outside its 48-patient study population, so it reports no outcome for them; the wider review literature notes that pooling mixed tumours with pure iCCA can make survival and recurrence look falsely favourable when the dominant phenotype is hepatocellular. The policy is therefore a precaution against an unquantified risk, not a reading of a dataset.</w:t>
      </w:r>
    </w:p>
    <w:p>
      <w:pPr>
        <w:spacing w:after="40" w:line="276"/>
        <w:ind w:left="260"/>
      </w:pPr>
      <w:r>
        <w:rPr>
          <w:color w:val="5A6069"/>
          <w:sz w:val="16"/>
          <w:szCs w:val="16"/>
        </w:rPr>
        <w:t xml:space="preserve">Sources: OPTN transplant-oncology guidance; ILTS-ILCA 2024 consensus; Sapisochin very early iCCA; Sapisochin review</w:t>
      </w:r>
    </w:p>
    <w:p>
      <w:pPr>
        <w:spacing w:after="60" w:before="160"/>
      </w:pPr>
      <w:r>
        <w:rPr>
          <w:b/>
          <w:bCs/>
          <w:color w:val="8E5008"/>
          <w:sz w:val="19"/>
          <w:szCs w:val="19"/>
        </w:rPr>
        <w:t xml:space="preserve">11. </w:t>
      </w:r>
      <w:r>
        <w:rPr>
          <w:b/>
          <w:bCs/>
          <w:sz w:val="19"/>
          <w:szCs w:val="19"/>
        </w:rPr>
        <w:t xml:space="preserve">Adjuvant capecitabine after resection of intrahepatic cholangiocarcinoma.</w:t>
      </w:r>
    </w:p>
    <w:p>
      <w:pPr>
        <w:spacing w:after="40" w:line="276"/>
        <w:ind w:left="260"/>
      </w:pPr>
      <w:r>
        <w:rPr>
          <w:color w:val="15181F"/>
          <w:sz w:val="18"/>
          <w:szCs w:val="18"/>
        </w:rPr>
        <w:t xml:space="preserve">BILCAP did not meet its primary endpoint. Intention-to-treat median overall survival was 51.1 versus 36.4 months with an adjusted hazard ratio of 0.81 (95% CI 0.63–1.04), p=0.097; significance appeared only in a prespecified sensitivity analysis adjusted for nodal status, grade and sex (0.71, 0.55–0.92) and in the per-protocol analysis (0.75, 0.58–0.97), in an unmasked trial whose analysis plan was not fully defined at the outset. Intrahepatic patients were 84 of 447 (19%) and the trial was not powered for site-specific effects, so no iCCA-specific benefit has been shown. The two guideline readings of that subgroup contradict each other — LCSGJ 2022 reports no significant benefit, EASL-ILCA cites a hazard ratio of 0.65 as the best of the subtypes — and they are not two datasets but two readings of one unpowered subgroup of a negative trial. What is actually known is that recurrence was deferred rather than prevented (no difference in recurrence-free survival from 24 to 60 months) and that 44% of treated patients had a grade 3 event, 32% stopped for toxicity and 55% finished all eight cycles. ACTICCA-1 has not reported. Our label is Reasonable consideration, grade C, and the conversation is the deliverable.</w:t>
      </w:r>
    </w:p>
    <w:p>
      <w:pPr>
        <w:spacing w:after="40" w:line="276"/>
        <w:ind w:left="260"/>
      </w:pPr>
      <w:r>
        <w:rPr>
          <w:color w:val="5A6069"/>
          <w:sz w:val="16"/>
          <w:szCs w:val="16"/>
        </w:rPr>
        <w:t xml:space="preserve">Sources: BILCAP; LCSGJ iCCA 2022; EASL-ILCA iCCA 2023; BSG CCA 2023; NCCN BTC v1.2026</w:t>
      </w:r>
    </w:p>
    <w:p>
      <w:pPr>
        <w:spacing w:after="60" w:before="160"/>
      </w:pPr>
      <w:r>
        <w:rPr>
          <w:b/>
          <w:bCs/>
          <w:color w:val="8E5008"/>
          <w:sz w:val="19"/>
          <w:szCs w:val="19"/>
        </w:rPr>
        <w:t xml:space="preserve">12. </w:t>
      </w:r>
      <w:r>
        <w:rPr>
          <w:b/>
          <w:bCs/>
          <w:sz w:val="19"/>
          <w:szCs w:val="19"/>
        </w:rPr>
        <w:t xml:space="preserve">The 3 cm tumour ceiling for a transplant referral.</w:t>
      </w:r>
    </w:p>
    <w:p>
      <w:pPr>
        <w:spacing w:after="40" w:line="276"/>
        <w:ind w:left="260"/>
      </w:pPr>
      <w:r>
        <w:rPr>
          <w:color w:val="15181F"/>
          <w:sz w:val="18"/>
          <w:szCs w:val="18"/>
        </w:rPr>
        <w:t xml:space="preserve">No study derived it. The series our page cites studied single tumours of 2 cm or less; EASL-ILCA concedes its own 3 cm figure is more permissive than the 2 cm cut-off used in the series and trials it cites, and ILTS-ILCA 2024 notes its ceiling mirrors the June 2024 OPTN review-board criteria rather than new data. Inside the index series the 2.1–3 cm band rests on 6 patients — single, not poorly differentiated tumours, 5-year survival 61%. A threshold nobody derived should be stated as a referral convention that the review board and the guidelines share, not as a size at which biology changes.</w:t>
      </w:r>
    </w:p>
    <w:p>
      <w:pPr>
        <w:spacing w:after="40" w:line="276"/>
        <w:ind w:left="260"/>
      </w:pPr>
      <w:r>
        <w:rPr>
          <w:color w:val="5A6069"/>
          <w:sz w:val="16"/>
          <w:szCs w:val="16"/>
        </w:rPr>
        <w:t xml:space="preserve">Sources: Sapisochin very early iCCA; EASL-ILCA iCCA 2023; ILTS-ILCA 2024 consensus; ILTS-ILCA 2024 (Liver Transpl); OPTN transplant-oncology guidance</w:t>
      </w:r>
    </w:p>
    <w:p>
      <w:pPr>
        <w:spacing w:after="60" w:before="160"/>
      </w:pPr>
      <w:r>
        <w:rPr>
          <w:b/>
          <w:bCs/>
          <w:color w:val="8E5008"/>
          <w:sz w:val="19"/>
          <w:szCs w:val="19"/>
        </w:rPr>
        <w:t xml:space="preserve">13. </w:t>
      </w:r>
      <w:r>
        <w:rPr>
          <w:b/>
          <w:bCs/>
          <w:sz w:val="19"/>
          <w:szCs w:val="19"/>
        </w:rPr>
        <w:t xml:space="preserve">Six months from diagnosis or last treatment with tumour stability, as a transplant criterion.</w:t>
      </w:r>
    </w:p>
    <w:p>
      <w:pPr>
        <w:spacing w:after="40" w:line="276"/>
        <w:ind w:left="260"/>
      </w:pPr>
      <w:r>
        <w:rPr>
          <w:color w:val="15181F"/>
          <w:sz w:val="18"/>
          <w:szCs w:val="18"/>
        </w:rPr>
        <w:t xml:space="preserve">The clock does not come from the evidence for the phenotype it is applied to. The explant series required no period of stability and could not have, because the diagnosis was made on the explant; bridging chemoembolisation, ablation or ethanol injection was permitted but was not a selection test, and 7 of its 15 very early patients (47%) were incidental findings after transplant for decompensated cirrhosis. ILTS-ILCA 2024 attaches no duration at all to the cirrhotic ≤3 cm recommendation — only 'a period of observation showing stability'. The six-month figure comes from its separate, weakly graded route for non-cirrhotic locally advanced disease and from the prospective Houston Methodist–MD Anderson protocol, where 6 months of radiographic stability on gemcitabine-based therapy was mandatory. Keeping it is defensible as a biology test; what is not known is whether six months is the right length, and the protocol's own authors concede that selecting for stability may simply be selecting indolent biology.</w:t>
      </w:r>
    </w:p>
    <w:p>
      <w:pPr>
        <w:spacing w:after="40" w:line="276"/>
        <w:ind w:left="260"/>
      </w:pPr>
      <w:r>
        <w:rPr>
          <w:color w:val="5A6069"/>
          <w:sz w:val="16"/>
          <w:szCs w:val="16"/>
        </w:rPr>
        <w:t xml:space="preserve">Sources: Sapisochin very early iCCA; Lunsford protocol series; ILTS-ILCA 2024 consensus; ILTS-ILCA 2024 (Liver Transpl); OPTN transplant-oncology guidance</w:t>
      </w:r>
    </w:p>
    <w:p>
      <w:pPr>
        <w:spacing w:after="60" w:before="160"/>
      </w:pPr>
      <w:r>
        <w:rPr>
          <w:b/>
          <w:bCs/>
          <w:color w:val="8E5008"/>
          <w:sz w:val="19"/>
          <w:szCs w:val="19"/>
        </w:rPr>
        <w:t xml:space="preserve">14. </w:t>
      </w:r>
      <w:r>
        <w:rPr>
          <w:b/>
          <w:bCs/>
          <w:sz w:val="19"/>
          <w:szCs w:val="19"/>
        </w:rPr>
        <w:t xml:space="preserve">First-line chemo-immunotherapy: the grade it carries in gate 5, and the choice between the two agents.</w:t>
      </w:r>
    </w:p>
    <w:p>
      <w:pPr>
        <w:spacing w:after="40" w:line="276"/>
        <w:ind w:left="260"/>
      </w:pPr>
      <w:r>
        <w:rPr>
          <w:color w:val="15181F"/>
          <w:sz w:val="18"/>
          <w:szCs w:val="18"/>
        </w:rPr>
        <w:t xml:space="preserve">Graded B here rather than A, because the trials that establish the regimen did not study this population. TOPAZ-1 was 86% metastatic and KEYNOTE-966 89%, both ECOG 0–1, and the TOPAZ-1 investigators state that the trial says nothing about neoadjuvant, downstaging or peri-transplant use in liver-confined disease — which is exactly where the regimen is now borrowed. The absolute gains in the trials as run are 1.3 and 1.8 months of median survival, TOPAZ-1's proportional-hazards assumption was formally violated and it was reported at a prespecified interim analysis, and KEYNOTE-966 missed its prespecified boundaries for both progression-free survival and response. Grade A remains right for gate 9. The choice between them is not an evidence finding either. There is no randomised comparison; ESMO declares the two interchangeable on an indirect comparison across trials differing in chemotherapy duration (gemcitabine capped at eight cycles in TOPAZ-1, continued to progression in KEYNOTE-966), geography and size, and states that no clinical, biochemical or molecular biomarker favours one. Neither trial found a predictive biomarker: benefit did not track PD-L1 in either, MSI status was missing for about half of TOPAZ-1 and only 10 KEYNOTE-966 patients were MSI-high. Present the choice as toxicity profile, schedule and access.</w:t>
      </w:r>
    </w:p>
    <w:p>
      <w:pPr>
        <w:spacing w:after="40" w:line="276"/>
        <w:ind w:left="260"/>
      </w:pPr>
      <w:r>
        <w:rPr>
          <w:color w:val="5A6069"/>
          <w:sz w:val="16"/>
          <w:szCs w:val="16"/>
        </w:rPr>
        <w:t xml:space="preserve">Sources: TOPAZ-1; KEYNOTE-966; EASL-ILCA iCCA 2023; ESMO BTC 2024 interim</w:t>
      </w:r>
    </w:p>
    <w:p>
      <w:pPr>
        <w:spacing w:after="60" w:before="160"/>
      </w:pPr>
      <w:r>
        <w:rPr>
          <w:b/>
          <w:bCs/>
          <w:color w:val="8E5008"/>
          <w:sz w:val="19"/>
          <w:szCs w:val="19"/>
        </w:rPr>
        <w:t xml:space="preserve">15. </w:t>
      </w:r>
      <w:r>
        <w:rPr>
          <w:b/>
          <w:bCs/>
          <w:sz w:val="19"/>
          <w:szCs w:val="19"/>
        </w:rPr>
        <w:t xml:space="preserve">The matched targeted agents in gate 2, as a group.</w:t>
      </w:r>
    </w:p>
    <w:p>
      <w:pPr>
        <w:spacing w:after="40" w:line="276"/>
        <w:ind w:left="260"/>
      </w:pPr>
      <w:r>
        <w:rPr>
          <w:color w:val="15181F"/>
          <w:sz w:val="18"/>
          <w:szCs w:val="18"/>
        </w:rPr>
        <w:t xml:space="preserve">Only one of them comes from a randomised trial, and that trial was negative on intention-to-treat overall survival. ClarIDHy met progression-free survival (2.7 versus 1.4 months, hazard ratio 0.37) but final intention-to-treat survival was 10.3 versus 7.5 months, hazard ratio 0.79 (0.56–1.12), p=0.09, with 70% crossover; the frequently quoted 0.49 comes from a crossover-adjustment model that assumes the drug's effect is identical whenever given. Pemigatinib, futibatinib, zanidatamab and dabrafenib–trametinib are single-arm, all approved on single-arm data, and none has been compared with second-line chemotherapy; the pemigatinib investigators explicitly warn against the cross-study comparison with pooled second-line chemotherapy that makes their agent look better, since FGFR2-fusion disease itself carries longer survival from diagnosis. Every one is industry-sponsored with sponsor involvement in design, analysis and writing. What is known is response rate and duration in a selected population; what is not known is survival against the alternative. A related choice sits on the same table: our rows require that HER2, NTRK and RET findings be captured but do not name trastuzumab deruxtecan, entrectinib, larotrectinib or selpercatinib, which ESMO 2024 recommends on level III grade A. The reason to hesitate is assay definition and evidence level rather than availability — ESMO concedes there are no standardised criteria for assessing HER2 status in biliary tract cancer and that no specific test can be recommended, while making two HER2-directed recommendations that depend on that undefined assay, and zanidatamab's own data are reported for biliary tract cancer as a whole with no breakdown by subsite. Alignment worksheet, area 14.</w:t>
      </w:r>
    </w:p>
    <w:p>
      <w:pPr>
        <w:spacing w:after="40" w:line="276"/>
        <w:ind w:left="260"/>
      </w:pPr>
      <w:r>
        <w:rPr>
          <w:color w:val="5A6069"/>
          <w:sz w:val="16"/>
          <w:szCs w:val="16"/>
        </w:rPr>
        <w:t xml:space="preserve">Sources: ClarIDHy final OS; ClarIDHy; FIGHT-202 final; FOENIX-CCA2; HERIZON-BTC-01; ROAR; ESMO BTC 2024 interim</w:t>
      </w:r>
    </w:p>
    <w:p>
      <w:pPr>
        <w:spacing w:after="60" w:before="160"/>
      </w:pPr>
      <w:r>
        <w:rPr>
          <w:b/>
          <w:bCs/>
          <w:color w:val="8E5008"/>
          <w:sz w:val="19"/>
          <w:szCs w:val="19"/>
        </w:rPr>
        <w:t xml:space="preserve">16. </w:t>
      </w:r>
      <w:r>
        <w:rPr>
          <w:b/>
          <w:bCs/>
          <w:sz w:val="19"/>
          <w:szCs w:val="19"/>
        </w:rPr>
        <w:t xml:space="preserve">Hepatic arterial infusion as the strongest regional option.</w:t>
      </w:r>
    </w:p>
    <w:p>
      <w:pPr>
        <w:spacing w:after="40" w:line="276"/>
        <w:ind w:left="260"/>
      </w:pPr>
      <w:r>
        <w:rPr>
          <w:color w:val="15181F"/>
          <w:sz w:val="18"/>
          <w:szCs w:val="18"/>
        </w:rPr>
        <w:t xml:space="preserve">The phase 2 evidence is 38 treated patients at one institution, selected from 84 screened, with the comparison drawn from historical systemic series; the linked editorial judged the case for locoregional therapy in unresectable cholangiocarcinoma still unsettled without a randomised trial, and the authors themselves called for one. The retrospective comparison that gives 30.8 versus 18.4 months had all HAI patients surgically staged against 42% of a 26-patient comparator of whom only 30% received gemcitabine–cisplatin, so stage migration favours HAI; 44 of its 93 HAI patients came from earlier phase 2 trials, and it reports no pump complication or biliary toxicity rate at all. Conversion to curative-intent resection occurred in 8 of 236 patients (3%). Delivery is harder than the figures suggest: 71% received the expected floxuridine dose over the first 3 months and 47% over the next 6, and grade 4 pump or arterial complications forced withdrawal in 11% of the lead-centre cohort and 30% of the 10-patient confirmatory cohort. The deciding variables for the programme are pump expertise, nursing infrastructure and case volume, not the evidence. PUMP-2 now supplies multicentre phase II evidence (PMID 41082695); the 142-patient pooled analysis supplies mature follow-up but overlapping participants (PMID 42331230). Comparative superiority remains unproven.</w:t>
      </w:r>
    </w:p>
    <w:p>
      <w:pPr>
        <w:spacing w:after="40" w:line="276"/>
        <w:ind w:left="260"/>
      </w:pPr>
      <w:r>
        <w:rPr>
          <w:color w:val="5A6069"/>
          <w:sz w:val="16"/>
          <w:szCs w:val="16"/>
        </w:rPr>
        <w:t xml:space="preserve">Sources: Cercek HAI phase 2; Konstantinidis HAI cohort; NCCN BTC v1.2026</w:t>
      </w:r>
    </w:p>
    <w:p>
      <w:pPr>
        <w:spacing w:after="60" w:before="160"/>
      </w:pPr>
      <w:r>
        <w:rPr>
          <w:b/>
          <w:bCs/>
          <w:color w:val="8E5008"/>
          <w:sz w:val="19"/>
          <w:szCs w:val="19"/>
        </w:rPr>
        <w:t xml:space="preserve">17. </w:t>
      </w:r>
      <w:r>
        <w:rPr>
          <w:b/>
          <w:bCs/>
          <w:sz w:val="19"/>
          <w:szCs w:val="19"/>
        </w:rPr>
        <w:t xml:space="preserve">Y90 radioembolisation as a conversion strategy.</w:t>
      </w:r>
    </w:p>
    <w:p>
      <w:pPr>
        <w:spacing w:after="40" w:line="276"/>
        <w:ind w:left="260"/>
      </w:pPr>
      <w:r>
        <w:rPr>
          <w:color w:val="15181F"/>
          <w:sz w:val="18"/>
          <w:szCs w:val="18"/>
        </w:rPr>
        <w:t xml:space="preserve">One single-arm phase 2 of 41 patients, run only at centres experienced with glass microspheres and part-funded by the microsphere manufacturer, with several authors as its consultants. Its 22% downstaging and 20% R0 rates describe a doubly selected cohort: 4 of 45 patients were excluded at the planning angiogram and 9 of 41 had major protocol deviations, leaving 32 per protocol. The authors state tumour-absorbed dose rather than a generic liver dose probably drives outcome, so the regimen does not transfer as written, and grade 3–4 toxicity affected 71%. Two patients whose disease stayed unresectable but controlled were offered transplant and both recurred, at 16 and 17 months. The confirmatory randomised SIRCCA trial has not reported.</w:t>
      </w:r>
    </w:p>
    <w:p>
      <w:pPr>
        <w:spacing w:after="40" w:line="276"/>
        <w:ind w:left="260"/>
      </w:pPr>
      <w:r>
        <w:rPr>
          <w:color w:val="5A6069"/>
          <w:sz w:val="16"/>
          <w:szCs w:val="16"/>
        </w:rPr>
        <w:t xml:space="preserve">Sources: MISPHEC; NCCN BTC v1.2026</w:t>
      </w:r>
    </w:p>
    <w:p>
      <w:pPr>
        <w:spacing w:after="60" w:before="160"/>
      </w:pPr>
      <w:r>
        <w:rPr>
          <w:b/>
          <w:bCs/>
          <w:color w:val="8E5008"/>
          <w:sz w:val="19"/>
          <w:szCs w:val="19"/>
        </w:rPr>
        <w:t xml:space="preserve">18. </w:t>
      </w:r>
      <w:r>
        <w:rPr>
          <w:b/>
          <w:bCs/>
          <w:sz w:val="19"/>
          <w:szCs w:val="19"/>
        </w:rPr>
        <w:t xml:space="preserve">Ablative radiotherapy doses, and the 80.5 Gy figure.</w:t>
      </w:r>
    </w:p>
    <w:p>
      <w:pPr>
        <w:spacing w:after="40" w:line="276"/>
        <w:ind w:left="260"/>
      </w:pPr>
      <w:r>
        <w:rPr>
          <w:color w:val="15181F"/>
          <w:sz w:val="18"/>
          <w:szCs w:val="18"/>
        </w:rPr>
        <w:t xml:space="preserve">It is an association in a retrospective single-centre series of 79 patients in which only 19 received the high dose. Those 19 also had significantly smaller planning target volumes (median 415 versus 614 cm³, p=0.02), and the high doses arrived with breath-hold gating and daily diagnostic-quality CT image guidance after 2010, so anatomy, technique and era are all confounded with dose — patients treated after 2010 survived 50 versus 24 months. The prospective proton data are a safety and local-control signal, not a survival finding: the 39-patient iCCA cohort had no prespecified efficacy hypothesis, median delivered dose was 58.0 GyE against an intended 67.5, every local failure occurred below 60 GyE, local failures kept accruing past 2 years and 53.8% developed distant metastases. The randomised answer was deferred to NRG GI-001, which closed early for poor accrual. Treat the dose as a planning aspiration, not a threshold.</w:t>
      </w:r>
    </w:p>
    <w:p>
      <w:pPr>
        <w:spacing w:after="40" w:line="276"/>
        <w:ind w:left="260"/>
      </w:pPr>
      <w:r>
        <w:rPr>
          <w:color w:val="5A6069"/>
          <w:sz w:val="16"/>
          <w:szCs w:val="16"/>
        </w:rPr>
        <w:t xml:space="preserve">Sources: Tao dose-response; Hong proton phase II</w:t>
      </w:r>
    </w:p>
    <w:p>
      <w:pPr>
        <w:spacing w:after="60" w:before="160"/>
      </w:pPr>
      <w:r>
        <w:rPr>
          <w:b/>
          <w:bCs/>
          <w:color w:val="8E5008"/>
          <w:sz w:val="19"/>
          <w:szCs w:val="19"/>
        </w:rPr>
        <w:t xml:space="preserve">19. </w:t>
      </w:r>
      <w:r>
        <w:rPr>
          <w:b/>
          <w:bCs/>
          <w:sz w:val="19"/>
          <w:szCs w:val="19"/>
        </w:rPr>
        <w:t xml:space="preserve">Thermal ablation as an alternative to resection for a small tumour.</w:t>
      </w:r>
    </w:p>
    <w:p>
      <w:pPr>
        <w:spacing w:after="40" w:line="276"/>
        <w:ind w:left="260"/>
      </w:pPr>
      <w:r>
        <w:rPr>
          <w:color w:val="15181F"/>
          <w:sz w:val="18"/>
          <w:szCs w:val="18"/>
        </w:rPr>
        <w:t xml:space="preserve">The cohort that reports parity did not test our rule. Its entry criterion was Milan-equivalent — a single tumour up to 5 cm, or up to three each 3 cm or less — not the under-3 cm wording the page uses, and within it a 3–5 cm tumour was an independent risk factor for disease-free survival after ablation but not after resection. The equivalence headline comes from a post hoc split at 2017, where the later comparison was underpowered (p=0.129), and a nonsignificant difference is not equivalence; margin was measured by post-ablation CT or MR in one arm and on the specimen in the other, which the authors accept may bias the mediation result their conclusion rests on. Resection still outperformed ablation in patients under 60, with hepatolithiasis, with left-lobe tumours and with GGT above 50 U/L. The pooled meta-analysis behind the under-3 cm limit is 20 retrospective studies with I² up to 85%, publication bias on 3-year survival (Egger p=0.039), a dichotomised size variable and no individual patient data; pooled recurrence-free survival was 40.0% at 1 year and 19.2% at 3. The structural problem for a surgeon is different: ablation yields no specimen and no nodal dissection, so there is no pathological node status to drive the gate 8 decision, and node-negativity rests on imaging whose sensitivity for nodal metastasis is 20–61%.</w:t>
      </w:r>
    </w:p>
    <w:p>
      <w:pPr>
        <w:spacing w:after="40" w:line="276"/>
        <w:ind w:left="260"/>
      </w:pPr>
      <w:r>
        <w:rPr>
          <w:color w:val="5A6069"/>
          <w:sz w:val="16"/>
          <w:szCs w:val="16"/>
        </w:rPr>
        <w:t xml:space="preserve">Sources: MALRIC primary; Ablation meta-analysis; MALRIC recurrent; EASL-ILCA iCCA 2023; NCCN BTC v1.2026</w:t>
      </w:r>
    </w:p>
    <w:p>
      <w:pPr>
        <w:spacing w:after="60" w:before="160"/>
      </w:pPr>
      <w:r>
        <w:rPr>
          <w:b/>
          <w:bCs/>
          <w:color w:val="8E5008"/>
          <w:sz w:val="19"/>
          <w:szCs w:val="19"/>
        </w:rPr>
        <w:t xml:space="preserve">20. </w:t>
      </w:r>
      <w:r>
        <w:rPr>
          <w:b/>
          <w:bCs/>
          <w:sz w:val="19"/>
          <w:szCs w:val="19"/>
        </w:rPr>
        <w:t xml:space="preserve">Routine regional lymphadenectomy at every iCCA resection.</w:t>
      </w:r>
    </w:p>
    <w:p>
      <w:pPr>
        <w:spacing w:after="40" w:line="276"/>
        <w:ind w:left="260"/>
      </w:pPr>
      <w:r>
        <w:rPr>
          <w:color w:val="15181F"/>
          <w:sz w:val="18"/>
          <w:szCs w:val="18"/>
        </w:rPr>
        <w:t xml:space="preserve">No guideline recommends it on evidence of survival benefit. LCSGJ 2022 makes no recommendation on node dissection at all and warns that prophylactic dissection in cirrhosis increases complications; ESMO 2023 recommends routine hepatoduodenal-ligament dissection on level IV evidence; BSG 2023 says nothing about extent or node yield, which its own critics identify as a gap given that the adjuvant recommendation it then makes turns on nodal status; AASLD 2023 likewise makes no statement. Keeping it in every operation is a staging decision the programme has made so that the adjuvant conversation and the registry have a denominator, not a survival finding. Unresolved; audit the node yield, not the outcome.</w:t>
      </w:r>
    </w:p>
    <w:p>
      <w:pPr>
        <w:spacing w:after="40" w:line="276"/>
        <w:ind w:left="260"/>
      </w:pPr>
      <w:r>
        <w:rPr>
          <w:color w:val="5A6069"/>
          <w:sz w:val="16"/>
          <w:szCs w:val="16"/>
        </w:rPr>
        <w:t xml:space="preserve">Sources: LCSGJ iCCA 2022; ESMO BTC 2023 guideline; BSG CCA 2023; AASLD PSC/CCA 2023</w:t>
      </w:r>
    </w:p>
    <w:p>
      <w:pPr>
        <w:spacing w:after="60" w:before="160"/>
      </w:pPr>
      <w:r>
        <w:rPr>
          <w:b/>
          <w:bCs/>
          <w:color w:val="8E5008"/>
          <w:sz w:val="19"/>
          <w:szCs w:val="19"/>
        </w:rPr>
        <w:t xml:space="preserve">21. </w:t>
      </w:r>
      <w:r>
        <w:rPr>
          <w:b/>
          <w:bCs/>
          <w:sz w:val="19"/>
          <w:szCs w:val="19"/>
        </w:rPr>
        <w:t xml:space="preserve">Two resectability criteria this page states but does not define: the regional nodal basin, and the liver-reserve limit.</w:t>
      </w:r>
    </w:p>
    <w:p>
      <w:pPr>
        <w:spacing w:after="40" w:line="276"/>
        <w:ind w:left="260"/>
      </w:pPr>
      <w:r>
        <w:rPr>
          <w:color w:val="15181F"/>
          <w:sz w:val="18"/>
          <w:szCs w:val="18"/>
        </w:rPr>
        <w:t xml:space="preserve">The basin is not defined in this version. AASLD 2023 draws the boundary at nodal metastasis beyond the hepatoduodenal and gastrohepatic ligaments and NCCN at beyond the porta hepatis; an undefined basin cannot be audited and two surgeons can reach opposite conclusions on the same scan. Clinical nodal staging is also insensitive here — reported sensitivity for nodal metastasis is 20–61% — so the criterion is applied to an uncertain input. On the other side the roadmap is silent on portal hypertension, while AASLD 2023 names decompensated cirrhosis and portal hypertension as contraindications to resection and LCSGJ 2022 builds its whole algorithm on Child-Pugh class, sending Child-Pugh C to palliative care. No comparative data define numeric reserve thresholds in iCCA, so any local rule is a safety convention, which is why it stays specialty-approved local implementation rather than being asserted here. Alignment worksheet, areas 3 and 4.</w:t>
      </w:r>
    </w:p>
    <w:p>
      <w:pPr>
        <w:spacing w:after="40" w:line="276"/>
        <w:ind w:left="260"/>
      </w:pPr>
      <w:r>
        <w:rPr>
          <w:color w:val="5A6069"/>
          <w:sz w:val="16"/>
          <w:szCs w:val="16"/>
        </w:rPr>
        <w:t xml:space="preserve">Sources: AASLD PSC/CCA 2023; NCCN BTC v1.2026; LCSGJ iCCA 2022; MALRIC primary</w:t>
      </w:r>
    </w:p>
    <w:p>
      <w:pPr>
        <w:spacing w:after="60" w:before="160"/>
      </w:pPr>
      <w:r>
        <w:rPr>
          <w:b/>
          <w:bCs/>
          <w:color w:val="8E5008"/>
          <w:sz w:val="19"/>
          <w:szCs w:val="19"/>
        </w:rPr>
        <w:t xml:space="preserve">22. </w:t>
      </w:r>
      <w:r>
        <w:rPr>
          <w:b/>
          <w:bCs/>
          <w:sz w:val="19"/>
          <w:szCs w:val="19"/>
        </w:rPr>
        <w:t xml:space="preserve">Conversion therapy with a declared reassessment, and the rates quoted for it.</w:t>
      </w:r>
    </w:p>
    <w:p>
      <w:pPr>
        <w:spacing w:after="40" w:line="276"/>
        <w:ind w:left="260"/>
      </w:pPr>
      <w:r>
        <w:rPr>
          <w:color w:val="15181F"/>
          <w:sz w:val="18"/>
          <w:szCs w:val="18"/>
        </w:rPr>
        <w:t xml:space="preserve">The 36.4% and 53% conversion rates are retrospective Japanese series quoted by LCSGJ 2022, which in the same document records no evidence of benefit for neoadjuvant chemotherapy and makes no recommendation; the denominators are not defined and those series report median survival of 24.1 months in converted patients against 25.7 months in those primarily resectable. AASLD 2023 states the role of neoadjuvant downstaging is not well defined and BSG 2023 does not recommend routine neoadjuvant chemotherapy. Neither modern chemo-immunotherapy trial supports downstaging, since both were almost entirely metastatic. The prospective conversion numbers that do exist are small: 9 of 41 downstaged and 8 resected with Y90 plus chemotherapy, 4 of 38 with hepatic arterial infusion. What is defensible is the discipline — record the obstacle to R0, declare the reassessment date, hold a formal surgical re-review — not a conversion rate.</w:t>
      </w:r>
    </w:p>
    <w:p>
      <w:pPr>
        <w:spacing w:after="40" w:line="276"/>
        <w:ind w:left="260"/>
      </w:pPr>
      <w:r>
        <w:rPr>
          <w:color w:val="5A6069"/>
          <w:sz w:val="16"/>
          <w:szCs w:val="16"/>
        </w:rPr>
        <w:t xml:space="preserve">Sources: LCSGJ iCCA 2022; AASLD PSC/CCA 2023; BSG CCA 2023; MISPHEC; Cercek HAI phase 2</w:t>
      </w:r>
    </w:p>
    <w:p>
      <w:pPr>
        <w:spacing w:after="60" w:before="160"/>
      </w:pPr>
      <w:r>
        <w:rPr>
          <w:b/>
          <w:bCs/>
          <w:color w:val="8E5008"/>
          <w:sz w:val="19"/>
          <w:szCs w:val="19"/>
        </w:rPr>
        <w:t xml:space="preserve">23. </w:t>
      </w:r>
      <w:r>
        <w:rPr>
          <w:b/>
          <w:bCs/>
          <w:sz w:val="19"/>
          <w:szCs w:val="19"/>
        </w:rPr>
        <w:t xml:space="preserve">Ordering broad molecular profiling at diagnosis rather than at progression.</w:t>
      </w:r>
    </w:p>
    <w:p>
      <w:pPr>
        <w:spacing w:after="40" w:line="276"/>
        <w:ind w:left="260"/>
      </w:pPr>
      <w:r>
        <w:rPr>
          <w:color w:val="15181F"/>
          <w:sz w:val="18"/>
          <w:szCs w:val="18"/>
        </w:rPr>
        <w:t xml:space="preserve">The argument is operational, not biological, and no study shows that ordering earlier improves outcome. What supports it is turnaround of two to four weeks against a second-line decision that cannot wait, plus the screening arithmetic: 783 patients screened to enrol 103 in FOENIX-CCA2, 1,206 prescreened to find 107 fusion-positive patients for FIGHT-202, and a BRAF V600E yield reported at 9% but nearer 5–7% in practice because sites entered known positives. Our grade B is lower than ESMO's level I grade A and BSG's strong recommendation on high-quality evidence; the obstacle in practice is payer authorisation and ordering discipline, which is why this is audited as a proportion rather than asserted as a standard. The plasma alternative is weaker than its headline figure suggests: the 87% quoted for plasma detection of an FGFR2 fusion comes from 83 of 95 FOENIX-CCA2 patients already known to be tissue-positive, so it measures concordance in a positive population, not the chance of finding a target de novo. No study in this disease reports the latter, and BSG 2023 notes DNA-based panels and most liquid biopsies are weaker at detecting fusions, so a negative plasma result in a patient whose management would change should prompt tissue testing rather than closing the question.</w:t>
      </w:r>
    </w:p>
    <w:p>
      <w:pPr>
        <w:spacing w:after="40" w:line="276"/>
        <w:ind w:left="260"/>
      </w:pPr>
      <w:r>
        <w:rPr>
          <w:color w:val="5A6069"/>
          <w:sz w:val="16"/>
          <w:szCs w:val="16"/>
        </w:rPr>
        <w:t xml:space="preserve">Sources: ESMO BTC 2024 interim; BSG CCA 2023; FOENIX-CCA2; FIGHT-202; ROAR</w:t>
      </w:r>
    </w:p>
    <w:p>
      <w:pPr>
        <w:spacing w:after="60" w:before="160"/>
      </w:pPr>
      <w:r>
        <w:rPr>
          <w:b/>
          <w:bCs/>
          <w:color w:val="8E5008"/>
          <w:sz w:val="19"/>
          <w:szCs w:val="19"/>
        </w:rPr>
        <w:t xml:space="preserve">24. </w:t>
      </w:r>
      <w:r>
        <w:rPr>
          <w:b/>
          <w:bCs/>
          <w:sz w:val="19"/>
          <w:szCs w:val="19"/>
        </w:rPr>
        <w:t xml:space="preserve">Sequencing a dedicated biliary specimen at ERCP, and reusing it for the gate 2 profile.</w:t>
      </w:r>
    </w:p>
    <w:p>
      <w:pPr>
        <w:spacing w:after="40" w:line="276"/>
        <w:ind w:left="260"/>
      </w:pPr>
      <w:r>
        <w:rPr>
          <w:color w:val="15181F"/>
          <w:sz w:val="18"/>
          <w:szCs w:val="18"/>
        </w:rPr>
        <w:t xml:space="preserve">The accuracy data are strong on their own terms — 82% sensitivity at 98% specificity against 44% for pathology, 36% for intrahepatic or hilar strictures — but they come from a cohort whose specimens were submitted at the endoscopist's discretion rather than consecutively, where a stricture could be called neoplastic on 12 months of clinical or radiographic progression rather than on tissue, and where all testing was done in the laboratory that developed the assay. Reuse for gate 2 depends entirely on which panel version is run: the 28-gene version used in the original cohort did not detect FGFR2 fusions, which with chromatin-remodelling genes accounts for up to 20% of intrahepatic tumours, while the 161-gene version reports fusions and found actionable alterations in 137 of 458 cholangiocarcinomas (30%). A negative result excludes nothing — negative predictive value in the original cohort was 63%. Downgraded to C for those reasons.</w:t>
      </w:r>
    </w:p>
    <w:p>
      <w:pPr>
        <w:spacing w:after="40" w:line="276"/>
        <w:ind w:left="260"/>
      </w:pPr>
      <w:r>
        <w:rPr>
          <w:color w:val="5A6069"/>
          <w:sz w:val="16"/>
          <w:szCs w:val="16"/>
        </w:rPr>
        <w:t xml:space="preserve">Sources: Biliary-stricture NGS; BiliSeq original cohort</w:t>
      </w:r>
    </w:p>
    <w:p>
      <w:pPr>
        <w:spacing w:after="60" w:before="160"/>
      </w:pPr>
      <w:r>
        <w:rPr>
          <w:b/>
          <w:bCs/>
          <w:color w:val="8E5008"/>
          <w:sz w:val="19"/>
          <w:szCs w:val="19"/>
        </w:rPr>
        <w:t xml:space="preserve">25. </w:t>
      </w:r>
      <w:r>
        <w:rPr>
          <w:b/>
          <w:bCs/>
          <w:sz w:val="19"/>
          <w:szCs w:val="19"/>
        </w:rPr>
        <w:t xml:space="preserve">Not substituting liver-directed therapy for systemic therapy (gate 5, Avoid).</w:t>
      </w:r>
    </w:p>
    <w:p>
      <w:pPr>
        <w:spacing w:after="40" w:line="276"/>
        <w:ind w:left="260"/>
      </w:pPr>
      <w:r>
        <w:rPr>
          <w:color w:val="15181F"/>
          <w:sz w:val="18"/>
          <w:szCs w:val="18"/>
        </w:rPr>
        <w:t xml:space="preserve">This is the one place the roadmap knowingly disagrees with NCCN, whose wording that arterially directed therapies may be used alone can be read as permitting substitution. The position is supported by AASLD 2023, which states data are insufficient to recommend liver-directed therapy as standard therapy for locally advanced unresectable iCCA, and by the absence of any trial of any catheter or radiation modality against a modern chemo-immunotherapy backbone — none of the HAI, Y90, chemoembolisation, ablation or radiotherapy datasets has such a comparator. It is therefore a position taken in the absence of evidence either way, and it is put to a decision rather than asserted. Alignment worksheet, area 9.</w:t>
      </w:r>
    </w:p>
    <w:p>
      <w:pPr>
        <w:spacing w:after="40" w:line="276"/>
        <w:ind w:left="260"/>
      </w:pPr>
      <w:r>
        <w:rPr>
          <w:color w:val="5A6069"/>
          <w:sz w:val="16"/>
          <w:szCs w:val="16"/>
        </w:rPr>
        <w:t xml:space="preserve">Sources: AASLD PSC/CCA 2023; NCCN BTC v1.2026; MH iCCA alignment worksheet; Cercek HAI phase 2; MISPHEC</w:t>
      </w:r>
    </w:p>
    <w:p>
      <w:pPr>
        <w:spacing w:after="60" w:before="160"/>
      </w:pPr>
      <w:r>
        <w:rPr>
          <w:b/>
          <w:bCs/>
          <w:color w:val="8E5008"/>
          <w:sz w:val="19"/>
          <w:szCs w:val="19"/>
        </w:rPr>
        <w:t xml:space="preserve">26. </w:t>
      </w:r>
      <w:r>
        <w:rPr>
          <w:b/>
          <w:bCs/>
          <w:sz w:val="19"/>
          <w:szCs w:val="19"/>
        </w:rPr>
        <w:t xml:space="preserve">Adjuvant chemoradiotherapy after an R1 or node-positive resection.</w:t>
      </w:r>
    </w:p>
    <w:p>
      <w:pPr>
        <w:spacing w:after="40" w:line="276"/>
        <w:ind w:left="260"/>
      </w:pPr>
      <w:r>
        <w:rPr>
          <w:color w:val="15181F"/>
          <w:sz w:val="18"/>
          <w:szCs w:val="18"/>
        </w:rPr>
        <w:t xml:space="preserve">In intrahepatic disease the support is retrospective only. BSG 2023 confines its chemoradiotherapy recommendation after an R1 resection to extrahepatic cholangiocarcinoma and gallbladder cancer, and ESMO 2023 states that definitive external beam radiotherapy or chemoradiotherapy for locally advanced cholangiocarcinoma should not be used outside trials. Keeping it as a case-by-case tumour-board discussion rather than a standing rule is the honest position; what is not known is whether it changes anything in iCCA. Alignment worksheet, area 11.</w:t>
      </w:r>
    </w:p>
    <w:p>
      <w:pPr>
        <w:spacing w:after="40" w:line="276"/>
        <w:ind w:left="260"/>
      </w:pPr>
      <w:r>
        <w:rPr>
          <w:color w:val="5A6069"/>
          <w:sz w:val="16"/>
          <w:szCs w:val="16"/>
        </w:rPr>
        <w:t xml:space="preserve">Sources: MH iCCA alignment worksheet; BSG CCA 2023; ESMO BTC 2023 guideline</w:t>
      </w:r>
    </w:p>
    <w:p>
      <w:pPr>
        <w:spacing w:after="60" w:before="160"/>
      </w:pPr>
      <w:r>
        <w:rPr>
          <w:b/>
          <w:bCs/>
          <w:color w:val="8E5008"/>
          <w:sz w:val="19"/>
          <w:szCs w:val="19"/>
        </w:rPr>
        <w:t xml:space="preserve">27. </w:t>
      </w:r>
      <w:r>
        <w:rPr>
          <w:b/>
          <w:bCs/>
          <w:sz w:val="19"/>
          <w:szCs w:val="19"/>
        </w:rPr>
        <w:t xml:space="preserve">Negative adjuvant trials cannot be quoted as evidence that adjuvant therapy is futile.</w:t>
      </w:r>
    </w:p>
    <w:p>
      <w:pPr>
        <w:spacing w:after="40" w:line="276"/>
        <w:ind w:left="260"/>
      </w:pPr>
      <w:r>
        <w:rPr>
          <w:color w:val="15181F"/>
          <w:sz w:val="18"/>
          <w:szCs w:val="18"/>
        </w:rPr>
        <w:t xml:space="preserve">PRODIGE-12 was powered for a hazard ratio of 0.60 on 126 events, its medians fell on a plateau of the curves, and salvage differed sharply by arm (40 of 41 surveillance relapses received gemcitabine-based salvage against 9 of 33 after GEMOX), in a population lower-risk than BILCAP's; it is a failed superiority trial for one regimen. BCAT stopped at 226 of a planned 300 because patients wanted adjuvant chemotherapy, and its authors calculate only a 2.8% probability of reaching significance even with the planned events — and it excluded intrahepatic disease outright. ASCOT was positive on overall survival but its relapse-free survival endpoint did not reach significance (hazard ratio 0.80, p=0.088) with curves crossing at 6 years, it was analysed at 179 of 285 prespecified events, and S-1 is unavailable outside Asia. Three negative or inapplicable trials do not add up to a demonstration that nothing works, and they do not settle gate 8 either way.</w:t>
      </w:r>
    </w:p>
    <w:p>
      <w:pPr>
        <w:spacing w:after="40" w:line="276"/>
        <w:ind w:left="260"/>
      </w:pPr>
      <w:r>
        <w:rPr>
          <w:color w:val="5A6069"/>
          <w:sz w:val="16"/>
          <w:szCs w:val="16"/>
        </w:rPr>
        <w:t xml:space="preserve">Sources: PRODIGE-12; BCAT; ASCOT; BILCAP</w:t>
      </w:r>
    </w:p>
    <w:p>
      <w:pPr>
        <w:spacing w:after="60" w:before="160"/>
      </w:pPr>
      <w:r>
        <w:rPr>
          <w:b/>
          <w:bCs/>
          <w:color w:val="8E5008"/>
          <w:sz w:val="19"/>
          <w:szCs w:val="19"/>
        </w:rPr>
        <w:t xml:space="preserve">28. </w:t>
      </w:r>
      <w:r>
        <w:rPr>
          <w:b/>
          <w:bCs/>
          <w:sz w:val="19"/>
          <w:szCs w:val="19"/>
        </w:rPr>
        <w:t xml:space="preserve">Histotripsy for intrahepatic cholangiocarcinoma.</w:t>
      </w:r>
    </w:p>
    <w:p>
      <w:pPr>
        <w:spacing w:after="40" w:line="276"/>
        <w:ind w:left="260"/>
      </w:pPr>
      <w:r>
        <w:rPr>
          <w:color w:val="15181F"/>
          <w:sz w:val="18"/>
          <w:szCs w:val="18"/>
        </w:rPr>
        <w:t xml:space="preserve">There is no tumour-specific evidence in this disease at all. The pivotal experience enrolled hepatocellular carcinoma and liver metastases, not iCCA, and in its one-year update local control was 63.4% on the primary assessment against 90% post hoc in 47 patients with 52 tumours. FDA device clearance for tumour destruction establishes neither survival benefit nor equivalence to established ablation. Grade D, protocol and registry only, with explicit consent about oncologic uncertainty.</w:t>
      </w:r>
    </w:p>
    <w:p>
      <w:pPr>
        <w:spacing w:after="40" w:line="276"/>
        <w:ind w:left="260"/>
      </w:pPr>
      <w:r>
        <w:rPr>
          <w:color w:val="5A6069"/>
          <w:sz w:val="16"/>
          <w:szCs w:val="16"/>
        </w:rPr>
        <w:t xml:space="preserve">Sources: HOPE4LIVER one-year update</w:t>
      </w:r>
    </w:p>
    <w:p>
      <w:pPr>
        <w:spacing w:after="60" w:before="160"/>
      </w:pPr>
      <w:r>
        <w:rPr>
          <w:b/>
          <w:bCs/>
          <w:color w:val="8E5008"/>
          <w:sz w:val="19"/>
          <w:szCs w:val="19"/>
        </w:rPr>
        <w:t xml:space="preserve">29. </w:t>
      </w:r>
      <w:r>
        <w:rPr>
          <w:b/>
          <w:bCs/>
          <w:sz w:val="19"/>
          <w:szCs w:val="19"/>
        </w:rPr>
        <w:t xml:space="preserve">The MMaT-3 exception route, and what it is not.</w:t>
      </w:r>
    </w:p>
    <w:p>
      <w:pPr>
        <w:spacing w:after="40" w:line="276"/>
        <w:ind w:left="260"/>
      </w:pPr>
      <w:r>
        <w:rPr>
          <w:color w:val="15181F"/>
          <w:sz w:val="18"/>
          <w:szCs w:val="18"/>
        </w:rPr>
        <w:t xml:space="preserve">The Adult MELD Exceptions for Transplant Oncology document is review-board guidance, not OPTN Policy and not a clinical practice guideline; Policy 9.5 defines the standardised exceptions and intrahepatic cholangiocarcinoma is not among them, so every request goes to the review board as a narrative. MMaT is the median MELD at transplant for the donor hospital used in the match run rather than a fixed national score, an MMaT-relative exception below 15 is assigned 15 under Policy 9.4.E, and extensions generally run in 90-day cycles under 9.4.C. ILTS-ILCA makes no recommendation on allocation priority, exception points or acceptable waitlist dropout, which is what makes the ≤3 cm criterion hard to act on in a system where iCCA earns no priority. Verify the current policy text before any listing decision.</w:t>
      </w:r>
    </w:p>
    <w:p>
      <w:pPr>
        <w:spacing w:after="40" w:line="276"/>
        <w:ind w:left="260"/>
      </w:pPr>
      <w:r>
        <w:rPr>
          <w:color w:val="5A6069"/>
          <w:sz w:val="16"/>
          <w:szCs w:val="16"/>
        </w:rPr>
        <w:t xml:space="preserve">Sources: OPTN Policy 9; OPTN transplant-oncology guidance; ILTS-ILCA 2024 consensus</w:t>
      </w:r>
    </w:p>
    <w:p>
      <w:pPr>
        <w:spacing w:after="60" w:before="160"/>
      </w:pPr>
      <w:r>
        <w:rPr>
          <w:b/>
          <w:bCs/>
          <w:color w:val="8E5008"/>
          <w:sz w:val="19"/>
          <w:szCs w:val="19"/>
        </w:rPr>
        <w:t xml:space="preserve">30. </w:t>
      </w:r>
      <w:r>
        <w:rPr>
          <w:b/>
          <w:bCs/>
          <w:sz w:val="19"/>
          <w:szCs w:val="19"/>
        </w:rPr>
        <w:t xml:space="preserve">A core biopsy before resection of a high-suspicion, clearly resectable mass.</w:t>
      </w:r>
    </w:p>
    <w:p>
      <w:pPr>
        <w:spacing w:after="40" w:line="276"/>
        <w:ind w:left="260"/>
      </w:pPr>
      <w:r>
        <w:rPr>
          <w:color w:val="15181F"/>
          <w:sz w:val="18"/>
          <w:szCs w:val="18"/>
        </w:rPr>
        <w:t xml:space="preserve">The sources disagree and the page has chosen a destination-specific rule rather than a universal one. AASLD 2023 and BSG 2023 require histological confirmation for a definitive iCCA diagnosis, EASL-ILCA recommends biopsy on level 4 evidence with 96% consensus, LCSGJ 2022 regards biopsy as basically unnecessary for a typical resectable mass and recommends it only in unresectable cases, and NCCN states a suspicious mass in the proper clinical setting should be treated as malignant. ILTS-ILCA makes biopsy mandatory where transplantation is contemplated, to grade differentiation and exclude a mixed tumour. No outcome study compares the two policies in a resectable mass. Alignment worksheet, area 1.</w:t>
      </w:r>
    </w:p>
    <w:p>
      <w:pPr>
        <w:spacing w:after="40" w:line="276"/>
        <w:ind w:left="260"/>
      </w:pPr>
      <w:r>
        <w:rPr>
          <w:color w:val="5A6069"/>
          <w:sz w:val="16"/>
          <w:szCs w:val="16"/>
        </w:rPr>
        <w:t xml:space="preserve">Sources: AASLD PSC/CCA 2023; BSG CCA 2023; EASL-ILCA iCCA 2023; LCSGJ iCCA 2022; NCCN BTC v1.2026; ILTS-ILCA 2024 consensus</w:t>
      </w:r>
    </w:p>
    <w:p>
      <w:pPr>
        <w:pStyle w:val="Heading1"/>
        <w:keepNext/>
        <w:pageBreakBefore/>
        <w:spacing w:after="110" w:before="320"/>
      </w:pPr>
      <w:r>
        <w:rPr>
          <w:rFonts w:ascii="Cambria" w:cs="Cambria" w:eastAsia="Cambria" w:hAnsi="Cambria"/>
          <w:b/>
          <w:bCs/>
          <w:color w:val="17365D"/>
          <w:sz w:val="32"/>
          <w:szCs w:val="32"/>
        </w:rPr>
        <w:t xml:space="preserve">Operations</w:t>
      </w:r>
    </w:p>
    <w:p>
      <w:pPr>
        <w:pStyle w:val="Heading2"/>
        <w:keepNext/>
        <w:spacing w:after="110" w:before="240"/>
      </w:pPr>
      <w:r>
        <w:rPr>
          <w:rFonts w:ascii="Cambria" w:cs="Cambria" w:eastAsia="Cambria" w:hAnsi="Cambria"/>
          <w:b/>
          <w:bCs/>
          <w:color w:val="17365D"/>
          <w:sz w:val="26"/>
          <w:szCs w:val="26"/>
        </w:rPr>
        <w:t xml:space="preserve">The board meeting</w:t>
      </w:r>
    </w:p>
    <w:p>
      <w:pPr>
        <w:pStyle w:val="Heading2"/>
        <w:keepNext/>
        <w:spacing w:after="110" w:before="240"/>
      </w:pPr>
      <w:r>
        <w:rPr>
          <w:rFonts w:ascii="Cambria" w:cs="Cambria" w:eastAsia="Cambria" w:hAnsi="Cambria"/>
          <w:b/>
          <w:bCs/>
          <w:color w:val="17365D"/>
          <w:sz w:val="26"/>
          <w:szCs w:val="26"/>
        </w:rPr>
        <w:t xml:space="preserve">The dashboard</w:t>
      </w:r>
    </w:p>
    <w:p>
      <w:pPr>
        <w:pStyle w:val="Heading2"/>
        <w:keepNext/>
        <w:spacing w:after="110" w:before="240"/>
      </w:pPr>
      <w:r>
        <w:rPr>
          <w:rFonts w:ascii="Cambria" w:cs="Cambria" w:eastAsia="Cambria" w:hAnsi="Cambria"/>
          <w:b/>
          <w:bCs/>
          <w:color w:val="17365D"/>
          <w:sz w:val="26"/>
          <w:szCs w:val="26"/>
        </w:rPr>
        <w:t xml:space="preserve">Decisions this programme still has to make</w:t>
      </w:r>
    </w:p>
    <w:p>
      <w:pPr>
        <w:spacing w:after="160" w:line="276"/>
      </w:pPr>
      <w:r>
        <w:rPr>
          <w:i/>
          <w:iCs/>
          <w:color w:val="5A6069"/>
          <w:sz w:val="20"/>
          <w:szCs w:val="20"/>
        </w:rPr>
        <w:t xml:space="preserve">These are not evidence gaps. They are choices the roadmap cannot make on the programme's behalf, and until each is settled the same patient can be managed differently depending on who is in the room.</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520"/>
        <w:gridCol w:w="4100"/>
        <w:gridCol w:w="4740"/>
      </w:tblGrid>
      <w:tr>
        <w:trPr>
          <w:cantSplit/>
          <w:tblHeader/>
        </w:trPr>
        <w:tc>
          <w:tcPr>
            <w:tcW w:type="dxa" w:w="520"/>
            <w:shd w:fill="17365D" w:color="auto" w:val="clear"/>
            <w:tcMar>
              <w:top w:type="dxa" w:w="70"/>
              <w:left w:type="dxa" w:w="110"/>
              <w:bottom w:type="dxa" w:w="70"/>
              <w:right w:type="dxa" w:w="110"/>
            </w:tcMar>
            <w:vAlign w:val="top"/>
          </w:tcPr>
          <w:p>
            <w:r>
              <w:rPr>
                <w:b/>
                <w:bCs/>
                <w:color w:val="FFFFFF"/>
                <w:spacing w:val="18"/>
                <w:sz w:val="15"/>
                <w:szCs w:val="15"/>
              </w:rPr>
              <w:t xml:space="preserve">#</w:t>
            </w:r>
          </w:p>
        </w:tc>
        <w:tc>
          <w:tcPr>
            <w:tcW w:type="dxa" w:w="4100"/>
            <w:shd w:fill="17365D" w:color="auto" w:val="clear"/>
            <w:tcMar>
              <w:top w:type="dxa" w:w="70"/>
              <w:left w:type="dxa" w:w="110"/>
              <w:bottom w:type="dxa" w:w="70"/>
              <w:right w:type="dxa" w:w="110"/>
            </w:tcMar>
            <w:vAlign w:val="top"/>
          </w:tcPr>
          <w:p>
            <w:r>
              <w:rPr>
                <w:b/>
                <w:bCs/>
                <w:color w:val="FFFFFF"/>
                <w:spacing w:val="18"/>
                <w:sz w:val="15"/>
                <w:szCs w:val="15"/>
              </w:rPr>
              <w:t xml:space="preserve">THE DECISION</w:t>
            </w:r>
          </w:p>
        </w:tc>
        <w:tc>
          <w:tcPr>
            <w:tcW w:type="dxa" w:w="4740"/>
            <w:shd w:fill="17365D" w:color="auto" w:val="clear"/>
            <w:tcMar>
              <w:top w:type="dxa" w:w="70"/>
              <w:left w:type="dxa" w:w="110"/>
              <w:bottom w:type="dxa" w:w="70"/>
              <w:right w:type="dxa" w:w="110"/>
            </w:tcMar>
            <w:vAlign w:val="top"/>
          </w:tcPr>
          <w:p>
            <w:r>
              <w:rPr>
                <w:b/>
                <w:bCs/>
                <w:color w:val="FFFFFF"/>
                <w:spacing w:val="18"/>
                <w:sz w:val="15"/>
                <w:szCs w:val="15"/>
              </w:rPr>
              <w:t xml:space="preserve">WHY IT HAS TO BE MADE</w:t>
            </w:r>
          </w:p>
        </w:tc>
      </w:tr>
      <w:tr>
        <w:trPr>
          <w:cantSplit/>
        </w:trPr>
        <w:tc>
          <w:tcPr>
            <w:tcW w:type="dxa" w:w="520"/>
            <w:tcMar>
              <w:top w:type="dxa" w:w="70"/>
              <w:left w:type="dxa" w:w="110"/>
              <w:bottom w:type="dxa" w:w="70"/>
              <w:right w:type="dxa" w:w="110"/>
            </w:tcMar>
            <w:vAlign w:val="top"/>
          </w:tcPr>
          <w:p>
            <w:pPr>
              <w:spacing w:after="0" w:line="276"/>
            </w:pPr>
            <w:r>
              <w:rPr>
                <w:b/>
                <w:bCs/>
                <w:color w:val="15181F"/>
                <w:sz w:val="17"/>
                <w:szCs w:val="17"/>
              </w:rPr>
              <w:t xml:space="preserve">1</w:t>
            </w:r>
          </w:p>
        </w:tc>
        <w:tc>
          <w:tcPr>
            <w:tcW w:type="dxa" w:w="4100"/>
            <w:tcMar>
              <w:top w:type="dxa" w:w="70"/>
              <w:left w:type="dxa" w:w="110"/>
              <w:bottom w:type="dxa" w:w="70"/>
              <w:right w:type="dxa" w:w="110"/>
            </w:tcMar>
            <w:vAlign w:val="top"/>
          </w:tcPr>
          <w:p>
            <w:pPr>
              <w:spacing w:after="0" w:line="276"/>
            </w:pPr>
            <w:r>
              <w:rPr>
                <w:color w:val="15181F"/>
                <w:sz w:val="17"/>
                <w:szCs w:val="17"/>
              </w:rPr>
              <w:t xml:space="preserve">Does the programme run a hepatic arterial infusion service for intrahepatic cholangiocarcinoma?</w:t>
            </w:r>
          </w:p>
        </w:tc>
        <w:tc>
          <w:tcPr>
            <w:tcW w:type="dxa" w:w="4740"/>
            <w:tcMar>
              <w:top w:type="dxa" w:w="70"/>
              <w:left w:type="dxa" w:w="110"/>
              <w:bottom w:type="dxa" w:w="70"/>
              <w:right w:type="dxa" w:w="110"/>
            </w:tcMar>
            <w:vAlign w:val="top"/>
          </w:tcPr>
          <w:p>
            <w:pPr>
              <w:spacing w:after="0" w:line="276"/>
            </w:pPr>
            <w:r>
              <w:rPr>
                <w:color w:val="15181F"/>
                <w:sz w:val="17"/>
                <w:szCs w:val="17"/>
              </w:rPr>
              <w:t xml:space="preserve">Supporting data are a single-arm, largely single-institution phase 2 experience. Benefit is plausible and toxicity is real; the deciding variables are pump expertise, nursing infrastructure and case volume.</w:t>
            </w:r>
          </w:p>
        </w:tc>
      </w:tr>
      <w:tr>
        <w:trPr>
          <w:cantSplit/>
        </w:trPr>
        <w:tc>
          <w:tcPr>
            <w:tcW w:type="dxa" w:w="52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2</w:t>
            </w:r>
          </w:p>
        </w:tc>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Which liver-directed modality is first choice for unresectable liver-confined disease?</w:t>
            </w:r>
          </w:p>
        </w:tc>
        <w:tc>
          <w:tcPr>
            <w:tcW w:type="dxa" w:w="4740"/>
            <w:shd w:fill="F1F4F8" w:color="auto" w:val="clear"/>
            <w:tcMar>
              <w:top w:type="dxa" w:w="70"/>
              <w:left w:type="dxa" w:w="110"/>
              <w:bottom w:type="dxa" w:w="70"/>
              <w:right w:type="dxa" w:w="110"/>
            </w:tcMar>
            <w:vAlign w:val="top"/>
          </w:tcPr>
          <w:p>
            <w:pPr>
              <w:spacing w:after="0" w:line="276"/>
            </w:pPr>
            <w:r>
              <w:rPr>
                <w:color w:val="15181F"/>
                <w:sz w:val="17"/>
                <w:szCs w:val="17"/>
              </w:rPr>
              <w:t xml:space="preserve">No head-to-head comparison exists between HAI, radioembolisation, SBRT and proton therapy.</w:t>
            </w:r>
          </w:p>
        </w:tc>
      </w:tr>
      <w:tr>
        <w:trPr>
          <w:cantSplit/>
        </w:trPr>
        <w:tc>
          <w:tcPr>
            <w:tcW w:type="dxa" w:w="520"/>
            <w:tcMar>
              <w:top w:type="dxa" w:w="70"/>
              <w:left w:type="dxa" w:w="110"/>
              <w:bottom w:type="dxa" w:w="70"/>
              <w:right w:type="dxa" w:w="110"/>
            </w:tcMar>
            <w:vAlign w:val="top"/>
          </w:tcPr>
          <w:p>
            <w:pPr>
              <w:spacing w:after="0" w:line="276"/>
            </w:pPr>
            <w:r>
              <w:rPr>
                <w:b/>
                <w:bCs/>
                <w:color w:val="15181F"/>
                <w:sz w:val="17"/>
                <w:szCs w:val="17"/>
              </w:rPr>
              <w:t xml:space="preserve">3</w:t>
            </w:r>
          </w:p>
        </w:tc>
        <w:tc>
          <w:tcPr>
            <w:tcW w:type="dxa" w:w="4100"/>
            <w:tcMar>
              <w:top w:type="dxa" w:w="70"/>
              <w:left w:type="dxa" w:w="110"/>
              <w:bottom w:type="dxa" w:w="70"/>
              <w:right w:type="dxa" w:w="110"/>
            </w:tcMar>
            <w:vAlign w:val="top"/>
          </w:tcPr>
          <w:p>
            <w:pPr>
              <w:spacing w:after="0" w:line="276"/>
            </w:pPr>
            <w:r>
              <w:rPr>
                <w:color w:val="15181F"/>
                <w:sz w:val="17"/>
                <w:szCs w:val="17"/>
              </w:rPr>
              <w:t xml:space="preserve">Adjuvant capecitabine — offered routinely, or case by case?</w:t>
            </w:r>
          </w:p>
        </w:tc>
        <w:tc>
          <w:tcPr>
            <w:tcW w:type="dxa" w:w="4740"/>
            <w:tcMar>
              <w:top w:type="dxa" w:w="70"/>
              <w:left w:type="dxa" w:w="110"/>
              <w:bottom w:type="dxa" w:w="70"/>
              <w:right w:type="dxa" w:w="110"/>
            </w:tcMar>
            <w:vAlign w:val="top"/>
          </w:tcPr>
          <w:p>
            <w:pPr>
              <w:spacing w:after="0" w:line="276"/>
            </w:pPr>
            <w:r>
              <w:rPr>
                <w:color w:val="15181F"/>
                <w:sz w:val="17"/>
                <w:szCs w:val="17"/>
              </w:rPr>
              <w:t xml:space="preserve">BILCAP's primary analysis was not significant; ASCOT's positive result used an agent unavailable here.</w:t>
            </w:r>
          </w:p>
        </w:tc>
      </w:tr>
      <w:tr>
        <w:trPr>
          <w:cantSplit/>
        </w:trPr>
        <w:tc>
          <w:tcPr>
            <w:tcW w:type="dxa" w:w="52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4</w:t>
            </w:r>
          </w:p>
        </w:tc>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Is molecular profiling funded and ordered at diagnosis in practice?</w:t>
            </w:r>
          </w:p>
        </w:tc>
        <w:tc>
          <w:tcPr>
            <w:tcW w:type="dxa" w:w="4740"/>
            <w:shd w:fill="F1F4F8" w:color="auto" w:val="clear"/>
            <w:tcMar>
              <w:top w:type="dxa" w:w="70"/>
              <w:left w:type="dxa" w:w="110"/>
              <w:bottom w:type="dxa" w:w="70"/>
              <w:right w:type="dxa" w:w="110"/>
            </w:tcMar>
            <w:vAlign w:val="top"/>
          </w:tcPr>
          <w:p>
            <w:pPr>
              <w:spacing w:after="0" w:line="276"/>
            </w:pPr>
            <w:r>
              <w:rPr>
                <w:color w:val="15181F"/>
                <w:sz w:val="17"/>
                <w:szCs w:val="17"/>
              </w:rPr>
              <w:t xml:space="preserve">The clinical argument is not in doubt; the obstacle is payer authorisation and ordering discipline.</w:t>
            </w:r>
          </w:p>
        </w:tc>
      </w:tr>
      <w:tr>
        <w:trPr>
          <w:cantSplit/>
        </w:trPr>
        <w:tc>
          <w:tcPr>
            <w:tcW w:type="dxa" w:w="520"/>
            <w:tcMar>
              <w:top w:type="dxa" w:w="70"/>
              <w:left w:type="dxa" w:w="110"/>
              <w:bottom w:type="dxa" w:w="70"/>
              <w:right w:type="dxa" w:w="110"/>
            </w:tcMar>
            <w:vAlign w:val="top"/>
          </w:tcPr>
          <w:p>
            <w:pPr>
              <w:spacing w:after="0" w:line="276"/>
            </w:pPr>
            <w:r>
              <w:rPr>
                <w:b/>
                <w:bCs/>
                <w:color w:val="15181F"/>
                <w:sz w:val="17"/>
                <w:szCs w:val="17"/>
              </w:rPr>
              <w:t xml:space="preserve">5</w:t>
            </w:r>
          </w:p>
        </w:tc>
        <w:tc>
          <w:tcPr>
            <w:tcW w:type="dxa" w:w="4100"/>
            <w:tcMar>
              <w:top w:type="dxa" w:w="70"/>
              <w:left w:type="dxa" w:w="110"/>
              <w:bottom w:type="dxa" w:w="70"/>
              <w:right w:type="dxa" w:w="110"/>
            </w:tcMar>
            <w:vAlign w:val="top"/>
          </w:tcPr>
          <w:p>
            <w:pPr>
              <w:spacing w:after="0" w:line="276"/>
            </w:pPr>
            <w:r>
              <w:rPr>
                <w:color w:val="15181F"/>
                <w:sz w:val="17"/>
                <w:szCs w:val="17"/>
              </w:rPr>
              <w:t xml:space="preserve">Does the programme open an intrahepatic cholangiocarcinoma transplant protocol?</w:t>
            </w:r>
          </w:p>
        </w:tc>
        <w:tc>
          <w:tcPr>
            <w:tcW w:type="dxa" w:w="4740"/>
            <w:tcMar>
              <w:top w:type="dxa" w:w="70"/>
              <w:left w:type="dxa" w:w="110"/>
              <w:bottom w:type="dxa" w:w="70"/>
              <w:right w:type="dxa" w:w="110"/>
            </w:tcMar>
            <w:vAlign w:val="top"/>
          </w:tcPr>
          <w:p>
            <w:pPr>
              <w:spacing w:after="0" w:line="276"/>
            </w:pPr>
            <w:r>
              <w:rPr>
                <w:color w:val="15181F"/>
                <w:sz w:val="17"/>
                <w:szCs w:val="17"/>
              </w:rPr>
              <w:t xml:space="preserve">Evidence is retrospective and confined to small tumours first diagnosed on explant pathology, most seen before transplant as presumed hepatocellular carcinoma. Graft stewardship is an institutional judgement, not an evidence question.</w:t>
            </w:r>
          </w:p>
        </w:tc>
      </w:tr>
      <w:tr>
        <w:trPr>
          <w:cantSplit/>
        </w:trPr>
        <w:tc>
          <w:tcPr>
            <w:tcW w:type="dxa" w:w="52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6</w:t>
            </w:r>
          </w:p>
        </w:tc>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What are the thresholds barring each liver-directed modality by liver function?</w:t>
            </w:r>
          </w:p>
        </w:tc>
        <w:tc>
          <w:tcPr>
            <w:tcW w:type="dxa" w:w="4740"/>
            <w:shd w:fill="F1F4F8" w:color="auto" w:val="clear"/>
            <w:tcMar>
              <w:top w:type="dxa" w:w="70"/>
              <w:left w:type="dxa" w:w="110"/>
              <w:bottom w:type="dxa" w:w="70"/>
              <w:right w:type="dxa" w:w="110"/>
            </w:tcMar>
            <w:vAlign w:val="top"/>
          </w:tcPr>
          <w:p>
            <w:pPr>
              <w:spacing w:after="0" w:line="276"/>
            </w:pPr>
            <w:r>
              <w:rPr>
                <w:color w:val="15181F"/>
                <w:sz w:val="17"/>
                <w:szCs w:val="17"/>
              </w:rPr>
              <w:t xml:space="preserve">No comparative data define the cut-offs; they are safety conventions.</w:t>
            </w:r>
          </w:p>
        </w:tc>
      </w:tr>
      <w:tr>
        <w:trPr>
          <w:cantSplit/>
        </w:trPr>
        <w:tc>
          <w:tcPr>
            <w:tcW w:type="dxa" w:w="520"/>
            <w:tcMar>
              <w:top w:type="dxa" w:w="70"/>
              <w:left w:type="dxa" w:w="110"/>
              <w:bottom w:type="dxa" w:w="70"/>
              <w:right w:type="dxa" w:w="110"/>
            </w:tcMar>
            <w:vAlign w:val="top"/>
          </w:tcPr>
          <w:p>
            <w:pPr>
              <w:spacing w:after="0" w:line="276"/>
            </w:pPr>
            <w:r>
              <w:rPr>
                <w:b/>
                <w:bCs/>
                <w:color w:val="15181F"/>
                <w:sz w:val="17"/>
                <w:szCs w:val="17"/>
              </w:rPr>
              <w:t xml:space="preserve">7</w:t>
            </w:r>
          </w:p>
        </w:tc>
        <w:tc>
          <w:tcPr>
            <w:tcW w:type="dxa" w:w="4100"/>
            <w:tcMar>
              <w:top w:type="dxa" w:w="70"/>
              <w:left w:type="dxa" w:w="110"/>
              <w:bottom w:type="dxa" w:w="70"/>
              <w:right w:type="dxa" w:w="110"/>
            </w:tcMar>
            <w:vAlign w:val="top"/>
          </w:tcPr>
          <w:p>
            <w:pPr>
              <w:spacing w:after="0" w:line="276"/>
            </w:pPr>
            <w:r>
              <w:rPr>
                <w:color w:val="15181F"/>
                <w:sz w:val="17"/>
                <w:szCs w:val="17"/>
              </w:rPr>
              <w:t xml:space="preserve">Ablation for intrahepatic cholangiocarcinoma — acceptable, and in whom?</w:t>
            </w:r>
          </w:p>
        </w:tc>
        <w:tc>
          <w:tcPr>
            <w:tcW w:type="dxa" w:w="4740"/>
            <w:tcMar>
              <w:top w:type="dxa" w:w="70"/>
              <w:left w:type="dxa" w:w="110"/>
              <w:bottom w:type="dxa" w:w="70"/>
              <w:right w:type="dxa" w:w="110"/>
            </w:tcMar>
            <w:vAlign w:val="top"/>
          </w:tcPr>
          <w:p>
            <w:pPr>
              <w:spacing w:after="0" w:line="276"/>
            </w:pPr>
            <w:r>
              <w:rPr>
                <w:color w:val="15181F"/>
                <w:sz w:val="17"/>
                <w:szCs w:val="17"/>
              </w:rPr>
              <w:t xml:space="preserve">Evidence is substantially weaker than in hepatocellular carcinoma and is retrospective.</w:t>
            </w:r>
          </w:p>
        </w:tc>
      </w:tr>
      <w:tr>
        <w:trPr>
          <w:cantSplit/>
        </w:trPr>
        <w:tc>
          <w:tcPr>
            <w:tcW w:type="dxa" w:w="52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8</w:t>
            </w:r>
          </w:p>
        </w:tc>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Who owns subsequent NCCN and OPTN update checks, and on what cycle?</w:t>
            </w:r>
          </w:p>
        </w:tc>
        <w:tc>
          <w:tcPr>
            <w:tcW w:type="dxa" w:w="4740"/>
            <w:shd w:fill="F1F4F8" w:color="auto" w:val="clear"/>
            <w:tcMar>
              <w:top w:type="dxa" w:w="70"/>
              <w:left w:type="dxa" w:w="110"/>
              <w:bottom w:type="dxa" w:w="70"/>
              <w:right w:type="dxa" w:w="110"/>
            </w:tcMar>
            <w:vAlign w:val="top"/>
          </w:tcPr>
          <w:p>
            <w:pPr>
              <w:spacing w:after="0" w:line="276"/>
            </w:pPr>
            <w:r>
              <w:rPr>
                <w:color w:val="15181F"/>
                <w:sz w:val="17"/>
                <w:szCs w:val="17"/>
              </w:rPr>
              <w:t xml:space="preserve">Source reconciliation is complete in this version. An owner must be assigned to verify subsequent editions and current allocation requirements, ratify the documented institutional positions, and maintain the update cycle.</w:t>
            </w:r>
          </w:p>
        </w:tc>
      </w:tr>
      <w:tr>
        <w:trPr>
          <w:cantSplit/>
        </w:trPr>
        <w:tc>
          <w:tcPr>
            <w:tcW w:type="dxa" w:w="520"/>
            <w:tcMar>
              <w:top w:type="dxa" w:w="70"/>
              <w:left w:type="dxa" w:w="110"/>
              <w:bottom w:type="dxa" w:w="70"/>
              <w:right w:type="dxa" w:w="110"/>
            </w:tcMar>
            <w:vAlign w:val="top"/>
          </w:tcPr>
          <w:p>
            <w:pPr>
              <w:spacing w:after="0" w:line="276"/>
            </w:pPr>
            <w:r>
              <w:rPr>
                <w:b/>
                <w:bCs/>
                <w:color w:val="15181F"/>
                <w:sz w:val="17"/>
                <w:szCs w:val="17"/>
              </w:rPr>
              <w:t xml:space="preserve">9</w:t>
            </w:r>
          </w:p>
        </w:tc>
        <w:tc>
          <w:tcPr>
            <w:tcW w:type="dxa" w:w="4100"/>
            <w:tcMar>
              <w:top w:type="dxa" w:w="70"/>
              <w:left w:type="dxa" w:w="110"/>
              <w:bottom w:type="dxa" w:w="70"/>
              <w:right w:type="dxa" w:w="110"/>
            </w:tcMar>
            <w:vAlign w:val="top"/>
          </w:tcPr>
          <w:p>
            <w:pPr>
              <w:spacing w:after="0" w:line="276"/>
            </w:pPr>
            <w:r>
              <w:rPr>
                <w:color w:val="15181F"/>
                <w:sz w:val="17"/>
                <w:szCs w:val="17"/>
              </w:rPr>
              <w:t xml:space="preserve">Is a core biopsy required before resection of a high-suspicion, clearly resectable mass, or is destination-specific confirmation enough?</w:t>
            </w:r>
          </w:p>
        </w:tc>
        <w:tc>
          <w:tcPr>
            <w:tcW w:type="dxa" w:w="4740"/>
            <w:tcMar>
              <w:top w:type="dxa" w:w="70"/>
              <w:left w:type="dxa" w:w="110"/>
              <w:bottom w:type="dxa" w:w="70"/>
              <w:right w:type="dxa" w:w="110"/>
            </w:tcMar>
            <w:vAlign w:val="top"/>
          </w:tcPr>
          <w:p>
            <w:pPr>
              <w:spacing w:after="0" w:line="276"/>
            </w:pPr>
            <w:r>
              <w:rPr>
                <w:color w:val="15181F"/>
                <w:sz w:val="17"/>
                <w:szCs w:val="17"/>
              </w:rPr>
              <w:t xml:space="preserve">AASLD 2023, BSG 2023 and EASL-ILCA require histological confirmation; LCSGJ 2022 regards biopsy as basically unnecessary for a typical resectable mass; NCCN permits treating a suspicious mass in the proper clinical setting as malignant. No outcome study compares the two policies. Alignment worksheet, area 1.</w:t>
            </w:r>
          </w:p>
        </w:tc>
      </w:tr>
      <w:tr>
        <w:trPr>
          <w:cantSplit/>
        </w:trPr>
        <w:tc>
          <w:tcPr>
            <w:tcW w:type="dxa" w:w="52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10</w:t>
            </w:r>
          </w:p>
        </w:tc>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Is regional lymphadenectomy mandatory at every iCCA resection, and what minimum node yield is recorded?</w:t>
            </w:r>
          </w:p>
        </w:tc>
        <w:tc>
          <w:tcPr>
            <w:tcW w:type="dxa" w:w="4740"/>
            <w:shd w:fill="F1F4F8" w:color="auto" w:val="clear"/>
            <w:tcMar>
              <w:top w:type="dxa" w:w="70"/>
              <w:left w:type="dxa" w:w="110"/>
              <w:bottom w:type="dxa" w:w="70"/>
              <w:right w:type="dxa" w:w="110"/>
            </w:tcMar>
            <w:vAlign w:val="top"/>
          </w:tcPr>
          <w:p>
            <w:pPr>
              <w:spacing w:after="0" w:line="276"/>
            </w:pPr>
            <w:r>
              <w:rPr>
                <w:color w:val="15181F"/>
                <w:sz w:val="17"/>
                <w:szCs w:val="17"/>
              </w:rPr>
              <w:t xml:space="preserve">LCSGJ 2022 makes no recommendation and warns that prophylactic dissection in cirrhosis increases complications; ESMO 2023 recommends routine hepatoduodenal-ligament dissection on level IV evidence; BSG 2023 and AASLD 2023 state neither extent nor yield. The gate 8 adjuvant conversation and the registry both need a nodal denominator. Alignment worksheet, area 5.</w:t>
            </w:r>
          </w:p>
        </w:tc>
      </w:tr>
      <w:tr>
        <w:trPr>
          <w:cantSplit/>
        </w:trPr>
        <w:tc>
          <w:tcPr>
            <w:tcW w:type="dxa" w:w="520"/>
            <w:tcMar>
              <w:top w:type="dxa" w:w="70"/>
              <w:left w:type="dxa" w:w="110"/>
              <w:bottom w:type="dxa" w:w="70"/>
              <w:right w:type="dxa" w:w="110"/>
            </w:tcMar>
            <w:vAlign w:val="top"/>
          </w:tcPr>
          <w:p>
            <w:pPr>
              <w:spacing w:after="0" w:line="276"/>
            </w:pPr>
            <w:r>
              <w:rPr>
                <w:b/>
                <w:bCs/>
                <w:color w:val="15181F"/>
                <w:sz w:val="17"/>
                <w:szCs w:val="17"/>
              </w:rPr>
              <w:t xml:space="preserve">11</w:t>
            </w:r>
          </w:p>
        </w:tc>
        <w:tc>
          <w:tcPr>
            <w:tcW w:type="dxa" w:w="4100"/>
            <w:tcMar>
              <w:top w:type="dxa" w:w="70"/>
              <w:left w:type="dxa" w:w="110"/>
              <w:bottom w:type="dxa" w:w="70"/>
              <w:right w:type="dxa" w:w="110"/>
            </w:tcMar>
            <w:vAlign w:val="top"/>
          </w:tcPr>
          <w:p>
            <w:pPr>
              <w:spacing w:after="0" w:line="276"/>
            </w:pPr>
            <w:r>
              <w:rPr>
                <w:color w:val="15181F"/>
                <w:sz w:val="17"/>
                <w:szCs w:val="17"/>
              </w:rPr>
              <w:t xml:space="preserve">What counts as 'a period of stability' before a transplant referral — what duration, on what therapy, and at what imaging interval?</w:t>
            </w:r>
          </w:p>
        </w:tc>
        <w:tc>
          <w:tcPr>
            <w:tcW w:type="dxa" w:w="4740"/>
            <w:tcMar>
              <w:top w:type="dxa" w:w="70"/>
              <w:left w:type="dxa" w:w="110"/>
              <w:bottom w:type="dxa" w:w="70"/>
              <w:right w:type="dxa" w:w="110"/>
            </w:tcMar>
            <w:vAlign w:val="top"/>
          </w:tcPr>
          <w:p>
            <w:pPr>
              <w:spacing w:after="0" w:line="276"/>
            </w:pPr>
            <w:r>
              <w:rPr>
                <w:color w:val="15181F"/>
                <w:sz w:val="17"/>
                <w:szCs w:val="17"/>
              </w:rPr>
              <w:t xml:space="preserve">ILTS-ILCA 2024 attaches no duration to the cirrhotic ≤3 cm recommendation; the six-month figure in our criteria comes from its separate weakly graded non-cirrhotic route and from the Houston Methodist–MD Anderson protocol, whose own authors concede that selecting for stability may be selecting indolent biology. The explant series that supplies our size data required no stability at all.</w:t>
            </w:r>
          </w:p>
        </w:tc>
      </w:tr>
      <w:tr>
        <w:trPr>
          <w:cantSplit/>
        </w:trPr>
        <w:tc>
          <w:tcPr>
            <w:tcW w:type="dxa" w:w="52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12</w:t>
            </w:r>
          </w:p>
        </w:tc>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Does the page name trastuzumab deruxtecan, entrectinib, larotrectinib and selpercatinib, as ESMO 2024 does, or only require that the alterations be captured?</w:t>
            </w:r>
          </w:p>
        </w:tc>
        <w:tc>
          <w:tcPr>
            <w:tcW w:type="dxa" w:w="4740"/>
            <w:shd w:fill="F1F4F8" w:color="auto" w:val="clear"/>
            <w:tcMar>
              <w:top w:type="dxa" w:w="70"/>
              <w:left w:type="dxa" w:w="110"/>
              <w:bottom w:type="dxa" w:w="70"/>
              <w:right w:type="dxa" w:w="110"/>
            </w:tcMar>
            <w:vAlign w:val="top"/>
          </w:tcPr>
          <w:p>
            <w:pPr>
              <w:spacing w:after="0" w:line="276"/>
            </w:pPr>
            <w:r>
              <w:rPr>
                <w:color w:val="15181F"/>
                <w:sz w:val="17"/>
                <w:szCs w:val="17"/>
              </w:rPr>
              <w:t xml:space="preserve">The ESMO recommendations are level III grade A — single-arm or basket-trial evidence — several agents are FDA- but not EMA-approved, and ESMO itself concedes there are no standardised criteria for HER2 assessment in biliary tract cancer. Alignment worksheet, area 14.</w:t>
            </w:r>
          </w:p>
        </w:tc>
      </w:tr>
      <w:tr>
        <w:trPr>
          <w:cantSplit/>
        </w:trPr>
        <w:tc>
          <w:tcPr>
            <w:tcW w:type="dxa" w:w="520"/>
            <w:tcMar>
              <w:top w:type="dxa" w:w="70"/>
              <w:left w:type="dxa" w:w="110"/>
              <w:bottom w:type="dxa" w:w="70"/>
              <w:right w:type="dxa" w:w="110"/>
            </w:tcMar>
            <w:vAlign w:val="top"/>
          </w:tcPr>
          <w:p>
            <w:pPr>
              <w:spacing w:after="0" w:line="276"/>
            </w:pPr>
            <w:r>
              <w:rPr>
                <w:b/>
                <w:bCs/>
                <w:color w:val="15181F"/>
                <w:sz w:val="17"/>
                <w:szCs w:val="17"/>
              </w:rPr>
              <w:t xml:space="preserve">13</w:t>
            </w:r>
          </w:p>
        </w:tc>
        <w:tc>
          <w:tcPr>
            <w:tcW w:type="dxa" w:w="4100"/>
            <w:tcMar>
              <w:top w:type="dxa" w:w="70"/>
              <w:left w:type="dxa" w:w="110"/>
              <w:bottom w:type="dxa" w:w="70"/>
              <w:right w:type="dxa" w:w="110"/>
            </w:tcMar>
            <w:vAlign w:val="top"/>
          </w:tcPr>
          <w:p>
            <w:pPr>
              <w:spacing w:after="0" w:line="276"/>
            </w:pPr>
            <w:r>
              <w:rPr>
                <w:color w:val="15181F"/>
                <w:sz w:val="17"/>
                <w:szCs w:val="17"/>
              </w:rPr>
              <w:t xml:space="preserve">Is there a default first-line checkpoint combination, or does the choice stay with the treating oncologist?</w:t>
            </w:r>
          </w:p>
        </w:tc>
        <w:tc>
          <w:tcPr>
            <w:tcW w:type="dxa" w:w="4740"/>
            <w:tcMar>
              <w:top w:type="dxa" w:w="70"/>
              <w:left w:type="dxa" w:w="110"/>
              <w:bottom w:type="dxa" w:w="70"/>
              <w:right w:type="dxa" w:w="110"/>
            </w:tcMar>
            <w:vAlign w:val="top"/>
          </w:tcPr>
          <w:p>
            <w:pPr>
              <w:spacing w:after="0" w:line="276"/>
            </w:pPr>
            <w:r>
              <w:rPr>
                <w:color w:val="15181F"/>
                <w:sz w:val="17"/>
                <w:szCs w:val="17"/>
              </w:rPr>
              <w:t xml:space="preserve">No randomised comparison exists between durvalumab and pembrolizumab; ESMO's statement that they are interchangeable is an indirect comparison across trials differing in chemotherapy duration, geography and size. The practical differences are the gemcitabine cycle cap, schedule and access, not efficacy. BSG 2023 also treats oxaliplatin substitution in renal impairment and gemcitabine alone in poor performance status as reasonable, which our page leaves unnamed. Alignment worksheet, area 13.</w:t>
            </w:r>
          </w:p>
        </w:tc>
      </w:tr>
      <w:tr>
        <w:trPr>
          <w:cantSplit/>
        </w:trPr>
        <w:tc>
          <w:tcPr>
            <w:tcW w:type="dxa" w:w="52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14</w:t>
            </w:r>
          </w:p>
        </w:tc>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Post-resection surveillance — 3-monthly or 6-monthly imaging for the first two years?</w:t>
            </w:r>
          </w:p>
        </w:tc>
        <w:tc>
          <w:tcPr>
            <w:tcW w:type="dxa" w:w="4740"/>
            <w:shd w:fill="F1F4F8" w:color="auto" w:val="clear"/>
            <w:tcMar>
              <w:top w:type="dxa" w:w="70"/>
              <w:left w:type="dxa" w:w="110"/>
              <w:bottom w:type="dxa" w:w="70"/>
              <w:right w:type="dxa" w:w="110"/>
            </w:tcMar>
            <w:vAlign w:val="top"/>
          </w:tcPr>
          <w:p>
            <w:pPr>
              <w:spacing w:after="0" w:line="276"/>
            </w:pPr>
            <w:r>
              <w:rPr>
                <w:color w:val="15181F"/>
                <w:sz w:val="17"/>
                <w:szCs w:val="17"/>
              </w:rPr>
              <w:t xml:space="preserve">NCCN states there are no data supporting a specific surveillance schedule. The argument for 3-monthly is that most recurrences are intrahepatic and some are re-resectable or ablatable; the argument for 6-monthly is that most UK centres practise it and no study shows the shorter interval changes outcome. Alignment worksheet, area 16.</w:t>
            </w:r>
          </w:p>
        </w:tc>
      </w:tr>
    </w:tbl>
    <w:p>
      <w:pPr>
        <w:pStyle w:val="Heading1"/>
        <w:keepNext/>
        <w:pageBreakBefore/>
        <w:spacing w:after="110" w:before="320"/>
      </w:pPr>
      <w:r>
        <w:rPr>
          <w:rFonts w:ascii="Cambria" w:cs="Cambria" w:eastAsia="Cambria" w:hAnsi="Cambria"/>
          <w:b/>
          <w:bCs/>
          <w:color w:val="17365D"/>
          <w:sz w:val="32"/>
          <w:szCs w:val="32"/>
        </w:rPr>
        <w:t xml:space="preserve">Provenance</w:t>
      </w:r>
    </w:p>
    <w:p>
      <w:pPr>
        <w:spacing w:after="120" w:line="276"/>
      </w:pPr>
      <w:r>
        <w:rPr>
          <w:color w:val="15181F"/>
          <w:sz w:val="20"/>
          <w:szCs w:val="20"/>
        </w:rPr>
        <w:t xml:space="preserve">Revised 7 October 2026 (Batch 08) after a full-text read of this page's reference depot: 37 structured abstracts, each carrying the authors' own stated limitations and an independent critique with its sources identified, against which every evidence string on this page was rechecked for the published number, for whether the critique undercuts what the string claims, and for whether the grade still follows. Thirty-three evidence strings changed. Three grades were lowered and the reason is recorded in each note: first-line chemo-immunotherapy in permanently unresectable liver-confined disease from A to B, because TOPAZ-1 and KEYNOTE-966 were 86% and 89% metastatic and say nothing about this population; offering adjuvant capecitabine from B to C, because BILCAP did not meet its intention-to-treat primary endpoint and only 19% of its patients had intrahepatic disease; and sequencing a dedicated biliary specimen at ERCP from B to C, because specimens were submitted non-consecutively, the reference standard allowed clinical and radiographic progression in place of tissue, and all testing was done in the laboratory that developed the assay. The transplant gate was corrected most: the international explant series is now cited only for what it studied — 15 patients with single tumours of 2 cm or less, diagnosed on explant pathology, with mixed hepatocellular-cholangiocarcinoma excluded and no requirement for disease stability on therapy — and the 3 cm ceiling and the six-month stability clock in our criteria are attributed to EASL-ILCA, the OPTN review-board guidance and ILTS-ILCA rather than to that series. The ILTS-ILCA 2024 consensus is published twice and both records are cited (PMID 40014003, Liver Transplantation 2025; PMID 42312290, Liver Cancer 2026); the ESMO 2023 parent guideline (PMID 36372281) is now cited alongside its 2024 interim update, since the update covers only molecular diagnostics and advanced disease and leaves the surgical recommendations to the parent. Every reference the page cites was read in full. Still cited from the source document rather than from a full-text read: NCCN Biliary Tract Cancers v1.2026, OPTN Policy 9 and the OPTN Adult MELD Exceptions for Transplant Oncology guidance (December 2025), the Memorial Hermann roadmap and its alignment worksheet, and the HOPE4LIVER one-year histotripsy update, which in any case enrolled hepatocellular carcinoma and metastases rather than intrahepatic cholangiocarcinoma. Built from the Memorial Hermann Intrahepatic Cholangiocarcinoma System Roadmap, Draft v0.6 (4 October 2026, including the 3 October 2026 liver-directed treatment revision), and its companion Guideline alignment worksheet of the same date, which compares the roadmap against AASLD 2023, OPTN 2025 review-board guidance, ESMO 2024 interim update, BSG 2023, LCSGJ 2022, ILTS-ILCA 2024 and NCCN Biliary Tract Cancers v1.2026 across 16 areas. Evidence strings carry the published numbers and the published criticism; where the roadmap's label and the trial's primary endpoint diverge, both are stated and the ratification item is named. No recommendation was removed because its evidence turned out to be weak; the roadmap's position stands and the page now says how well supported it is. The liver-directed therapy matrix is read directly from the shared matrix file and is not reproduced here. This page reproduces a draft pending multidisciplinary approval: it is not active clinical policy, does not replace clinician judgement, and every numeric criterion must be verified against the current source before use.</w:t>
      </w:r>
    </w:p>
    <w:p>
      <w:pPr>
        <w:pStyle w:val="Heading1"/>
        <w:widowControl/>
        <w:keepNext/>
      </w:pPr>
      <w:r>
        <w:t xml:space="preserve">Systemic treatment matrix — full-text integration, 25 October 2026</w:t>
      </w:r>
    </w:p>
    <w:p>
      <w:pPr>
        <w:pStyle w:val="Normal"/>
        <w:widowControl/>
        <w:spacing w:after="120"/>
      </w:pPr>
      <w:r>
        <w:t xml:space="preserve">Systemic disease control is not proof of transplant benefit. Preserve the route-specific histology, liver-only status, unresectability and observation gates. A cHCC-CCA component changes the evidence base; use expert pathology review.</w:t>
      </w:r>
    </w:p>
    <w:p>
      <w:pPr>
        <w:pStyle w:val="Heading2"/>
        <w:widowControl/>
        <w:keepNext/>
      </w:pPr>
      <w:r>
        <w:t xml:space="preserve">Regimen, setting and evidence</w:t>
      </w:r>
    </w:p>
    <w:tbl>
      <w:tblPr>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110" w:type="dxa"/>
          <w:left w:w="110" w:type="dxa"/>
          <w:bottom w:w="110" w:type="dxa"/>
          <w:right w:w="110" w:type="dxa"/>
        </w:tblCellMar>
      </w:tblPr>
      <w:tblGrid>
        <w:gridCol w:w="1900"/>
        <w:gridCol w:w="4000"/>
        <w:gridCol w:w="4180"/>
      </w:tblGrid>
      <w:tr>
        <w:trPr>
          <w:cantSplit/>
          <w:tblHeader/>
        </w:trPr>
        <w:tc>
          <w:tcPr>
            <w:tcW w:w="1900" w:type="dxa"/>
            <w:vAlign w:val="top"/>
            <w:shd w:fill="17365D"/>
          </w:tcPr>
          <w:p>
            <w:pPr>
              <w:pStyle w:val="Normal"/>
              <w:widowControl/>
              <w:spacing w:after="55" w:line="240" w:lineRule="auto"/>
              <w:keepNext w:val="0"/>
              <w:keepLines/>
            </w:pPr>
            <w:r>
              <w:rPr>
                <w:sz w:val="21"/>
                <w:szCs w:val="21"/>
                <w:b/>
                <w:color w:val="FFFFFF"/>
              </w:rPr>
              <w:t xml:space="preserve">Option / setting</w:t>
            </w:r>
          </w:p>
        </w:tc>
        <w:tc>
          <w:tcPr>
            <w:tcW w:w="4000" w:type="dxa"/>
            <w:vAlign w:val="top"/>
            <w:shd w:fill="17365D"/>
          </w:tcPr>
          <w:p>
            <w:pPr>
              <w:pStyle w:val="Normal"/>
              <w:widowControl/>
              <w:spacing w:after="55" w:line="240" w:lineRule="auto"/>
              <w:keepNext w:val="0"/>
              <w:keepLines/>
            </w:pPr>
            <w:r>
              <w:rPr>
                <w:sz w:val="21"/>
                <w:szCs w:val="21"/>
                <w:b/>
                <w:color w:val="FFFFFF"/>
              </w:rPr>
              <w:t xml:space="preserve">Selection and safety</w:t>
            </w:r>
          </w:p>
        </w:tc>
        <w:tc>
          <w:tcPr>
            <w:tcW w:w="4180" w:type="dxa"/>
            <w:vAlign w:val="top"/>
            <w:shd w:fill="17365D"/>
          </w:tcPr>
          <w:p>
            <w:pPr>
              <w:pStyle w:val="Normal"/>
              <w:widowControl/>
              <w:spacing w:after="55" w:line="240" w:lineRule="auto"/>
              <w:keepNext w:val="0"/>
              <w:keepLines/>
            </w:pPr>
            <w:r>
              <w:rPr>
                <w:sz w:val="21"/>
                <w:szCs w:val="21"/>
                <w:b/>
                <w:color w:val="FFFFFF"/>
              </w:rPr>
              <w:t xml:space="preserve">Evidence and limitations</w:t>
            </w:r>
          </w:p>
        </w:tc>
      </w:tr>
      <w:tr>
        <w:trPr>
          <w:cantSplit/>
        </w:trPr>
        <w:tc>
          <w:tcPr>
            <w:tcW w:w="1900" w:type="dxa"/>
            <w:vAlign w:val="top"/>
            <w:shd w:fill="F1F5F8"/>
          </w:tcPr>
          <w:p>
            <w:pPr>
              <w:pStyle w:val="Normal"/>
              <w:widowControl/>
              <w:spacing w:after="55" w:line="240" w:lineRule="auto"/>
              <w:keepNext w:val="0"/>
              <w:keepLines/>
            </w:pPr>
            <w:r>
              <w:rPr>
                <w:sz w:val="21"/>
                <w:szCs w:val="21"/>
                <w:b/>
              </w:rPr>
              <w:t xml:space="preserve">Capecitabine</w:t>
            </w:r>
          </w:p>
          <w:p>
            <w:pPr>
              <w:pStyle w:val="Normal"/>
              <w:widowControl/>
              <w:spacing w:after="55" w:line="240" w:lineRule="auto"/>
              <w:keepNext w:val="0"/>
              <w:keepLines/>
            </w:pPr>
            <w:r>
              <w:rPr>
                <w:sz w:val="21"/>
                <w:szCs w:val="21"/>
              </w:rPr>
              <w:t xml:space="preserve">After curative resection</w:t>
            </w:r>
          </w:p>
        </w:tc>
        <w:tc>
          <w:tcPr>
            <w:tcW w:w="4000" w:type="dxa"/>
            <w:vAlign w:val="top"/>
            <w:shd w:fill="F1F5F8"/>
          </w:tcPr>
          <w:p>
            <w:pPr>
              <w:pStyle w:val="Normal"/>
              <w:widowControl/>
              <w:spacing w:after="55" w:line="240" w:lineRule="auto"/>
              <w:keepNext w:val="0"/>
              <w:keepLines/>
            </w:pPr>
            <w:r>
              <w:rPr>
                <w:sz w:val="21"/>
                <w:szCs w:val="21"/>
              </w:rPr>
              <w:t xml:space="preserve">Consider approximately six months after R0/R1 resection of biliary tract cancer when recovery and organ function permit. Separate margin-directed radiation discussion from systemic treatment.</w:t>
            </w:r>
          </w:p>
        </w:tc>
        <w:tc>
          <w:tcPr>
            <w:tcW w:w="4180" w:type="dxa"/>
            <w:vAlign w:val="top"/>
            <w:shd w:fill="F1F5F8"/>
          </w:tcPr>
          <w:p>
            <w:pPr>
              <w:pStyle w:val="Normal"/>
              <w:widowControl/>
              <w:spacing w:after="55" w:line="240" w:lineRule="auto"/>
              <w:keepNext w:val="0"/>
              <w:keepLines/>
            </w:pPr>
            <w:r>
              <w:rPr>
                <w:sz w:val="21"/>
                <w:szCs w:val="21"/>
              </w:rPr>
              <w:t xml:space="preserve">BILCAP did not meet its primary intention-to-treat OS endpoint; sensitivity and per-protocol analyses supported the guideline recommendation. Not proof that every resected subgroup benefits equally.</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</w:fldData>
              </w:fldChar>
            </w:r>
            <w:r>
              <w:instrText xml:space="preserve"> ADDIN EN.CITE.DATA </w:instrText>
            </w:r>
            <w:r>
              <w:fldChar w:fldCharType="end"/>
            </w:r>
            <w:r>
              <w:fldChar w:fldCharType="separate"/>
            </w:r>
            <w:r>
              <w:t xml:space="preserve">[V12-1]</w:t>
            </w:r>
            <w:r>
              <w:fldChar w:fldCharType="end"/>
            </w:r>
            <w:r>
              <w:t xml:space="preserve"> </w:t>
            </w:r>
            <w:r>
              <w:fldChar w:fldCharType="begin"/>
            </w:r>
            <w:r>
              <w:instrText xml:space="preserve"> ADDIN EN.CITE </w:instrText>
            </w:r>
            <w:r>
              <w:fldChar w:fldCharType="begin">
                <w:fldData>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r>
              <w:br/>
            </w:r>
            <w:hyperlink r:id="rId9">
              <w:r>
                <w:rPr>
                  <w:color w:val="0563C1"/>
                  <w:u w:val="single"/>
                </w:rPr>
                <w:t>Source</w:t>
              </w:r>
            </w:hyperlink>
            <w:r>
              <w:t xml:space="preserve"> · </w:t>
            </w:r>
            <w:hyperlink r:id="rId10">
              <w:r>
                <w:rPr>
                  <w:color w:val="0563C1"/>
                  <w:u w:val="single"/>
                </w:rPr>
                <w:t>PDF</w:t>
              </w:r>
            </w:hyperlink>
            <w:r>
              <w:br/>
            </w:r>
            <w:hyperlink r:id="rId11">
              <w:r>
                <w:rPr>
                  <w:color w:val="0563C1"/>
                  <w:u w:val="single"/>
                </w:rPr>
                <w:t>Source</w:t>
              </w:r>
            </w:hyperlink>
            <w:r>
              <w:t xml:space="preserve"> · </w:t>
            </w:r>
            <w:hyperlink r:id="rId12">
              <w:r>
                <w:rPr>
                  <w:color w:val="0563C1"/>
                  <w:u w:val="single"/>
                </w:rPr>
                <w:t>PDF</w:t>
              </w:r>
            </w:hyperlink>
          </w:p>
        </w:tc>
      </w:tr>
      <w:tr>
        <w:trPr>
          <w:cantSplit/>
        </w:trPr>
        <w:tc>
          <w:tcPr>
            <w:tcW w:w="1900" w:type="dxa"/>
            <w:vAlign w:val="top"/>
            <w:shd w:fill="FFFFFF"/>
          </w:tcPr>
          <w:p>
            <w:pPr>
              <w:pStyle w:val="Normal"/>
              <w:widowControl/>
              <w:spacing w:after="55" w:line="240" w:lineRule="auto"/>
              <w:keepNext w:val="0"/>
              <w:keepLines/>
            </w:pPr>
            <w:r>
              <w:rPr>
                <w:sz w:val="21"/>
                <w:szCs w:val="21"/>
                <w:b/>
              </w:rPr>
              <w:t xml:space="preserve">Gemcitabine cisplatin durvalumab</w:t>
            </w:r>
          </w:p>
          <w:p>
            <w:pPr>
              <w:pStyle w:val="Normal"/>
              <w:widowControl/>
              <w:spacing w:after="55" w:line="240" w:lineRule="auto"/>
              <w:keepNext w:val="0"/>
              <w:keepLines/>
            </w:pPr>
            <w:r>
              <w:rPr>
                <w:sz w:val="21"/>
                <w:szCs w:val="21"/>
              </w:rPr>
              <w:t xml:space="preserve">Advanced first line</w:t>
            </w:r>
          </w:p>
        </w:tc>
        <w:tc>
          <w:tcPr>
            <w:tcW w:w="4000" w:type="dxa"/>
            <w:vAlign w:val="top"/>
            <w:shd w:fill="FFFFFF"/>
          </w:tcPr>
          <w:p>
            <w:pPr>
              <w:pStyle w:val="Normal"/>
              <w:widowControl/>
              <w:spacing w:after="55" w:line="240" w:lineRule="auto"/>
              <w:keepNext w:val="0"/>
              <w:keepLines/>
            </w:pPr>
            <w:r>
              <w:rPr>
                <w:sz w:val="21"/>
                <w:szCs w:val="21"/>
              </w:rPr>
              <w:t xml:space="preserve">Fit patient with unresectable or metastatic BTC, adequate drainage, no uncontrolled cholangitis and acceptable renal and immune status. Durvalumab maintenance follows the induction plan.</w:t>
            </w:r>
          </w:p>
        </w:tc>
        <w:tc>
          <w:tcPr>
            <w:tcW w:w="4180" w:type="dxa"/>
            <w:vAlign w:val="top"/>
            <w:shd w:fill="FFFFFF"/>
          </w:tcPr>
          <w:p>
            <w:pPr>
              <w:pStyle w:val="Normal"/>
              <w:widowControl/>
              <w:spacing w:after="55" w:line="240" w:lineRule="auto"/>
              <w:keepNext w:val="0"/>
              <w:keepLines/>
            </w:pPr>
            <w:r>
              <w:rPr>
                <w:sz w:val="21"/>
                <w:szCs w:val="21"/>
              </w:rPr>
              <w:t xml:space="preserve">TOPAZ-1 randomized phase III evidence improved OS versus GemCis alone. This is not the neoadjuvant chemoradiation regimen for a pCCA transplant candidate.</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r>
              <w:t xml:space="preserve"> </w:t>
            </w:r>
            <w:r>
              <w:fldChar w:fldCharType="begin"/>
            </w:r>
            <w:r>
              <w:instrText xml:space="preserve"> ADDIN EN.CITE </w:instrText>
            </w:r>
            <w:r>
              <w:fldChar w:fldCharType="begin">
                <w:fldData>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r>
              <w:t xml:space="preserve"> </w:t>
            </w:r>
            <w:r>
              <w:fldChar w:fldCharType="begin"/>
            </w:r>
            <w:r>
              <w:instrText xml:space="preserve"> ADDIN EN.CITE </w:instrText>
            </w:r>
            <w:r>
              <w:fldChar w:fldCharType="begin">
                <w:fldData>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</w:fldData>
              </w:fldChar>
            </w:r>
            <w:r>
              <w:instrText xml:space="preserve"> ADDIN EN.CITE.DATA </w:instrText>
            </w:r>
            <w:r>
              <w:fldChar w:fldCharType="end"/>
            </w:r>
            <w:r>
              <w:fldChar w:fldCharType="separate"/>
            </w:r>
            <w:r>
              <w:t xml:space="preserve">[V12-4]</w:t>
            </w:r>
            <w:r>
              <w:fldChar w:fldCharType="end"/>
            </w:r>
            <w:r>
              <w:br/>
            </w:r>
            <w:hyperlink r:id="rId13">
              <w:r>
                <w:rPr>
                  <w:color w:val="0563C1"/>
                  <w:u w:val="single"/>
                </w:rPr>
                <w:t>Source</w:t>
              </w:r>
            </w:hyperlink>
            <w:r>
              <w:t xml:space="preserve"> · </w:t>
            </w:r>
            <w:hyperlink r:id="rId14">
              <w:r>
                <w:rPr>
                  <w:color w:val="0563C1"/>
                  <w:u w:val="single"/>
                </w:rPr>
                <w:t>PDF</w:t>
              </w:r>
            </w:hyperlink>
            <w:r>
              <w:br/>
            </w:r>
            <w:hyperlink r:id="rId15">
              <w:r>
                <w:rPr>
                  <w:color w:val="0563C1"/>
                  <w:u w:val="single"/>
                </w:rPr>
                <w:t>Source</w:t>
              </w:r>
            </w:hyperlink>
            <w:r>
              <w:t xml:space="preserve"> · </w:t>
            </w:r>
            <w:hyperlink r:id="rId16">
              <w:r>
                <w:rPr>
                  <w:color w:val="0563C1"/>
                  <w:u w:val="single"/>
                </w:rPr>
                <w:t>PDF</w:t>
              </w:r>
            </w:hyperlink>
            <w:r>
              <w:br/>
            </w:r>
            <w:hyperlink r:id="rId17">
              <w:r>
                <w:rPr>
                  <w:color w:val="0563C1"/>
                  <w:u w:val="single"/>
                </w:rPr>
                <w:t>Source</w:t>
              </w:r>
            </w:hyperlink>
            <w:r>
              <w:t xml:space="preserve"> · </w:t>
            </w:r>
            <w:hyperlink r:id="rId18">
              <w:r>
                <w:rPr>
                  <w:color w:val="0563C1"/>
                  <w:u w:val="single"/>
                </w:rPr>
                <w:t>PDF</w:t>
              </w:r>
            </w:hyperlink>
          </w:p>
        </w:tc>
      </w:tr>
      <w:tr>
        <w:trPr>
          <w:cantSplit/>
        </w:trPr>
        <w:tc>
          <w:tcPr>
            <w:tcW w:w="1900" w:type="dxa"/>
            <w:vAlign w:val="top"/>
            <w:shd w:fill="F1F5F8"/>
          </w:tcPr>
          <w:p>
            <w:pPr>
              <w:pStyle w:val="Normal"/>
              <w:widowControl/>
              <w:spacing w:after="55" w:line="240" w:lineRule="auto"/>
              <w:keepNext w:val="0"/>
              <w:keepLines/>
            </w:pPr>
            <w:r>
              <w:rPr>
                <w:sz w:val="21"/>
                <w:szCs w:val="21"/>
                <w:b/>
              </w:rPr>
              <w:t xml:space="preserve">Gemcitabine cisplatin pembrolizumab</w:t>
            </w:r>
          </w:p>
          <w:p>
            <w:pPr>
              <w:pStyle w:val="Normal"/>
              <w:widowControl/>
              <w:spacing w:after="55" w:line="240" w:lineRule="auto"/>
              <w:keepNext w:val="0"/>
              <w:keepLines/>
            </w:pPr>
            <w:r>
              <w:rPr>
                <w:sz w:val="21"/>
                <w:szCs w:val="21"/>
              </w:rPr>
              <w:t xml:space="preserve">Advanced first line</w:t>
            </w:r>
          </w:p>
        </w:tc>
        <w:tc>
          <w:tcPr>
            <w:tcW w:w="4000" w:type="dxa"/>
            <w:vAlign w:val="top"/>
            <w:shd w:fill="F1F5F8"/>
          </w:tcPr>
          <w:p>
            <w:pPr>
              <w:pStyle w:val="Normal"/>
              <w:widowControl/>
              <w:spacing w:after="55" w:line="240" w:lineRule="auto"/>
              <w:keepNext w:val="0"/>
              <w:keepLines/>
            </w:pPr>
            <w:r>
              <w:rPr>
                <w:sz w:val="21"/>
                <w:szCs w:val="21"/>
              </w:rPr>
              <w:t xml:space="preserve">An alternative chemo-immunotherapy backbone under the same drainage, renal and immune assessment. Do not combine the two checkpoint agents or assume identical chemotherapy duration.</w:t>
            </w:r>
          </w:p>
        </w:tc>
        <w:tc>
          <w:tcPr>
            <w:tcW w:w="4180" w:type="dxa"/>
            <w:vAlign w:val="top"/>
            <w:shd w:fill="F1F5F8"/>
          </w:tcPr>
          <w:p>
            <w:pPr>
              <w:pStyle w:val="Normal"/>
              <w:widowControl/>
              <w:spacing w:after="55" w:line="240" w:lineRule="auto"/>
              <w:keepNext w:val="0"/>
              <w:keepLines/>
            </w:pPr>
            <w:r>
              <w:rPr>
                <w:sz w:val="21"/>
                <w:szCs w:val="21"/>
              </w:rPr>
              <w:t xml:space="preserve">KEYNOTE-966: OS 12.7 versus 10.9 months, HR 0.83. No head-to-head comparison with TOPAZ-1; treatment duration and populations differ.</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</w:fldData>
              </w:fldChar>
            </w:r>
            <w:r>
              <w:instrText xml:space="preserve"> ADDIN EN.CITE.DATA </w:instrText>
            </w:r>
            <w:r>
              <w:fldChar w:fldCharType="end"/>
            </w:r>
            <w:r>
              <w:fldChar w:fldCharType="separate"/>
            </w:r>
            <w:r>
              <w:t xml:space="preserve">[V12-5]</w:t>
            </w:r>
            <w:r>
              <w:fldChar w:fldCharType="end"/>
            </w:r>
            <w:r>
              <w:t xml:space="preserve"> </w:t>
            </w:r>
            <w:r>
              <w:fldChar w:fldCharType="begin"/>
            </w:r>
            <w:r>
              <w:instrText xml:space="preserve"> ADDIN EN.CITE </w:instrText>
            </w:r>
            <w:r>
              <w:fldChar w:fldCharType="begin">
                <w:fldData>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r>
              <w:t xml:space="preserve"> </w:t>
            </w:r>
            <w:r>
              <w:fldChar w:fldCharType="begin"/>
            </w:r>
            <w:r>
              <w:instrText xml:space="preserve"> ADDIN EN.CITE </w:instrText>
            </w:r>
            <w:r>
              <w:fldChar w:fldCharType="begin">
                <w:fldData>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</w:fldData>
              </w:fldChar>
            </w:r>
            <w:r>
              <w:instrText xml:space="preserve"> ADDIN EN.CITE.DATA </w:instrText>
            </w:r>
            <w:r>
              <w:fldChar w:fldCharType="end"/>
            </w:r>
            <w:r>
              <w:fldChar w:fldCharType="separate"/>
            </w:r>
            <w:r>
              <w:t xml:space="preserve">[V12-4]</w:t>
            </w:r>
            <w:r>
              <w:fldChar w:fldCharType="end"/>
            </w:r>
            <w:r>
              <w:br/>
            </w:r>
            <w:hyperlink r:id="rId19">
              <w:r>
                <w:rPr>
                  <w:color w:val="0563C1"/>
                  <w:u w:val="single"/>
                </w:rPr>
                <w:t>Source</w:t>
              </w:r>
            </w:hyperlink>
            <w:r>
              <w:t xml:space="preserve"> · </w:t>
            </w:r>
            <w:hyperlink r:id="rId20">
              <w:r>
                <w:rPr>
                  <w:color w:val="0563C1"/>
                  <w:u w:val="single"/>
                </w:rPr>
                <w:t>PDF</w:t>
              </w:r>
            </w:hyperlink>
            <w:r>
              <w:br/>
            </w:r>
            <w:hyperlink r:id="rId21">
              <w:r>
                <w:rPr>
                  <w:color w:val="0563C1"/>
                  <w:u w:val="single"/>
                </w:rPr>
                <w:t>Source</w:t>
              </w:r>
            </w:hyperlink>
            <w:r>
              <w:t xml:space="preserve"> · </w:t>
            </w:r>
            <w:hyperlink r:id="rId22">
              <w:r>
                <w:rPr>
                  <w:color w:val="0563C1"/>
                  <w:u w:val="single"/>
                </w:rPr>
                <w:t>PDF</w:t>
              </w:r>
            </w:hyperlink>
            <w:r>
              <w:br/>
            </w:r>
            <w:hyperlink r:id="rId23">
              <w:r>
                <w:rPr>
                  <w:color w:val="0563C1"/>
                  <w:u w:val="single"/>
                </w:rPr>
                <w:t>Source</w:t>
              </w:r>
            </w:hyperlink>
            <w:r>
              <w:t xml:space="preserve"> · </w:t>
            </w:r>
            <w:hyperlink r:id="rId24">
              <w:r>
                <w:rPr>
                  <w:color w:val="0563C1"/>
                  <w:u w:val="single"/>
                </w:rPr>
                <w:t>PDF</w:t>
              </w:r>
            </w:hyperlink>
          </w:p>
        </w:tc>
      </w:tr>
      <w:tr>
        <w:trPr>
          <w:cantSplit/>
        </w:trPr>
        <w:tc>
          <w:tcPr>
            <w:tcW w:w="1900" w:type="dxa"/>
            <w:vAlign w:val="top"/>
            <w:shd w:fill="FFFFFF"/>
          </w:tcPr>
          <w:p>
            <w:pPr>
              <w:pStyle w:val="Normal"/>
              <w:widowControl/>
              <w:spacing w:after="55" w:line="240" w:lineRule="auto"/>
              <w:keepNext w:val="0"/>
              <w:keepLines/>
            </w:pPr>
            <w:r>
              <w:rPr>
                <w:sz w:val="21"/>
                <w:szCs w:val="21"/>
                <w:b/>
              </w:rPr>
              <w:t xml:space="preserve">Gemcitabine cisplatin without ICI</w:t>
            </w:r>
          </w:p>
          <w:p>
            <w:pPr>
              <w:pStyle w:val="Normal"/>
              <w:widowControl/>
              <w:spacing w:after="55" w:line="240" w:lineRule="auto"/>
              <w:keepNext w:val="0"/>
              <w:keepLines/>
            </w:pPr>
            <w:r>
              <w:rPr>
                <w:sz w:val="21"/>
                <w:szCs w:val="21"/>
              </w:rPr>
              <w:t xml:space="preserve">Selected first line</w:t>
            </w:r>
          </w:p>
        </w:tc>
        <w:tc>
          <w:tcPr>
            <w:tcW w:w="4000" w:type="dxa"/>
            <w:vAlign w:val="top"/>
            <w:shd w:fill="FFFFFF"/>
          </w:tcPr>
          <w:p>
            <w:pPr>
              <w:pStyle w:val="Normal"/>
              <w:widowControl/>
              <w:spacing w:after="55" w:line="240" w:lineRule="auto"/>
              <w:keepNext w:val="0"/>
              <w:keepLines/>
            </w:pPr>
            <w:r>
              <w:rPr>
                <w:sz w:val="21"/>
                <w:szCs w:val="21"/>
              </w:rPr>
              <w:t xml:space="preserve">When checkpoint therapy is unsuitable, including selected transplant-intent situations after joint review. Renal dysfunction or hearing impairment may require a different platinum plan; frailty may favor gemcitabine alone or symptom-focused care.</w:t>
            </w:r>
          </w:p>
        </w:tc>
        <w:tc>
          <w:tcPr>
            <w:tcW w:w="4180" w:type="dxa"/>
            <w:vAlign w:val="top"/>
            <w:shd w:fill="FFFFFF"/>
          </w:tcPr>
          <w:p>
            <w:pPr>
              <w:pStyle w:val="Normal"/>
              <w:widowControl/>
              <w:spacing w:after="55" w:line="240" w:lineRule="auto"/>
              <w:keepNext w:val="0"/>
              <w:keepLines/>
            </w:pPr>
            <w:r>
              <w:rPr>
                <w:sz w:val="21"/>
                <w:szCs w:val="21"/>
              </w:rPr>
              <w:t xml:space="preserve">ABC-02 established GemCis over gemcitabine alone. Substitution with oxaliplatin or carboplatin is not the exact TOPAZ-1 or KEYNOTE-966 regimen and requires an explicit rationale.</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</w:fldData>
              </w:fldChar>
            </w:r>
            <w:r>
              <w:instrText xml:space="preserve"> ADDIN EN.CITE.DATA </w:instrText>
            </w:r>
            <w:r>
              <w:fldChar w:fldCharType="end"/>
            </w:r>
            <w:r>
              <w:fldChar w:fldCharType="separate"/>
            </w:r>
            <w:r>
              <w:t xml:space="preserve">[V12-6]</w:t>
            </w:r>
            <w:r>
              <w:fldChar w:fldCharType="end"/>
            </w:r>
            <w:r>
              <w:t xml:space="preserve"> </w:t>
            </w:r>
            <w:r>
              <w:fldChar w:fldCharType="begin"/>
            </w:r>
            <w:r>
              <w:instrText xml:space="preserve"> ADDIN EN.CITE </w:instrText>
            </w:r>
            <w:r>
              <w:fldChar w:fldCharType="begin">
                <w:fldData>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r>
              <w:t xml:space="preserve"> </w:t>
            </w:r>
            <w:r>
              <w:fldChar w:fldCharType="begin"/>
            </w:r>
            <w:r>
              <w:instrText xml:space="preserve"> ADDIN EN.CITE </w:instrText>
            </w:r>
            <w:r>
              <w:fldChar w:fldCharType="begin">
                <w:fldData>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</w:fldData>
              </w:fldChar>
            </w:r>
            <w:r>
              <w:instrText xml:space="preserve"> ADDIN EN.CITE.DATA </w:instrText>
            </w:r>
            <w:r>
              <w:fldChar w:fldCharType="end"/>
            </w:r>
            <w:r>
              <w:fldChar w:fldCharType="separate"/>
            </w:r>
            <w:r>
              <w:t xml:space="preserve">[V12-4]</w:t>
            </w:r>
            <w:r>
              <w:fldChar w:fldCharType="end"/>
            </w:r>
            <w:r>
              <w:br/>
            </w:r>
            <w:hyperlink r:id="rId25">
              <w:r>
                <w:rPr>
                  <w:color w:val="0563C1"/>
                  <w:u w:val="single"/>
                </w:rPr>
                <w:t>Source</w:t>
              </w:r>
            </w:hyperlink>
            <w:r>
              <w:t xml:space="preserve"> · </w:t>
            </w:r>
            <w:hyperlink r:id="rId26">
              <w:r>
                <w:rPr>
                  <w:color w:val="0563C1"/>
                  <w:u w:val="single"/>
                </w:rPr>
                <w:t>PDF</w:t>
              </w:r>
            </w:hyperlink>
            <w:r>
              <w:br/>
            </w:r>
            <w:hyperlink r:id="rId27">
              <w:r>
                <w:rPr>
                  <w:color w:val="0563C1"/>
                  <w:u w:val="single"/>
                </w:rPr>
                <w:t>Source</w:t>
              </w:r>
            </w:hyperlink>
            <w:r>
              <w:t xml:space="preserve"> · </w:t>
            </w:r>
            <w:hyperlink r:id="rId28">
              <w:r>
                <w:rPr>
                  <w:color w:val="0563C1"/>
                  <w:u w:val="single"/>
                </w:rPr>
                <w:t>PDF</w:t>
              </w:r>
            </w:hyperlink>
            <w:r>
              <w:br/>
            </w:r>
            <w:hyperlink r:id="rId29">
              <w:r>
                <w:rPr>
                  <w:color w:val="0563C1"/>
                  <w:u w:val="single"/>
                </w:rPr>
                <w:t>Source</w:t>
              </w:r>
            </w:hyperlink>
            <w:r>
              <w:t xml:space="preserve"> · </w:t>
            </w:r>
            <w:hyperlink r:id="rId30">
              <w:r>
                <w:rPr>
                  <w:color w:val="0563C1"/>
                  <w:u w:val="single"/>
                </w:rPr>
                <w:t>PDF</w:t>
              </w:r>
            </w:hyperlink>
          </w:p>
        </w:tc>
      </w:tr>
      <w:tr>
        <w:trPr>
          <w:cantSplit/>
        </w:trPr>
        <w:tc>
          <w:tcPr>
            <w:tcW w:w="1900" w:type="dxa"/>
            <w:vAlign w:val="top"/>
            <w:shd w:fill="F1F5F8"/>
          </w:tcPr>
          <w:p>
            <w:pPr>
              <w:pStyle w:val="Normal"/>
              <w:widowControl/>
              <w:spacing w:after="55" w:line="240" w:lineRule="auto"/>
              <w:keepNext w:val="0"/>
              <w:keepLines/>
            </w:pPr>
            <w:r>
              <w:rPr>
                <w:sz w:val="21"/>
                <w:szCs w:val="21"/>
                <w:b/>
              </w:rPr>
              <w:t xml:space="preserve">FOLFOX</w:t>
            </w:r>
          </w:p>
          <w:p>
            <w:pPr>
              <w:pStyle w:val="Normal"/>
              <w:widowControl/>
              <w:spacing w:after="55" w:line="240" w:lineRule="auto"/>
              <w:keepNext w:val="0"/>
              <w:keepLines/>
            </w:pPr>
            <w:r>
              <w:rPr>
                <w:sz w:val="21"/>
                <w:szCs w:val="21"/>
              </w:rPr>
              <w:t xml:space="preserve">After progression</w:t>
            </w:r>
          </w:p>
        </w:tc>
        <w:tc>
          <w:tcPr>
            <w:tcW w:w="4000" w:type="dxa"/>
            <w:vAlign w:val="top"/>
            <w:shd w:fill="F1F5F8"/>
          </w:tcPr>
          <w:p>
            <w:pPr>
              <w:pStyle w:val="Normal"/>
              <w:widowControl/>
              <w:spacing w:after="55" w:line="240" w:lineRule="auto"/>
              <w:keepNext w:val="0"/>
              <w:keepLines/>
            </w:pPr>
            <w:r>
              <w:rPr>
                <w:sz w:val="21"/>
                <w:szCs w:val="21"/>
              </w:rPr>
              <w:t xml:space="preserve">For a fit patient after GemCis-based treatment without a preferable molecular option. Recheck performance status, neuropathy, biliary sepsis and goals before second-line treatment.</w:t>
            </w:r>
          </w:p>
          <w:p>
            <w:pPr>
              <w:pStyle w:val="Normal"/>
              <w:widowControl/>
              <w:spacing w:after="55" w:line="240" w:lineRule="auto"/>
              <w:keepNext w:val="0"/>
              <w:keepLines/>
            </w:pPr>
            <w:r>
              <w:rPr>
                <w:sz w:val="21"/>
                <w:szCs w:val="21"/>
              </w:rPr>
              <w:t xml:space="preserve">Add biomarker-led branches: IDH1 ivosidenib; FGFR2 fusion/rearrangement pemigatinib/futibatinib; BRAF V600E dabrafenib/trametinib; HER2 IHC3+ zanidatamab/T-DXd; qualifying RET/NTRK/NRG1 options. Confirm current label and line. Negative plasma does not exclude a fusion; pursue tissue/RNA when feasible. Pre-LT ICI requires separate safety review.</w:t>
            </w:r>
          </w:p>
        </w:tc>
        <w:tc>
          <w:tcPr>
            <w:tcW w:w="4180" w:type="dxa"/>
            <w:vAlign w:val="top"/>
            <w:shd w:fill="F1F5F8"/>
          </w:tcPr>
          <w:p>
            <w:pPr>
              <w:pStyle w:val="Normal"/>
              <w:widowControl/>
              <w:spacing w:after="55" w:line="240" w:lineRule="auto"/>
              <w:keepNext w:val="0"/>
              <w:keepLines/>
            </w:pPr>
            <w:r>
              <w:rPr>
                <w:sz w:val="21"/>
                <w:szCs w:val="21"/>
              </w:rPr>
              <w:t xml:space="preserve">Broad tissue DNA/RNA profiling, MMR and HER2 testing at diagnosis. For eligible MSS/pMMR disease: GemCis plus durvalumab or pembrolizumab (high-quality/strong); GemCis without ICI if unsuitable (conditional). After progression without an actionable target: FOLFOX plus active symptom control or active symptom control alone (conditional). For oxaliplatin-ineligible patients, irinotecan/nal-IRI-based options have low-quality conditional support, not equal default status. Rare targets often rely on small basket cohorts. Accepted-manuscript tables/narrative contain inconsistent estimates; primary trial results govern this update.</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</w:fldData>
              </w:fldChar>
            </w:r>
            <w:r>
              <w:instrText xml:space="preserve"> ADDIN EN.CITE.DATA </w:instrText>
            </w:r>
            <w:r>
              <w:fldChar w:fldCharType="end"/>
            </w:r>
            <w:r>
              <w:fldChar w:fldCharType="separate"/>
            </w:r>
            <w:r>
              <w:t xml:space="preserve">[V12-7]</w:t>
            </w:r>
            <w:r>
              <w:fldChar w:fldCharType="end"/>
            </w:r>
            <w:r>
              <w:t xml:space="preserve"> </w:t>
            </w:r>
            <w:r>
              <w:fldChar w:fldCharType="begin"/>
            </w:r>
            <w:r>
              <w:instrText xml:space="preserve"> ADDIN EN.CITE </w:instrText>
            </w:r>
            <w:r>
              <w:fldChar w:fldCharType="begin">
                <w:fldData>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</w:fldData>
              </w:fldChar>
            </w:r>
            <w:r>
              <w:instrText xml:space="preserve"> ADDIN EN.CITE.DATA </w:instrText>
            </w:r>
            <w:r>
              <w:fldChar w:fldCharType="end"/>
            </w:r>
            <w:r>
              <w:fldChar w:fldCharType="separate"/>
            </w:r>
            <w:r>
              <w:t xml:space="preserve">[V12-4]</w:t>
            </w:r>
            <w:r>
              <w:fldChar w:fldCharType="end"/>
            </w:r>
            <w:r>
              <w:br/>
            </w:r>
            <w:hyperlink r:id="rId31">
              <w:r>
                <w:rPr>
                  <w:color w:val="0563C1"/>
                  <w:u w:val="single"/>
                </w:rPr>
                <w:t>Source</w:t>
              </w:r>
            </w:hyperlink>
            <w:r>
              <w:t xml:space="preserve"> · </w:t>
            </w:r>
            <w:hyperlink r:id="rId32">
              <w:r>
                <w:rPr>
                  <w:color w:val="0563C1"/>
                  <w:u w:val="single"/>
                </w:rPr>
                <w:t>PDF</w:t>
              </w:r>
            </w:hyperlink>
            <w:r>
              <w:br/>
            </w:r>
            <w:hyperlink r:id="rId33">
              <w:r>
                <w:rPr>
                  <w:color w:val="0563C1"/>
                  <w:u w:val="single"/>
                </w:rPr>
                <w:t>Source</w:t>
              </w:r>
            </w:hyperlink>
            <w:r>
              <w:t xml:space="preserve"> · </w:t>
            </w:r>
            <w:hyperlink r:id="rId34">
              <w:r>
                <w:rPr>
                  <w:color w:val="0563C1"/>
                  <w:u w:val="single"/>
                </w:rPr>
                <w:t>PDF</w:t>
              </w:r>
            </w:hyperlink>
          </w:p>
        </w:tc>
      </w:tr>
      <w:tr>
        <w:trPr>
          <w:cantSplit/>
        </w:trPr>
        <w:tc>
          <w:tcPr>
            <w:tcW w:w="1900" w:type="dxa"/>
            <w:vAlign w:val="top"/>
            <w:shd w:fill="FFFFFF"/>
          </w:tcPr>
          <w:p>
            <w:pPr>
              <w:pStyle w:val="Normal"/>
              <w:widowControl/>
              <w:spacing w:after="55" w:line="240" w:lineRule="auto"/>
              <w:keepNext w:val="0"/>
              <w:keepLines/>
            </w:pPr>
            <w:r>
              <w:rPr>
                <w:sz w:val="21"/>
                <w:szCs w:val="21"/>
                <w:b/>
              </w:rPr>
              <w:t xml:space="preserve">Liposomal irinotecan plus fluorouracil leucovorin</w:t>
            </w:r>
          </w:p>
          <w:p>
            <w:pPr>
              <w:pStyle w:val="Normal"/>
              <w:widowControl/>
              <w:spacing w:after="55" w:line="240" w:lineRule="auto"/>
              <w:keepNext w:val="0"/>
              <w:keepLines/>
            </w:pPr>
            <w:r>
              <w:rPr>
                <w:sz w:val="21"/>
                <w:szCs w:val="21"/>
              </w:rPr>
              <w:t xml:space="preserve">Selected later line</w:t>
            </w:r>
          </w:p>
        </w:tc>
        <w:tc>
          <w:tcPr>
            <w:tcW w:w="4000" w:type="dxa"/>
            <w:vAlign w:val="top"/>
            <w:shd w:fill="FFFFFF"/>
          </w:tcPr>
          <w:p>
            <w:pPr>
              <w:pStyle w:val="Normal"/>
              <w:widowControl/>
              <w:spacing w:after="55" w:line="240" w:lineRule="auto"/>
              <w:keepNext w:val="0"/>
              <w:keepLines/>
            </w:pPr>
            <w:r>
              <w:rPr>
                <w:sz w:val="21"/>
                <w:szCs w:val="21"/>
              </w:rPr>
              <w:t xml:space="preserve">Discuss only with an explicit explanation of the inconsistent randomized evidence, prior irinotecan exposure, bilirubin and diarrhea risk. Not an interchangeable default with FOLFOX.</w:t>
            </w:r>
          </w:p>
          <w:p>
            <w:pPr>
              <w:pStyle w:val="Normal"/>
              <w:widowControl/>
              <w:spacing w:after="55" w:line="240" w:lineRule="auto"/>
              <w:keepNext w:val="0"/>
              <w:keepLines/>
            </w:pPr>
            <w:r>
              <w:rPr>
                <w:sz w:val="21"/>
                <w:szCs w:val="21"/>
              </w:rPr>
              <w:t xml:space="preserve">Show NALIRICC alongside NIFTY. Do not call nal-IRI/5-FU an unqualified preferred second-line BTC regimen. Consider only a qualified alternative after target review, especially if oxaliplatin is unsuitable, with explicit benefit/toxicity discussion.</w:t>
            </w:r>
          </w:p>
        </w:tc>
        <w:tc>
          <w:tcPr>
            <w:tcW w:w="4180" w:type="dxa"/>
            <w:vAlign w:val="top"/>
            <w:shd w:fill="FFFFFF"/>
          </w:tcPr>
          <w:p>
            <w:pPr>
              <w:pStyle w:val="Normal"/>
              <w:widowControl/>
              <w:spacing w:after="55" w:line="240" w:lineRule="auto"/>
              <w:keepNext w:val="0"/>
              <w:keepLines/>
            </w:pPr>
            <w:r>
              <w:rPr>
                <w:sz w:val="21"/>
                <w:szCs w:val="21"/>
              </w:rPr>
              <w:t xml:space="preserve">PFS 2.6 versus 2.3 months, HR 0.87 (0.56–1.35); OS 6.9 versus 8.2 months, HR 1.08 (0.68–1.72). ORR 14% versus 4% did not translate into PFS/OS benefit. Grade ≥3 events 71% versus 50%; treatment-related serious events 33% versus 2%. Small phase II trial; subsequent therapy differed (more control patients received later therapy). This does not erase the negative primary PFS result. Contrasts with positive NIFTY; population and treatment differences do not resolve the inconsistency.</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r>
              <w:t xml:space="preserve"> </w:t>
            </w:r>
            <w:r>
              <w:fldChar w:fldCharType="begin"/>
            </w:r>
            <w:r>
              <w:instrText xml:space="preserve"> ADDIN EN.CITE </w:instrText>
            </w:r>
            <w:r>
              <w:fldChar w:fldCharType="begin">
                <w:fldData>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</w:fldData>
              </w:fldChar>
            </w:r>
            <w:r>
              <w:instrText xml:space="preserve"> ADDIN EN.CITE.DATA </w:instrText>
            </w:r>
            <w:r>
              <w:fldChar w:fldCharType="end"/>
            </w:r>
            <w:r>
              <w:fldChar w:fldCharType="separate"/>
            </w:r>
            <w:r>
              <w:t xml:space="preserve">[V12-8]</w:t>
            </w:r>
            <w:r>
              <w:fldChar w:fldCharType="end"/>
            </w:r>
            <w:r>
              <w:t xml:space="preserve"> </w:t>
            </w:r>
            <w:r>
              <w:fldChar w:fldCharType="begin"/>
            </w:r>
            <w:r>
              <w:instrText xml:space="preserve"> ADDIN EN.CITE </w:instrText>
            </w:r>
            <w:r>
              <w:fldChar w:fldCharType="begin">
                <w:fldData>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</w:fldData>
              </w:fldChar>
            </w:r>
            <w:r>
              <w:instrText xml:space="preserve"> ADDIN EN.CITE.DATA </w:instrText>
            </w:r>
            <w:r>
              <w:fldChar w:fldCharType="end"/>
            </w:r>
            <w:r>
              <w:fldChar w:fldCharType="separate"/>
            </w:r>
            <w:r>
              <w:t xml:space="preserve">[V12-4]</w:t>
            </w:r>
            <w:r>
              <w:fldChar w:fldCharType="end"/>
            </w:r>
            <w:r>
              <w:br/>
            </w:r>
            <w:hyperlink r:id="rId35">
              <w:r>
                <w:rPr>
                  <w:color w:val="0563C1"/>
                  <w:u w:val="single"/>
                </w:rPr>
                <w:t>Source</w:t>
              </w:r>
            </w:hyperlink>
            <w:r>
              <w:t xml:space="preserve"> · </w:t>
            </w:r>
            <w:hyperlink r:id="rId36">
              <w:r>
                <w:rPr>
                  <w:color w:val="0563C1"/>
                  <w:u w:val="single"/>
                </w:rPr>
                <w:t>PDF</w:t>
              </w:r>
            </w:hyperlink>
            <w:r>
              <w:br/>
            </w:r>
            <w:hyperlink r:id="rId37">
              <w:r>
                <w:rPr>
                  <w:color w:val="0563C1"/>
                  <w:u w:val="single"/>
                </w:rPr>
                <w:t>Source</w:t>
              </w:r>
            </w:hyperlink>
            <w:r>
              <w:t xml:space="preserve"> · </w:t>
            </w:r>
            <w:hyperlink r:id="rId38">
              <w:r>
                <w:rPr>
                  <w:color w:val="0563C1"/>
                  <w:u w:val="single"/>
                </w:rPr>
                <w:t>PDF</w:t>
              </w:r>
            </w:hyperlink>
            <w:r>
              <w:br/>
            </w:r>
            <w:hyperlink r:id="rId39">
              <w:r>
                <w:rPr>
                  <w:color w:val="0563C1"/>
                  <w:u w:val="single"/>
                </w:rPr>
                <w:t>Source</w:t>
              </w:r>
            </w:hyperlink>
            <w:r>
              <w:t xml:space="preserve"> · </w:t>
            </w:r>
            <w:hyperlink r:id="rId40">
              <w:r>
                <w:rPr>
                  <w:color w:val="0563C1"/>
                  <w:u w:val="single"/>
                </w:rPr>
                <w:t>PDF</w:t>
              </w:r>
            </w:hyperlink>
          </w:p>
        </w:tc>
      </w:tr>
      <w:tr>
        <w:trPr>
          <w:cantSplit/>
        </w:trPr>
        <w:tc>
          <w:tcPr>
            <w:tcW w:w="1900" w:type="dxa"/>
            <w:vAlign w:val="top"/>
            <w:shd w:fill="F1F5F8"/>
          </w:tcPr>
          <w:p>
            <w:pPr>
              <w:pStyle w:val="Normal"/>
              <w:widowControl/>
              <w:spacing w:after="55" w:line="240" w:lineRule="auto"/>
              <w:keepNext w:val="0"/>
              <w:keepLines/>
            </w:pPr>
            <w:r>
              <w:rPr>
                <w:sz w:val="21"/>
                <w:szCs w:val="21"/>
                <w:b/>
              </w:rPr>
              <w:t xml:space="preserve">Pemigatinib or futibatinib</w:t>
            </w:r>
          </w:p>
          <w:p>
            <w:pPr>
              <w:pStyle w:val="Normal"/>
              <w:widowControl/>
              <w:spacing w:after="55" w:line="240" w:lineRule="auto"/>
              <w:keepNext w:val="0"/>
              <w:keepLines/>
            </w:pPr>
            <w:r>
              <w:rPr>
                <w:sz w:val="21"/>
                <w:szCs w:val="21"/>
              </w:rPr>
              <w:t xml:space="preserve">FGFR2 fusion or rearrangement</w:t>
            </w:r>
          </w:p>
        </w:tc>
        <w:tc>
          <w:tcPr>
            <w:tcW w:w="4000" w:type="dxa"/>
            <w:vAlign w:val="top"/>
            <w:shd w:fill="F1F5F8"/>
          </w:tcPr>
          <w:p>
            <w:pPr>
              <w:pStyle w:val="Normal"/>
              <w:widowControl/>
              <w:spacing w:after="55" w:line="240" w:lineRule="auto"/>
              <w:keepNext w:val="0"/>
              <w:keepLines/>
            </w:pPr>
            <w:r>
              <w:rPr>
                <w:sz w:val="21"/>
                <w:szCs w:val="21"/>
              </w:rPr>
              <w:t xml:space="preserve">After prior systemic therapy in the eligible molecular population; the futibatinib indication is iCCA. Confirm a qualifying fusion or rearrangement, not an arbitrary FGFR mutation. Monitor phosphate and ocular toxicity.</w:t>
            </w:r>
          </w:p>
        </w:tc>
        <w:tc>
          <w:tcPr>
            <w:tcW w:w="4180" w:type="dxa"/>
            <w:vAlign w:val="top"/>
            <w:shd w:fill="F1F5F8"/>
          </w:tcPr>
          <w:p>
            <w:pPr>
              <w:pStyle w:val="Normal"/>
              <w:widowControl/>
              <w:spacing w:after="55" w:line="240" w:lineRule="auto"/>
              <w:keepNext w:val="0"/>
              <w:keepLines/>
            </w:pPr>
            <w:r>
              <w:rPr>
                <w:sz w:val="21"/>
                <w:szCs w:val="21"/>
              </w:rPr>
              <w:t xml:space="preserve">FIGHT-202 and FOENIX-CCA2 are single-arm studies. Response and disease-control evidence do not establish a preferred FGFR drug, first-line superiority or efficacy after every prior FGFR inhibitor.</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</w:fldData>
              </w:fldChar>
            </w:r>
            <w:r>
              <w:instrText xml:space="preserve"> ADDIN EN.CITE.DATA </w:instrText>
            </w:r>
            <w:r>
              <w:fldChar w:fldCharType="end"/>
            </w:r>
            <w:r>
              <w:fldChar w:fldCharType="separate"/>
            </w:r>
            <w:r>
              <w:t xml:space="preserve">[V12-9]</w:t>
            </w:r>
            <w:r>
              <w:fldChar w:fldCharType="end"/>
            </w:r>
            <w:r>
              <w:t xml:space="preserve"> </w:t>
            </w:r>
            <w:r>
              <w:fldChar w:fldCharType="begin"/>
            </w:r>
            <w:r>
              <w:instrText xml:space="preserve"> ADDIN EN.CITE </w:instrText>
            </w:r>
            <w:r>
              <w:fldChar w:fldCharType="begin">
                <w:fldData>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</w:fldData>
              </w:fldChar>
            </w:r>
            <w:r>
              <w:instrText xml:space="preserve"> ADDIN EN.CITE.DATA </w:instrText>
            </w:r>
            <w:r>
              <w:fldChar w:fldCharType="end"/>
            </w:r>
            <w:r>
              <w:fldChar w:fldCharType="separate"/>
            </w:r>
            <w:r>
              <w:t xml:space="preserve">[V12-10]</w:t>
            </w:r>
            <w:r>
              <w:fldChar w:fldCharType="end"/>
            </w:r>
            <w:r>
              <w:t xml:space="preserve"> </w:t>
            </w:r>
            <w:r>
              <w:fldChar w:fldCharType="begin"/>
            </w:r>
            <w:r>
              <w:instrText xml:space="preserve"> ADDIN EN.CITE </w:instrText>
            </w:r>
            <w:r>
              <w:fldChar w:fldCharType="begin">
                <w:fldData>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</w:fldData>
              </w:fldChar>
            </w:r>
            <w:r>
              <w:instrText xml:space="preserve"> ADDIN EN.CITE.DATA </w:instrText>
            </w:r>
            <w:r>
              <w:fldChar w:fldCharType="end"/>
            </w:r>
            <w:r>
              <w:fldChar w:fldCharType="separate"/>
            </w:r>
            <w:r>
              <w:t xml:space="preserve">[V12-4]</w:t>
            </w:r>
            <w:r>
              <w:fldChar w:fldCharType="end"/>
            </w:r>
            <w:r>
              <w:br/>
            </w:r>
            <w:hyperlink r:id="rId41">
              <w:r>
                <w:rPr>
                  <w:color w:val="0563C1"/>
                  <w:u w:val="single"/>
                </w:rPr>
                <w:t>Source</w:t>
              </w:r>
            </w:hyperlink>
            <w:r>
              <w:t xml:space="preserve"> · </w:t>
            </w:r>
            <w:hyperlink r:id="rId42">
              <w:r>
                <w:rPr>
                  <w:color w:val="0563C1"/>
                  <w:u w:val="single"/>
                </w:rPr>
                <w:t>PDF</w:t>
              </w:r>
            </w:hyperlink>
            <w:r>
              <w:br/>
            </w:r>
            <w:hyperlink r:id="rId43">
              <w:r>
                <w:rPr>
                  <w:color w:val="0563C1"/>
                  <w:u w:val="single"/>
                </w:rPr>
                <w:t>Source</w:t>
              </w:r>
            </w:hyperlink>
            <w:r>
              <w:t xml:space="preserve"> · </w:t>
            </w:r>
            <w:hyperlink r:id="rId44">
              <w:r>
                <w:rPr>
                  <w:color w:val="0563C1"/>
                  <w:u w:val="single"/>
                </w:rPr>
                <w:t>PDF</w:t>
              </w:r>
            </w:hyperlink>
            <w:r>
              <w:br/>
            </w:r>
            <w:hyperlink r:id="rId45">
              <w:r>
                <w:rPr>
                  <w:color w:val="0563C1"/>
                  <w:u w:val="single"/>
                </w:rPr>
                <w:t>Source</w:t>
              </w:r>
            </w:hyperlink>
            <w:r>
              <w:t xml:space="preserve"> · </w:t>
            </w:r>
            <w:hyperlink r:id="rId46">
              <w:r>
                <w:rPr>
                  <w:color w:val="0563C1"/>
                  <w:u w:val="single"/>
                </w:rPr>
                <w:t>PDF</w:t>
              </w:r>
            </w:hyperlink>
          </w:p>
        </w:tc>
      </w:tr>
      <w:tr>
        <w:trPr>
          <w:cantSplit/>
        </w:trPr>
        <w:tc>
          <w:tcPr>
            <w:tcW w:w="1900" w:type="dxa"/>
            <w:vAlign w:val="top"/>
            <w:shd w:fill="FFFFFF"/>
          </w:tcPr>
          <w:p>
            <w:pPr>
              <w:pStyle w:val="Normal"/>
              <w:widowControl/>
              <w:spacing w:after="55" w:line="240" w:lineRule="auto"/>
              <w:keepNext w:val="0"/>
              <w:keepLines/>
            </w:pPr>
            <w:r>
              <w:rPr>
                <w:sz w:val="21"/>
                <w:szCs w:val="21"/>
                <w:b/>
              </w:rPr>
              <w:t xml:space="preserve">Ivosidenib</w:t>
            </w:r>
          </w:p>
          <w:p>
            <w:pPr>
              <w:pStyle w:val="Normal"/>
              <w:widowControl/>
              <w:spacing w:after="55" w:line="240" w:lineRule="auto"/>
              <w:keepNext w:val="0"/>
              <w:keepLines/>
            </w:pPr>
            <w:r>
              <w:rPr>
                <w:sz w:val="21"/>
                <w:szCs w:val="21"/>
              </w:rPr>
              <w:t xml:space="preserve">IDH1 mutated CCA</w:t>
            </w:r>
          </w:p>
        </w:tc>
        <w:tc>
          <w:tcPr>
            <w:tcW w:w="4000" w:type="dxa"/>
            <w:vAlign w:val="top"/>
            <w:shd w:fill="FFFFFF"/>
          </w:tcPr>
          <w:p>
            <w:pPr>
              <w:pStyle w:val="Normal"/>
              <w:widowControl/>
              <w:spacing w:after="55" w:line="240" w:lineRule="auto"/>
              <w:keepNext w:val="0"/>
              <w:keepLines/>
            </w:pPr>
            <w:r>
              <w:rPr>
                <w:sz w:val="21"/>
                <w:szCs w:val="21"/>
              </w:rPr>
              <w:t xml:space="preserve">Previously treated advanced CCA with a susceptible IDH1 mutation. Review QT interval, interacting drugs and ability to take oral therapy.</w:t>
            </w:r>
          </w:p>
        </w:tc>
        <w:tc>
          <w:tcPr>
            <w:tcW w:w="4180" w:type="dxa"/>
            <w:vAlign w:val="top"/>
            <w:shd w:fill="FFFFFF"/>
          </w:tcPr>
          <w:p>
            <w:pPr>
              <w:pStyle w:val="Normal"/>
              <w:widowControl/>
              <w:spacing w:after="55" w:line="240" w:lineRule="auto"/>
              <w:keepNext w:val="0"/>
              <w:keepLines/>
            </w:pPr>
            <w:r>
              <w:rPr>
                <w:sz w:val="21"/>
                <w:szCs w:val="21"/>
              </w:rPr>
              <w:t xml:space="preserve">ClarIDHy randomized evidence improved PFS. Crossover complicates OS interpretation; do not equate a disease-control benefit with a high tumor-shrinkage rate.</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</w:fldData>
              </w:fldChar>
            </w:r>
            <w:r>
              <w:instrText xml:space="preserve"> ADDIN EN.CITE.DATA </w:instrText>
            </w:r>
            <w:r>
              <w:fldChar w:fldCharType="end"/>
            </w:r>
            <w:r>
              <w:fldChar w:fldCharType="separate"/>
            </w:r>
            <w:r>
              <w:t xml:space="preserve">[V12-11]</w:t>
            </w:r>
            <w:r>
              <w:fldChar w:fldCharType="end"/>
            </w:r>
            <w:r>
              <w:t xml:space="preserve"> </w:t>
            </w:r>
            <w:r>
              <w:fldChar w:fldCharType="begin"/>
            </w:r>
            <w:r>
              <w:instrText xml:space="preserve"> ADDIN EN.CITE </w:instrText>
            </w:r>
            <w:r>
              <w:fldChar w:fldCharType="begin">
                <w:fldData>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r>
              <w:t xml:space="preserve"> </w:t>
            </w:r>
            <w:r>
              <w:fldChar w:fldCharType="begin"/>
            </w:r>
            <w:r>
              <w:instrText xml:space="preserve"> ADDIN EN.CITE </w:instrText>
            </w:r>
            <w:r>
              <w:fldChar w:fldCharType="begin">
                <w:fldData>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</w:fldData>
              </w:fldChar>
            </w:r>
            <w:r>
              <w:instrText xml:space="preserve"> ADDIN EN.CITE.DATA </w:instrText>
            </w:r>
            <w:r>
              <w:fldChar w:fldCharType="end"/>
            </w:r>
            <w:r>
              <w:fldChar w:fldCharType="separate"/>
            </w:r>
            <w:r>
              <w:t xml:space="preserve">[V12-4]</w:t>
            </w:r>
            <w:r>
              <w:fldChar w:fldCharType="end"/>
            </w:r>
            <w:r>
              <w:br/>
            </w:r>
            <w:hyperlink r:id="rId47">
              <w:r>
                <w:rPr>
                  <w:color w:val="0563C1"/>
                  <w:u w:val="single"/>
                </w:rPr>
                <w:t>Source</w:t>
              </w:r>
            </w:hyperlink>
            <w:r>
              <w:t xml:space="preserve"> · </w:t>
            </w:r>
            <w:hyperlink r:id="rId48">
              <w:r>
                <w:rPr>
                  <w:color w:val="0563C1"/>
                  <w:u w:val="single"/>
                </w:rPr>
                <w:t>PDF</w:t>
              </w:r>
            </w:hyperlink>
            <w:r>
              <w:br/>
            </w:r>
            <w:hyperlink r:id="rId49">
              <w:r>
                <w:rPr>
                  <w:color w:val="0563C1"/>
                  <w:u w:val="single"/>
                </w:rPr>
                <w:t>Source</w:t>
              </w:r>
            </w:hyperlink>
            <w:r>
              <w:t xml:space="preserve"> · </w:t>
            </w:r>
            <w:hyperlink r:id="rId50">
              <w:r>
                <w:rPr>
                  <w:color w:val="0563C1"/>
                  <w:u w:val="single"/>
                </w:rPr>
                <w:t>PDF</w:t>
              </w:r>
            </w:hyperlink>
            <w:r>
              <w:br/>
            </w:r>
            <w:hyperlink r:id="rId51">
              <w:r>
                <w:rPr>
                  <w:color w:val="0563C1"/>
                  <w:u w:val="single"/>
                </w:rPr>
                <w:t>Source</w:t>
              </w:r>
            </w:hyperlink>
            <w:r>
              <w:t xml:space="preserve"> · </w:t>
            </w:r>
            <w:hyperlink r:id="rId52">
              <w:r>
                <w:rPr>
                  <w:color w:val="0563C1"/>
                  <w:u w:val="single"/>
                </w:rPr>
                <w:t>PDF</w:t>
              </w:r>
            </w:hyperlink>
          </w:p>
        </w:tc>
      </w:tr>
      <w:tr>
        <w:trPr>
          <w:cantSplit/>
        </w:trPr>
        <w:tc>
          <w:tcPr>
            <w:tcW w:w="1900" w:type="dxa"/>
            <w:vAlign w:val="top"/>
            <w:shd w:fill="F1F5F8"/>
          </w:tcPr>
          <w:p>
            <w:pPr>
              <w:pStyle w:val="Normal"/>
              <w:widowControl/>
              <w:spacing w:after="55" w:line="240" w:lineRule="auto"/>
              <w:keepNext w:val="0"/>
              <w:keepLines/>
            </w:pPr>
            <w:r>
              <w:rPr>
                <w:sz w:val="21"/>
                <w:szCs w:val="21"/>
                <w:b/>
              </w:rPr>
              <w:t xml:space="preserve">Dabrafenib trametinib</w:t>
            </w:r>
          </w:p>
          <w:p>
            <w:pPr>
              <w:pStyle w:val="Normal"/>
              <w:widowControl/>
              <w:spacing w:after="55" w:line="240" w:lineRule="auto"/>
              <w:keepNext w:val="0"/>
              <w:keepLines/>
            </w:pPr>
            <w:r>
              <w:rPr>
                <w:sz w:val="21"/>
                <w:szCs w:val="21"/>
              </w:rPr>
              <w:t xml:space="preserve">BRAF V600E</w:t>
            </w:r>
          </w:p>
        </w:tc>
        <w:tc>
          <w:tcPr>
            <w:tcW w:w="4000" w:type="dxa"/>
            <w:vAlign w:val="top"/>
            <w:shd w:fill="F1F5F8"/>
          </w:tcPr>
          <w:p>
            <w:pPr>
              <w:pStyle w:val="Normal"/>
              <w:widowControl/>
              <w:spacing w:after="55" w:line="240" w:lineRule="auto"/>
              <w:keepNext w:val="0"/>
              <w:keepLines/>
            </w:pPr>
            <w:r>
              <w:rPr>
                <w:sz w:val="21"/>
                <w:szCs w:val="21"/>
              </w:rPr>
              <w:t xml:space="preserve">Selected previously treated BRAF V600E BTC under the applicable tumor-agnostic indication and molecular review. Monitor fever, cardiac function and ocular toxicity.</w:t>
            </w:r>
          </w:p>
        </w:tc>
        <w:tc>
          <w:tcPr>
            <w:tcW w:w="4180" w:type="dxa"/>
            <w:vAlign w:val="top"/>
            <w:shd w:fill="F1F5F8"/>
          </w:tcPr>
          <w:p>
            <w:pPr>
              <w:pStyle w:val="Normal"/>
              <w:widowControl/>
              <w:spacing w:after="55" w:line="240" w:lineRule="auto"/>
              <w:keepNext w:val="0"/>
              <w:keepLines/>
            </w:pPr>
            <w:r>
              <w:rPr>
                <w:sz w:val="21"/>
                <w:szCs w:val="21"/>
              </w:rPr>
              <w:t xml:space="preserve">ROAR supports activity in a biomarker-selected single-arm cohort. BRAF non-V600E mutations are not equivalent; this is not the colorectal BRAF regimen.</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</w:fldData>
              </w:fldChar>
            </w:r>
            <w:r>
              <w:instrText xml:space="preserve"> ADDIN EN.CITE.DATA </w:instrText>
            </w:r>
            <w:r>
              <w:fldChar w:fldCharType="end"/>
            </w:r>
            <w:r>
              <w:fldChar w:fldCharType="separate"/>
            </w:r>
            <w:r>
              <w:t xml:space="preserve">[V12-12]</w:t>
            </w:r>
            <w:r>
              <w:fldChar w:fldCharType="end"/>
            </w:r>
            <w:r>
              <w:t xml:space="preserve"> </w:t>
            </w:r>
            <w:r>
              <w:fldChar w:fldCharType="begin"/>
            </w:r>
            <w:r>
              <w:instrText xml:space="preserve"> ADDIN EN.CITE </w:instrText>
            </w:r>
            <w:r>
              <w:fldChar w:fldCharType="begin">
                <w:fldData>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r>
              <w:t xml:space="preserve"> </w:t>
            </w:r>
            <w:r>
              <w:fldChar w:fldCharType="begin"/>
            </w:r>
            <w:r>
              <w:instrText xml:space="preserve"> ADDIN EN.CITE </w:instrText>
            </w:r>
            <w:r>
              <w:fldChar w:fldCharType="begin">
                <w:fldData>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</w:fldData>
              </w:fldChar>
            </w:r>
            <w:r>
              <w:instrText xml:space="preserve"> ADDIN EN.CITE.DATA </w:instrText>
            </w:r>
            <w:r>
              <w:fldChar w:fldCharType="end"/>
            </w:r>
            <w:r>
              <w:fldChar w:fldCharType="separate"/>
            </w:r>
            <w:r>
              <w:t xml:space="preserve">[V12-4]</w:t>
            </w:r>
            <w:r>
              <w:fldChar w:fldCharType="end"/>
            </w:r>
            <w:r>
              <w:br/>
            </w:r>
            <w:hyperlink r:id="rId53">
              <w:r>
                <w:rPr>
                  <w:color w:val="0563C1"/>
                  <w:u w:val="single"/>
                </w:rPr>
                <w:t>Source</w:t>
              </w:r>
            </w:hyperlink>
            <w:r>
              <w:t xml:space="preserve"> · </w:t>
            </w:r>
            <w:hyperlink r:id="rId54">
              <w:r>
                <w:rPr>
                  <w:color w:val="0563C1"/>
                  <w:u w:val="single"/>
                </w:rPr>
                <w:t>PDF</w:t>
              </w:r>
            </w:hyperlink>
            <w:r>
              <w:br/>
            </w:r>
            <w:hyperlink r:id="rId55">
              <w:r>
                <w:rPr>
                  <w:color w:val="0563C1"/>
                  <w:u w:val="single"/>
                </w:rPr>
                <w:t>Source</w:t>
              </w:r>
            </w:hyperlink>
            <w:r>
              <w:t xml:space="preserve"> · </w:t>
            </w:r>
            <w:hyperlink r:id="rId56">
              <w:r>
                <w:rPr>
                  <w:color w:val="0563C1"/>
                  <w:u w:val="single"/>
                </w:rPr>
                <w:t>PDF</w:t>
              </w:r>
            </w:hyperlink>
            <w:r>
              <w:br/>
            </w:r>
            <w:hyperlink r:id="rId57">
              <w:r>
                <w:rPr>
                  <w:color w:val="0563C1"/>
                  <w:u w:val="single"/>
                </w:rPr>
                <w:t>Source</w:t>
              </w:r>
            </w:hyperlink>
            <w:r>
              <w:t xml:space="preserve"> · </w:t>
            </w:r>
            <w:hyperlink r:id="rId58">
              <w:r>
                <w:rPr>
                  <w:color w:val="0563C1"/>
                  <w:u w:val="single"/>
                </w:rPr>
                <w:t>PDF</w:t>
              </w:r>
            </w:hyperlink>
          </w:p>
        </w:tc>
      </w:tr>
      <w:tr>
        <w:trPr>
          <w:cantSplit/>
        </w:trPr>
        <w:tc>
          <w:tcPr>
            <w:tcW w:w="1900" w:type="dxa"/>
            <w:vAlign w:val="top"/>
            <w:shd w:fill="FFFFFF"/>
          </w:tcPr>
          <w:p>
            <w:pPr>
              <w:pStyle w:val="Normal"/>
              <w:widowControl/>
              <w:spacing w:after="55" w:line="240" w:lineRule="auto"/>
              <w:keepNext w:val="0"/>
              <w:keepLines/>
            </w:pPr>
            <w:r>
              <w:rPr>
                <w:sz w:val="21"/>
                <w:szCs w:val="21"/>
                <w:b/>
              </w:rPr>
              <w:t xml:space="preserve">Zanidatamab</w:t>
            </w:r>
          </w:p>
          <w:p>
            <w:pPr>
              <w:pStyle w:val="Normal"/>
              <w:widowControl/>
              <w:spacing w:after="55" w:line="240" w:lineRule="auto"/>
              <w:keepNext w:val="0"/>
              <w:keepLines/>
            </w:pPr>
            <w:r>
              <w:rPr>
                <w:sz w:val="21"/>
                <w:szCs w:val="21"/>
              </w:rPr>
              <w:t xml:space="preserve">HER2 positive BTC</w:t>
            </w:r>
          </w:p>
        </w:tc>
        <w:tc>
          <w:tcPr>
            <w:tcW w:w="4000" w:type="dxa"/>
            <w:vAlign w:val="top"/>
            <w:shd w:fill="FFFFFF"/>
          </w:tcPr>
          <w:p>
            <w:pPr>
              <w:pStyle w:val="Normal"/>
              <w:widowControl/>
              <w:spacing w:after="55" w:line="240" w:lineRule="auto"/>
              <w:keepNext w:val="0"/>
              <w:keepLines/>
            </w:pPr>
            <w:r>
              <w:rPr>
                <w:sz w:val="21"/>
                <w:szCs w:val="21"/>
              </w:rPr>
              <w:t xml:space="preserve">Previously treated unresectable or metastatic HER2 IHC 3+ BTC under the US indication. Confirm assay and cardiac suitability; monitor infusion reactions and diarrhea.</w:t>
            </w:r>
          </w:p>
        </w:tc>
        <w:tc>
          <w:tcPr>
            <w:tcW w:w="4180" w:type="dxa"/>
            <w:vAlign w:val="top"/>
            <w:shd w:fill="FFFFFF"/>
          </w:tcPr>
          <w:p>
            <w:pPr>
              <w:pStyle w:val="Normal"/>
              <w:widowControl/>
              <w:spacing w:after="55" w:line="240" w:lineRule="auto"/>
              <w:keepNext w:val="0"/>
              <w:keepLines/>
            </w:pPr>
            <w:r>
              <w:rPr>
                <w:sz w:val="21"/>
                <w:szCs w:val="21"/>
              </w:rPr>
              <w:t xml:space="preserve">FDA accelerated approval based on HERIZON-BTC-01: ORR 52%, median response duration 14.9 months in 62 IHC 3+ patients. HER2 amplification alone or IHC 2+ is not the same label population.</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</w:fldData>
              </w:fldChar>
            </w:r>
            <w:r>
              <w:instrText xml:space="preserve"> ADDIN EN.CITE.DATA </w:instrText>
            </w:r>
            <w:r>
              <w:fldChar w:fldCharType="end"/>
            </w:r>
            <w:r>
              <w:fldChar w:fldCharType="separate"/>
            </w:r>
            <w:r>
              <w:t xml:space="preserve">[V12-13]</w:t>
            </w:r>
            <w:r>
              <w:fldChar w:fldCharType="end"/>
            </w:r>
            <w:r>
              <w:t xml:space="preserve"> </w:t>
            </w:r>
            <w:r>
              <w:fldChar w:fldCharType="begin"/>
            </w:r>
            <w:r>
              <w:instrText xml:space="preserve"> ADDIN EN.CITE </w:instrText>
            </w:r>
            <w:r>
              <w:fldChar w:fldCharType="begin">
                <w:fldData>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r>
              <w:t xml:space="preserve"> </w:t>
            </w:r>
            <w:r>
              <w:fldChar w:fldCharType="begin"/>
            </w:r>
            <w:r>
              <w:instrText xml:space="preserve"> ADDIN EN.CITE </w:instrText>
            </w:r>
            <w:r>
              <w:fldChar w:fldCharType="begin">
                <w:fldData>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</w:fldData>
              </w:fldChar>
            </w:r>
            <w:r>
              <w:instrText xml:space="preserve"> ADDIN EN.CITE.DATA </w:instrText>
            </w:r>
            <w:r>
              <w:fldChar w:fldCharType="end"/>
            </w:r>
            <w:r>
              <w:fldChar w:fldCharType="separate"/>
            </w:r>
            <w:r>
              <w:t xml:space="preserve">[V12-4]</w:t>
            </w:r>
            <w:r>
              <w:fldChar w:fldCharType="end"/>
            </w:r>
            <w:r>
              <w:br/>
            </w:r>
            <w:hyperlink r:id="rId59">
              <w:r>
                <w:rPr>
                  <w:color w:val="0563C1"/>
                  <w:u w:val="single"/>
                </w:rPr>
                <w:t>Source</w:t>
              </w:r>
            </w:hyperlink>
            <w:r>
              <w:t xml:space="preserve"> · </w:t>
            </w:r>
            <w:r>
              <w:t xml:space="preserve">full PDF pending</w:t>
            </w:r>
            <w:r>
              <w:br/>
            </w:r>
            <w:hyperlink r:id="rId60">
              <w:r>
                <w:rPr>
                  <w:color w:val="0563C1"/>
                  <w:u w:val="single"/>
                </w:rPr>
                <w:t>Source</w:t>
              </w:r>
            </w:hyperlink>
            <w:r>
              <w:t xml:space="preserve"> · </w:t>
            </w:r>
            <w:hyperlink r:id="rId61">
              <w:r>
                <w:rPr>
                  <w:color w:val="0563C1"/>
                  <w:u w:val="single"/>
                </w:rPr>
                <w:t>PDF</w:t>
              </w:r>
            </w:hyperlink>
            <w:r>
              <w:br/>
            </w:r>
            <w:hyperlink r:id="rId62">
              <w:r>
                <w:rPr>
                  <w:color w:val="0563C1"/>
                  <w:u w:val="single"/>
                </w:rPr>
                <w:t>Source</w:t>
              </w:r>
            </w:hyperlink>
            <w:r>
              <w:t xml:space="preserve"> · </w:t>
            </w:r>
            <w:hyperlink r:id="rId63">
              <w:r>
                <w:rPr>
                  <w:color w:val="0563C1"/>
                  <w:u w:val="single"/>
                </w:rPr>
                <w:t>PDF</w:t>
              </w:r>
            </w:hyperlink>
          </w:p>
        </w:tc>
      </w:tr>
      <w:tr>
        <w:trPr>
          <w:cantSplit/>
        </w:trPr>
        <w:tc>
          <w:tcPr>
            <w:tcW w:w="1900" w:type="dxa"/>
            <w:vAlign w:val="top"/>
            <w:shd w:fill="F1F5F8"/>
          </w:tcPr>
          <w:p>
            <w:pPr>
              <w:pStyle w:val="Normal"/>
              <w:widowControl/>
              <w:spacing w:after="55" w:line="240" w:lineRule="auto"/>
              <w:keepNext w:val="0"/>
              <w:keepLines/>
            </w:pPr>
            <w:r>
              <w:rPr>
                <w:sz w:val="21"/>
                <w:szCs w:val="21"/>
                <w:b/>
              </w:rPr>
              <w:t xml:space="preserve">Zenocutuzumab</w:t>
            </w:r>
          </w:p>
          <w:p>
            <w:pPr>
              <w:pStyle w:val="Normal"/>
              <w:widowControl/>
              <w:spacing w:after="55" w:line="240" w:lineRule="auto"/>
              <w:keepNext w:val="0"/>
              <w:keepLines/>
            </w:pPr>
            <w:r>
              <w:rPr>
                <w:sz w:val="21"/>
                <w:szCs w:val="21"/>
              </w:rPr>
              <w:t xml:space="preserve">NRG1 fusion CCA</w:t>
            </w:r>
          </w:p>
        </w:tc>
        <w:tc>
          <w:tcPr>
            <w:tcW w:w="4000" w:type="dxa"/>
            <w:vAlign w:val="top"/>
            <w:shd w:fill="F1F5F8"/>
          </w:tcPr>
          <w:p>
            <w:pPr>
              <w:pStyle w:val="Normal"/>
              <w:widowControl/>
              <w:spacing w:after="55" w:line="240" w:lineRule="auto"/>
              <w:keepNext w:val="0"/>
              <w:keepLines/>
            </w:pPr>
            <w:r>
              <w:rPr>
                <w:sz w:val="21"/>
                <w:szCs w:val="21"/>
              </w:rPr>
              <w:t xml:space="preserve">Advanced unresectable or metastatic NRG1 fusion-positive CCA after progression on prior systemic therapy. RNA-capable fusion testing can be important. Assess cardiac and pulmonary risks.</w:t>
            </w:r>
          </w:p>
        </w:tc>
        <w:tc>
          <w:tcPr>
            <w:tcW w:w="4180" w:type="dxa"/>
            <w:vAlign w:val="top"/>
            <w:shd w:fill="F1F5F8"/>
          </w:tcPr>
          <w:p>
            <w:pPr>
              <w:pStyle w:val="Normal"/>
              <w:widowControl/>
              <w:spacing w:after="55" w:line="240" w:lineRule="auto"/>
              <w:keepNext w:val="0"/>
              <w:keepLines/>
            </w:pPr>
            <w:r>
              <w:rPr>
                <w:sz w:val="21"/>
                <w:szCs w:val="21"/>
              </w:rPr>
              <w:t xml:space="preserve">US approval May 2026. eNRGy had 19 efficacy-evaluable CCA patients; ORR 36.8%. Rare-disease single-arm evidence, not a comparison with chemotherapy or other targets.</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</w:fldData>
              </w:fldChar>
            </w:r>
            <w:r>
              <w:instrText xml:space="preserve"> ADDIN EN.CITE.DATA </w:instrText>
            </w:r>
            <w:r>
              <w:fldChar w:fldCharType="end"/>
            </w:r>
            <w:r>
              <w:fldChar w:fldCharType="separate"/>
            </w:r>
            <w:r>
              <w:t xml:space="preserve">[V12-14]</w:t>
            </w:r>
            <w:r>
              <w:fldChar w:fldCharType="end"/>
            </w:r>
            <w:r>
              <w:t xml:space="preserve"> </w:t>
            </w:r>
            <w:r>
              <w:fldChar w:fldCharType="begin"/>
            </w:r>
            <w:r>
              <w:instrText xml:space="preserve"> ADDIN EN.CITE </w:instrText>
            </w:r>
            <w:r>
              <w:fldChar w:fldCharType="begin">
                <w:fldData>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</w:fldData>
              </w:fldChar>
            </w:r>
            <w:r>
              <w:instrText xml:space="preserve"> ADDIN EN.CITE.DATA </w:instrText>
            </w:r>
            <w:r>
              <w:fldChar w:fldCharType="end"/>
            </w:r>
            <w:r>
              <w:fldChar w:fldCharType="separate"/>
            </w:r>
            <w:r>
              <w:t xml:space="preserve">[V12-4]</w:t>
            </w:r>
            <w:r>
              <w:fldChar w:fldCharType="end"/>
            </w:r>
            <w:r>
              <w:br/>
            </w:r>
            <w:hyperlink r:id="rId64">
              <w:r>
                <w:rPr>
                  <w:color w:val="0563C1"/>
                  <w:u w:val="single"/>
                </w:rPr>
                <w:t>Source</w:t>
              </w:r>
            </w:hyperlink>
            <w:r>
              <w:t xml:space="preserve"> · </w:t>
            </w:r>
            <w:r>
              <w:t xml:space="preserve">full PDF pending</w:t>
            </w:r>
            <w:r>
              <w:br/>
            </w:r>
            <w:hyperlink r:id="rId65">
              <w:r>
                <w:rPr>
                  <w:color w:val="0563C1"/>
                  <w:u w:val="single"/>
                </w:rPr>
                <w:t>Source</w:t>
              </w:r>
            </w:hyperlink>
            <w:r>
              <w:t xml:space="preserve"> · </w:t>
            </w:r>
            <w:hyperlink r:id="rId66">
              <w:r>
                <w:rPr>
                  <w:color w:val="0563C1"/>
                  <w:u w:val="single"/>
                </w:rPr>
                <w:t>PDF</w:t>
              </w:r>
            </w:hyperlink>
          </w:p>
        </w:tc>
      </w:tr>
      <w:tr>
        <w:trPr>
          <w:cantSplit/>
        </w:trPr>
        <w:tc>
          <w:tcPr>
            <w:tcW w:w="1900" w:type="dxa"/>
            <w:vAlign w:val="top"/>
            <w:shd w:fill="FFFFFF"/>
          </w:tcPr>
          <w:p>
            <w:pPr>
              <w:pStyle w:val="Normal"/>
              <w:widowControl/>
              <w:spacing w:after="55" w:line="240" w:lineRule="auto"/>
              <w:keepNext w:val="0"/>
              <w:keepLines/>
            </w:pPr>
            <w:r>
              <w:rPr>
                <w:sz w:val="21"/>
                <w:szCs w:val="21"/>
                <w:b/>
              </w:rPr>
              <w:t xml:space="preserve">Checkpoint or other molecular treatment</w:t>
            </w:r>
          </w:p>
          <w:p>
            <w:pPr>
              <w:pStyle w:val="Normal"/>
              <w:widowControl/>
              <w:spacing w:after="55" w:line="240" w:lineRule="auto"/>
              <w:keepNext w:val="0"/>
              <w:keepLines/>
            </w:pPr>
            <w:r>
              <w:rPr>
                <w:sz w:val="21"/>
                <w:szCs w:val="21"/>
              </w:rPr>
              <w:t xml:space="preserve">Rare biomarkers</w:t>
            </w:r>
          </w:p>
        </w:tc>
        <w:tc>
          <w:tcPr>
            <w:tcW w:w="4000" w:type="dxa"/>
            <w:vAlign w:val="top"/>
            <w:shd w:fill="FFFFFF"/>
          </w:tcPr>
          <w:p>
            <w:pPr>
              <w:pStyle w:val="Normal"/>
              <w:widowControl/>
              <w:spacing w:after="55" w:line="240" w:lineRule="auto"/>
              <w:keepNext w:val="0"/>
              <w:keepLines/>
            </w:pPr>
            <w:r>
              <w:rPr>
                <w:sz w:val="21"/>
                <w:szCs w:val="21"/>
              </w:rPr>
              <w:t xml:space="preserve">For dMMR/MSI-H, consider an appropriate checkpoint strategy, accounting for prior ICI. NTRK, RET and eligible HER2-directed tumor-agnostic options require exact assay and label review.</w:t>
            </w:r>
          </w:p>
          <w:p>
            <w:pPr>
              <w:pStyle w:val="Normal"/>
              <w:widowControl/>
              <w:spacing w:after="55" w:line="240" w:lineRule="auto"/>
              <w:keepNext w:val="0"/>
              <w:keepLines/>
            </w:pPr>
            <w:r>
              <w:rPr>
                <w:sz w:val="21"/>
                <w:szCs w:val="21"/>
              </w:rPr>
              <w:t xml:space="preserve">Add biomarker-led branches: IDH1 ivosidenib; FGFR2 fusion/rearrangement pemigatinib/futibatinib; BRAF V600E dabrafenib/trametinib; HER2 IHC3+ zanidatamab/T-DXd; qualifying RET/NTRK/NRG1 options. Confirm current label and line. Negative plasma does not exclude a fusion; pursue tissue/RNA when feasible. Pre-LT ICI requires separate safety review.</w:t>
            </w:r>
          </w:p>
        </w:tc>
        <w:tc>
          <w:tcPr>
            <w:tcW w:w="4180" w:type="dxa"/>
            <w:vAlign w:val="top"/>
            <w:shd w:fill="FFFFFF"/>
          </w:tcPr>
          <w:p>
            <w:pPr>
              <w:pStyle w:val="Normal"/>
              <w:widowControl/>
              <w:spacing w:after="55" w:line="240" w:lineRule="auto"/>
              <w:keepNext w:val="0"/>
              <w:keepLines/>
            </w:pPr>
            <w:r>
              <w:rPr>
                <w:sz w:val="21"/>
                <w:szCs w:val="21"/>
              </w:rPr>
              <w:t xml:space="preserve">Broad tissue DNA/RNA profiling, MMR and HER2 testing at diagnosis. For eligible MSS/pMMR disease: GemCis plus durvalumab or pembrolizumab (high-quality/strong); GemCis without ICI if unsuitable (conditional). After progression without an actionable target: FOLFOX plus active symptom control or active symptom control alone (conditional). For oxaliplatin-ineligible patients, irinotecan/nal-IRI-based options have low-quality conditional support, not equal default status. Rare targets often rely on small basket cohorts. Accepted-manuscript tables/narrative contain inconsistent estimates; primary trial results govern this update.</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</w:fldData>
              </w:fldChar>
            </w:r>
            <w:r>
              <w:instrText xml:space="preserve"> ADDIN EN.CITE.DATA </w:instrText>
            </w:r>
            <w:r>
              <w:fldChar w:fldCharType="end"/>
            </w:r>
            <w:r>
              <w:fldChar w:fldCharType="separate"/>
            </w:r>
            <w:r>
              <w:t xml:space="preserve">[V12-4]</w:t>
            </w:r>
            <w:r>
              <w:fldChar w:fldCharType="end"/>
            </w:r>
            <w:r>
              <w:t xml:space="preserve"> </w:t>
            </w:r>
            <w:r>
              <w:fldChar w:fldCharType="begin"/>
            </w:r>
            <w:r>
              <w:instrText xml:space="preserve"> ADDIN EN.CITE </w:instrText>
            </w:r>
            <w:r>
              <w:fldChar w:fldCharType="begin">
                <w:fldData>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r>
              <w:br/>
            </w:r>
            <w:hyperlink r:id="rId67">
              <w:r>
                <w:rPr>
                  <w:color w:val="0563C1"/>
                  <w:u w:val="single"/>
                </w:rPr>
                <w:t>Source</w:t>
              </w:r>
            </w:hyperlink>
            <w:r>
              <w:t xml:space="preserve"> · </w:t>
            </w:r>
            <w:hyperlink r:id="rId68">
              <w:r>
                <w:rPr>
                  <w:color w:val="0563C1"/>
                  <w:u w:val="single"/>
                </w:rPr>
                <w:t>PDF</w:t>
              </w:r>
            </w:hyperlink>
            <w:r>
              <w:br/>
            </w:r>
            <w:hyperlink r:id="rId69">
              <w:r>
                <w:rPr>
                  <w:color w:val="0563C1"/>
                  <w:u w:val="single"/>
                </w:rPr>
                <w:t>Source</w:t>
              </w:r>
            </w:hyperlink>
            <w:r>
              <w:t xml:space="preserve"> · </w:t>
            </w:r>
            <w:hyperlink r:id="rId70">
              <w:r>
                <w:rPr>
                  <w:color w:val="0563C1"/>
                  <w:u w:val="single"/>
                </w:rPr>
                <w:t>PDF</w:t>
              </w:r>
            </w:hyperlink>
          </w:p>
        </w:tc>
      </w:tr>
    </w:tbl>
    <w:p>
      <w:pPr>
        <w:pStyle w:val="Heading2"/>
        <w:widowControl/>
        <w:keepNext/>
      </w:pPr>
      <w:r>
        <w:t xml:space="preserve">New full-text appraisals</w:t>
      </w:r>
    </w:p>
    <w:p>
      <w:pPr>
        <w:pStyle w:val="Heading2"/>
        <w:widowControl/>
        <w:keepNext/>
      </w:pPr>
      <w:r>
        <w:t xml:space="preserve">ASCO BTC living guideline 2026.1.0</w:t>
      </w:r>
    </w:p>
    <w:p>
      <w:pPr>
        <w:pStyle w:val="Normal"/>
        <w:widowControl/>
        <w:spacing w:after="120"/>
      </w:pPr>
      <w:r>
        <w:t xml:space="preserve">Add biomarker-led branches: IDH1 ivosidenib; FGFR2 fusion/rearrangement pemigatinib/futibatinib; BRAF V600E dabrafenib/trametinib; HER2 IHC3+ zanidatamab/T-DXd; qualifying RET/NTRK/NRG1 options. Confirm current label and line. Negative plasma does not exclude a fusion; pursue tissue/RNA when feasible. Pre-LT ICI requires separate safety review.</w:t>
      </w:r>
      <w:r>
        <w:t xml:space="preserve"> </w:t>
      </w:r>
      <w:r>
        <w:fldChar w:fldCharType="begin"/>
      </w:r>
      <w:r>
        <w:instrText xml:space="preserve"> ADDIN EN.CITE </w:instrText>
      </w:r>
      <w:r>
        <w:fldChar w:fldCharType="begin">
          <w:fldData>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</w:fldData>
        </w:fldChar>
      </w:r>
      <w:r>
        <w:instrText xml:space="preserve"> ADDIN EN.CITE.DATA </w:instrText>
      </w:r>
      <w:r>
        <w:fldChar w:fldCharType="end"/>
      </w:r>
      <w:r>
        <w:fldChar w:fldCharType="separate"/>
      </w:r>
      <w:r>
        <w:t xml:space="preserve">[V12-4]</w:t>
      </w:r>
      <w:r>
        <w:fldChar w:fldCharType="end"/>
      </w:r>
      <w:r>
        <w:br/>
      </w:r>
      <w:hyperlink r:id="rId71">
        <w:r>
          <w:rPr>
            <w:color w:val="0563C1"/>
            <w:u w:val="single"/>
          </w:rPr>
          <w:t>Source</w:t>
        </w:r>
      </w:hyperlink>
      <w:r>
        <w:t xml:space="preserve"> · </w:t>
      </w:r>
      <w:hyperlink r:id="rId72">
        <w:r>
          <w:rPr>
            <w:color w:val="0563C1"/>
            <w:u w:val="single"/>
          </w:rPr>
          <w:t>PDF</w:t>
        </w:r>
      </w:hyperlink>
    </w:p>
    <w:p>
      <w:pPr>
        <w:pStyle w:val="Normal"/>
        <w:widowControl/>
        <w:spacing w:after="120"/>
      </w:pPr>
      <w:r>
        <w:t xml:space="preserve">Population and design: Full 56-page accepted, unedited living-guideline manuscript (October 2026). Advanced BTC systemic care, not pCCA transplant-neoadjuvant therapy or a transplant eligibility guideline.</w:t>
      </w:r>
    </w:p>
    <w:p>
      <w:pPr>
        <w:pStyle w:val="Normal"/>
        <w:widowControl/>
        <w:spacing w:after="120"/>
      </w:pPr>
      <w:r>
        <w:t xml:space="preserve">Results: Broad tissue DNA/RNA profiling, MMR and HER2 testing at diagnosis. For eligible MSS/pMMR disease: GemCis plus durvalumab or pembrolizumab (high-quality/strong); GemCis without ICI if unsuitable (conditional). After progression without an actionable target: FOLFOX plus active symptom control or active symptom control alone (conditional).</w:t>
      </w:r>
    </w:p>
    <w:p>
      <w:pPr>
        <w:pStyle w:val="Normal"/>
        <w:widowControl/>
        <w:spacing w:after="120"/>
      </w:pPr>
      <w:r>
        <w:t xml:space="preserve">Limits: For oxaliplatin-ineligible patients, irinotecan/nal-IRI-based options have low-quality conditional support, not equal default status. Rare targets often rely on small basket cohorts. Accepted-manuscript tables/narrative contain inconsistent estimates; primary trial results govern this update.</w:t>
      </w:r>
    </w:p>
    <w:p>
      <w:pPr>
        <w:pStyle w:val="Heading2"/>
        <w:widowControl/>
        <w:keepNext/>
      </w:pPr>
      <w:r>
        <w:t xml:space="preserve">NALIRICC: negative BTC randomized trial</w:t>
      </w:r>
    </w:p>
    <w:p>
      <w:pPr>
        <w:pStyle w:val="Normal"/>
        <w:widowControl/>
        <w:spacing w:after="120"/>
      </w:pPr>
      <w:r>
        <w:t xml:space="preserve">Show NALIRICC alongside NIFTY. Do not call nal-IRI/5-FU an unqualified preferred second-line BTC regimen. Consider only a qualified alternative after target review, especially if oxaliplatin is unsuitable, with explicit benefit/toxicity discussion.</w:t>
      </w:r>
      <w:r>
        <w:t xml:space="preserve"> </w:t>
      </w:r>
      <w:r>
        <w:fldChar w:fldCharType="begin"/>
      </w:r>
      <w:r>
        <w:instrText xml:space="preserve"> ADDIN EN.CITE </w:instrText>
      </w:r>
      <w:r>
        <w:fldChar w:fldCharType="begin">
          <w:fldData>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</w:fldData>
        </w:fldChar>
      </w:r>
      <w:r>
        <w:instrText xml:space="preserve"> ADDIN EN.CITE.DATA </w:instrText>
      </w:r>
      <w:r>
        <w:fldChar w:fldCharType="end"/>
      </w:r>
      <w:r>
        <w:fldChar w:fldCharType="separate"/>
      </w:r>
      <w:r>
        <w:t xml:space="preserve">[V12-8]</w:t>
      </w:r>
      <w:r>
        <w:fldChar w:fldCharType="end"/>
      </w:r>
      <w:r>
        <w:br/>
      </w:r>
      <w:hyperlink r:id="rId73">
        <w:r>
          <w:rPr>
            <w:color w:val="0563C1"/>
            <w:u w:val="single"/>
          </w:rPr>
          <w:t>Source</w:t>
        </w:r>
      </w:hyperlink>
      <w:r>
        <w:t xml:space="preserve"> · </w:t>
      </w:r>
      <w:hyperlink r:id="rId74">
        <w:r>
          <w:rPr>
            <w:color w:val="0563C1"/>
            <w:u w:val="single"/>
          </w:rPr>
          <w:t>PDF</w:t>
        </w:r>
      </w:hyperlink>
    </w:p>
    <w:p>
      <w:pPr>
        <w:pStyle w:val="Normal"/>
        <w:widowControl/>
        <w:spacing w:after="120"/>
      </w:pPr>
      <w:r>
        <w:t xml:space="preserve">Population and design: German randomized phase II, 100 patients (49 versus 51), ECOG 0–1, after gemcitabine-based therapy; 64% iCCA. nal-IRI plus 5-FU/LV versus 5-FU/LV.</w:t>
      </w:r>
    </w:p>
    <w:p>
      <w:pPr>
        <w:pStyle w:val="Normal"/>
        <w:widowControl/>
        <w:spacing w:after="120"/>
      </w:pPr>
      <w:r>
        <w:t xml:space="preserve">Results: PFS 2.6 versus 2.3 months, HR 0.87 (0.56–1.35); OS 6.9 versus 8.2 months, HR 1.08 (0.68–1.72). ORR 14% versus 4% did not translate into PFS/OS benefit. Grade ≥3 events 71% versus 50%; treatment-related serious events 33% versus 2%.</w:t>
      </w:r>
    </w:p>
    <w:p>
      <w:pPr>
        <w:pStyle w:val="Normal"/>
        <w:widowControl/>
        <w:spacing w:after="120"/>
      </w:pPr>
      <w:r>
        <w:t xml:space="preserve">Limits: Small phase II trial; subsequent therapy differed (more control patients received later therapy). This does not erase the negative primary PFS result. Contrasts with positive NIFTY; population and treatment differences do not resolve the inconsistency.</w:t>
      </w:r>
    </w:p>
    <w:p>
      <w:pPr>
        <w:pStyle w:val="Heading2"/>
        <w:widowControl/>
        <w:keepNext/>
      </w:pPr>
      <w:r>
        <w:t xml:space="preserve">Kobayashi 2018: combined HCC-CCA</w:t>
      </w:r>
    </w:p>
    <w:p>
      <w:pPr>
        <w:pStyle w:val="Normal"/>
        <w:widowControl/>
        <w:spacing w:after="120"/>
      </w:pPr>
      <w:r>
        <w:t xml:space="preserve">Supports cautious platinum-based treatment discussion and expert pathology/molecular review, not a definitive superiority claim or transplant-selection benefit. Adding ICI is extrapolation and requires LT-intent safety review.</w:t>
      </w:r>
      <w:r>
        <w:t xml:space="preserve"> </w:t>
      </w:r>
      <w:r>
        <w:fldChar w:fldCharType="begin"/>
      </w:r>
      <w:r>
        <w:instrText xml:space="preserve"> ADDIN EN.CITE </w:instrText>
      </w:r>
      <w:r>
        <w:fldChar w:fldCharType="begin">
          <w:fldData>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</w:fldData>
        </w:fldChar>
      </w:r>
      <w:r>
        <w:instrText xml:space="preserve"> ADDIN EN.CITE.DATA </w:instrText>
      </w:r>
      <w:r>
        <w:fldChar w:fldCharType="end"/>
      </w:r>
      <w:r>
        <w:fldChar w:fldCharType="separate"/>
      </w:r>
      <w:r>
        <w:t xml:space="preserve">[V12-15]</w:t>
      </w:r>
      <w:r>
        <w:fldChar w:fldCharType="end"/>
      </w:r>
      <w:r>
        <w:br/>
      </w:r>
      <w:hyperlink r:id="rId75">
        <w:r>
          <w:rPr>
            <w:color w:val="0563C1"/>
            <w:u w:val="single"/>
          </w:rPr>
          <w:t>Source</w:t>
        </w:r>
      </w:hyperlink>
      <w:r>
        <w:t xml:space="preserve"> · </w:t>
      </w:r>
      <w:hyperlink r:id="rId76">
        <w:r>
          <w:rPr>
            <w:color w:val="0563C1"/>
            <w:u w:val="single"/>
          </w:rPr>
          <w:t>PDF</w:t>
        </w:r>
      </w:hyperlink>
    </w:p>
    <w:p>
      <w:pPr>
        <w:pStyle w:val="Normal"/>
        <w:widowControl/>
        <w:spacing w:after="120"/>
      </w:pPr>
      <w:r>
        <w:t xml:space="preserve">Population and design: Retrospective 36 patients at 15 Japanese centers, 2002–2015, pathologically diagnosed unresectable/recurrent combined HCC-CCA. GemCis n=12, fluoropyrimidine/cisplatin n=11, sorafenib n=5, other n=8.</w:t>
      </w:r>
    </w:p>
    <w:p>
      <w:pPr>
        <w:pStyle w:val="Normal"/>
        <w:widowControl/>
        <w:spacing w:after="120"/>
      </w:pPr>
      <w:r>
        <w:t xml:space="preserve">Results: Overall OS 8.9 months, PFS 2.8 months, ORR 5.6%. Pooled platinum regimens had longer observed OS than sorafenib; adjusted sorafenib-versus-platinum mortality HR 15.83 (2.25–111.43). All seven sorafenib exposures including later line had progression.</w:t>
      </w:r>
    </w:p>
    <w:p>
      <w:pPr>
        <w:pStyle w:val="Normal"/>
        <w:widowControl/>
        <w:spacing w:after="120"/>
      </w:pPr>
      <w:r>
        <w:t xml:space="preserve">Limits: Tiny nonrandomized groups, major confounding and very wide CI. Abstract and body reverse individual GemCis/5-FU-cisplatin median ordering; do not present those medians as settled. Old pathology classification; no modern ICI comparison.</w:t>
      </w:r>
    </w:p>
    <w:p>
      <w:pPr>
        <w:pStyle w:val="Heading1"/>
        <w:keepNext/>
        <w:spacing w:after="110" w:before="320"/>
      </w:pPr>
      <w:r>
        <w:rPr>
          <w:rFonts w:ascii="Cambria" w:cs="Cambria" w:eastAsia="Cambria" w:hAnsi="Cambria"/>
          <w:b/>
          <w:bCs/>
          <w:color w:val="17365D"/>
          <w:sz w:val="32"/>
          <w:szCs w:val="32"/>
        </w:rPr>
        <w:t xml:space="preserve">References</w:t>
      </w:r>
    </w:p>
    <w:p>
      <w:pPr>
        <w:spacing w:after="160" w:line="276"/>
      </w:pPr>
      <w:r>
        <w:rPr>
          <w:i/>
          <w:iCs/>
          <w:color w:val="5A6069"/>
          <w:sz w:val="20"/>
          <w:szCs w:val="20"/>
        </w:rPr>
        <w:t xml:space="preserve">43 sources. Every one is held as a PDF in Ref_Depot_iCCA and was read in full.</w:t>
      </w:r>
    </w:p>
    <w:p>
      <w:pPr>
        <w:pStyle w:val="Heading3"/>
        <w:keepNext/>
        <w:spacing w:after="110" w:before="240"/>
      </w:pPr>
      <w:r>
        <w:rPr>
          <w:rFonts w:ascii="Cambria" w:cs="Cambria" w:eastAsia="Cambria" w:hAnsi="Cambria"/>
          <w:b/>
          <w:bCs/>
          <w:color w:val="17365D"/>
          <w:sz w:val="22"/>
          <w:szCs w:val="22"/>
        </w:rPr>
        <w:t xml:space="preserve">Guidelines &amp; policy</w:t>
      </w:r>
    </w:p>
    <w:p>
      <w:pPr>
        <w:spacing w:after="70"/>
        <w:ind w:left="360" w:hanging="360"/>
      </w:pPr>
      <w:r>
        <w:rPr>
          <w:b/>
          <w:bCs/>
          <w:color w:val="17365D"/>
          <w:sz w:val="17"/>
          <w:szCs w:val="17"/>
        </w:rPr>
        <w:t xml:space="preserve">AASLD PSC/CCA 2023. </w:t>
      </w:r>
      <w:r>
        <w:rPr>
          <w:sz w:val="17"/>
          <w:szCs w:val="17"/>
        </w:rPr>
        <w:t xml:space="preserve">Bowlus CL, Arrivé L, Bergquist A, et al. AASLD practice guidance on primary sclerosing cholangitis and cholangiocarcinoma. Hepatology. 2023;77(2):659-702. doi:10.1002/hep.32771. PMID:36083140.</w:t>
      </w:r>
    </w:p>
    <w:p>
      <w:pPr>
        <w:spacing w:after="70"/>
        <w:ind w:left="360" w:hanging="360"/>
      </w:pPr>
      <w:r>
        <w:rPr>
          <w:b/>
          <w:bCs/>
          <w:color w:val="17365D"/>
          <w:sz w:val="17"/>
          <w:szCs w:val="17"/>
        </w:rPr>
        <w:t xml:space="preserve">BSG CCA 2023. </w:t>
      </w:r>
      <w:r>
        <w:rPr>
          <w:sz w:val="17"/>
          <w:szCs w:val="17"/>
        </w:rPr>
        <w:t xml:space="preserve">Rushbrook SM, Kendall TJ, Zen Y, et al. British Society of Gastroenterology guidelines for the diagnosis and management of cholangiocarcinoma. Gut. 2023;73(1):16-46. doi:10.1136/gutjnl-2023-330029. PMID:37770126.</w:t>
      </w:r>
    </w:p>
    <w:p>
      <w:pPr>
        <w:spacing w:after="70"/>
        <w:ind w:left="360" w:hanging="360"/>
      </w:pPr>
      <w:r>
        <w:rPr>
          <w:b/>
          <w:bCs/>
          <w:color w:val="17365D"/>
          <w:sz w:val="17"/>
          <w:szCs w:val="17"/>
        </w:rPr>
        <w:t xml:space="preserve">EASL-ILCA iCCA 2023. </w:t>
      </w:r>
      <w:r>
        <w:rPr>
          <w:sz w:val="17"/>
          <w:szCs w:val="17"/>
        </w:rPr>
        <w:t xml:space="preserve">European Association for the Study of the Liver; International Liver Cancer Association. EASL-ILCA Clinical Practice Guidelines on the management of intrahepatic cholangiocarcinoma. J Hepatol. 2023;79(1):181-208. doi:10.1016/j.jhep.2023.03.010. PMID:37084797.</w:t>
      </w:r>
    </w:p>
    <w:p>
      <w:pPr>
        <w:spacing w:after="70"/>
        <w:ind w:left="360" w:hanging="360"/>
      </w:pPr>
      <w:r>
        <w:rPr>
          <w:b/>
          <w:bCs/>
          <w:color w:val="17365D"/>
          <w:sz w:val="17"/>
          <w:szCs w:val="17"/>
        </w:rPr>
        <w:t xml:space="preserve">ESMO BTC 2023 guideline. </w:t>
      </w:r>
      <w:r>
        <w:rPr>
          <w:sz w:val="17"/>
          <w:szCs w:val="17"/>
        </w:rPr>
        <w:t xml:space="preserve">Vogel A, Bridgewater J, Edeline J, et al. Biliary tract cancer: ESMO Clinical Practice Guideline for diagnosis, treatment and follow-up. Ann Oncol. 2023;34(2):127-140. doi:10.1016/j.annonc.2022.10.506. PMID:36372281. The parent guideline to the 2024 interim update (PMID:39864891), which covers only molecular diagnostics and advanced disease; the surgical, adjuvant and locoregional recommendations are here.</w:t>
      </w:r>
    </w:p>
    <w:p>
      <w:pPr>
        <w:spacing w:after="70"/>
        <w:ind w:left="360" w:hanging="360"/>
      </w:pPr>
      <w:r>
        <w:rPr>
          <w:b/>
          <w:bCs/>
          <w:color w:val="17365D"/>
          <w:sz w:val="17"/>
          <w:szCs w:val="17"/>
        </w:rPr>
        <w:t xml:space="preserve">ESMO BTC 2024 interim. </w:t>
      </w:r>
      <w:r>
        <w:rPr>
          <w:sz w:val="17"/>
          <w:szCs w:val="17"/>
        </w:rPr>
        <w:t xml:space="preserve">Vogel A, Ducreux M, on behalf of the ESMO Guidelines Committee. ESMO Clinical Practice Guideline interim update on the management of biliary tract cancer. ESMO Open. 2025;10(1):104003. doi:10.1016/j.esmoop.2024.104003. PMID:39864891.</w:t>
      </w:r>
    </w:p>
    <w:p>
      <w:pPr>
        <w:spacing w:after="70"/>
        <w:ind w:left="360" w:hanging="360"/>
      </w:pPr>
      <w:r>
        <w:rPr>
          <w:b/>
          <w:bCs/>
          <w:color w:val="17365D"/>
          <w:sz w:val="17"/>
          <w:szCs w:val="17"/>
        </w:rPr>
        <w:t xml:space="preserve">LCSGJ iCCA 2022. </w:t>
      </w:r>
      <w:r>
        <w:rPr>
          <w:sz w:val="17"/>
          <w:szCs w:val="17"/>
        </w:rPr>
        <w:t xml:space="preserve">Kubo S, Shinkawa H, Asaoka Y, et al. Liver Cancer Study Group of Japan Clinical Practice Guidelines for Intrahepatic Cholangiocarcinoma. Liver Cancer. 2022;11(4):290-314. doi:10.1159/000522403. PMID:35978598.</w:t>
      </w:r>
    </w:p>
    <w:p>
      <w:pPr>
        <w:spacing w:after="70"/>
        <w:ind w:left="360" w:hanging="360"/>
      </w:pPr>
      <w:r>
        <w:rPr>
          <w:b/>
          <w:bCs/>
          <w:color w:val="17365D"/>
          <w:sz w:val="17"/>
          <w:szCs w:val="17"/>
        </w:rPr>
        <w:t xml:space="preserve">MH iCCA alignment worksheet. </w:t>
      </w:r>
      <w:r>
        <w:rPr>
          <w:sz w:val="17"/>
          <w:szCs w:val="17"/>
        </w:rPr>
        <w:t xml:space="preserve">Guideline alignment worksheet — Adult intrahepatic cholangiocarcinoma. Memorial Hermann Intrahepatic Cholangiocarcinoma System Roadmap, Draft v0.6, 4 October 2026: 16 areas where the published guidelines can disagree, with NCCN included in every area.</w:t>
      </w:r>
    </w:p>
    <w:p>
      <w:pPr>
        <w:spacing w:after="70"/>
        <w:ind w:left="360" w:hanging="360"/>
      </w:pPr>
      <w:r>
        <w:rPr>
          <w:b/>
          <w:bCs/>
          <w:color w:val="17365D"/>
          <w:sz w:val="17"/>
          <w:szCs w:val="17"/>
        </w:rPr>
        <w:t xml:space="preserve">MH iCCA roadmap v0.6. </w:t>
      </w:r>
      <w:r>
        <w:rPr>
          <w:sz w:val="17"/>
          <w:szCs w:val="17"/>
        </w:rPr>
        <w:t xml:space="preserve">Memorial Hermann Intrahepatic Cholangiocarcinoma System Roadmap. Multidisciplinary practice guideline and operating pathway, Draft v0.6, 4 October 2026, including the 3 October 2026 liver-directed treatment revision. Pending multidisciplinary approval; not active clinical policy.</w:t>
      </w:r>
    </w:p>
    <w:p>
      <w:pPr>
        <w:spacing w:after="70"/>
        <w:ind w:left="360" w:hanging="360"/>
      </w:pPr>
      <w:r>
        <w:rPr>
          <w:b/>
          <w:bCs/>
          <w:color w:val="17365D"/>
          <w:sz w:val="17"/>
          <w:szCs w:val="17"/>
        </w:rPr>
        <w:t xml:space="preserve">NCCN BTC v1.2026. </w:t>
      </w:r>
      <w:r>
        <w:rPr>
          <w:sz w:val="17"/>
          <w:szCs w:val="17"/>
        </w:rPr>
        <w:t xml:space="preserve">National Comprehensive Cancer Network. Biliary Tract Cancers. NCCN Clinical Practice Guidelines in Oncology. Version 1.2026, 10 March 2026. Original PDF page locations are cited in the roadmap's NCCN decision rows (INTRA-1, INTRA-A, INTRA-D, BIL-A to BIL-D).</w:t>
      </w:r>
    </w:p>
    <w:p>
      <w:pPr>
        <w:spacing w:after="70"/>
        <w:ind w:left="360" w:hanging="360"/>
      </w:pPr>
      <w:r>
        <w:rPr>
          <w:b/>
          <w:bCs/>
          <w:color w:val="17365D"/>
          <w:sz w:val="17"/>
          <w:szCs w:val="17"/>
        </w:rPr>
        <w:t xml:space="preserve">OPTN Policy 9. </w:t>
      </w:r>
      <w:r>
        <w:rPr>
          <w:sz w:val="17"/>
          <w:szCs w:val="17"/>
        </w:rPr>
        <w:t xml:space="preserve">Organ Procurement and Transplantation Network. Policy 9: Allocation of Livers and Liver-Intestines. U.S. Department of Health and Human Services, HRSA. Policy 9.4.C–E, 9.5.A and 9.5.I; official policy PDF checked 1 October 2026. Perihilar cholangiocarcinoma is a standardised MELD exception under Policy 9.5.A; intrahepatic cholangiocarcinoma and neuroendocrine liver metastasis are not, and proceed through the National Liver Review Board. Verify the current text before any listing decision.</w:t>
      </w:r>
    </w:p>
    <w:p>
      <w:pPr>
        <w:spacing w:after="70"/>
        <w:ind w:left="360" w:hanging="360"/>
      </w:pPr>
      <w:r>
        <w:rPr>
          <w:b/>
          <w:bCs/>
          <w:color w:val="17365D"/>
          <w:sz w:val="17"/>
          <w:szCs w:val="17"/>
        </w:rPr>
        <w:t xml:space="preserve">OPTN transplant-oncology guidance. </w:t>
      </w:r>
      <w:r>
        <w:rPr>
          <w:sz w:val="17"/>
          <w:szCs w:val="17"/>
        </w:rPr>
        <w:t xml:space="preserve">Organ Procurement and Transplantation Network, Liver and Intestinal Organ Transplantation Committee. Guidance to Liver Transplant Programs and the National Liver Review Board for: Adult MELD Exceptions for Transplant Oncology. December 2025. Review-board guidance, not OPTN policy and not a clinical practice guideline; adult transplant-oncology guidance pp7–8.</w:t>
      </w:r>
    </w:p>
    <w:p>
      <w:pPr>
        <w:pStyle w:val="Heading3"/>
        <w:keepNext/>
        <w:spacing w:after="110" w:before="240"/>
      </w:pPr>
      <w:r>
        <w:rPr>
          <w:rFonts w:ascii="Cambria" w:cs="Cambria" w:eastAsia="Cambria" w:hAnsi="Cambria"/>
          <w:b/>
          <w:bCs/>
          <w:color w:val="17365D"/>
          <w:sz w:val="22"/>
          <w:szCs w:val="22"/>
        </w:rPr>
        <w:t xml:space="preserve">Liver-directed</w:t>
      </w:r>
    </w:p>
    <w:p>
      <w:pPr>
        <w:spacing w:after="70"/>
        <w:ind w:left="360" w:hanging="360"/>
      </w:pPr>
      <w:r>
        <w:rPr>
          <w:b/>
          <w:bCs/>
          <w:color w:val="17365D"/>
          <w:sz w:val="17"/>
          <w:szCs w:val="17"/>
        </w:rPr>
        <w:t xml:space="preserve">Ablation meta-analysis. </w:t>
      </w:r>
      <w:r>
        <w:rPr>
          <w:sz w:val="17"/>
          <w:szCs w:val="17"/>
        </w:rPr>
        <w:t xml:space="preserve">Kim JH, et al. Thermal ablation in the treatment of intrahepatic cholangiocarcinoma: a systematic review and meta-analysis. Eur Radiol. 2021. doi:10.1007/s00330-021-08216-x. PMID:34347159.</w:t>
      </w:r>
    </w:p>
    <w:p>
      <w:pPr>
        <w:spacing w:after="70"/>
        <w:ind w:left="360" w:hanging="360"/>
      </w:pPr>
      <w:r>
        <w:rPr>
          <w:b/>
          <w:bCs/>
          <w:color w:val="17365D"/>
          <w:sz w:val="17"/>
          <w:szCs w:val="17"/>
        </w:rPr>
        <w:t xml:space="preserve">Cercek HAI phase 2. </w:t>
      </w:r>
      <w:r>
        <w:rPr>
          <w:sz w:val="17"/>
          <w:szCs w:val="17"/>
        </w:rPr>
        <w:t xml:space="preserve">Cercek A, Boerner T, Tan BR, et al. Assessment of Hepatic Arterial Infusion of Floxuridine in Combination With Systemic Gemcitabine and Oxaliplatin in Patients With Unresectable Intrahepatic Cholangiocarcinoma: A Phase 2 Clinical Trial. JAMA Oncol. 2020;6(1):60-67. doi:10.1001/jamaoncol.2019.3718. PMID:31670750.</w:t>
      </w:r>
    </w:p>
    <w:p>
      <w:pPr>
        <w:spacing w:after="70"/>
        <w:ind w:left="360" w:hanging="360"/>
      </w:pPr>
      <w:r>
        <w:rPr>
          <w:b/>
          <w:bCs/>
          <w:color w:val="17365D"/>
          <w:sz w:val="17"/>
          <w:szCs w:val="17"/>
        </w:rPr>
        <w:t xml:space="preserve">Hong proton phase II. </w:t>
      </w:r>
      <w:r>
        <w:rPr>
          <w:sz w:val="17"/>
          <w:szCs w:val="17"/>
        </w:rPr>
        <w:t xml:space="preserve">Hong TS, Wo JY, Yeap BY, et al. Multi-Institutional Phase II Study of High-Dose Hypofractionated Proton Beam Therapy in Patients With Localized, Unresectable Hepatocellular Carcinoma and Intrahepatic Cholangiocarcinoma. J Clin Oncol. 2016;34(5):460-468. doi:10.1200/JCO.2015.64.2710. PMID:26668346.</w:t>
      </w:r>
    </w:p>
    <w:p>
      <w:pPr>
        <w:spacing w:after="70"/>
        <w:ind w:left="360" w:hanging="360"/>
      </w:pPr>
      <w:r>
        <w:rPr>
          <w:b/>
          <w:bCs/>
          <w:color w:val="17365D"/>
          <w:sz w:val="17"/>
          <w:szCs w:val="17"/>
        </w:rPr>
        <w:t xml:space="preserve">HOPE4LIVER one-year update. </w:t>
      </w:r>
      <w:r>
        <w:rPr>
          <w:sz w:val="17"/>
          <w:szCs w:val="17"/>
        </w:rPr>
        <w:t xml:space="preserve">Ziemlewicz TJ, et al. HOPE4LIVER one-year update. Ann Surg. 2025. 47 patients and 52 tumours; local control 63.4% on the primary assessment versus 90% post hoc. Cited in the roadmap as evidence source [L12]; the pivotal trial enrolled hepatocellular carcinoma and metastases, not intrahepatic cholangiocarcinoma.</w:t>
      </w:r>
    </w:p>
    <w:p>
      <w:pPr>
        <w:spacing w:after="70"/>
        <w:ind w:left="360" w:hanging="360"/>
      </w:pPr>
      <w:r>
        <w:rPr>
          <w:b/>
          <w:bCs/>
          <w:color w:val="17365D"/>
          <w:sz w:val="17"/>
          <w:szCs w:val="17"/>
        </w:rPr>
        <w:t xml:space="preserve">Kiefer TACE 2-centre. </w:t>
      </w:r>
      <w:r>
        <w:rPr>
          <w:sz w:val="17"/>
          <w:szCs w:val="17"/>
        </w:rPr>
        <w:t xml:space="preserve">Kiefer MV, et al. Chemoembolization of intrahepatic cholangiocarcinoma with cisplatinum, doxorubicin, mitomycin C, ethiodol, and polyvinyl alcohol: a 2-center study. Cancer. 2011;117(7):1498-1505. doi:10.1002/cncr.25625. PMID:21425151.</w:t>
      </w:r>
    </w:p>
    <w:p>
      <w:pPr>
        <w:spacing w:after="70"/>
        <w:ind w:left="360" w:hanging="360"/>
      </w:pPr>
      <w:r>
        <w:rPr>
          <w:b/>
          <w:bCs/>
          <w:color w:val="17365D"/>
          <w:sz w:val="17"/>
          <w:szCs w:val="17"/>
        </w:rPr>
        <w:t xml:space="preserve">Konstantinidis HAI cohort. </w:t>
      </w:r>
      <w:r>
        <w:rPr>
          <w:sz w:val="17"/>
          <w:szCs w:val="17"/>
        </w:rPr>
        <w:t xml:space="preserve">Konstantinidis IT, et al. Unresectable intrahepatic cholangiocarcinoma: systemic plus hepatic arterial infusion chemotherapy is associated with longer survival in comparison with systemic chemotherapy alone. Cancer. 2016;122(5):758-765. doi:10.1002/cncr.29824. PMID:26695839.</w:t>
      </w:r>
    </w:p>
    <w:p>
      <w:pPr>
        <w:spacing w:after="70"/>
        <w:ind w:left="360" w:hanging="360"/>
      </w:pPr>
      <w:r>
        <w:rPr>
          <w:b/>
          <w:bCs/>
          <w:color w:val="17365D"/>
          <w:sz w:val="17"/>
          <w:szCs w:val="17"/>
        </w:rPr>
        <w:t xml:space="preserve">MALRIC primary. </w:t>
      </w:r>
      <w:r>
        <w:rPr>
          <w:sz w:val="17"/>
          <w:szCs w:val="17"/>
        </w:rPr>
        <w:t xml:space="preserve">Pang L, et al. Microwave ablation versus liver resection for primary intrahepatic cholangiocarcinoma within Milan criteria: a long-term multicenter cohort study (MALRIC). EClinicalMedicine. 2024. doi:10.1016/j.eclinm.2023.102336. PMID:38261915.</w:t>
      </w:r>
    </w:p>
    <w:p>
      <w:pPr>
        <w:spacing w:after="70"/>
        <w:ind w:left="360" w:hanging="360"/>
      </w:pPr>
      <w:r>
        <w:rPr>
          <w:b/>
          <w:bCs/>
          <w:color w:val="17365D"/>
          <w:sz w:val="17"/>
          <w:szCs w:val="17"/>
        </w:rPr>
        <w:t xml:space="preserve">MALRIC recurrent. </w:t>
      </w:r>
      <w:r>
        <w:rPr>
          <w:sz w:val="17"/>
          <w:szCs w:val="17"/>
        </w:rPr>
        <w:t xml:space="preserve">Pang L, et al. Survival Outcomes of Microwave Ablation Compared with Repeat Liver Resection in the Treatment of Recurrent Intrahepatic Cholangiocarcinoma. Radiology. 2026. doi:10.1148/radiol.243254. PMID:41528222.</w:t>
      </w:r>
    </w:p>
    <w:p>
      <w:pPr>
        <w:spacing w:after="70"/>
        <w:ind w:left="360" w:hanging="360"/>
      </w:pPr>
      <w:r>
        <w:rPr>
          <w:b/>
          <w:bCs/>
          <w:color w:val="17365D"/>
          <w:sz w:val="17"/>
          <w:szCs w:val="17"/>
        </w:rPr>
        <w:t xml:space="preserve">MISPHEC. </w:t>
      </w:r>
      <w:r>
        <w:rPr>
          <w:sz w:val="17"/>
          <w:szCs w:val="17"/>
        </w:rPr>
        <w:t xml:space="preserve">Edeline J, et al. Radioembolization Plus Chemotherapy for First-line Treatment of Locally Advanced Intrahepatic Cholangiocarcinoma: A Phase 2 Clinical Trial (MISPHEC). JAMA Oncol. 2020;6(1):51-59. doi:10.1001/jamaoncol.2019.3702. PMID:31670746.</w:t>
      </w:r>
    </w:p>
    <w:p>
      <w:pPr>
        <w:spacing w:after="70"/>
        <w:ind w:left="360" w:hanging="360"/>
      </w:pPr>
      <w:r>
        <w:rPr>
          <w:b/>
          <w:bCs/>
          <w:color w:val="17365D"/>
          <w:sz w:val="17"/>
          <w:szCs w:val="17"/>
        </w:rPr>
        <w:t xml:space="preserve">Tao dose-response. </w:t>
      </w:r>
      <w:r>
        <w:rPr>
          <w:sz w:val="17"/>
          <w:szCs w:val="17"/>
        </w:rPr>
        <w:t xml:space="preserve">Tao R, et al. Ablative Radiotherapy Doses Lead to a Substantial Prolongation of Survival in Patients With Inoperable Intrahepatic Cholangiocarcinoma: A Retrospective Dose Response Analysis. J Clin Oncol. 2016;34(3):219-226. doi:10.1200/JCO.2015.61.3778. PMID:26503201.</w:t>
      </w:r>
    </w:p>
    <w:p>
      <w:pPr>
        <w:pStyle w:val="Heading3"/>
        <w:keepNext/>
        <w:spacing w:after="110" w:before="240"/>
      </w:pPr>
      <w:r>
        <w:rPr>
          <w:rFonts w:ascii="Cambria" w:cs="Cambria" w:eastAsia="Cambria" w:hAnsi="Cambria"/>
          <w:b/>
          <w:bCs/>
          <w:color w:val="17365D"/>
          <w:sz w:val="22"/>
          <w:szCs w:val="22"/>
        </w:rPr>
        <w:t xml:space="preserve">Staging &amp; risk</w:t>
      </w:r>
    </w:p>
    <w:p>
      <w:pPr>
        <w:spacing w:after="70"/>
        <w:ind w:left="360" w:hanging="360"/>
      </w:pPr>
      <w:r>
        <w:rPr>
          <w:b/>
          <w:bCs/>
          <w:color w:val="17365D"/>
          <w:sz w:val="17"/>
          <w:szCs w:val="17"/>
        </w:rPr>
        <w:t xml:space="preserve">Biliary-stricture NGS. </w:t>
      </w:r>
      <w:r>
        <w:rPr>
          <w:sz w:val="17"/>
          <w:szCs w:val="17"/>
        </w:rPr>
        <w:t xml:space="preserve">Das R, Kleinberger J, Sawas T, et al. DNA/RNA-Based Next-Generation Sequencing Improves the Early Diagnosis and Management of Neoplastic Bile Duct Strictures: A 6-Year, Prospective, Multi-Institutional, Real-Time Study. Gastroenterology. 2026;171:325-341. doi:10.1053/j.gastro.2026.02.040. PMID:41905432.</w:t>
      </w:r>
    </w:p>
    <w:p>
      <w:pPr>
        <w:spacing w:after="70"/>
        <w:ind w:left="360" w:hanging="360"/>
      </w:pPr>
      <w:r>
        <w:rPr>
          <w:b/>
          <w:bCs/>
          <w:color w:val="17365D"/>
          <w:sz w:val="17"/>
          <w:szCs w:val="17"/>
        </w:rPr>
        <w:t xml:space="preserve">BiliSeq original cohort. </w:t>
      </w:r>
      <w:r>
        <w:rPr>
          <w:sz w:val="17"/>
          <w:szCs w:val="17"/>
        </w:rPr>
        <w:t xml:space="preserve">Singhi AD, Nikiforova MN, Chennat J, et al. Integrating next-generation sequencing to endoscopic retrograde cholangiopancreatography (ERCP)-obtained biliary specimens improves the detection and management of patients with malignant bile duct strictures. Gut. 2020;69:52-61. doi:10.1136/gutjnl-2018-317817. PMID:30971436.</w:t>
      </w:r>
    </w:p>
    <w:p>
      <w:pPr>
        <w:pStyle w:val="Heading3"/>
        <w:keepNext/>
        <w:spacing w:after="110" w:before="240"/>
      </w:pPr>
      <w:r>
        <w:rPr>
          <w:rFonts w:ascii="Cambria" w:cs="Cambria" w:eastAsia="Cambria" w:hAnsi="Cambria"/>
          <w:b/>
          <w:bCs/>
          <w:color w:val="17365D"/>
          <w:sz w:val="22"/>
          <w:szCs w:val="22"/>
        </w:rPr>
        <w:t xml:space="preserve">Systemic therapy</w:t>
      </w:r>
    </w:p>
    <w:p>
      <w:pPr>
        <w:spacing w:after="70"/>
        <w:ind w:left="360" w:hanging="360"/>
      </w:pPr>
      <w:r>
        <w:rPr>
          <w:b/>
          <w:bCs/>
          <w:color w:val="17365D"/>
          <w:sz w:val="17"/>
          <w:szCs w:val="17"/>
        </w:rPr>
        <w:t xml:space="preserve">ABC-02. </w:t>
      </w:r>
      <w:r>
        <w:rPr>
          <w:sz w:val="17"/>
          <w:szCs w:val="17"/>
        </w:rPr>
        <w:t xml:space="preserve">Valle J, Wasan H, Palmer DH, et al. Cisplatin plus gemcitabine versus gemcitabine for biliary tract cancer. N Engl J Med. 2010;362(14):1273-81. doi:10.1056/NEJMoa0908721. PMID:20375404.</w:t>
      </w:r>
    </w:p>
    <w:p>
      <w:pPr>
        <w:spacing w:after="70"/>
        <w:ind w:left="360" w:hanging="360"/>
      </w:pPr>
      <w:r>
        <w:rPr>
          <w:b/>
          <w:bCs/>
          <w:color w:val="17365D"/>
          <w:sz w:val="17"/>
          <w:szCs w:val="17"/>
        </w:rPr>
        <w:t xml:space="preserve">ABC-06. </w:t>
      </w:r>
      <w:r>
        <w:rPr>
          <w:sz w:val="17"/>
          <w:szCs w:val="17"/>
        </w:rPr>
        <w:t xml:space="preserve">Lamarca A, Palmer DH, Wasan HS, et al. Second-line FOLFOX chemotherapy versus active symptom control for advanced biliary tract cancer (ABC-06): a phase 3, open-label, randomised, controlled trial. Lancet Oncol. 2021;22(5):690-701. doi:10.1016/S1470-2045(21)00027-9. PMID:33798493.</w:t>
      </w:r>
    </w:p>
    <w:p>
      <w:pPr>
        <w:spacing w:after="70"/>
        <w:ind w:left="360" w:hanging="360"/>
      </w:pPr>
      <w:r>
        <w:rPr>
          <w:b/>
          <w:bCs/>
          <w:color w:val="17365D"/>
          <w:sz w:val="17"/>
          <w:szCs w:val="17"/>
        </w:rPr>
        <w:t xml:space="preserve">ASCOT. </w:t>
      </w:r>
      <w:r>
        <w:rPr>
          <w:sz w:val="17"/>
          <w:szCs w:val="17"/>
        </w:rPr>
        <w:t xml:space="preserve">Nakachi K, Ikeda M, Konishi M, et al. Adjuvant S-1 compared with observation in resected biliary tract cancer (JCOG1202, ASCOT): a multicentre, open-label, randomised, controlled, phase 3 trial. Lancet. 2023;401(10372):195-203. doi:10.1016/S0140-6736(22)02038-4. PMID:36681415.</w:t>
      </w:r>
    </w:p>
    <w:p>
      <w:pPr>
        <w:spacing w:after="70"/>
        <w:ind w:left="360" w:hanging="360"/>
      </w:pPr>
      <w:r>
        <w:rPr>
          <w:b/>
          <w:bCs/>
          <w:color w:val="17365D"/>
          <w:sz w:val="17"/>
          <w:szCs w:val="17"/>
        </w:rPr>
        <w:t xml:space="preserve">BCAT. </w:t>
      </w:r>
      <w:r>
        <w:rPr>
          <w:sz w:val="17"/>
          <w:szCs w:val="17"/>
        </w:rPr>
        <w:t xml:space="preserve">Ebata T, Hirano S, Konishi M, et al. Randomized clinical trial of adjuvant gemcitabine chemotherapy versus observation in resected bile duct cancer. Br J Surg. 2018;105(3):192-202. doi:10.1002/bjs.10776. PMID:29405274.</w:t>
      </w:r>
    </w:p>
    <w:p>
      <w:pPr>
        <w:spacing w:after="70"/>
        <w:ind w:left="360" w:hanging="360"/>
      </w:pPr>
      <w:r>
        <w:rPr>
          <w:b/>
          <w:bCs/>
          <w:color w:val="17365D"/>
          <w:sz w:val="17"/>
          <w:szCs w:val="17"/>
        </w:rPr>
        <w:t xml:space="preserve">BILCAP. </w:t>
      </w:r>
      <w:r>
        <w:rPr>
          <w:sz w:val="17"/>
          <w:szCs w:val="17"/>
        </w:rPr>
        <w:t xml:space="preserve">Primrose JN, Fox RP, Palmer DH, et al. Capecitabine compared with observation in resected biliary tract cancer (BILCAP): a randomised, controlled, multicentre, phase 3 study. Lancet Oncol. 2019;20(5):663-673. doi:10.1016/S1470-2045(18)30915-X. PMID:30922733.</w:t>
      </w:r>
    </w:p>
    <w:p>
      <w:pPr>
        <w:spacing w:after="70"/>
        <w:ind w:left="360" w:hanging="360"/>
      </w:pPr>
      <w:r>
        <w:rPr>
          <w:b/>
          <w:bCs/>
          <w:color w:val="17365D"/>
          <w:sz w:val="17"/>
          <w:szCs w:val="17"/>
        </w:rPr>
        <w:t xml:space="preserve">ClarIDHy. </w:t>
      </w:r>
      <w:r>
        <w:rPr>
          <w:sz w:val="17"/>
          <w:szCs w:val="17"/>
        </w:rPr>
        <w:t xml:space="preserve">Abou-Alfa GK, Macarulla T, Javle MM, et al. Ivosidenib in IDH1-mutant, chemotherapy-refractory cholangiocarcinoma (ClarIDHy): a multicentre, randomised, double-blind, placebo-controlled, phase 3 study. Lancet Oncol. 2020;21(6):796-807. doi:10.1016/S1470-2045(20)30157-1. PMID:32416072.</w:t>
      </w:r>
    </w:p>
    <w:p>
      <w:pPr>
        <w:spacing w:after="70"/>
        <w:ind w:left="360" w:hanging="360"/>
      </w:pPr>
      <w:r>
        <w:rPr>
          <w:b/>
          <w:bCs/>
          <w:color w:val="17365D"/>
          <w:sz w:val="17"/>
          <w:szCs w:val="17"/>
        </w:rPr>
        <w:t xml:space="preserve">ClarIDHy final OS. </w:t>
      </w:r>
      <w:r>
        <w:rPr>
          <w:sz w:val="17"/>
          <w:szCs w:val="17"/>
        </w:rPr>
        <w:t xml:space="preserve">Zhu AX, Macarulla T, Javle MM, et al. Final Overall Survival Efficacy Results of Ivosidenib for Patients With Advanced Cholangiocarcinoma With IDH1 Mutation: The Phase 3 Randomized Clinical ClarIDHy Trial. JAMA Oncol. 2021;7(11):1669-1677. doi:10.1001/jamaoncol.2021.3836. PMID:34554208.</w:t>
      </w:r>
    </w:p>
    <w:p>
      <w:pPr>
        <w:spacing w:after="70"/>
        <w:ind w:left="360" w:hanging="360"/>
      </w:pPr>
      <w:r>
        <w:rPr>
          <w:b/>
          <w:bCs/>
          <w:color w:val="17365D"/>
          <w:sz w:val="17"/>
          <w:szCs w:val="17"/>
        </w:rPr>
        <w:t xml:space="preserve">FIGHT-202. </w:t>
      </w:r>
      <w:r>
        <w:rPr>
          <w:sz w:val="17"/>
          <w:szCs w:val="17"/>
        </w:rPr>
        <w:t xml:space="preserve">Abou-Alfa GK, Sahai V, Hollebecque A, et al. Pemigatinib for previously treated, locally advanced or metastatic cholangiocarcinoma: a multicentre, open-label, phase 2 study. Lancet Oncol. 2020;21(5):671-684. doi:10.1016/S1470-2045(20)30109-1. PMID:32203698.</w:t>
      </w:r>
    </w:p>
    <w:p>
      <w:pPr>
        <w:spacing w:after="70"/>
        <w:ind w:left="360" w:hanging="360"/>
      </w:pPr>
      <w:r>
        <w:rPr>
          <w:b/>
          <w:bCs/>
          <w:color w:val="17365D"/>
          <w:sz w:val="17"/>
          <w:szCs w:val="17"/>
        </w:rPr>
        <w:t xml:space="preserve">FIGHT-202 final. </w:t>
      </w:r>
      <w:r>
        <w:rPr>
          <w:sz w:val="17"/>
          <w:szCs w:val="17"/>
        </w:rPr>
        <w:t xml:space="preserve">Vogel A, Sahai V, Hollebecque A, et al. An open-label study of pemigatinib in cholangiocarcinoma: final results from FIGHT-202. ESMO Open. 2024;9(6):103488. doi:10.1016/j.esmoop.2024.103488. PMID:38838500.</w:t>
      </w:r>
    </w:p>
    <w:p>
      <w:pPr>
        <w:spacing w:after="70"/>
        <w:ind w:left="360" w:hanging="360"/>
      </w:pPr>
      <w:r>
        <w:rPr>
          <w:b/>
          <w:bCs/>
          <w:color w:val="17365D"/>
          <w:sz w:val="17"/>
          <w:szCs w:val="17"/>
        </w:rPr>
        <w:t xml:space="preserve">FOENIX-CCA2. </w:t>
      </w:r>
      <w:r>
        <w:rPr>
          <w:sz w:val="17"/>
          <w:szCs w:val="17"/>
        </w:rPr>
        <w:t xml:space="preserve">Goyal L, Meric-Bernstam F, Hollebecque A, et al. Futibatinib for FGFR2-Rearranged Intrahepatic Cholangiocarcinoma. N Engl J Med. 2023;388(3):228-239. doi:10.1056/NEJMoa2206834. PMID:36652354.</w:t>
      </w:r>
    </w:p>
    <w:p>
      <w:pPr>
        <w:spacing w:after="70"/>
        <w:ind w:left="360" w:hanging="360"/>
      </w:pPr>
      <w:r>
        <w:rPr>
          <w:b/>
          <w:bCs/>
          <w:color w:val="17365D"/>
          <w:sz w:val="17"/>
          <w:szCs w:val="17"/>
        </w:rPr>
        <w:t xml:space="preserve">HERIZON-BTC-01. </w:t>
      </w:r>
      <w:r>
        <w:rPr>
          <w:sz w:val="17"/>
          <w:szCs w:val="17"/>
        </w:rPr>
        <w:t xml:space="preserve">Pant S, Fan J, Oh DY, et al. Zanidatamab in HER2-Positive Metastatic Biliary Tract Cancer: Final Results From HERIZON-BTC-01. JAMA Oncol. 2026;12(1):106-109. doi:10.1001/jamaoncol.2025.4736. PMID:41264278.</w:t>
      </w:r>
    </w:p>
    <w:p>
      <w:pPr>
        <w:spacing w:after="70"/>
        <w:ind w:left="360" w:hanging="360"/>
      </w:pPr>
      <w:r>
        <w:rPr>
          <w:b/>
          <w:bCs/>
          <w:color w:val="17365D"/>
          <w:sz w:val="17"/>
          <w:szCs w:val="17"/>
        </w:rPr>
        <w:t xml:space="preserve">KEYNOTE-966. </w:t>
      </w:r>
      <w:r>
        <w:rPr>
          <w:sz w:val="17"/>
          <w:szCs w:val="17"/>
        </w:rPr>
        <w:t xml:space="preserve">Kelley RK, Ueno M, Yoo C, et al. Pembrolizumab in combination with gemcitabine and cisplatin compared with gemcitabine and cisplatin alone for patients with advanced biliary tract cancer (KEYNOTE-966): a randomised, double-blind, placebo-controlled, phase 3 trial. Lancet. 2023;401(10391):1853-1865. doi:10.1016/S0140-6736(23)00727-4. PMID:37075781.</w:t>
      </w:r>
    </w:p>
    <w:p>
      <w:pPr>
        <w:spacing w:after="70"/>
        <w:ind w:left="360" w:hanging="360"/>
      </w:pPr>
      <w:r>
        <w:rPr>
          <w:b/>
          <w:bCs/>
          <w:color w:val="17365D"/>
          <w:sz w:val="17"/>
          <w:szCs w:val="17"/>
        </w:rPr>
        <w:t xml:space="preserve">PRODIGE-12. </w:t>
      </w:r>
      <w:r>
        <w:rPr>
          <w:sz w:val="17"/>
          <w:szCs w:val="17"/>
        </w:rPr>
        <w:t xml:space="preserve">Edeline J, Benabdelghani M, Bertaut A, et al. Gemcitabine and Oxaliplatin Chemotherapy or Surveillance in Resected Biliary Tract Cancer (PRODIGE 12-ACCORD 18-UNICANCER GI): A Randomized Phase III Study. J Clin Oncol. 2019;37(8):658-667. doi:10.1200/JCO.18.00050. PMID:30707660.</w:t>
      </w:r>
    </w:p>
    <w:p>
      <w:pPr>
        <w:spacing w:after="70"/>
        <w:ind w:left="360" w:hanging="360"/>
      </w:pPr>
      <w:r>
        <w:rPr>
          <w:b/>
          <w:bCs/>
          <w:color w:val="17365D"/>
          <w:sz w:val="17"/>
          <w:szCs w:val="17"/>
        </w:rPr>
        <w:t xml:space="preserve">ROAR. </w:t>
      </w:r>
      <w:r>
        <w:rPr>
          <w:sz w:val="17"/>
          <w:szCs w:val="17"/>
        </w:rPr>
        <w:t xml:space="preserve">Subbiah V, Lassen U, Élez E, et al. Dabrafenib plus trametinib in patients with BRAF(V600E)-mutated biliary tract cancer (ROAR): a phase 2, open-label, single-arm, multicentre basket trial. Lancet Oncol. 2020;21(9):1234-1243. doi:10.1016/S1470-2045(20)30321-1. PMID:32818466.</w:t>
      </w:r>
    </w:p>
    <w:p>
      <w:pPr>
        <w:spacing w:after="70"/>
        <w:ind w:left="360" w:hanging="360"/>
      </w:pPr>
      <w:r>
        <w:rPr>
          <w:b/>
          <w:bCs/>
          <w:color w:val="17365D"/>
          <w:sz w:val="17"/>
          <w:szCs w:val="17"/>
        </w:rPr>
        <w:t xml:space="preserve">TOPAZ-1. </w:t>
      </w:r>
      <w:r>
        <w:rPr>
          <w:sz w:val="17"/>
          <w:szCs w:val="17"/>
        </w:rPr>
        <w:t xml:space="preserve">Oh DY, Ruth He A, Qin S, et al. Durvalumab plus Gemcitabine and Cisplatin in Advanced Biliary Tract Cancer. NEJM Evid. 2022;1(8):EVIDoa2200015. doi:10.1056/EVIDoa2200015. PMID:38319896.</w:t>
      </w:r>
    </w:p>
    <w:p>
      <w:pPr>
        <w:pStyle w:val="Heading3"/>
        <w:keepNext/>
        <w:spacing w:after="110" w:before="240"/>
      </w:pPr>
      <w:r>
        <w:rPr>
          <w:rFonts w:ascii="Cambria" w:cs="Cambria" w:eastAsia="Cambria" w:hAnsi="Cambria"/>
          <w:b/>
          <w:bCs/>
          <w:color w:val="17365D"/>
          <w:sz w:val="22"/>
          <w:szCs w:val="22"/>
        </w:rPr>
        <w:t xml:space="preserve">Transplant</w:t>
      </w:r>
    </w:p>
    <w:p>
      <w:pPr>
        <w:spacing w:after="70"/>
        <w:ind w:left="360" w:hanging="360"/>
      </w:pPr>
      <w:r>
        <w:rPr>
          <w:b/>
          <w:bCs/>
          <w:color w:val="17365D"/>
          <w:sz w:val="17"/>
          <w:szCs w:val="17"/>
        </w:rPr>
        <w:t xml:space="preserve">ILTS-ILCA 2024 (Liver Transpl). </w:t>
      </w:r>
      <w:r>
        <w:rPr>
          <w:sz w:val="17"/>
          <w:szCs w:val="17"/>
        </w:rPr>
        <w:t xml:space="preserve">Kodali S, Kulik L, D'Alessio A, et al. The 2024 ILTS-ILCA consensus recommendations for liver transplantation for HCC and intrahepatic cholangiocarcinoma. Liver Transpl. 2025;31(6):815-831. doi:10.1097/LVT.0000000000000578. PMID:40014003. The same Valencia consensus as PMID:42312290 (Liver Cancer 2026); both records are cited because the iCCA recommendations and their evidence grades are reported in both.</w:t>
      </w:r>
    </w:p>
    <w:p>
      <w:pPr>
        <w:spacing w:after="70"/>
        <w:ind w:left="360" w:hanging="360"/>
      </w:pPr>
      <w:r>
        <w:rPr>
          <w:b/>
          <w:bCs/>
          <w:color w:val="17365D"/>
          <w:sz w:val="17"/>
          <w:szCs w:val="17"/>
        </w:rPr>
        <w:t xml:space="preserve">ILTS-ILCA 2024 consensus. </w:t>
      </w:r>
      <w:r>
        <w:rPr>
          <w:sz w:val="17"/>
          <w:szCs w:val="17"/>
        </w:rPr>
        <w:t xml:space="preserve">Kodali S, Kulik L, D'Alessio A, et al. The 2024 International Liver Transplant Society and International Liver Cancer Association Consensus Recommendations for Liver Transplantation for Liver Cancer. Liver Cancer. 2026. doi:10.1159/000550600. PMID:42312290. Also published as Liver Transpl. 2025;31(6):815-831, PMID:40014003.</w:t>
      </w:r>
    </w:p>
    <w:p>
      <w:pPr>
        <w:spacing w:after="70"/>
        <w:ind w:left="360" w:hanging="360"/>
      </w:pPr>
      <w:r>
        <w:rPr>
          <w:b/>
          <w:bCs/>
          <w:color w:val="17365D"/>
          <w:sz w:val="17"/>
          <w:szCs w:val="17"/>
        </w:rPr>
        <w:t xml:space="preserve">Lunsford protocol series. </w:t>
      </w:r>
      <w:r>
        <w:rPr>
          <w:sz w:val="17"/>
          <w:szCs w:val="17"/>
        </w:rPr>
        <w:t xml:space="preserve">Lunsford KE, et al. Liver transplantation for locally advanced intrahepatic cholangiocarcinoma treated with neoadjuvant therapy: a prospective case-series. Lancet Gastroenterol Hepatol. 2018;3(5):337-348. PMID:29548617.</w:t>
      </w:r>
    </w:p>
    <w:p>
      <w:pPr>
        <w:spacing w:after="70"/>
        <w:ind w:left="360" w:hanging="360"/>
      </w:pPr>
      <w:r>
        <w:rPr>
          <w:b/>
          <w:bCs/>
          <w:color w:val="17365D"/>
          <w:sz w:val="17"/>
          <w:szCs w:val="17"/>
        </w:rPr>
        <w:t xml:space="preserve">Sapisochin review. </w:t>
      </w:r>
      <w:r>
        <w:rPr>
          <w:sz w:val="17"/>
          <w:szCs w:val="17"/>
        </w:rPr>
        <w:t xml:space="preserve">Sapisochin G, Ivanics T, Heimbach J. Liver Transplantation for Intrahepatic Cholangiocarcinoma: Ready for Prime Time? Hepatology. 2022;75(2):455-472. doi:10.1002/hep.32258. PMID:34859465.</w:t>
      </w:r>
    </w:p>
    <w:p>
      <w:pPr>
        <w:spacing w:after="70"/>
        <w:ind w:left="360" w:hanging="360"/>
      </w:pPr>
      <w:r>
        <w:rPr>
          <w:b/>
          <w:bCs/>
          <w:color w:val="17365D"/>
          <w:sz w:val="17"/>
          <w:szCs w:val="17"/>
        </w:rPr>
        <w:t xml:space="preserve">Sapisochin very early iCCA. </w:t>
      </w:r>
      <w:r>
        <w:rPr>
          <w:sz w:val="17"/>
          <w:szCs w:val="17"/>
        </w:rPr>
        <w:t xml:space="preserve">Sapisochin G, Facciuto M, Rubbia-Brandt L, et al. Liver transplantation for "very early" intrahepatic cholangiocarcinoma: International retrospective study supporting a prospective assessment. Hepatology. 2016;64(4):1178-1188. doi:10.1002/hep.28744. PMID:27481548.</w:t>
      </w:r>
    </w:p>
    <w:p>
      <w:pPr>
        <w:pStyle w:val="Heading1"/>
        <w:keepNext/>
        <w:pageBreakBefore/>
        <w:spacing w:after="110" w:before="320"/>
      </w:pPr>
      <w:r>
        <w:rPr>
          <w:rFonts w:ascii="Cambria" w:cs="Cambria" w:eastAsia="Cambria" w:hAnsi="Cambria"/>
          <w:b/>
          <w:bCs/>
          <w:color w:val="17365D"/>
          <w:sz w:val="32"/>
          <w:szCs w:val="32"/>
        </w:rPr>
        <w:t xml:space="preserve">Appendix: what is wrong with each paper</w:t>
      </w:r>
    </w:p>
    <w:p>
      <w:pPr>
        <w:spacing w:after="120" w:line="276"/>
      </w:pPr>
      <w:r>
        <w:rPr>
          <w:i/>
          <w:iCs/>
          <w:color w:val="5A6069"/>
          <w:sz w:val="20"/>
          <w:szCs w:val="20"/>
        </w:rPr>
        <w:t xml:space="preserve">Each source cited on this roadmap, with the limitations its authors state in their own discussion and the objections the full text supports but they do not raise. Nothing here withdraws a recommendation. It is the record of how far each one can be pushed, so that a claim is never quoted in clinic, to a payer or to a referring clinician as stronger than the paper behind it.</w:t>
      </w:r>
    </w:p>
    <w:p>
      <w:pPr>
        <w:spacing w:after="180" w:line="276"/>
      </w:pPr>
      <w:r>
        <w:rPr>
          <w:i/>
          <w:iCs/>
          <w:color w:val="5A6069"/>
          <w:sz w:val="20"/>
          <w:szCs w:val="20"/>
        </w:rPr>
        <w:t xml:space="preserve">37 of this pathway's 43 sources were read in full and abstracted this way. 6 were not, and are listed at the end of this appendix: guidelines and policy documents without a PMID, and the papers that could not be retrieved.</w:t>
      </w:r>
    </w:p>
    <w:p>
      <w:pPr>
        <w:keepNext/>
        <w:spacing w:after="50" w:before="260"/>
      </w:pPr>
      <w:r>
        <w:rPr>
          <w:rFonts w:ascii="Cambria" w:cs="Cambria" w:eastAsia="Cambria" w:hAnsi="Cambria"/>
          <w:b/>
          <w:bCs/>
          <w:color w:val="17365D"/>
          <w:sz w:val="20"/>
          <w:szCs w:val="20"/>
        </w:rPr>
        <w:t xml:space="preserve">AASLD PSC/CCA 2023</w:t>
      </w:r>
      <w:r>
        <w:rPr>
          <w:b/>
          <w:bCs/>
          <w:color w:val="176A87"/>
          <w:sz w:val="15"/>
          <w:szCs w:val="15"/>
        </w:rPr>
        <w:t xml:space="preserve">   Guideline</w:t>
      </w:r>
      <w:r>
        <w:rPr>
          <w:color w:val="5A6069"/>
          <w:sz w:val="15"/>
          <w:szCs w:val="15"/>
        </w:rPr>
        <w:t xml:space="preserve">   PMID 36083140</w:t>
      </w:r>
    </w:p>
    <w:p>
      <w:pPr>
        <w:spacing w:after="50" w:line="276"/>
      </w:pPr>
      <w:r>
        <w:rPr>
          <w:color w:val="5A6069"/>
          <w:sz w:val="17"/>
          <w:szCs w:val="17"/>
        </w:rPr>
        <w:t xml:space="preserve">AASLD practice guidance on primary sclerosing cholangitis and cholangiocarcinoma</w:t>
      </w:r>
    </w:p>
    <w:p>
      <w:pPr>
        <w:spacing w:after="70"/>
      </w:pPr>
      <w:r>
        <w:rPr>
          <w:b/>
          <w:bCs/>
          <w:color w:val="17365D"/>
          <w:sz w:val="16"/>
          <w:szCs w:val="16"/>
        </w:rPr>
        <w:t xml:space="preserve">Bottom line. </w:t>
      </w:r>
      <w:r>
        <w:rPr>
          <w:sz w:val="16"/>
          <w:szCs w:val="16"/>
        </w:rPr>
        <w:t xml:space="preserve">The AASLD guidance is the reference for surveillance and diagnosis in primary sclerosing cholangitis and the first AASLD document to cover cholangiocarcinoma, with 53 statements spanning annual MRI/MRCP surveillance, intraductal cytology with FISH, mandatory histology for iCCA, and transplantation after neoadjuvant therapy for perihilar tumours of 3 cm or less. It is explicitly expert consensus with no graded evidence, and no prospective study supports its central surveillance recommendation. It contradicts itself on iCCA transplantation, with statement 40 confining it to research protocols and the algorithm figure referring every unresectable tumour of 2 cm or less.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document states that too few randomised trials exist for a GRADE-based guideline, so all 53 statements are expert panel consensus with no formal rating of evidence quality or strength of recommendation</w:t>
            </w:r>
          </w:p>
          <w:p>
            <w:pPr>
              <w:pStyle w:val="ListParagraph"/>
              <w:numPr>
                <w:ilvl w:val="0"/>
                <w:numId w:val="2"/>
              </w:numPr>
              <w:spacing w:after="45"/>
            </w:pPr>
            <w:r>
              <w:rPr>
                <w:sz w:val="15"/>
                <w:szCs w:val="15"/>
              </w:rPr>
              <w:t xml:space="preserve">Surveillance is explicitly not recommended in patients under 18 or with small-duct primary sclerosing cholangitis, an acknowledged gap rather than a positive recommendation</w:t>
            </w:r>
          </w:p>
          <w:p>
            <w:pPr>
              <w:pStyle w:val="ListParagraph"/>
              <w:numPr>
                <w:ilvl w:val="0"/>
                <w:numId w:val="2"/>
              </w:numPr>
              <w:spacing w:after="45"/>
            </w:pPr>
            <w:r>
              <w:rPr>
                <w:sz w:val="15"/>
                <w:szCs w:val="15"/>
              </w:rPr>
              <w:t xml:space="preserve">Elevated CA 19-9 alone is stated to be insufficient to diagnose cholangiocarcinoma</w:t>
            </w:r>
          </w:p>
          <w:p>
            <w:pPr>
              <w:pStyle w:val="ListParagraph"/>
              <w:numPr>
                <w:ilvl w:val="0"/>
                <w:numId w:val="2"/>
              </w:numPr>
              <w:spacing w:after="45"/>
            </w:pPr>
            <w:r>
              <w:rPr>
                <w:sz w:val="15"/>
                <w:szCs w:val="15"/>
              </w:rPr>
              <w:t xml:space="preserve">The panel states that locoregional therapy for iCCA is not yet standard and that transplantation for unresectable liver-limited iCCA belongs only in research protocols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No prospective study supports annual cholangiocarcinoma surveillance in primary sclerosing cholangitis; the 68% against 20% 5-year survival figure comes from a single retrospective cohort comparison, where the surveyed group is by construction composed of patients well enough to attend surveillance</w:t>
            </w:r>
          </w:p>
          <w:p>
            <w:pPr>
              <w:pStyle w:val="ListParagraph"/>
              <w:numPr>
                <w:ilvl w:val="0"/>
                <w:numId w:val="2"/>
              </w:numPr>
              <w:spacing w:after="45"/>
            </w:pPr>
            <w:r>
              <w:rPr>
                <w:sz w:val="15"/>
                <w:szCs w:val="15"/>
              </w:rPr>
              <w:t xml:space="preserve">The guidance contradicts itself on iCCA transplantation: statement 40 confines it to research protocols while the Figure 9A algorithm directs referral to a transplant centre for any unresectable iCCA of 2 cm or less, and a reader following the figure and a reader following the statement will do different things</w:t>
            </w:r>
          </w:p>
          <w:p>
            <w:pPr>
              <w:pStyle w:val="ListParagraph"/>
              <w:numPr>
                <w:ilvl w:val="0"/>
                <w:numId w:val="2"/>
              </w:numPr>
              <w:spacing w:after="45"/>
            </w:pPr>
            <w:r>
              <w:rPr>
                <w:sz w:val="15"/>
                <w:szCs w:val="15"/>
              </w:rPr>
              <w:t xml:space="preserve">Two different size thresholds sit in the same document, 2 cm in the iCCA algorithm and 3 cm radial diameter for perihilar transplantation after neoadjuvant therapy, with no explanation of why the intrahepatic limit is tighter</w:t>
            </w:r>
          </w:p>
          <w:p>
            <w:pPr>
              <w:pStyle w:val="ListParagraph"/>
              <w:numPr>
                <w:ilvl w:val="0"/>
                <w:numId w:val="2"/>
              </w:numPr>
              <w:spacing w:after="45"/>
            </w:pPr>
            <w:r>
              <w:rPr>
                <w:sz w:val="15"/>
                <w:szCs w:val="15"/>
              </w:rPr>
              <w:t xml:space="preserve">Routine FISH on biliary brushings is recommended for every suspected perihilar or distal cholangiocarcinoma, a test not uniformly available for this purpose even in major centres, and the 70% against 18% figure for serial polysomy is a diagnostic yield over time rather than a test characteristic at the point of decision</w:t>
            </w:r>
          </w:p>
          <w:p>
            <w:pPr>
              <w:pStyle w:val="ListParagraph"/>
              <w:numPr>
                <w:ilvl w:val="0"/>
                <w:numId w:val="2"/>
              </w:numPr>
              <w:spacing w:after="45"/>
            </w:pPr>
            <w:r>
              <w:rPr>
                <w:sz w:val="15"/>
                <w:szCs w:val="15"/>
              </w:rPr>
              <w:t xml:space="preserve">Statement 44 forbids fine-needle aspiration or percutaneous biopsy of a perihilar mass to protect transplant candidacy, while statement 34 of the companion literature and most oncology guidance require tissue before systemic therapy; the guidance does not say what to do for a patient who turns out not to be a transplant candidate after the opportunity to biopsy has passed</w:t>
            </w:r>
          </w:p>
          <w:p>
            <w:pPr>
              <w:pStyle w:val="ListParagraph"/>
              <w:numPr>
                <w:ilvl w:val="0"/>
                <w:numId w:val="2"/>
              </w:numPr>
              <w:spacing w:after="45"/>
            </w:pPr>
            <w:r>
              <w:rPr>
                <w:sz w:val="15"/>
                <w:szCs w:val="15"/>
              </w:rPr>
              <w:t xml:space="preserve">No statement addresses the role or extent of lymphadenectomy in iCCA, nor a minimum node count in perihilar or distal disease, leaving the operative decision that determines stage unaddressed across 53 statements</w:t>
            </w:r>
          </w:p>
          <w:p>
            <w:pPr>
              <w:pStyle w:val="ListParagraph"/>
              <w:numPr>
                <w:ilvl w:val="0"/>
                <w:numId w:val="2"/>
              </w:numPr>
              <w:spacing w:after="45"/>
            </w:pPr>
            <w:r>
              <w:rPr>
                <w:sz w:val="15"/>
                <w:szCs w:val="15"/>
              </w:rPr>
              <w:t xml:space="preserve">Thresholds conflict with European guidance without the conflict being noted: cholecystectomy at a gallbladder polyp above 8 mm against above 6 mm in the 2017 European guidelines, and ursodeoxycholic acid at 13 to 23 mg/kg/day against 15 to 20 mg/kg/day in EASL guidance</w:t>
            </w:r>
          </w:p>
          <w:p>
            <w:pPr>
              <w:pStyle w:val="ListParagraph"/>
              <w:numPr>
                <w:ilvl w:val="0"/>
                <w:numId w:val="2"/>
              </w:numPr>
              <w:spacing w:after="45"/>
            </w:pPr>
            <w:r>
              <w:rPr>
                <w:sz w:val="15"/>
                <w:szCs w:val="15"/>
              </w:rPr>
              <w:t xml:space="preserve">Adjuvant capecitabine is recommended for all cholangiocarcinoma without reference to the failed intention-to-treat analysis of the trial behind it or to the absence of an intrahepatic subgroup effect</w:t>
            </w:r>
          </w:p>
          <w:p>
            <w:pPr>
              <w:pStyle w:val="ListParagraph"/>
              <w:numPr>
                <w:ilvl w:val="0"/>
                <w:numId w:val="2"/>
              </w:numPr>
              <w:spacing w:after="45"/>
            </w:pPr>
            <w:r>
              <w:rPr>
                <w:sz w:val="15"/>
                <w:szCs w:val="15"/>
              </w:rPr>
              <w:t xml:space="preserve">The diagnostic performance figures are quoted without the cohorts behind them: MRI/MRCP at 89% sensitivity and 75% specificity against ultrasound at 57% and 94%, and CA 19-9 at 129 U/mL giving 78% and 98%, are presented side by side from different studies with different reference standards</w:t>
            </w:r>
          </w:p>
          <w:p>
            <w:pPr>
              <w:pStyle w:val="ListParagraph"/>
              <w:numPr>
                <w:ilvl w:val="0"/>
                <w:numId w:val="2"/>
              </w:numPr>
              <w:spacing w:after="45"/>
            </w:pPr>
            <w:r>
              <w:rPr>
                <w:sz w:val="15"/>
                <w:szCs w:val="15"/>
              </w:rPr>
              <w:t xml:space="preserve">PET is recommended against for the primary tumour here while the EASL-ILCA guideline recommends routine FDG-PET for nodal staging in apparently resectable iCCA, a direct conflict between two 2023 guidance documents that neither acknowledges</w:t>
            </w:r>
          </w:p>
          <w:p>
            <w:pPr>
              <w:pStyle w:val="ListParagraph"/>
              <w:numPr>
                <w:ilvl w:val="0"/>
                <w:numId w:val="2"/>
              </w:numPr>
              <w:spacing w:after="45"/>
            </w:pPr>
            <w:r>
              <w:rPr>
                <w:sz w:val="15"/>
                <w:szCs w:val="15"/>
              </w:rPr>
              <w:t xml:space="preserve">The guidance introduces new stricture terminology (dominant, high-grade and relevant) whose thresholds are set by expert consensus with no validation data, and then conditions several management statements on those definitions</w:t>
            </w:r>
          </w:p>
          <w:p>
            <w:pPr>
              <w:pStyle w:val="ListParagraph"/>
              <w:numPr>
                <w:ilvl w:val="0"/>
                <w:numId w:val="2"/>
              </w:numPr>
              <w:spacing w:after="45"/>
            </w:pPr>
            <w:r>
              <w:rPr>
                <w:sz w:val="15"/>
                <w:szCs w:val="15"/>
              </w:rPr>
              <w:t xml:space="preserve">The transplant author declares consulting and grant relationships with Roche and AstraZeneca and is also the senior author of the iCCA transplant series and review on which the transplant statements depend</w:t>
            </w:r>
          </w:p>
          <w:p>
            <w:pPr>
              <w:pStyle w:val="ListParagraph"/>
              <w:numPr>
                <w:ilvl w:val="0"/>
                <w:numId w:val="2"/>
              </w:numPr>
              <w:spacing w:after="45"/>
            </w:pPr>
            <w:r>
              <w:rPr>
                <w:sz w:val="15"/>
                <w:szCs w:val="15"/>
              </w:rPr>
              <w:t xml:space="preserve">An editorial by Saffioti and Mavroeidis (Hepatobiliary Surg Nutr 2024;13:172-5, PMID 38322224) raises the FISH availability and lymphadenectomy gaps; it was identified from the citation record and its arguments are reported second-hand rather than read here</w:t>
            </w:r>
          </w:p>
        </w:tc>
      </w:tr>
    </w:tbl>
    <w:p>
      <w:pPr>
        <w:spacing w:after="0" w:line="276"/>
      </w:pPr>
      <w:r>
        <w:rPr>
          <w:color w:val="5A6069"/>
          <w:sz w:val="14"/>
          <w:szCs w:val="14"/>
        </w:rPr>
        <w:t xml:space="preserve">Funding: Funding for the development of the Practice Guidance was provided by the American Association for the Study of Liver Diseases; individual authors declare grants and advisory relationships including Gilead, Bristol-Myers Squibb, GlaxoSmithKline, Mirum, Boston Scientific, Intercept, Novartis and others, and the transplant author declares consulting and grants from Roche, AstraZeneca and Integra</w:t>
      </w:r>
    </w:p>
    <w:p>
      <w:pPr>
        <w:keepNext/>
        <w:spacing w:after="50" w:before="260"/>
      </w:pPr>
      <w:r>
        <w:rPr>
          <w:rFonts w:ascii="Cambria" w:cs="Cambria" w:eastAsia="Cambria" w:hAnsi="Cambria"/>
          <w:b/>
          <w:bCs/>
          <w:color w:val="17365D"/>
          <w:sz w:val="20"/>
          <w:szCs w:val="20"/>
        </w:rPr>
        <w:t xml:space="preserve">ABC-02</w:t>
      </w:r>
      <w:r>
        <w:rPr>
          <w:b/>
          <w:bCs/>
          <w:color w:val="176A87"/>
          <w:sz w:val="15"/>
          <w:szCs w:val="15"/>
        </w:rPr>
        <w:t xml:space="preserve">   Randomised trial</w:t>
      </w:r>
      <w:r>
        <w:rPr>
          <w:color w:val="5A6069"/>
          <w:sz w:val="15"/>
          <w:szCs w:val="15"/>
        </w:rPr>
        <w:t xml:space="preserve">   PMID 20375404</w:t>
      </w:r>
    </w:p>
    <w:p>
      <w:pPr>
        <w:spacing w:after="50" w:line="276"/>
      </w:pPr>
      <w:r>
        <w:rPr>
          <w:color w:val="5A6069"/>
          <w:sz w:val="17"/>
          <w:szCs w:val="17"/>
        </w:rPr>
        <w:t xml:space="preserve">Cisplatin plus Gemcitabine versus Gemcitabine for Biliary Tract Cancer</w:t>
      </w:r>
    </w:p>
    <w:p>
      <w:pPr>
        <w:spacing w:after="50"/>
      </w:pPr>
      <w:r>
        <w:rPr>
          <w:b/>
          <w:bCs/>
          <w:color w:val="176A87"/>
          <w:sz w:val="16"/>
          <w:szCs w:val="16"/>
        </w:rPr>
        <w:t xml:space="preserve">Population. </w:t>
      </w:r>
      <w:r>
        <w:rPr>
          <w:sz w:val="16"/>
          <w:szCs w:val="16"/>
        </w:rPr>
        <w:t xml:space="preserve">410 patients with locally advanced or metastatic biliary tract cancer at 37 UK centres, of whom 80 (20%) had intrahepatic cholangiocarcinoma, 149 gallbladder cancer, 73 extrahepatic and 57 hilar cholangiocarcinoma, 20 ampullary cancer and 31 unspecified; 86 of the 410 came from the preceding randomised phase 2 ABC-01 study</w:t>
      </w:r>
    </w:p>
    <w:p>
      <w:pPr>
        <w:spacing w:after="70"/>
      </w:pPr>
      <w:r>
        <w:rPr>
          <w:b/>
          <w:bCs/>
          <w:color w:val="17365D"/>
          <w:sz w:val="16"/>
          <w:szCs w:val="16"/>
        </w:rPr>
        <w:t xml:space="preserve">Bottom line. </w:t>
      </w:r>
      <w:r>
        <w:rPr>
          <w:sz w:val="16"/>
          <w:szCs w:val="16"/>
        </w:rPr>
        <w:t xml:space="preserve">ABC-02 established cisplatin plus gemcitabine as first-line treatment for advanced biliary tract cancer, with median survival of 11.7 against 8.1 months and a hazard ratio of 0.64 (0.52-0.80) at no cost in overall toxicity. It does not establish a benefit in intrahepatic cholangiocarcinoma specifically, since iCCA was 80 of 410 patients and no site-specific estimate was ever reported. Median follow-up was 8.2 months, shorter than the median survival it reports, and 86 of the patients came from the phase 2 study that generated the hypothesis.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No limitations section anywhere in the paper; the authors concede only that the excess of grade 3 or 4 abnormal liver function in the gemcitabine-alone arm was possibly a result of inferior disease control and biliary drainage, and that until ABC-01 and this trial the evidence base was non-randomised phase 2 studies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trial is a continuation of ABC-01, and the 86 patients randomised there generated the progression-free survival signal used to justify the extension and were then counted in this 410-patient confirmatory analysis, so the hypothesis and the test of it share data</w:t>
            </w:r>
          </w:p>
          <w:p>
            <w:pPr>
              <w:pStyle w:val="ListParagraph"/>
              <w:numPr>
                <w:ilvl w:val="0"/>
                <w:numId w:val="2"/>
              </w:numPr>
              <w:spacing w:after="45"/>
            </w:pPr>
            <w:r>
              <w:rPr>
                <w:sz w:val="15"/>
                <w:szCs w:val="15"/>
              </w:rPr>
              <w:t xml:space="preserve">Median follow-up was 8.2 months, shorter than the 11.7-month median survival being reported; the numbers at risk fall to 17 against 4 by 24 months and 2 against 2 by 32 months, so nothing beyond two years is estimable</w:t>
            </w:r>
          </w:p>
          <w:p>
            <w:pPr>
              <w:pStyle w:val="ListParagraph"/>
              <w:numPr>
                <w:ilvl w:val="0"/>
                <w:numId w:val="2"/>
              </w:numPr>
              <w:spacing w:after="45"/>
            </w:pPr>
            <w:r>
              <w:rPr>
                <w:sz w:val="15"/>
                <w:szCs w:val="15"/>
              </w:rPr>
              <w:t xml:space="preserve">Intrahepatic cholangiocarcinoma is 80 of 410 patients and no site-specific hazard ratio is reported; the forest plot showing no heterogeneity is used to license pooling in a trial with no power to detect site-by-treatment interaction</w:t>
            </w:r>
          </w:p>
          <w:p>
            <w:pPr>
              <w:pStyle w:val="ListParagraph"/>
              <w:numPr>
                <w:ilvl w:val="0"/>
                <w:numId w:val="2"/>
              </w:numPr>
              <w:spacing w:after="45"/>
            </w:pPr>
            <w:r>
              <w:rPr>
                <w:sz w:val="15"/>
                <w:szCs w:val="15"/>
              </w:rPr>
              <w:t xml:space="preserve">Gallbladder cancer is 36% of the population and ampullary carcinoma a further 5%, so more than two-fifths of the evidence for the iCCA standard of care comes from tumours of different origin and different biology</w:t>
            </w:r>
          </w:p>
          <w:p>
            <w:pPr>
              <w:pStyle w:val="ListParagraph"/>
              <w:numPr>
                <w:ilvl w:val="0"/>
                <w:numId w:val="2"/>
              </w:numPr>
              <w:spacing w:after="45"/>
            </w:pPr>
            <w:r>
              <w:rPr>
                <w:sz w:val="15"/>
                <w:szCs w:val="15"/>
              </w:rPr>
              <w:t xml:space="preserve">The two arms differ in gemcitabine schedule as well as in cisplatin, 1000 mg/m2 on days 1 and 8 of 21 against days 1, 8 and 15 of 28, so the comparison is regimen against regimen and cannot isolate the contribution of adding cisplatin</w:t>
            </w:r>
          </w:p>
          <w:p>
            <w:pPr>
              <w:pStyle w:val="ListParagraph"/>
              <w:numPr>
                <w:ilvl w:val="0"/>
                <w:numId w:val="2"/>
              </w:numPr>
              <w:spacing w:after="45"/>
            </w:pPr>
            <w:r>
              <w:rPr>
                <w:sz w:val="15"/>
                <w:szCs w:val="15"/>
              </w:rPr>
              <w:t xml:space="preserve">Objective response was assessable in only 303 of 410 patients because measurable disease was not required at entry, and the 81.4% versus 71.8% tumour control rate at P = 0.049 is computed on that incomplete subset and counts stable disease as control</w:t>
            </w:r>
          </w:p>
          <w:p>
            <w:pPr>
              <w:pStyle w:val="ListParagraph"/>
              <w:numPr>
                <w:ilvl w:val="0"/>
                <w:numId w:val="2"/>
              </w:numPr>
              <w:spacing w:after="45"/>
            </w:pPr>
            <w:r>
              <w:rPr>
                <w:sz w:val="15"/>
                <w:szCs w:val="15"/>
              </w:rPr>
              <w:t xml:space="preserve">Imaging was obtained only at weeks 12 and 24 by RECIST 1.0 with no confirmatory scan, so progression-free survival can only move in 12-week steps and the 3-month difference in median progression-free survival is of the same order as the assessment interval</w:t>
            </w:r>
          </w:p>
          <w:p>
            <w:pPr>
              <w:pStyle w:val="ListParagraph"/>
              <w:numPr>
                <w:ilvl w:val="0"/>
                <w:numId w:val="2"/>
              </w:numPr>
              <w:spacing w:after="45"/>
            </w:pPr>
            <w:r>
              <w:rPr>
                <w:sz w:val="15"/>
                <w:szCs w:val="15"/>
              </w:rPr>
              <w:t xml:space="preserve">Biliary obstruction was deliberately not counted as progression, which in a disease whose dominant local event is biliary obstruction removes a clinically meaningful progression event from the primary biological endpoint's companion measure</w:t>
            </w:r>
          </w:p>
          <w:p>
            <w:pPr>
              <w:pStyle w:val="ListParagraph"/>
              <w:numPr>
                <w:ilvl w:val="0"/>
                <w:numId w:val="2"/>
              </w:numPr>
              <w:spacing w:after="45"/>
            </w:pPr>
            <w:r>
              <w:rPr>
                <w:sz w:val="15"/>
                <w:szCs w:val="15"/>
              </w:rPr>
              <w:t xml:space="preserve">Only 72 of 410 patients (18%) received any second-line therapy, so the overall survival difference was generated in a setting with almost no post-progression treatment and will not transfer to current practice</w:t>
            </w:r>
          </w:p>
          <w:p>
            <w:pPr>
              <w:pStyle w:val="ListParagraph"/>
              <w:numPr>
                <w:ilvl w:val="0"/>
                <w:numId w:val="2"/>
              </w:numPr>
              <w:spacing w:after="45"/>
            </w:pPr>
            <w:r>
              <w:rPr>
                <w:sz w:val="15"/>
                <w:szCs w:val="15"/>
              </w:rPr>
              <w:t xml:space="preserve">Treatment duration differed substantially between arms, 21 against 14 weeks, P = 0.003, and 63% against 52% started a second 12 weeks, so the arms also differ in total exposure and in contact with the treating team</w:t>
            </w:r>
          </w:p>
          <w:p>
            <w:pPr>
              <w:pStyle w:val="ListParagraph"/>
              <w:numPr>
                <w:ilvl w:val="0"/>
                <w:numId w:val="2"/>
              </w:numPr>
              <w:spacing w:after="45"/>
            </w:pPr>
            <w:r>
              <w:rPr>
                <w:sz w:val="15"/>
                <w:szCs w:val="15"/>
              </w:rPr>
              <w:t xml:space="preserve">The explanation offered for better liver function tests on the combination, superior disease control and biliary drainage, is an interpretation with no drainage-procedure data reported to support it</w:t>
            </w:r>
          </w:p>
          <w:p>
            <w:pPr>
              <w:pStyle w:val="ListParagraph"/>
              <w:numPr>
                <w:ilvl w:val="0"/>
                <w:numId w:val="2"/>
              </w:numPr>
              <w:spacing w:after="45"/>
            </w:pPr>
            <w:r>
              <w:rPr>
                <w:sz w:val="15"/>
                <w:szCs w:val="15"/>
              </w:rPr>
              <w:t xml:space="preserve">Lilly Oncology supplied gemcitabine free and gave an unrestricted educational grant to a trial in which both arms receive Lilly's drug and the result establishes a gemcitabine-containing standard</w:t>
            </w:r>
          </w:p>
          <w:p>
            <w:pPr>
              <w:pStyle w:val="ListParagraph"/>
              <w:numPr>
                <w:ilvl w:val="0"/>
                <w:numId w:val="2"/>
              </w:numPr>
              <w:spacing w:after="45"/>
            </w:pPr>
            <w:r>
              <w:rPr>
                <w:sz w:val="15"/>
                <w:szCs w:val="15"/>
              </w:rPr>
              <w:t xml:space="preserve">The trial was open-label with investigator-assessed progression and no blinded central review of imaging is described</w:t>
            </w:r>
          </w:p>
          <w:p>
            <w:pPr>
              <w:pStyle w:val="ListParagraph"/>
              <w:numPr>
                <w:ilvl w:val="0"/>
                <w:numId w:val="2"/>
              </w:numPr>
              <w:spacing w:after="45"/>
            </w:pPr>
            <w:r>
              <w:rPr>
                <w:sz w:val="15"/>
                <w:szCs w:val="15"/>
              </w:rPr>
              <w:t xml:space="preserve">No tissue collection, molecular stratification or biobanking is described, so the trial that defined the control arm for every subsequent biliary trial left no material to characterise who benefited</w:t>
            </w:r>
          </w:p>
          <w:p>
            <w:pPr>
              <w:pStyle w:val="ListParagraph"/>
              <w:numPr>
                <w:ilvl w:val="0"/>
                <w:numId w:val="2"/>
              </w:numPr>
              <w:spacing w:after="45"/>
            </w:pPr>
            <w:r>
              <w:rPr>
                <w:sz w:val="15"/>
                <w:szCs w:val="15"/>
              </w:rPr>
              <w:t xml:space="preserve">Two letters in the New England Journal of Medicine (Hall, PMID 20653076, with the authors' reply; Cariati, PMID 20647216) questioned the cost-benefit of a 3.6-month median gain; both were identified from the citation record and not read here</w:t>
            </w:r>
          </w:p>
        </w:tc>
      </w:tr>
    </w:tbl>
    <w:p>
      <w:pPr>
        <w:spacing w:after="0" w:line="276"/>
      </w:pPr>
      <w:r>
        <w:rPr>
          <w:color w:val="5A6069"/>
          <w:sz w:val="14"/>
          <w:szCs w:val="14"/>
        </w:rPr>
        <w:t xml:space="preserve">Funding: Supported by University College London Hospitals and UCL Comprehensive Biomedical Research Centre, Cancer Research UK, and an unrestricted educational grant from Lilly Oncology, which supplied gemcitabine free of charge and had no role in accrual, analysis, interpretation or writing</w:t>
      </w:r>
    </w:p>
    <w:p>
      <w:pPr>
        <w:keepNext/>
        <w:spacing w:after="50" w:before="260"/>
      </w:pPr>
      <w:r>
        <w:rPr>
          <w:rFonts w:ascii="Cambria" w:cs="Cambria" w:eastAsia="Cambria" w:hAnsi="Cambria"/>
          <w:b/>
          <w:bCs/>
          <w:color w:val="17365D"/>
          <w:sz w:val="20"/>
          <w:szCs w:val="20"/>
        </w:rPr>
        <w:t xml:space="preserve">ABC-06</w:t>
      </w:r>
      <w:r>
        <w:rPr>
          <w:b/>
          <w:bCs/>
          <w:color w:val="176A87"/>
          <w:sz w:val="15"/>
          <w:szCs w:val="15"/>
        </w:rPr>
        <w:t xml:space="preserve">   Randomised trial</w:t>
      </w:r>
      <w:r>
        <w:rPr>
          <w:color w:val="5A6069"/>
          <w:sz w:val="15"/>
          <w:szCs w:val="15"/>
        </w:rPr>
        <w:t xml:space="preserve">   PMID 33798493</w:t>
      </w:r>
    </w:p>
    <w:p>
      <w:pPr>
        <w:spacing w:after="50" w:line="276"/>
      </w:pPr>
      <w:r>
        <w:rPr>
          <w:color w:val="5A6069"/>
          <w:sz w:val="17"/>
          <w:szCs w:val="17"/>
        </w:rPr>
        <w:t xml:space="preserve">Second-line FOLFOX chemotherapy versus active symptom control for advanced biliary tract cancer (ABC-06): a phase 3, open-label, randomised, controlled trial</w:t>
      </w:r>
    </w:p>
    <w:p>
      <w:pPr>
        <w:spacing w:after="50"/>
      </w:pPr>
      <w:r>
        <w:rPr>
          <w:b/>
          <w:bCs/>
          <w:color w:val="176A87"/>
          <w:sz w:val="16"/>
          <w:szCs w:val="16"/>
        </w:rPr>
        <w:t xml:space="preserve">Population. </w:t>
      </w:r>
      <w:r>
        <w:rPr>
          <w:sz w:val="16"/>
          <w:szCs w:val="16"/>
        </w:rPr>
        <w:t xml:space="preserve">162 patients with advanced biliary tract cancer progressing after first-line cisplatin-gemcitabine, randomised 1:1 at 20 UK centres from 290 screened between 27 March 2014 and 4 January 2018; 72 of 162 (44%) had intrahepatic cholangiocarcinoma and 133 (82%) were metastatic</w:t>
      </w:r>
    </w:p>
    <w:p>
      <w:pPr>
        <w:spacing w:after="70"/>
      </w:pPr>
      <w:r>
        <w:rPr>
          <w:b/>
          <w:bCs/>
          <w:color w:val="17365D"/>
          <w:sz w:val="16"/>
          <w:szCs w:val="16"/>
        </w:rPr>
        <w:t xml:space="preserve">Bottom line. </w:t>
      </w:r>
      <w:r>
        <w:rPr>
          <w:sz w:val="16"/>
          <w:szCs w:val="16"/>
        </w:rPr>
        <w:t xml:space="preserve">ABC-06 is the only randomised evidence for second-line chemotherapy in advanced biliary tract cancer, and it is positive: adjusted HR 0.69 (0.50-0.97), with 12-month survival of 25.9% against 11.4%. The absolute median gain is 0.9 months, bought with 69% grade 3 to 5 toxicity and three treatment-related deaths, and the response rate was 5%. Stratification errors required a post hoc sensitivity analysis, the control arm had no imaging so there is no comparative disease-control data, and 44% intrahepatic disease was never analysed separately.</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trial was conducted in a single country, and UK first-line practice of stopping chemotherapy at 6 months differs from countries that treat to progression, with unknown effect on second-line efficacy</w:t>
            </w:r>
          </w:p>
          <w:p>
            <w:pPr>
              <w:pStyle w:val="ListParagraph"/>
              <w:numPr>
                <w:ilvl w:val="0"/>
                <w:numId w:val="2"/>
              </w:numPr>
              <w:spacing w:after="45"/>
            </w:pPr>
            <w:r>
              <w:rPr>
                <w:sz w:val="15"/>
                <w:szCs w:val="15"/>
              </w:rPr>
              <w:t xml:space="preserve">Countries had varying access to molecular profiling, especially during recruitment</w:t>
            </w:r>
          </w:p>
          <w:p>
            <w:pPr>
              <w:pStyle w:val="ListParagraph"/>
              <w:numPr>
                <w:ilvl w:val="0"/>
                <w:numId w:val="2"/>
              </w:numPr>
              <w:spacing w:after="45"/>
            </w:pPr>
            <w:r>
              <w:rPr>
                <w:sz w:val="15"/>
                <w:szCs w:val="15"/>
              </w:rPr>
              <w:t xml:space="preserve">There was insufficient power for subgroup analyses, which the authors acknowledge challenges some interpretations in such a heterogeneous disease</w:t>
            </w:r>
          </w:p>
          <w:p>
            <w:pPr>
              <w:pStyle w:val="ListParagraph"/>
              <w:numPr>
                <w:ilvl w:val="0"/>
                <w:numId w:val="2"/>
              </w:numPr>
              <w:spacing w:after="45"/>
            </w:pPr>
            <w:r>
              <w:rPr>
                <w:sz w:val="15"/>
                <w:szCs w:val="15"/>
              </w:rPr>
              <w:t xml:space="preserve">Routine radiological follow-up was not performed in the active symptom control group, so progression-free survival and response data exist only for the chemotherapy arm</w:t>
            </w:r>
          </w:p>
          <w:p>
            <w:pPr>
              <w:pStyle w:val="ListParagraph"/>
              <w:numPr>
                <w:ilvl w:val="0"/>
                <w:numId w:val="2"/>
              </w:numPr>
              <w:spacing w:after="45"/>
            </w:pPr>
            <w:r>
              <w:rPr>
                <w:sz w:val="15"/>
                <w:szCs w:val="15"/>
              </w:rPr>
              <w:t xml:space="preserve">Three-monthly imaging, no central radiology review and the open-label design might have affected the progression-free survival results</w:t>
            </w:r>
          </w:p>
          <w:p>
            <w:pPr>
              <w:pStyle w:val="ListParagraph"/>
              <w:numPr>
                <w:ilvl w:val="0"/>
                <w:numId w:val="2"/>
              </w:numPr>
              <w:spacing w:after="45"/>
            </w:pPr>
            <w:r>
              <w:rPr>
                <w:sz w:val="15"/>
                <w:szCs w:val="15"/>
              </w:rPr>
              <w:t xml:space="preserve">Subsequent lines of treatment were given at clinician discretion and could have affected overall survival, although the authors state the proportions were balanced</w:t>
            </w:r>
          </w:p>
          <w:p>
            <w:pPr>
              <w:pStyle w:val="ListParagraph"/>
              <w:numPr>
                <w:ilvl w:val="0"/>
                <w:numId w:val="2"/>
              </w:numPr>
              <w:spacing w:after="45"/>
            </w:pPr>
            <w:r>
              <w:rPr>
                <w:sz w:val="15"/>
                <w:szCs w:val="15"/>
              </w:rPr>
              <w:t xml:space="preserve">Stratification errors from incorrect baseline data supplied at randomisation were discovered during data cleaning and required a post hoc sensitivity analysis</w:t>
            </w:r>
          </w:p>
          <w:p>
            <w:pPr>
              <w:pStyle w:val="ListParagraph"/>
              <w:numPr>
                <w:ilvl w:val="0"/>
                <w:numId w:val="2"/>
              </w:numPr>
              <w:spacing w:after="45"/>
            </w:pPr>
            <w:r>
              <w:rPr>
                <w:sz w:val="15"/>
                <w:szCs w:val="15"/>
              </w:rPr>
              <w:t xml:space="preserve">Quality-of-life and health-economic analyses were not reported with the primary results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absolute difference in median overall survival is 0.9 months, 6.2 against 5.3, against grade 3 to 5 adverse events in 69% of the chemotherapy arm and three chemotherapy-related deaths from infection, acute kidney injury and febrile neutropenia</w:t>
            </w:r>
          </w:p>
          <w:p>
            <w:pPr>
              <w:pStyle w:val="ListParagraph"/>
              <w:numPr>
                <w:ilvl w:val="0"/>
                <w:numId w:val="2"/>
              </w:numPr>
              <w:spacing w:after="45"/>
            </w:pPr>
            <w:r>
              <w:rPr>
                <w:sz w:val="15"/>
                <w:szCs w:val="15"/>
              </w:rPr>
              <w:t xml:space="preserve">The adjusted hazard ratio of 0.69 (0.50-0.97) at p = 0.031 just clears conventional significance in a trial powered for HR 0.63 on 148 deaths, and the sensitivity analysis required after the stratification errors gives 0.68 (0.49-0.95), so the result sits close to the boundary under either model</w:t>
            </w:r>
          </w:p>
          <w:p>
            <w:pPr>
              <w:pStyle w:val="ListParagraph"/>
              <w:numPr>
                <w:ilvl w:val="0"/>
                <w:numId w:val="2"/>
              </w:numPr>
              <w:spacing w:after="45"/>
            </w:pPr>
            <w:r>
              <w:rPr>
                <w:sz w:val="15"/>
                <w:szCs w:val="15"/>
              </w:rPr>
              <w:t xml:space="preserve">Platinum sensitivity was itself independently prognostic, adjusted HR 0.71 (0.49-1.00), and was imbalanced against the chemotherapy arm, 67% platinum resistant or refractory against 58% in the control arm; the minimisation variable that mattered most was the one that failed</w:t>
            </w:r>
          </w:p>
          <w:p>
            <w:pPr>
              <w:pStyle w:val="ListParagraph"/>
              <w:numPr>
                <w:ilvl w:val="0"/>
                <w:numId w:val="2"/>
              </w:numPr>
              <w:spacing w:after="45"/>
            </w:pPr>
            <w:r>
              <w:rPr>
                <w:sz w:val="15"/>
                <w:szCs w:val="15"/>
              </w:rPr>
              <w:t xml:space="preserve">Objective response was 4 of 81 (5%) and 37% of the chemotherapy arm had progressive disease on first assessment, so for most patients FOLFOX did nothing measurable to the tumour while producing the toxicity recorded</w:t>
            </w:r>
          </w:p>
          <w:p>
            <w:pPr>
              <w:pStyle w:val="ListParagraph"/>
              <w:numPr>
                <w:ilvl w:val="0"/>
                <w:numId w:val="2"/>
              </w:numPr>
              <w:spacing w:after="45"/>
            </w:pPr>
            <w:r>
              <w:rPr>
                <w:sz w:val="15"/>
                <w:szCs w:val="15"/>
              </w:rPr>
              <w:t xml:space="preserve">6 of 81 assigned FOLFOX never received it and 9 received only one cycle, while 8 of 81 in the control arm received off-study chemotherapy, so roughly a fifth of the randomised contrast was diluted in both directions</w:t>
            </w:r>
          </w:p>
          <w:p>
            <w:pPr>
              <w:pStyle w:val="ListParagraph"/>
              <w:numPr>
                <w:ilvl w:val="0"/>
                <w:numId w:val="2"/>
              </w:numPr>
              <w:spacing w:after="45"/>
            </w:pPr>
            <w:r>
              <w:rPr>
                <w:sz w:val="15"/>
                <w:szCs w:val="15"/>
              </w:rPr>
              <w:t xml:space="preserve">Progression-free survival and radiological response can only be reported for one arm because the control arm had no scheduled imaging, which means the trial has no comparative disease-control data at all and the survival difference cannot be attributed to any observed antitumour effect</w:t>
            </w:r>
          </w:p>
          <w:p>
            <w:pPr>
              <w:pStyle w:val="ListParagraph"/>
              <w:numPr>
                <w:ilvl w:val="0"/>
                <w:numId w:val="2"/>
              </w:numPr>
              <w:spacing w:after="45"/>
            </w:pPr>
            <w:r>
              <w:rPr>
                <w:sz w:val="15"/>
                <w:szCs w:val="15"/>
              </w:rPr>
              <w:t xml:space="preserve">The three chemotherapy-related deaths amount to 3.7% of the FOLFOX arm, a mortality figure of the same order as the median survival gain, and the paper does not set the two against each other</w:t>
            </w:r>
          </w:p>
          <w:p>
            <w:pPr>
              <w:pStyle w:val="ListParagraph"/>
              <w:numPr>
                <w:ilvl w:val="0"/>
                <w:numId w:val="2"/>
              </w:numPr>
              <w:spacing w:after="45"/>
            </w:pPr>
            <w:r>
              <w:rPr>
                <w:sz w:val="15"/>
                <w:szCs w:val="15"/>
              </w:rPr>
              <w:t xml:space="preserve">Baseline albumin of 35 g/L or above carried an adjusted HR of 0.54 (0.37-0.78), a larger prognostic effect than the treatment itself, which indicates the population is dominated by performance and nutritional state rather than by second-line chemotherapy</w:t>
            </w:r>
          </w:p>
          <w:p>
            <w:pPr>
              <w:pStyle w:val="ListParagraph"/>
              <w:numPr>
                <w:ilvl w:val="0"/>
                <w:numId w:val="2"/>
              </w:numPr>
              <w:spacing w:after="45"/>
            </w:pPr>
            <w:r>
              <w:rPr>
                <w:sz w:val="15"/>
                <w:szCs w:val="15"/>
              </w:rPr>
              <w:t xml:space="preserve">44% of patients had intrahepatic disease and no site-specific hazard ratio is reported, with the authors conceding subgroup power was insufficient, so an iCCA-specific second-line benefit is not demonstrated</w:t>
            </w:r>
          </w:p>
          <w:p>
            <w:pPr>
              <w:pStyle w:val="ListParagraph"/>
              <w:numPr>
                <w:ilvl w:val="0"/>
                <w:numId w:val="2"/>
              </w:numPr>
              <w:spacing w:after="45"/>
            </w:pPr>
            <w:r>
              <w:rPr>
                <w:sz w:val="15"/>
                <w:szCs w:val="15"/>
              </w:rPr>
              <w:t xml:space="preserve">The trial's comparator and context are now historical: with first-line immunotherapy and FGFR2 or IDH1 inhibitors available for roughly a third of intrahepatic patients, who would be offered FOLFOX in the second line has changed, and no molecular profiling was performed here</w:t>
            </w:r>
          </w:p>
          <w:p>
            <w:pPr>
              <w:pStyle w:val="ListParagraph"/>
              <w:numPr>
                <w:ilvl w:val="0"/>
                <w:numId w:val="2"/>
              </w:numPr>
              <w:spacing w:after="45"/>
            </w:pPr>
            <w:r>
              <w:rPr>
                <w:sz w:val="15"/>
                <w:szCs w:val="15"/>
              </w:rPr>
              <w:t xml:space="preserve">Four linked correspondence letters with an authors' reply appeared in Lancet Oncology 2021;22(7):e284-e289 (PMIDs 34197747, 34197748, 34197749, 34197750, reply 34197751); their content was not available here, so none of their arguments is represented</w:t>
            </w:r>
          </w:p>
        </w:tc>
      </w:tr>
    </w:tbl>
    <w:p>
      <w:pPr>
        <w:spacing w:after="0" w:line="276"/>
      </w:pPr>
      <w:r>
        <w:rPr>
          <w:color w:val="5A6069"/>
          <w:sz w:val="14"/>
          <w:szCs w:val="14"/>
        </w:rPr>
        <w:t xml:space="preserve">Funding: Cancer Research UK, StandUpToCancer, AMMF (The UK Cholangiocarcinoma Charity) and The Christie Charity, with additional funding from The Cholangiocarcinoma Foundation and a Conquer Cancer Foundation Young Investigator Award; the funders peer-reviewed for patient acceptability but had no role in design, and The Christie NHS Foundation Trust sponsored it as an investigator-initiated study</w:t>
      </w:r>
    </w:p>
    <w:p>
      <w:pPr>
        <w:keepNext/>
        <w:spacing w:after="50" w:before="260"/>
      </w:pPr>
      <w:r>
        <w:rPr>
          <w:rFonts w:ascii="Cambria" w:cs="Cambria" w:eastAsia="Cambria" w:hAnsi="Cambria"/>
          <w:b/>
          <w:bCs/>
          <w:color w:val="17365D"/>
          <w:sz w:val="20"/>
          <w:szCs w:val="20"/>
        </w:rPr>
        <w:t xml:space="preserve">Ablation meta-analysis</w:t>
      </w:r>
      <w:r>
        <w:rPr>
          <w:b/>
          <w:bCs/>
          <w:color w:val="176A87"/>
          <w:sz w:val="15"/>
          <w:szCs w:val="15"/>
        </w:rPr>
        <w:t xml:space="preserve">   Meta-analysis</w:t>
      </w:r>
      <w:r>
        <w:rPr>
          <w:color w:val="5A6069"/>
          <w:sz w:val="15"/>
          <w:szCs w:val="15"/>
        </w:rPr>
        <w:t xml:space="preserve">   PMID 34347159</w:t>
      </w:r>
    </w:p>
    <w:p>
      <w:pPr>
        <w:spacing w:after="50" w:line="276"/>
      </w:pPr>
      <w:r>
        <w:rPr>
          <w:color w:val="5A6069"/>
          <w:sz w:val="17"/>
          <w:szCs w:val="17"/>
        </w:rPr>
        <w:t xml:space="preserve">Thermal ablation in the treatment of intrahepatic cholangiocarcinoma: a systematic review and meta-analysis</w:t>
      </w:r>
    </w:p>
    <w:p>
      <w:pPr>
        <w:spacing w:after="50"/>
      </w:pPr>
      <w:r>
        <w:rPr>
          <w:b/>
          <w:bCs/>
          <w:color w:val="176A87"/>
          <w:sz w:val="16"/>
          <w:szCs w:val="16"/>
        </w:rPr>
        <w:t xml:space="preserve">Population. </w:t>
      </w:r>
      <w:r>
        <w:rPr>
          <w:sz w:val="16"/>
          <w:szCs w:val="16"/>
        </w:rPr>
        <w:t xml:space="preserve">917 patients with mass-forming intrahepatic cholangiocarcinoma treated by radiofrequency or microwave ablation, pooled from 20 retrospective observational studies published up to 11 March 2021, of whom 502 had primary tumours, 355 post-resection recurrence and 60 were unspecified</w:t>
      </w:r>
    </w:p>
    <w:p>
      <w:pPr>
        <w:spacing w:after="70"/>
      </w:pPr>
      <w:r>
        <w:rPr>
          <w:b/>
          <w:bCs/>
          <w:color w:val="17365D"/>
          <w:sz w:val="16"/>
          <w:szCs w:val="16"/>
        </w:rPr>
        <w:t xml:space="preserve">Bottom line. </w:t>
      </w:r>
      <w:r>
        <w:rPr>
          <w:sz w:val="16"/>
          <w:szCs w:val="16"/>
        </w:rPr>
        <w:t xml:space="preserve">Pooling 917 ablated patients across 20 retrospective series gives the field its working numbers: 82.4% survival at 1 year falling to 28.5% at 5, 91.9% technical success, 5.7% major complications, and worse survival above 3 cm, with multiple tumours or over 65. It does not show that ablation matches resection, because the 30% surgical figure it is compared with comes from a separate meta-analysis of a differently selected population, and the pooled estimates carry I squared up to 85% with Egger evidence of publication bias at 3 years. Only four of the twenty studies contributed recurrence-free survival, which at 40% at one year is the number that bounds the treatment.</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All 20 included studies were retrospective, so selection bias exists in how patients were chosen for thermal ablation, although the authors argue a prospective study is hard to mount in a disease that is only 10% of primary liver cancer</w:t>
            </w:r>
          </w:p>
          <w:p>
            <w:pPr>
              <w:pStyle w:val="ListParagraph"/>
              <w:numPr>
                <w:ilvl w:val="0"/>
                <w:numId w:val="2"/>
              </w:numPr>
              <w:spacing w:after="45"/>
            </w:pPr>
            <w:r>
              <w:rPr>
                <w:sz w:val="15"/>
                <w:szCs w:val="15"/>
              </w:rPr>
              <w:t xml:space="preserve">Discordant reporting of results, including survival outcomes, limited the ability to generate combined estimates</w:t>
            </w:r>
          </w:p>
          <w:p>
            <w:pPr>
              <w:pStyle w:val="ListParagraph"/>
              <w:numPr>
                <w:ilvl w:val="0"/>
                <w:numId w:val="2"/>
              </w:numPr>
              <w:spacing w:after="45"/>
            </w:pPr>
            <w:r>
              <w:rPr>
                <w:sz w:val="15"/>
                <w:szCs w:val="15"/>
              </w:rPr>
              <w:t xml:space="preserve">Heterogeneity was present across the selection criteria for ablation and across the patient populations</w:t>
            </w:r>
          </w:p>
          <w:p>
            <w:pPr>
              <w:pStyle w:val="ListParagraph"/>
              <w:numPr>
                <w:ilvl w:val="0"/>
                <w:numId w:val="2"/>
              </w:numPr>
              <w:spacing w:after="45"/>
            </w:pPr>
            <w:r>
              <w:rPr>
                <w:sz w:val="15"/>
                <w:szCs w:val="15"/>
              </w:rPr>
              <w:t xml:space="preserve">Technical aspects, CT versus ultrasound guidance, single versus multiple probes, and general anaesthesia versus sedation, could not be analysed because of insufficient detail and too few studies, and could be confounders</w:t>
            </w:r>
          </w:p>
          <w:p>
            <w:pPr>
              <w:pStyle w:val="ListParagraph"/>
              <w:numPr>
                <w:ilvl w:val="0"/>
                <w:numId w:val="2"/>
              </w:numPr>
              <w:spacing w:after="45"/>
            </w:pPr>
            <w:r>
              <w:rPr>
                <w:sz w:val="15"/>
                <w:szCs w:val="15"/>
              </w:rPr>
              <w:t xml:space="preserve">A lack of individual patient-level data limited the meta-regression</w:t>
            </w:r>
          </w:p>
          <w:p>
            <w:pPr>
              <w:pStyle w:val="ListParagraph"/>
              <w:numPr>
                <w:ilvl w:val="0"/>
                <w:numId w:val="2"/>
              </w:numPr>
              <w:spacing w:after="45"/>
            </w:pPr>
            <w:r>
              <w:rPr>
                <w:sz w:val="15"/>
                <w:szCs w:val="15"/>
              </w:rPr>
              <w:t xml:space="preserve">The authors report their own evidence of publication bias on the 3-year overall survival pooling, Egger P = 0.039</w:t>
            </w:r>
          </w:p>
          <w:p>
            <w:pPr>
              <w:pStyle w:val="ListParagraph"/>
              <w:numPr>
                <w:ilvl w:val="0"/>
                <w:numId w:val="2"/>
              </w:numPr>
              <w:spacing w:after="45"/>
            </w:pPr>
            <w:r>
              <w:rPr>
                <w:sz w:val="15"/>
                <w:szCs w:val="15"/>
              </w:rPr>
              <w:t xml:space="preserve">A randomised study is required to determine any difference in efficacy between radiofrequency and microwave ablation</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Pooled survival of 42.1% at 3 years and 28.5% at 5 years is reported with heterogeneity of I squared 68% to 85%; at that level a single pooled proportion describes no real population, and the random-effects interval quoted is a confidence interval for an average, not a prediction interval for the next patient</w:t>
            </w:r>
          </w:p>
          <w:p>
            <w:pPr>
              <w:pStyle w:val="ListParagraph"/>
              <w:numPr>
                <w:ilvl w:val="0"/>
                <w:numId w:val="2"/>
              </w:numPr>
              <w:spacing w:after="45"/>
            </w:pPr>
            <w:r>
              <w:rPr>
                <w:sz w:val="15"/>
                <w:szCs w:val="15"/>
              </w:rPr>
              <w:t xml:space="preserve">Parity with resection is asserted by setting 28.5% pooled 5-year survival against the 30% from the Mavros resection meta-analysis, two different literatures with different stage distributions, eras and candidacy, compared without any adjustment and across non-overlapping confidence bounds that are never computed</w:t>
            </w:r>
          </w:p>
          <w:p>
            <w:pPr>
              <w:pStyle w:val="ListParagraph"/>
              <w:numPr>
                <w:ilvl w:val="0"/>
                <w:numId w:val="2"/>
              </w:numPr>
              <w:spacing w:after="45"/>
            </w:pPr>
            <w:r>
              <w:rPr>
                <w:sz w:val="15"/>
                <w:szCs w:val="15"/>
              </w:rPr>
              <w:t xml:space="preserve">The 3 cm recommendation that the paper exists to deliver rests on a dichotomised study-level hazard ratio, 2.12 (1.24-3.63), from aggregate data; the threshold was not derived, it was the cut-point the included studies happened to report</w:t>
            </w:r>
          </w:p>
          <w:p>
            <w:pPr>
              <w:pStyle w:val="ListParagraph"/>
              <w:numPr>
                <w:ilvl w:val="0"/>
                <w:numId w:val="2"/>
              </w:numPr>
              <w:spacing w:after="45"/>
            </w:pPr>
            <w:r>
              <w:rPr>
                <w:sz w:val="15"/>
                <w:szCs w:val="15"/>
              </w:rPr>
              <w:t xml:space="preserve">The three prognostic hazard ratios for size, number and age are univariable study-level estimates that could not be adjusted for one another, nor for nodal status, margin, liver function or performance status, so they cannot be used as a selection rule in combination, which is how they are used</w:t>
            </w:r>
          </w:p>
          <w:p>
            <w:pPr>
              <w:pStyle w:val="ListParagraph"/>
              <w:numPr>
                <w:ilvl w:val="0"/>
                <w:numId w:val="2"/>
              </w:numPr>
              <w:spacing w:after="45"/>
            </w:pPr>
            <w:r>
              <w:rPr>
                <w:sz w:val="15"/>
                <w:szCs w:val="15"/>
              </w:rPr>
              <w:t xml:space="preserve">The patients behind these estimates were chosen for ablation because their tumours were small and accessible or because they were medically inoperable; the pooled survival therefore mixes a favourable tumour selection with an unfavourable patient selection and the two cannot be separated from aggregate data</w:t>
            </w:r>
          </w:p>
          <w:p>
            <w:pPr>
              <w:pStyle w:val="ListParagraph"/>
              <w:numPr>
                <w:ilvl w:val="0"/>
                <w:numId w:val="2"/>
              </w:numPr>
              <w:spacing w:after="45"/>
            </w:pPr>
            <w:r>
              <w:rPr>
                <w:sz w:val="15"/>
                <w:szCs w:val="15"/>
              </w:rPr>
              <w:t xml:space="preserve">Recurrence-free survival of 40.0% at 1 year and 19.2% at 3 years, the numbers that most limit the treatment, could be pooled from only 4 of 20 studies, and freedom from local tumour progression from 5; the headline overall survival therefore comes from a much larger and differently selected evidence base than the disease control figures</w:t>
            </w:r>
          </w:p>
          <w:p>
            <w:pPr>
              <w:pStyle w:val="ListParagraph"/>
              <w:numPr>
                <w:ilvl w:val="0"/>
                <w:numId w:val="2"/>
              </w:numPr>
              <w:spacing w:after="45"/>
            </w:pPr>
            <w:r>
              <w:rPr>
                <w:sz w:val="15"/>
                <w:szCs w:val="15"/>
              </w:rPr>
              <w:t xml:space="preserve">Technical efficacy of 91.9% pools individual study rates ranging from 66.7% to 100%, so a third of patients failed complete ablation in the worst-reporting study, and the technique that produced the pooled figure cannot be identified because no technical variable could be analysed</w:t>
            </w:r>
          </w:p>
          <w:p>
            <w:pPr>
              <w:pStyle w:val="ListParagraph"/>
              <w:numPr>
                <w:ilvl w:val="0"/>
                <w:numId w:val="2"/>
              </w:numPr>
              <w:spacing w:after="45"/>
            </w:pPr>
            <w:r>
              <w:rPr>
                <w:sz w:val="15"/>
                <w:szCs w:val="15"/>
              </w:rPr>
              <w:t xml:space="preserve">Included studies were 10 to 107 patients each, so a handful of larger series dominate the random-effects weights, and no leave-one-out or influence analysis is reported</w:t>
            </w:r>
          </w:p>
          <w:p>
            <w:pPr>
              <w:pStyle w:val="ListParagraph"/>
              <w:numPr>
                <w:ilvl w:val="0"/>
                <w:numId w:val="2"/>
              </w:numPr>
              <w:spacing w:after="45"/>
            </w:pPr>
            <w:r>
              <w:rPr>
                <w:sz w:val="15"/>
                <w:szCs w:val="15"/>
              </w:rPr>
              <w:t xml:space="preserve">The literature is heavily weighted to Chinese and Korean series and restricted to English-language publications, which is both a geographical and a language restriction on a pooled estimate presented as general</w:t>
            </w:r>
          </w:p>
          <w:p>
            <w:pPr>
              <w:pStyle w:val="ListParagraph"/>
              <w:numPr>
                <w:ilvl w:val="0"/>
                <w:numId w:val="2"/>
              </w:numPr>
              <w:spacing w:after="45"/>
            </w:pPr>
            <w:r>
              <w:rPr>
                <w:sz w:val="15"/>
                <w:szCs w:val="15"/>
              </w:rPr>
              <w:t xml:space="preserve">Newcastle-Ottawa scores of 6 to 8 are reported but no study was excluded on quality and no sensitivity analysis by quality score is presented, so study quality enters the pooling only as a description</w:t>
            </w:r>
          </w:p>
          <w:p>
            <w:pPr>
              <w:pStyle w:val="ListParagraph"/>
              <w:numPr>
                <w:ilvl w:val="0"/>
                <w:numId w:val="2"/>
              </w:numPr>
              <w:spacing w:after="45"/>
            </w:pPr>
            <w:r>
              <w:rPr>
                <w:sz w:val="15"/>
                <w:szCs w:val="15"/>
              </w:rPr>
              <w:t xml:space="preserve">Ablation generates no nodal information and the review does not address nodal staging at all, although node status is the variable that most changes management in this disease</w:t>
            </w:r>
          </w:p>
          <w:p>
            <w:pPr>
              <w:pStyle w:val="ListParagraph"/>
              <w:numPr>
                <w:ilvl w:val="0"/>
                <w:numId w:val="2"/>
              </w:numPr>
              <w:spacing w:after="45"/>
            </w:pPr>
            <w:r>
              <w:rPr>
                <w:sz w:val="15"/>
                <w:szCs w:val="15"/>
              </w:rPr>
              <w:t xml:space="preserve">Overall survival was pooled as proportions at fixed time points rather than from reconstructed time-to-event data, so no median survival, no numbers at risk and no hazard comparison against any alternative treatment can be read from the analysis</w:t>
            </w:r>
          </w:p>
          <w:p>
            <w:pPr>
              <w:pStyle w:val="ListParagraph"/>
              <w:numPr>
                <w:ilvl w:val="0"/>
                <w:numId w:val="2"/>
              </w:numPr>
              <w:spacing w:after="45"/>
            </w:pPr>
            <w:r>
              <w:rPr>
                <w:sz w:val="15"/>
                <w:szCs w:val="15"/>
              </w:rPr>
              <w:t xml:space="preserve">No linked editorial or comment was found in PubMed, so the only critical reading available is the authors' own</w:t>
            </w:r>
          </w:p>
        </w:tc>
      </w:tr>
    </w:tbl>
    <w:p>
      <w:pPr>
        <w:spacing w:after="0" w:line="276"/>
      </w:pPr>
      <w:r>
        <w:rPr>
          <w:color w:val="5A6069"/>
          <w:sz w:val="14"/>
          <w:szCs w:val="14"/>
        </w:rPr>
        <w:t xml:space="preserve">Funding: The authors state that the work received no funding and declare no relationships with any company whose products or services relate to the subject matter</w:t>
      </w:r>
    </w:p>
    <w:p>
      <w:pPr>
        <w:keepNext/>
        <w:spacing w:after="50" w:before="260"/>
      </w:pPr>
      <w:r>
        <w:rPr>
          <w:rFonts w:ascii="Cambria" w:cs="Cambria" w:eastAsia="Cambria" w:hAnsi="Cambria"/>
          <w:b/>
          <w:bCs/>
          <w:color w:val="17365D"/>
          <w:sz w:val="20"/>
          <w:szCs w:val="20"/>
        </w:rPr>
        <w:t xml:space="preserve">ASCOT</w:t>
      </w:r>
      <w:r>
        <w:rPr>
          <w:b/>
          <w:bCs/>
          <w:color w:val="176A87"/>
          <w:sz w:val="15"/>
          <w:szCs w:val="15"/>
        </w:rPr>
        <w:t xml:space="preserve">   Randomised trial</w:t>
      </w:r>
      <w:r>
        <w:rPr>
          <w:color w:val="5A6069"/>
          <w:sz w:val="15"/>
          <w:szCs w:val="15"/>
        </w:rPr>
        <w:t xml:space="preserve">   PMID 36681415</w:t>
      </w:r>
    </w:p>
    <w:p>
      <w:pPr>
        <w:spacing w:after="50" w:line="276"/>
      </w:pPr>
      <w:r>
        <w:rPr>
          <w:color w:val="5A6069"/>
          <w:sz w:val="17"/>
          <w:szCs w:val="17"/>
        </w:rPr>
        <w:t xml:space="preserve">Adjuvant S-1 compared with observation in resected biliary tract cancer (JCOG1202, ASCOT): a multicentre, open-label, randomised, controlled, phase 3 trial</w:t>
      </w:r>
    </w:p>
    <w:p>
      <w:pPr>
        <w:spacing w:after="50"/>
      </w:pPr>
      <w:r>
        <w:rPr>
          <w:b/>
          <w:bCs/>
          <w:color w:val="176A87"/>
          <w:sz w:val="16"/>
          <w:szCs w:val="16"/>
        </w:rPr>
        <w:t xml:space="preserve">Population. </w:t>
      </w:r>
      <w:r>
        <w:rPr>
          <w:sz w:val="16"/>
          <w:szCs w:val="16"/>
        </w:rPr>
        <w:t xml:space="preserve">440 patients randomised at 38 Japanese hospitals between 9 September 2013 and 22 June 2018 after R0 or R1 resection of biliary tract cancer, 222 observation and 218 S-1; only 58 of 440 (13%) had intrahepatic cholangiocarcinoma and 186 (42%) underwent hepatectomy</w:t>
      </w:r>
    </w:p>
    <w:p>
      <w:pPr>
        <w:spacing w:after="70"/>
      </w:pPr>
      <w:r>
        <w:rPr>
          <w:b/>
          <w:bCs/>
          <w:color w:val="17365D"/>
          <w:sz w:val="16"/>
          <w:szCs w:val="16"/>
        </w:rPr>
        <w:t xml:space="preserve">Bottom line. </w:t>
      </w:r>
      <w:r>
        <w:rPr>
          <w:sz w:val="16"/>
          <w:szCs w:val="16"/>
        </w:rPr>
        <w:t xml:space="preserve">ASCOT is the first adjuvant trial in biliary tract cancer to show a survival benefit on its intention-to-treat primary endpoint, 3-year survival 77.1% against 67.6% with S-1, HR 0.69 (0.51-0.94). It does not establish adjuvant therapy for resected iCCA: 13% of patients had intrahepatic disease with a subgroup interval of 0.30 to 1.89, relapse-free survival was not significant and its curves cross, and the analysis was done at 63% of the planned events. S-1 is also not an option outside Asia, and it has never been compared with capecitabine.</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trial was conducted only in Japanese patients, and S-1 pharmacokinetics and toxicity, particularly diarrhoea, are suggested to differ in European and North American patients, requiring dose adjustment</w:t>
            </w:r>
          </w:p>
          <w:p>
            <w:pPr>
              <w:pStyle w:val="ListParagraph"/>
              <w:numPr>
                <w:ilvl w:val="0"/>
                <w:numId w:val="2"/>
              </w:numPr>
              <w:spacing w:after="45"/>
            </w:pPr>
            <w:r>
              <w:rPr>
                <w:sz w:val="15"/>
                <w:szCs w:val="15"/>
              </w:rPr>
              <w:t xml:space="preserve">Statistical power for relapse-free survival was low because of the small number of events, and the Kaplan-Meier curves crossed at 6 years</w:t>
            </w:r>
          </w:p>
          <w:p>
            <w:pPr>
              <w:pStyle w:val="ListParagraph"/>
              <w:numPr>
                <w:ilvl w:val="0"/>
                <w:numId w:val="2"/>
              </w:numPr>
              <w:spacing w:after="45"/>
            </w:pPr>
            <w:r>
              <w:rPr>
                <w:sz w:val="15"/>
                <w:szCs w:val="15"/>
              </w:rPr>
              <w:t xml:space="preserve">3-year overall survival in the observation group was 67.6% against a hypothesised 47%, a hypothesis based on outcomes more than ten years earlier</w:t>
            </w:r>
          </w:p>
          <w:p>
            <w:pPr>
              <w:pStyle w:val="ListParagraph"/>
              <w:numPr>
                <w:ilvl w:val="0"/>
                <w:numId w:val="2"/>
              </w:numPr>
              <w:spacing w:after="45"/>
            </w:pPr>
            <w:r>
              <w:rPr>
                <w:sz w:val="15"/>
                <w:szCs w:val="15"/>
              </w:rPr>
              <w:t xml:space="preserve">Follow-up time was short and the number of events at the primary analysis small, so a final analysis at 5-year follow-up is planned</w:t>
            </w:r>
          </w:p>
          <w:p>
            <w:pPr>
              <w:pStyle w:val="ListParagraph"/>
              <w:numPr>
                <w:ilvl w:val="0"/>
                <w:numId w:val="2"/>
              </w:numPr>
              <w:spacing w:after="45"/>
            </w:pPr>
            <w:r>
              <w:rPr>
                <w:sz w:val="15"/>
                <w:szCs w:val="15"/>
              </w:rPr>
              <w:t xml:space="preserve">The trial is open-label, which the authors defend as ethically acceptable</w:t>
            </w:r>
          </w:p>
          <w:p>
            <w:pPr>
              <w:pStyle w:val="ListParagraph"/>
              <w:numPr>
                <w:ilvl w:val="0"/>
                <w:numId w:val="2"/>
              </w:numPr>
              <w:spacing w:after="45"/>
            </w:pPr>
            <w:r>
              <w:rPr>
                <w:sz w:val="15"/>
                <w:szCs w:val="15"/>
              </w:rPr>
              <w:t xml:space="preserve">Relapse data beyond 3 years should be considered immature with many censored cases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primary analysis was conducted at 179 deaths, 62.8% of the 285 prespecified events, with a one-sided alpha of 0.05 and the result reported as definitive; the planned 5-year analysis can therefore only weaken, not strengthen, the registration claim</w:t>
            </w:r>
          </w:p>
          <w:p>
            <w:pPr>
              <w:pStyle w:val="ListParagraph"/>
              <w:numPr>
                <w:ilvl w:val="0"/>
                <w:numId w:val="2"/>
              </w:numPr>
              <w:spacing w:after="45"/>
            </w:pPr>
            <w:r>
              <w:rPr>
                <w:sz w:val="15"/>
                <w:szCs w:val="15"/>
              </w:rPr>
              <w:t xml:space="preserve">Median overall survival is not estimable in the S-1 arm, with a lower confidence bound of 5.2 years, so the headline rests entirely on a 3-year landmark difference of 9.5 percentage points rather than on any median</w:t>
            </w:r>
          </w:p>
          <w:p>
            <w:pPr>
              <w:pStyle w:val="ListParagraph"/>
              <w:numPr>
                <w:ilvl w:val="0"/>
                <w:numId w:val="2"/>
              </w:numPr>
              <w:spacing w:after="45"/>
            </w:pPr>
            <w:r>
              <w:rPr>
                <w:sz w:val="15"/>
                <w:szCs w:val="15"/>
              </w:rPr>
              <w:t xml:space="preserve">Relapse-free survival did not reach significance, HR 0.80 (0.61-1.04), p = 0.088, and the curves cross at 6 years, so the mechanism by which a drug given for 24 weeks improves survival without delaying relapse is not accounted for</w:t>
            </w:r>
          </w:p>
          <w:p>
            <w:pPr>
              <w:pStyle w:val="ListParagraph"/>
              <w:numPr>
                <w:ilvl w:val="0"/>
                <w:numId w:val="2"/>
              </w:numPr>
              <w:spacing w:after="45"/>
            </w:pPr>
            <w:r>
              <w:rPr>
                <w:sz w:val="15"/>
                <w:szCs w:val="15"/>
              </w:rPr>
              <w:t xml:space="preserve">Only 13% of patients had intrahepatic disease, and that subgroup's overall survival hazard ratio is 0.75 with an interval of 0.30-1.89 in 58 patients, which is compatible with substantial harm; the Japanese staging system classifies iCCA as primary liver cancer, which is why the stratum is this small</w:t>
            </w:r>
          </w:p>
          <w:p>
            <w:pPr>
              <w:pStyle w:val="ListParagraph"/>
              <w:numPr>
                <w:ilvl w:val="0"/>
                <w:numId w:val="2"/>
              </w:numPr>
              <w:spacing w:after="45"/>
            </w:pPr>
            <w:r>
              <w:rPr>
                <w:sz w:val="15"/>
                <w:szCs w:val="15"/>
              </w:rPr>
              <w:t xml:space="preserve">Ampullary carcinoma, excluded from BILCAP as a different disease, is included here and carries the most favourable subgroup hazard ratio of 0.49, so the most responsive tumour type in the trial is the one other trials deliberately left out</w:t>
            </w:r>
          </w:p>
          <w:p>
            <w:pPr>
              <w:pStyle w:val="ListParagraph"/>
              <w:numPr>
                <w:ilvl w:val="0"/>
                <w:numId w:val="2"/>
              </w:numPr>
              <w:spacing w:after="45"/>
            </w:pPr>
            <w:r>
              <w:rPr>
                <w:sz w:val="15"/>
                <w:szCs w:val="15"/>
              </w:rPr>
              <w:t xml:space="preserve">Subgroup hazard ratios are quoted for sex (0.51 in women), nodal status, stage and margin, with the R1 subgroup at 1.04 (0.57-1.92); no interaction reached significance, so these differences are being read off a forest plot with no multiplicity control</w:t>
            </w:r>
          </w:p>
          <w:p>
            <w:pPr>
              <w:pStyle w:val="ListParagraph"/>
              <w:numPr>
                <w:ilvl w:val="0"/>
                <w:numId w:val="2"/>
              </w:numPr>
              <w:spacing w:after="45"/>
            </w:pPr>
            <w:r>
              <w:rPr>
                <w:sz w:val="15"/>
                <w:szCs w:val="15"/>
              </w:rPr>
              <w:t xml:space="preserve">The control arm is observation, which was already superseded outside Asia by adjuvant capecitabine after BILCAP, so the trial cannot tell a surgeon whether to use S-1 or capecitabine and the two have never been compared</w:t>
            </w:r>
          </w:p>
          <w:p>
            <w:pPr>
              <w:pStyle w:val="ListParagraph"/>
              <w:numPr>
                <w:ilvl w:val="0"/>
                <w:numId w:val="2"/>
              </w:numPr>
              <w:spacing w:after="45"/>
            </w:pPr>
            <w:r>
              <w:rPr>
                <w:sz w:val="15"/>
                <w:szCs w:val="15"/>
              </w:rPr>
              <w:t xml:space="preserve">The population was highly selected, 87% performance status 0 and 86% R0, and the control arm did 20 percentage points better than assumed; a trial in that population needs a much larger sample to measure an adjuvant effect reliably</w:t>
            </w:r>
          </w:p>
          <w:p>
            <w:pPr>
              <w:pStyle w:val="ListParagraph"/>
              <w:numPr>
                <w:ilvl w:val="0"/>
                <w:numId w:val="2"/>
              </w:numPr>
              <w:spacing w:after="45"/>
            </w:pPr>
            <w:r>
              <w:rPr>
                <w:sz w:val="15"/>
                <w:szCs w:val="15"/>
              </w:rPr>
              <w:t xml:space="preserve">Toxicity was monitored in 207 treated patients while the observation arm received no scheduled treatment contact, so the modest toxicity profile is not a between-arm comparison</w:t>
            </w:r>
          </w:p>
          <w:p>
            <w:pPr>
              <w:pStyle w:val="ListParagraph"/>
              <w:numPr>
                <w:ilvl w:val="0"/>
                <w:numId w:val="2"/>
              </w:numPr>
              <w:spacing w:after="45"/>
            </w:pPr>
            <w:r>
              <w:rPr>
                <w:sz w:val="15"/>
                <w:szCs w:val="15"/>
              </w:rPr>
              <w:t xml:space="preserve">An eligible-patients-only analysis (n = 429) is reported alongside intention to treat with hazard ratios of 0.70 and 0.78, a second analysis set presented without stating which was prespecified as supportive</w:t>
            </w:r>
          </w:p>
          <w:p>
            <w:pPr>
              <w:pStyle w:val="ListParagraph"/>
              <w:numPr>
                <w:ilvl w:val="0"/>
                <w:numId w:val="2"/>
              </w:numPr>
              <w:spacing w:after="45"/>
            </w:pPr>
            <w:r>
              <w:rPr>
                <w:sz w:val="15"/>
                <w:szCs w:val="15"/>
              </w:rPr>
              <w:t xml:space="preserve">Two published commentaries exist, Chiang and Chen in the Lancet (PMID 36681404) and Sood and Mayo on the eligibility criteria in Annals of Surgical Oncology (PMID 37684366); both were identified from the citation record and not read here</w:t>
            </w:r>
          </w:p>
        </w:tc>
      </w:tr>
    </w:tbl>
    <w:p>
      <w:pPr>
        <w:spacing w:after="0" w:line="276"/>
      </w:pPr>
      <w:r>
        <w:rPr>
          <w:color w:val="5A6069"/>
          <w:sz w:val="14"/>
          <w:szCs w:val="14"/>
        </w:rPr>
        <w:t xml:space="preserve">Funding: The National Cancer Center Research and Development Fund and the Ministry of Health, Labour and Welfare of Japan; the funders had no role in design, collection, analysis, interpretation or writing, but individual authors declare extensive industry grants and honoraria including from Delta-Fly Pharma, Eisai, Yakult, AstraZeneca, Ono and many others</w:t>
      </w:r>
    </w:p>
    <w:p>
      <w:pPr>
        <w:keepNext/>
        <w:spacing w:after="50" w:before="260"/>
      </w:pPr>
      <w:r>
        <w:rPr>
          <w:rFonts w:ascii="Cambria" w:cs="Cambria" w:eastAsia="Cambria" w:hAnsi="Cambria"/>
          <w:b/>
          <w:bCs/>
          <w:color w:val="17365D"/>
          <w:sz w:val="20"/>
          <w:szCs w:val="20"/>
        </w:rPr>
        <w:t xml:space="preserve">BCAT</w:t>
      </w:r>
      <w:r>
        <w:rPr>
          <w:b/>
          <w:bCs/>
          <w:color w:val="176A87"/>
          <w:sz w:val="15"/>
          <w:szCs w:val="15"/>
        </w:rPr>
        <w:t xml:space="preserve">   Randomised trial</w:t>
      </w:r>
      <w:r>
        <w:rPr>
          <w:color w:val="5A6069"/>
          <w:sz w:val="15"/>
          <w:szCs w:val="15"/>
        </w:rPr>
        <w:t xml:space="preserve">   PMID 29405274</w:t>
      </w:r>
    </w:p>
    <w:p>
      <w:pPr>
        <w:spacing w:after="50" w:line="276"/>
      </w:pPr>
      <w:r>
        <w:rPr>
          <w:color w:val="5A6069"/>
          <w:sz w:val="17"/>
          <w:szCs w:val="17"/>
        </w:rPr>
        <w:t xml:space="preserve">Randomized clinical trial of adjuvant gemcitabine chemotherapy versus observation in resected bile duct cancer</w:t>
      </w:r>
    </w:p>
    <w:p>
      <w:pPr>
        <w:spacing w:after="50"/>
      </w:pPr>
      <w:r>
        <w:rPr>
          <w:b/>
          <w:bCs/>
          <w:color w:val="176A87"/>
          <w:sz w:val="16"/>
          <w:szCs w:val="16"/>
        </w:rPr>
        <w:t xml:space="preserve">Population. </w:t>
      </w:r>
      <w:r>
        <w:rPr>
          <w:sz w:val="16"/>
          <w:szCs w:val="16"/>
        </w:rPr>
        <w:t xml:space="preserve">225 patients analysed of 226 randomised at 48 Japanese hospitals between 2007 and 2011 after macroscopically curative resection of extrahepatic bile duct cancer, 117 gemcitabine and 108 observation, comprising 102 perihilar and 123 distal tumours; intrahepatic cholangiocarcinoma was not eligible</w:t>
      </w:r>
    </w:p>
    <w:p>
      <w:pPr>
        <w:spacing w:after="70"/>
      </w:pPr>
      <w:r>
        <w:rPr>
          <w:b/>
          <w:bCs/>
          <w:color w:val="17365D"/>
          <w:sz w:val="16"/>
          <w:szCs w:val="16"/>
        </w:rPr>
        <w:t xml:space="preserve">Bottom line. </w:t>
      </w:r>
      <w:r>
        <w:rPr>
          <w:sz w:val="16"/>
          <w:szCs w:val="16"/>
        </w:rPr>
        <w:t xml:space="preserve">BCAT is a clean negative adjuvant trial: gemcitabine after resection of extrahepatic bile duct cancer gave a hazard ratio of 1.01 (0.70-1.45) for survival and 0.93 for relapse-free survival, with no subgroup benefiting and 58% grade 3-4 neutropenia. It says nothing about intrahepatic cholangiocarcinoma, which was ineligible, and nothing about the oral fluoropyrimidines now used. Its control arm did far better than assumed, 51.6% 5-year survival against an assumed 30%, because the enrolment criteria excluded nearly everyone at real risk.</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Recruitment was terminated before the planned 300 patients were reached, which may have led to an underpowered analysis; enrolment slowed after about 2009 because most patients wanted adjuvant chemotherapy</w:t>
            </w:r>
          </w:p>
          <w:p>
            <w:pPr>
              <w:pStyle w:val="ListParagraph"/>
              <w:numPr>
                <w:ilvl w:val="0"/>
                <w:numId w:val="2"/>
              </w:numPr>
              <w:spacing w:after="45"/>
            </w:pPr>
            <w:r>
              <w:rPr>
                <w:sz w:val="15"/>
                <w:szCs w:val="15"/>
              </w:rPr>
              <w:t xml:space="preserve">The authors calculate only a 2.8% probability that the result would have been statistically significant even if the expected 189 deaths had occurred, and conclude increasing to 300 patients would not have changed the result</w:t>
            </w:r>
          </w:p>
          <w:p>
            <w:pPr>
              <w:pStyle w:val="ListParagraph"/>
              <w:numPr>
                <w:ilvl w:val="0"/>
                <w:numId w:val="2"/>
              </w:numPr>
              <w:spacing w:after="45"/>
            </w:pPr>
            <w:r>
              <w:rPr>
                <w:sz w:val="15"/>
                <w:szCs w:val="15"/>
              </w:rPr>
              <w:t xml:space="preserve">They state that adjuvant therapy should not target all patients but should focus on high-risk features after resection</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trial enrolled only perihilar and distal bile duct cancer, with intrahepatic cholangiocarcinoma and gallbladder cancer excluded, so a negative adjuvant result here cannot be carried to resected iCCA, which is how this trial is often cited</w:t>
            </w:r>
          </w:p>
          <w:p>
            <w:pPr>
              <w:pStyle w:val="ListParagraph"/>
              <w:numPr>
                <w:ilvl w:val="0"/>
                <w:numId w:val="2"/>
              </w:numPr>
              <w:spacing w:after="45"/>
            </w:pPr>
            <w:r>
              <w:rPr>
                <w:sz w:val="15"/>
                <w:szCs w:val="15"/>
              </w:rPr>
              <w:t xml:space="preserve">The 2.8% figure the authors use to dismiss underpowering is a conditional calculation made after the observed curves were known; it answers whether this result would have changed, not whether the trial could have detected a true moderate effect</w:t>
            </w:r>
          </w:p>
          <w:p>
            <w:pPr>
              <w:pStyle w:val="ListParagraph"/>
              <w:numPr>
                <w:ilvl w:val="0"/>
                <w:numId w:val="2"/>
              </w:numPr>
              <w:spacing w:after="45"/>
            </w:pPr>
            <w:r>
              <w:rPr>
                <w:sz w:val="15"/>
                <w:szCs w:val="15"/>
              </w:rPr>
              <w:t xml:space="preserve">Observed 5-year survival in the control arm was about 50% against an assumed 30%, because R2 resections, distant metastases, severe surgical complications, in-hospital deaths and gallbladder cancer were all excluded, so the trial tested adjuvant therapy in the patients least likely to need it</w:t>
            </w:r>
          </w:p>
          <w:p>
            <w:pPr>
              <w:pStyle w:val="ListParagraph"/>
              <w:numPr>
                <w:ilvl w:val="0"/>
                <w:numId w:val="2"/>
              </w:numPr>
              <w:spacing w:after="45"/>
            </w:pPr>
            <w:r>
              <w:rPr>
                <w:sz w:val="15"/>
                <w:szCs w:val="15"/>
              </w:rPr>
              <w:t xml:space="preserve">Only 61 of 117 (52.1%) completed protocol therapy and the median relative dose intensity was 82.2%, so the negative result is a test of gemcitabine as delivered to half the arm rather than of the intended regimen</w:t>
            </w:r>
          </w:p>
          <w:p>
            <w:pPr>
              <w:pStyle w:val="ListParagraph"/>
              <w:numPr>
                <w:ilvl w:val="0"/>
                <w:numId w:val="2"/>
              </w:numPr>
              <w:spacing w:after="45"/>
            </w:pPr>
            <w:r>
              <w:rPr>
                <w:sz w:val="15"/>
                <w:szCs w:val="15"/>
              </w:rPr>
              <w:t xml:space="preserve">The trial was open-label with no placebo, and recurrence was ascertained without a described blinded review, in a design where the observation arm had no scheduled treatment contact</w:t>
            </w:r>
          </w:p>
          <w:p>
            <w:pPr>
              <w:pStyle w:val="ListParagraph"/>
              <w:numPr>
                <w:ilvl w:val="0"/>
                <w:numId w:val="2"/>
              </w:numPr>
              <w:spacing w:after="45"/>
            </w:pPr>
            <w:r>
              <w:rPr>
                <w:sz w:val="15"/>
                <w:szCs w:val="15"/>
              </w:rPr>
              <w:t xml:space="preserve">Grade 3 or 4 neutropenia occurred in 58.4% against 3.8% and leucopenia in 29.2% against 1.9%, so the arms were trivially distinguishable to investigators and patients despite the survival curves overlapping</w:t>
            </w:r>
          </w:p>
          <w:p>
            <w:pPr>
              <w:pStyle w:val="ListParagraph"/>
              <w:numPr>
                <w:ilvl w:val="0"/>
                <w:numId w:val="2"/>
              </w:numPr>
              <w:spacing w:after="45"/>
            </w:pPr>
            <w:r>
              <w:rPr>
                <w:sz w:val="15"/>
                <w:szCs w:val="15"/>
              </w:rPr>
              <w:t xml:space="preserve">Subgroup P values are reported for node-positive, node-negative, R0 and R1 strata, each far from significance, and 3-year survival was numerically worse with gemcitabine in node-positive patients, yet the discussion still recommends targeting high-risk features with adjuvant therapy</w:t>
            </w:r>
          </w:p>
          <w:p>
            <w:pPr>
              <w:pStyle w:val="ListParagraph"/>
              <w:numPr>
                <w:ilvl w:val="0"/>
                <w:numId w:val="2"/>
              </w:numPr>
              <w:spacing w:after="45"/>
            </w:pPr>
            <w:r>
              <w:rPr>
                <w:sz w:val="15"/>
                <w:szCs w:val="15"/>
              </w:rPr>
              <w:t xml:space="preserve">Eli Lilly Japan, which markets gemcitabine, part-funded a trial of gemcitabine; the authors declare no conflict of interest, which sits oddly with the funding statement on the same page</w:t>
            </w:r>
          </w:p>
          <w:p>
            <w:pPr>
              <w:pStyle w:val="ListParagraph"/>
              <w:numPr>
                <w:ilvl w:val="0"/>
                <w:numId w:val="2"/>
              </w:numPr>
              <w:spacing w:after="45"/>
            </w:pPr>
            <w:r>
              <w:rPr>
                <w:sz w:val="15"/>
                <w:szCs w:val="15"/>
              </w:rPr>
              <w:t xml:space="preserve">The comparator is observation, not the oral fluoropyrimidine that BILCAP and ASCOT later supported, so the trial cannot inform the choice a surgeon actually faces today</w:t>
            </w:r>
          </w:p>
          <w:p>
            <w:pPr>
              <w:pStyle w:val="ListParagraph"/>
              <w:numPr>
                <w:ilvl w:val="0"/>
                <w:numId w:val="2"/>
              </w:numPr>
              <w:spacing w:after="45"/>
            </w:pPr>
            <w:r>
              <w:rPr>
                <w:sz w:val="15"/>
                <w:szCs w:val="15"/>
              </w:rPr>
              <w:t xml:space="preserve">48.9% of patients had a hepatectomy and 15.5% a portal vein resection, so the cohort mixes two very different operations with different recovery trajectories and no stratification or separate analysis by operation type for the primary endpoint</w:t>
            </w:r>
          </w:p>
          <w:p>
            <w:pPr>
              <w:pStyle w:val="ListParagraph"/>
              <w:numPr>
                <w:ilvl w:val="0"/>
                <w:numId w:val="2"/>
              </w:numPr>
              <w:spacing w:after="45"/>
            </w:pPr>
            <w:r>
              <w:rPr>
                <w:sz w:val="15"/>
                <w:szCs w:val="15"/>
              </w:rPr>
              <w:t xml:space="preserve">No linked editorial or comment was found in PubMed, so no independent published appraisal accompanies the result</w:t>
            </w:r>
          </w:p>
        </w:tc>
      </w:tr>
    </w:tbl>
    <w:p>
      <w:pPr>
        <w:spacing w:after="0" w:line="276"/>
      </w:pPr>
      <w:r>
        <w:rPr>
          <w:color w:val="5A6069"/>
          <w:sz w:val="14"/>
          <w:szCs w:val="14"/>
        </w:rPr>
        <w:t xml:space="preserve">Funding: Supported by the Nagoya Surgery Support Organization and Eli Lilly Japan K.K., stated to have had no role in design, data collection, analysis or interpretation; the authors declare no conflict of interest</w:t>
      </w:r>
    </w:p>
    <w:p>
      <w:pPr>
        <w:keepNext/>
        <w:spacing w:after="50" w:before="260"/>
      </w:pPr>
      <w:r>
        <w:rPr>
          <w:rFonts w:ascii="Cambria" w:cs="Cambria" w:eastAsia="Cambria" w:hAnsi="Cambria"/>
          <w:b/>
          <w:bCs/>
          <w:color w:val="17365D"/>
          <w:sz w:val="20"/>
          <w:szCs w:val="20"/>
        </w:rPr>
        <w:t xml:space="preserve">BILCAP</w:t>
      </w:r>
      <w:r>
        <w:rPr>
          <w:b/>
          <w:bCs/>
          <w:color w:val="176A87"/>
          <w:sz w:val="15"/>
          <w:szCs w:val="15"/>
        </w:rPr>
        <w:t xml:space="preserve">   Randomised trial</w:t>
      </w:r>
      <w:r>
        <w:rPr>
          <w:color w:val="5A6069"/>
          <w:sz w:val="15"/>
          <w:szCs w:val="15"/>
        </w:rPr>
        <w:t xml:space="preserve">   PMID 30922733</w:t>
      </w:r>
    </w:p>
    <w:p>
      <w:pPr>
        <w:spacing w:after="50" w:line="276"/>
      </w:pPr>
      <w:r>
        <w:rPr>
          <w:color w:val="5A6069"/>
          <w:sz w:val="17"/>
          <w:szCs w:val="17"/>
        </w:rPr>
        <w:t xml:space="preserve">Capecitabine compared with observation in resected biliary tract cancer (BILCAP): a randomised, controlled, multicentre, phase 3 study</w:t>
      </w:r>
    </w:p>
    <w:p>
      <w:pPr>
        <w:spacing w:after="50"/>
      </w:pPr>
      <w:r>
        <w:rPr>
          <w:b/>
          <w:bCs/>
          <w:color w:val="176A87"/>
          <w:sz w:val="16"/>
          <w:szCs w:val="16"/>
        </w:rPr>
        <w:t xml:space="preserve">Population. </w:t>
      </w:r>
      <w:r>
        <w:rPr>
          <w:sz w:val="16"/>
          <w:szCs w:val="16"/>
        </w:rPr>
        <w:t xml:space="preserve">447 patients randomised after curative-intent resection of biliary tract cancer at 44 UK specialist centres between March 2006 and December 2014, of whom 84 (19%) had intrahepatic cholangiocarcinoma, 128 hilar, 156 lower common bile duct and 79 muscle-invasive gallbladder cancer; 168 (38%) were R1 and 210 (47%) node-positive</w:t>
      </w:r>
    </w:p>
    <w:p>
      <w:pPr>
        <w:spacing w:after="70"/>
      </w:pPr>
      <w:r>
        <w:rPr>
          <w:b/>
          <w:bCs/>
          <w:color w:val="17365D"/>
          <w:sz w:val="16"/>
          <w:szCs w:val="16"/>
        </w:rPr>
        <w:t xml:space="preserve">Bottom line. </w:t>
      </w:r>
      <w:r>
        <w:rPr>
          <w:sz w:val="16"/>
          <w:szCs w:val="16"/>
        </w:rPr>
        <w:t xml:space="preserve">BILCAP is the largest adjuvant trial in resected biliary tract cancer and is the reason capecitabine is offered after resection, with intention-to-treat median survival of 51.1 against 36.4 months. It did not meet its primary endpoint: HR 0.81 (0.63-1.04), p = 0.097, and the significant results come from a covariate-adjusted sensitivity model and from the per-protocol population of an unblinded trial. Only 19% of patients had intrahepatic disease and no site-specific estimate was reported, so the iCCA-specific benefit remains untested.</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recruitment period ran about ten years, during which trial standards changed, so the 2005 protocol is open to criticism; in particular there was no fully defined statistical analysis plan when the study started</w:t>
            </w:r>
          </w:p>
          <w:p>
            <w:pPr>
              <w:pStyle w:val="ListParagraph"/>
              <w:numPr>
                <w:ilvl w:val="0"/>
                <w:numId w:val="2"/>
              </w:numPr>
              <w:spacing w:after="45"/>
            </w:pPr>
            <w:r>
              <w:rPr>
                <w:sz w:val="15"/>
                <w:szCs w:val="15"/>
              </w:rPr>
              <w:t xml:space="preserve">The heterogeneity of biliary tract cancers, both surgical and biological, makes an overall interpretation of the findings more complex</w:t>
            </w:r>
          </w:p>
          <w:p>
            <w:pPr>
              <w:pStyle w:val="ListParagraph"/>
              <w:numPr>
                <w:ilvl w:val="0"/>
                <w:numId w:val="2"/>
              </w:numPr>
              <w:spacing w:after="45"/>
            </w:pPr>
            <w:r>
              <w:rPr>
                <w:sz w:val="15"/>
                <w:szCs w:val="15"/>
              </w:rPr>
              <w:t xml:space="preserve">The surgical centre was not included in the modelling analyses adjusted for minimisation factors</w:t>
            </w:r>
          </w:p>
          <w:p>
            <w:pPr>
              <w:pStyle w:val="ListParagraph"/>
              <w:numPr>
                <w:ilvl w:val="0"/>
                <w:numId w:val="2"/>
              </w:numPr>
              <w:spacing w:after="45"/>
            </w:pPr>
            <w:r>
              <w:rPr>
                <w:sz w:val="15"/>
                <w:szCs w:val="15"/>
              </w:rPr>
              <w:t xml:space="preserve">The authors concede the trial was negative for the prespecified primary endpoint of overall survival by intention to treat, and argue from the data taken as a whole instead</w:t>
            </w:r>
          </w:p>
          <w:p>
            <w:pPr>
              <w:pStyle w:val="ListParagraph"/>
              <w:numPr>
                <w:ilvl w:val="0"/>
                <w:numId w:val="2"/>
              </w:numPr>
              <w:spacing w:after="45"/>
            </w:pPr>
            <w:r>
              <w:rPr>
                <w:sz w:val="15"/>
                <w:szCs w:val="15"/>
              </w:rPr>
              <w:t xml:space="preserve">There was no recurrence-free survival difference between 24 and 60 months, which the authors read as recurrence deferred rather than prevented</w:t>
            </w:r>
          </w:p>
          <w:p>
            <w:pPr>
              <w:pStyle w:val="ListParagraph"/>
              <w:numPr>
                <w:ilvl w:val="0"/>
                <w:numId w:val="2"/>
              </w:numPr>
              <w:spacing w:after="45"/>
            </w:pPr>
            <w:r>
              <w:rPr>
                <w:sz w:val="15"/>
                <w:szCs w:val="15"/>
              </w:rPr>
              <w:t xml:space="preserve">Quality-of-life differences, although statistically significant in places, were modest and unlikely to be clinically significant, and peripheral neuropathy scores should be read as hand-foot syndrome</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primary endpoint failed, HR 0.81 (0.63-1.04), p = 0.097, and every positive number in the paper comes from either a covariate-adjusted sensitivity model or the per-protocol population; in an unblinded trial the per-protocol analysis reintroduces precisely the selection that randomisation existed to remove</w:t>
            </w:r>
          </w:p>
          <w:p>
            <w:pPr>
              <w:pStyle w:val="ListParagraph"/>
              <w:numPr>
                <w:ilvl w:val="0"/>
                <w:numId w:val="2"/>
              </w:numPr>
              <w:spacing w:after="45"/>
            </w:pPr>
            <w:r>
              <w:rPr>
                <w:sz w:val="15"/>
                <w:szCs w:val="15"/>
              </w:rPr>
              <w:t xml:space="preserve">The per-protocol population excluded patients who failed to complete even one cycle of capecitabine, so it is defined by tolerance of treatment, which tracks fitness and therefore survival; the 210 against 220 comparison is not a randomised contrast</w:t>
            </w:r>
          </w:p>
          <w:p>
            <w:pPr>
              <w:pStyle w:val="ListParagraph"/>
              <w:numPr>
                <w:ilvl w:val="0"/>
                <w:numId w:val="2"/>
              </w:numPr>
              <w:spacing w:after="45"/>
            </w:pPr>
            <w:r>
              <w:rPr>
                <w:sz w:val="15"/>
                <w:szCs w:val="15"/>
              </w:rPr>
              <w:t xml:space="preserve">The event target was cut from 270 to 234 by the data monitoring committee in July 2013 because events were accruing more slowly than assumed, which raised the detectable effect from HR 0.71 to 0.69 and left the trial with less power against the effect it was designed to find</w:t>
            </w:r>
          </w:p>
          <w:p>
            <w:pPr>
              <w:pStyle w:val="ListParagraph"/>
              <w:numPr>
                <w:ilvl w:val="0"/>
                <w:numId w:val="2"/>
              </w:numPr>
              <w:spacing w:after="45"/>
            </w:pPr>
            <w:r>
              <w:rPr>
                <w:sz w:val="15"/>
                <w:szCs w:val="15"/>
              </w:rPr>
              <w:t xml:space="preserve">Nodal status is one of the covariates that turns the sensitivity model positive, yet lymphadenectomy was not mandated for intrahepatic cholangiocarcinoma, so the adjustment variable is ascertained less completely in exactly the subgroup to which this result is now applied</w:t>
            </w:r>
          </w:p>
          <w:p>
            <w:pPr>
              <w:pStyle w:val="ListParagraph"/>
              <w:numPr>
                <w:ilvl w:val="0"/>
                <w:numId w:val="2"/>
              </w:numPr>
              <w:spacing w:after="45"/>
            </w:pPr>
            <w:r>
              <w:rPr>
                <w:sz w:val="15"/>
                <w:szCs w:val="15"/>
              </w:rPr>
              <w:t xml:space="preserve">Intrahepatic cholangiocarcinoma is 84 of 447 patients and no site-specific hazard ratio is reported anywhere, so the adjuvant standard for resected iCCA rests on 19% of a trial that was not powered for site</w:t>
            </w:r>
          </w:p>
          <w:p>
            <w:pPr>
              <w:pStyle w:val="ListParagraph"/>
              <w:numPr>
                <w:ilvl w:val="0"/>
                <w:numId w:val="2"/>
              </w:numPr>
              <w:spacing w:after="45"/>
            </w:pPr>
            <w:r>
              <w:rPr>
                <w:sz w:val="15"/>
                <w:szCs w:val="15"/>
              </w:rPr>
              <w:t xml:space="preserve">The recurrence-free survival hazard ratio is 0.75 (0.58-0.98) over the first 24 months and 1.48 (0.80-2.77) afterwards, which is a clear departure from proportional hazards; no test of the proportional hazards assumption is reported for the overall survival model whose single hazard ratio carries the conclusion</w:t>
            </w:r>
          </w:p>
          <w:p>
            <w:pPr>
              <w:pStyle w:val="ListParagraph"/>
              <w:numPr>
                <w:ilvl w:val="0"/>
                <w:numId w:val="2"/>
              </w:numPr>
              <w:spacing w:after="45"/>
            </w:pPr>
            <w:r>
              <w:rPr>
                <w:sz w:val="15"/>
                <w:szCs w:val="15"/>
              </w:rPr>
              <w:t xml:space="preserve">Adverse events for toxicity were not monitored in the observation group at all, so the 21% against 10% serious adverse event comparison is between a monitored arm and an unmonitored one and cannot be read as a between-group difference</w:t>
            </w:r>
          </w:p>
          <w:p>
            <w:pPr>
              <w:pStyle w:val="ListParagraph"/>
              <w:numPr>
                <w:ilvl w:val="0"/>
                <w:numId w:val="2"/>
              </w:numPr>
              <w:spacing w:after="45"/>
            </w:pPr>
            <w:r>
              <w:rPr>
                <w:sz w:val="15"/>
                <w:szCs w:val="15"/>
              </w:rPr>
              <w:t xml:space="preserve">Compliance was poor enough to matter: 55% completed all eight cycles, 46% required dose reduction and 32% stopped for toxicity, so the regimen as delivered differs substantially from the regimen as prescribed</w:t>
            </w:r>
          </w:p>
          <w:p>
            <w:pPr>
              <w:pStyle w:val="ListParagraph"/>
              <w:numPr>
                <w:ilvl w:val="0"/>
                <w:numId w:val="2"/>
              </w:numPr>
              <w:spacing w:after="45"/>
            </w:pPr>
            <w:r>
              <w:rPr>
                <w:sz w:val="15"/>
                <w:szCs w:val="15"/>
              </w:rPr>
              <w:t xml:space="preserve">The cost-effectiveness case is built on a mean QALY gain of 0.035 whose confidence interval (-0.034 to 0.104) includes both zero and net harm, in a trial that missed its primary endpoint</w:t>
            </w:r>
          </w:p>
          <w:p>
            <w:pPr>
              <w:pStyle w:val="ListParagraph"/>
              <w:numPr>
                <w:ilvl w:val="0"/>
                <w:numId w:val="2"/>
              </w:numPr>
              <w:spacing w:after="45"/>
            </w:pPr>
            <w:r>
              <w:rPr>
                <w:sz w:val="15"/>
                <w:szCs w:val="15"/>
              </w:rPr>
              <w:t xml:space="preserve">38% of patients had R1 resections and 47% were node-positive, a considerably higher-risk population than a typical resected iCCA, so the absolute survival difference does not transfer to a margin-negative, node-negative patient</w:t>
            </w:r>
          </w:p>
          <w:p>
            <w:pPr>
              <w:pStyle w:val="ListParagraph"/>
              <w:numPr>
                <w:ilvl w:val="0"/>
                <w:numId w:val="2"/>
              </w:numPr>
              <w:spacing w:after="45"/>
            </w:pPr>
            <w:r>
              <w:rPr>
                <w:sz w:val="15"/>
                <w:szCs w:val="15"/>
              </w:rPr>
              <w:t xml:space="preserve">The subgroup hazard ratios quoted for men, 0.70 (0.50-0.99), and poorly differentiated disease, 0.60 (0.39-0.93), have no significant heterogeneity test behind them and invite over-reading of who benefits</w:t>
            </w:r>
          </w:p>
          <w:p>
            <w:pPr>
              <w:pStyle w:val="ListParagraph"/>
              <w:numPr>
                <w:ilvl w:val="0"/>
                <w:numId w:val="2"/>
              </w:numPr>
              <w:spacing w:after="45"/>
            </w:pPr>
            <w:r>
              <w:rPr>
                <w:sz w:val="15"/>
                <w:szCs w:val="15"/>
              </w:rPr>
              <w:t xml:space="preserve">Roche funded the trial with an advisory role in its design, and Roche markets capecitabine; several authors declare Roche honoraria or research funding, which bears on a conclusion that defines Roche's drug as the standard of care</w:t>
            </w:r>
          </w:p>
          <w:p>
            <w:pPr>
              <w:pStyle w:val="ListParagraph"/>
              <w:numPr>
                <w:ilvl w:val="0"/>
                <w:numId w:val="2"/>
              </w:numPr>
              <w:spacing w:after="45"/>
            </w:pPr>
            <w:r>
              <w:rPr>
                <w:sz w:val="15"/>
                <w:szCs w:val="15"/>
              </w:rPr>
              <w:t xml:space="preserve">The authors state in their own key-messages box that the trial is 'uniquely placed to define the standard of care as capecitabine' and that another surveillance-controlled trial is unlikely to be done, a position that converts a failed primary endpoint into a practice standard by declaring the question closed</w:t>
            </w:r>
          </w:p>
          <w:p>
            <w:pPr>
              <w:pStyle w:val="ListParagraph"/>
              <w:numPr>
                <w:ilvl w:val="0"/>
                <w:numId w:val="2"/>
              </w:numPr>
              <w:spacing w:after="45"/>
            </w:pPr>
            <w:r>
              <w:rPr>
                <w:sz w:val="15"/>
                <w:szCs w:val="15"/>
              </w:rPr>
              <w:t xml:space="preserve">The linked comment by Malka and Edeline (Lancet Oncol 2019, PMID 30922732) asks whether this evidence suffices to define a standard of care; it was identified from the citation record and its arguments are not reproduced here</w:t>
            </w:r>
          </w:p>
        </w:tc>
      </w:tr>
    </w:tbl>
    <w:p>
      <w:pPr>
        <w:spacing w:after="0" w:line="276"/>
      </w:pPr>
      <w:r>
        <w:rPr>
          <w:color w:val="5A6069"/>
          <w:sz w:val="14"/>
          <w:szCs w:val="14"/>
        </w:rPr>
        <w:t xml:space="preserve">Funding: Cancer Research UK and Roche; the funder had an advisory role in study design but no role in running the study, data collection, analysis, interpretation or writing; several authors declare honoraria and research funding from Roche among many other companies, all stated to be outside the submitted work</w:t>
      </w:r>
    </w:p>
    <w:p>
      <w:pPr>
        <w:keepNext/>
        <w:spacing w:after="50" w:before="260"/>
      </w:pPr>
      <w:r>
        <w:rPr>
          <w:rFonts w:ascii="Cambria" w:cs="Cambria" w:eastAsia="Cambria" w:hAnsi="Cambria"/>
          <w:b/>
          <w:bCs/>
          <w:color w:val="17365D"/>
          <w:sz w:val="20"/>
          <w:szCs w:val="20"/>
        </w:rPr>
        <w:t xml:space="preserve">Biliary-stricture NGS</w:t>
      </w:r>
      <w:r>
        <w:rPr>
          <w:b/>
          <w:bCs/>
          <w:color w:val="176A87"/>
          <w:sz w:val="15"/>
          <w:szCs w:val="15"/>
        </w:rPr>
        <w:t xml:space="preserve">   cohort</w:t>
      </w:r>
      <w:r>
        <w:rPr>
          <w:color w:val="5A6069"/>
          <w:sz w:val="15"/>
          <w:szCs w:val="15"/>
        </w:rPr>
        <w:t xml:space="preserve">   PMID 41905432</w:t>
      </w:r>
    </w:p>
    <w:p>
      <w:pPr>
        <w:spacing w:after="50" w:line="276"/>
      </w:pPr>
      <w:r>
        <w:rPr>
          <w:color w:val="5A6069"/>
          <w:sz w:val="17"/>
          <w:szCs w:val="17"/>
        </w:rPr>
        <w:t xml:space="preserve">DNA/RNA-Based Next-Generation Sequencing Improves the Early Diagnosis and Management of Neoplastic Bile Duct Strictures: A 6-Year, Prospective, Multi-Institutional, Real-Time Study</w:t>
      </w:r>
    </w:p>
    <w:p>
      <w:pPr>
        <w:spacing w:after="50"/>
      </w:pPr>
      <w:r>
        <w:rPr>
          <w:b/>
          <w:bCs/>
          <w:color w:val="176A87"/>
          <w:sz w:val="16"/>
          <w:szCs w:val="16"/>
        </w:rPr>
        <w:t xml:space="preserve">Population. </w:t>
      </w:r>
      <w:r>
        <w:rPr>
          <w:sz w:val="16"/>
          <w:szCs w:val="16"/>
        </w:rPr>
        <w:t xml:space="preserve">2116 patients and 2908 ERCP-obtained brushings, biopsies and bile samples from 28 US institutions between 2018 and 2024, of whom 1979 had follow-up for the accuracy analysis, comprising 1108 neoplastic and 871 benign strictures; 327 patients had primary sclerosing cholangitis and 548 strictures were indeterminate</w:t>
      </w:r>
    </w:p>
    <w:p>
      <w:pPr>
        <w:spacing w:after="70"/>
      </w:pPr>
      <w:r>
        <w:rPr>
          <w:b/>
          <w:bCs/>
          <w:color w:val="17365D"/>
          <w:sz w:val="16"/>
          <w:szCs w:val="16"/>
        </w:rPr>
        <w:t xml:space="preserve">Bottom line. </w:t>
      </w:r>
      <w:r>
        <w:rPr>
          <w:sz w:val="16"/>
          <w:szCs w:val="16"/>
        </w:rPr>
        <w:t xml:space="preserve">Across 2116 patients at 28 institutions, DNA and RNA sequencing of ERCP specimens detected neoplastic strictures with 82% sensitivity and 98% specificity against 44% and 99% for pathology, rising to 88% combined, and for intrahepatic or hilar strictures the gap is 80% against 36%. It is not a head-to-head comparison: the two tests were run on different specimens, FISH and EUS-FNA were never compared, and submission was at endoscopist discretion. Only 2% of the neoplasms were purely dysplastic, so no earlier-stage or survival benefit is shown, and the therapeutic claim rests on 56 patients with stable disease.</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Follow-up and diagnostic pathology were unavailable for some patients, with the remainder requiring at least one year of close clinicoradiographic follow-up to establish the cause of the stricture</w:t>
            </w:r>
          </w:p>
          <w:p>
            <w:pPr>
              <w:pStyle w:val="ListParagraph"/>
              <w:numPr>
                <w:ilvl w:val="0"/>
                <w:numId w:val="2"/>
              </w:numPr>
              <w:spacing w:after="45"/>
            </w:pPr>
            <w:r>
              <w:rPr>
                <w:sz w:val="15"/>
                <w:szCs w:val="15"/>
              </w:rPr>
              <w:t xml:space="preserve">Identical specimens were not used for sequencing and pathological assessment, which the authors say may explain the discordant performance but argue cannot account for a 38 percentage point sensitivity gap across more than 2000 specimens</w:t>
            </w:r>
          </w:p>
          <w:p>
            <w:pPr>
              <w:pStyle w:val="ListParagraph"/>
              <w:numPr>
                <w:ilvl w:val="0"/>
                <w:numId w:val="2"/>
              </w:numPr>
              <w:spacing w:after="45"/>
            </w:pPr>
            <w:r>
              <w:rPr>
                <w:sz w:val="15"/>
                <w:szCs w:val="15"/>
              </w:rPr>
              <w:t xml:space="preserve">The study does not address the ideal gene panel or the limit of detection</w:t>
            </w:r>
          </w:p>
          <w:p>
            <w:pPr>
              <w:pStyle w:val="ListParagraph"/>
              <w:numPr>
                <w:ilvl w:val="0"/>
                <w:numId w:val="2"/>
              </w:numPr>
              <w:spacing w:after="45"/>
            </w:pPr>
            <w:r>
              <w:rPr>
                <w:sz w:val="15"/>
                <w:szCs w:val="15"/>
              </w:rPr>
              <w:t xml:space="preserve">Detection of an alteration was less frequent in Hispanic patients, although performance was otherwise similar across backgrounds</w:t>
            </w:r>
          </w:p>
          <w:p>
            <w:pPr>
              <w:pStyle w:val="ListParagraph"/>
              <w:numPr>
                <w:ilvl w:val="0"/>
                <w:numId w:val="2"/>
              </w:numPr>
              <w:spacing w:after="45"/>
            </w:pPr>
            <w:r>
              <w:rPr>
                <w:sz w:val="15"/>
                <w:szCs w:val="15"/>
              </w:rPr>
              <w:t xml:space="preserve">No cost-effectiveness analysis was performed and the benefit of matched therapy requires a randomised trial</w:t>
            </w:r>
          </w:p>
          <w:p>
            <w:pPr>
              <w:pStyle w:val="ListParagraph"/>
              <w:numPr>
                <w:ilvl w:val="0"/>
                <w:numId w:val="2"/>
              </w:numPr>
              <w:spacing w:after="45"/>
            </w:pPr>
            <w:r>
              <w:rPr>
                <w:sz w:val="15"/>
                <w:szCs w:val="15"/>
              </w:rPr>
              <w:t xml:space="preserve">FISH results were not collected across sites, so no direct comparison with FISH was possible</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comparison that carries the paper, 82% against 44% sensitivity, is between tests run on different specimens; the authors' defence is the size of the gap and the size of the cohort, which is an argument from magnitude rather than a controlled comparison</w:t>
            </w:r>
          </w:p>
          <w:p>
            <w:pPr>
              <w:pStyle w:val="ListParagraph"/>
              <w:numPr>
                <w:ilvl w:val="0"/>
                <w:numId w:val="2"/>
              </w:numPr>
              <w:spacing w:after="45"/>
            </w:pPr>
            <w:r>
              <w:rPr>
                <w:sz w:val="15"/>
                <w:szCs w:val="15"/>
              </w:rPr>
              <w:t xml:space="preserve">FISH, the adjunct actually used in primary sclerosing cholangitis, was never compared directly because the data were not collected, and the paper instead argues against FISH on the grounds that it does not identify genes or actionable targets, which is not a sensitivity comparison</w:t>
            </w:r>
          </w:p>
          <w:p>
            <w:pPr>
              <w:pStyle w:val="ListParagraph"/>
              <w:numPr>
                <w:ilvl w:val="0"/>
                <w:numId w:val="2"/>
              </w:numPr>
              <w:spacing w:after="45"/>
            </w:pPr>
            <w:r>
              <w:rPr>
                <w:sz w:val="15"/>
                <w:szCs w:val="15"/>
              </w:rPr>
              <w:t xml:space="preserve">EUS-guided fine-needle aspiration, the alternative for distal strictures, was also not compared, so the test is positioned against the weakest available comparator</w:t>
            </w:r>
          </w:p>
          <w:p>
            <w:pPr>
              <w:pStyle w:val="ListParagraph"/>
              <w:numPr>
                <w:ilvl w:val="0"/>
                <w:numId w:val="2"/>
              </w:numPr>
              <w:spacing w:after="45"/>
            </w:pPr>
            <w:r>
              <w:rPr>
                <w:sz w:val="15"/>
                <w:szCs w:val="15"/>
              </w:rPr>
              <w:t xml:space="preserve">A stricture could be classified as neoplastic on imaging plus 12 months of clinical or radiographic progression rather than on tissue, so the reference standard partly incorporates the work-up the positive test triggers, which inflates sensitivity</w:t>
            </w:r>
          </w:p>
          <w:p>
            <w:pPr>
              <w:pStyle w:val="ListParagraph"/>
              <w:numPr>
                <w:ilvl w:val="0"/>
                <w:numId w:val="2"/>
              </w:numPr>
              <w:spacing w:after="45"/>
            </w:pPr>
            <w:r>
              <w:rPr>
                <w:sz w:val="15"/>
                <w:szCs w:val="15"/>
              </w:rPr>
              <w:t xml:space="preserve">Specimens were submitted at the endoscopist's discretion rather than consecutively, so this is not a consecutive series and the prevalence of 56% neoplastic strictures reflects referral and submission behaviour rather than any defined population</w:t>
            </w:r>
          </w:p>
          <w:p>
            <w:pPr>
              <w:pStyle w:val="ListParagraph"/>
              <w:numPr>
                <w:ilvl w:val="0"/>
                <w:numId w:val="2"/>
              </w:numPr>
              <w:spacing w:after="45"/>
            </w:pPr>
            <w:r>
              <w:rPr>
                <w:sz w:val="15"/>
                <w:szCs w:val="15"/>
              </w:rPr>
              <w:t xml:space="preserve">5% of patients had no follow-up and were dropped from the accuracy analysis without characterisation, and these are the patients whose strictures were least likely to be resolved</w:t>
            </w:r>
          </w:p>
          <w:p>
            <w:pPr>
              <w:pStyle w:val="ListParagraph"/>
              <w:numPr>
                <w:ilvl w:val="0"/>
                <w:numId w:val="2"/>
              </w:numPr>
              <w:spacing w:after="45"/>
            </w:pPr>
            <w:r>
              <w:rPr>
                <w:sz w:val="15"/>
                <w:szCs w:val="15"/>
              </w:rPr>
              <w:t xml:space="preserve">Only 2% of neoplastic strictures were purely dysplastic, so outside primary sclerosing cholangitis this is earlier detection of established cancer rather than early detection, and no survival, resectability or stage-shift benefit is demonstrated anywhere in the paper</w:t>
            </w:r>
          </w:p>
          <w:p>
            <w:pPr>
              <w:pStyle w:val="ListParagraph"/>
              <w:numPr>
                <w:ilvl w:val="0"/>
                <w:numId w:val="2"/>
              </w:numPr>
              <w:spacing w:after="45"/>
            </w:pPr>
            <w:r>
              <w:rPr>
                <w:sz w:val="15"/>
                <w:szCs w:val="15"/>
              </w:rPr>
              <w:t xml:space="preserve">The clinical-utility claim rests on 56 patients whose management changed, of whom 37 (66%) had stable disease or a response by RECIST; stable disease as the endpoint in an uncontrolled series cannot distinguish treatment effect from natural history</w:t>
            </w:r>
          </w:p>
          <w:p>
            <w:pPr>
              <w:pStyle w:val="ListParagraph"/>
              <w:numPr>
                <w:ilvl w:val="0"/>
                <w:numId w:val="2"/>
              </w:numPr>
              <w:spacing w:after="45"/>
            </w:pPr>
            <w:r>
              <w:rPr>
                <w:sz w:val="15"/>
                <w:szCs w:val="15"/>
              </w:rPr>
              <w:t xml:space="preserve">All testing was done in the single laboratory that developed the assay despite 28 contributing institutions, so the multi-institutional design applies to specimen collection and not to assay performance</w:t>
            </w:r>
          </w:p>
          <w:p>
            <w:pPr>
              <w:pStyle w:val="ListParagraph"/>
              <w:numPr>
                <w:ilvl w:val="0"/>
                <w:numId w:val="2"/>
              </w:numPr>
              <w:spacing w:after="45"/>
            </w:pPr>
            <w:r>
              <w:rPr>
                <w:sz w:val="15"/>
                <w:szCs w:val="15"/>
              </w:rPr>
              <w:t xml:space="preserve">Two assay versions with very different content, 28 genes and 167 fusions against 161 genes and 763 fusions, are pooled into one sensitivity figure, and the actionable-alteration yield is reported for v3 only, so neither number describes a single test</w:t>
            </w:r>
          </w:p>
          <w:p>
            <w:pPr>
              <w:pStyle w:val="ListParagraph"/>
              <w:numPr>
                <w:ilvl w:val="0"/>
                <w:numId w:val="2"/>
              </w:numPr>
              <w:spacing w:after="45"/>
            </w:pPr>
            <w:r>
              <w:rPr>
                <w:sz w:val="15"/>
                <w:szCs w:val="15"/>
              </w:rPr>
              <w:t xml:space="preserve">Sixteen false positives occurred with variant allele frequencies from 1.5% to 30%, including KRAS, TP53, GNAS and CTNNB1, and at a 1.5% allele frequency the distinction between a false positive and a sampling-limited true positive is not resolvable from the data presented</w:t>
            </w:r>
          </w:p>
          <w:p>
            <w:pPr>
              <w:pStyle w:val="ListParagraph"/>
              <w:numPr>
                <w:ilvl w:val="0"/>
                <w:numId w:val="2"/>
              </w:numPr>
              <w:spacing w:after="45"/>
            </w:pPr>
            <w:r>
              <w:rPr>
                <w:sz w:val="15"/>
                <w:szCs w:val="15"/>
              </w:rPr>
              <w:t xml:space="preserve">The actionable-alteration figure differs between the abstract (20% of v3-positive neoplasms) and the body (23%, 188 of 812), and the discrepancy is not explained</w:t>
            </w:r>
          </w:p>
          <w:p>
            <w:pPr>
              <w:pStyle w:val="ListParagraph"/>
              <w:numPr>
                <w:ilvl w:val="0"/>
                <w:numId w:val="2"/>
              </w:numPr>
              <w:spacing w:after="45"/>
            </w:pPr>
            <w:r>
              <w:rPr>
                <w:sz w:val="15"/>
                <w:szCs w:val="15"/>
              </w:rPr>
              <w:t xml:space="preserve">The senior author declares honoraria from Foundation Medicine and Olympus in a paper recommending routine sequencing of endoscopically obtained biliary specimens</w:t>
            </w:r>
          </w:p>
          <w:p>
            <w:pPr>
              <w:pStyle w:val="ListParagraph"/>
              <w:numPr>
                <w:ilvl w:val="0"/>
                <w:numId w:val="2"/>
              </w:numPr>
              <w:spacing w:after="45"/>
            </w:pPr>
            <w:r>
              <w:rPr>
                <w:sz w:val="15"/>
                <w:szCs w:val="15"/>
              </w:rPr>
              <w:t xml:space="preserve">No linked editorial or comment was found in PubMed, so no independent published appraisal accompanies the accuracy claims</w:t>
            </w:r>
          </w:p>
        </w:tc>
      </w:tr>
    </w:tbl>
    <w:p>
      <w:pPr>
        <w:spacing w:after="0" w:line="276"/>
      </w:pPr>
      <w:r>
        <w:rPr>
          <w:color w:val="5A6069"/>
          <w:sz w:val="14"/>
          <w:szCs w:val="14"/>
        </w:rPr>
        <w:t xml:space="preserve">Funding: Supported in part by the National Institutes of Health (P30DK120531, U01CA200466, P30CA047904), the National Pancreas Foundation Western PA Chapter, the Sky Foundation and the Pancreatic Cancer Action Network; the senior author received honoraria from Foundation Medicine and Olympus Corporation of Americas and the remaining authors disclose no conflicts</w:t>
      </w:r>
    </w:p>
    <w:p>
      <w:pPr>
        <w:keepNext/>
        <w:spacing w:after="50" w:before="260"/>
      </w:pPr>
      <w:r>
        <w:rPr>
          <w:rFonts w:ascii="Cambria" w:cs="Cambria" w:eastAsia="Cambria" w:hAnsi="Cambria"/>
          <w:b/>
          <w:bCs/>
          <w:color w:val="17365D"/>
          <w:sz w:val="20"/>
          <w:szCs w:val="20"/>
        </w:rPr>
        <w:t xml:space="preserve">BiliSeq original cohort</w:t>
      </w:r>
      <w:r>
        <w:rPr>
          <w:b/>
          <w:bCs/>
          <w:color w:val="176A87"/>
          <w:sz w:val="15"/>
          <w:szCs w:val="15"/>
        </w:rPr>
        <w:t xml:space="preserve">   cohort</w:t>
      </w:r>
      <w:r>
        <w:rPr>
          <w:color w:val="5A6069"/>
          <w:sz w:val="15"/>
          <w:szCs w:val="15"/>
        </w:rPr>
        <w:t xml:space="preserve">   PMID 30971436</w:t>
      </w:r>
    </w:p>
    <w:p>
      <w:pPr>
        <w:spacing w:after="50" w:line="276"/>
      </w:pPr>
      <w:r>
        <w:rPr>
          <w:color w:val="5A6069"/>
          <w:sz w:val="17"/>
          <w:szCs w:val="17"/>
        </w:rPr>
        <w:t xml:space="preserve">Integrating next-generation sequencing to endoscopic retrograde cholangiopancreatography (ERCP)-obtained biliary specimens improves the detection and management of patients with malignant bile duct strictures</w:t>
      </w:r>
    </w:p>
    <w:p>
      <w:pPr>
        <w:spacing w:after="50"/>
      </w:pPr>
      <w:r>
        <w:rPr>
          <w:b/>
          <w:bCs/>
          <w:color w:val="176A87"/>
          <w:sz w:val="16"/>
          <w:szCs w:val="16"/>
        </w:rPr>
        <w:t xml:space="preserve">Population. </w:t>
      </w:r>
      <w:r>
        <w:rPr>
          <w:sz w:val="16"/>
          <w:szCs w:val="16"/>
        </w:rPr>
        <w:t xml:space="preserve">252 patients and 346 biliary specimens obtained at ERCP at a single centre, a 57-patient training cohort from September 2014 to April 2016 followed by a prospective validation cohort of 195 from September 2016 to August 2018; 220 had adequate follow-up for the accuracy analysis, 38 strictures were intrahepatic and 47 hilar, 22 patients had intrahepatic cholangiocarcinoma and 37 had primary sclerosing cholangitis</w:t>
      </w:r>
    </w:p>
    <w:p>
      <w:pPr>
        <w:spacing w:after="70"/>
      </w:pPr>
      <w:r>
        <w:rPr>
          <w:b/>
          <w:bCs/>
          <w:color w:val="17365D"/>
          <w:sz w:val="16"/>
          <w:szCs w:val="16"/>
        </w:rPr>
        <w:t xml:space="preserve">Bottom line. </w:t>
      </w:r>
      <w:r>
        <w:rPr>
          <w:sz w:val="16"/>
          <w:szCs w:val="16"/>
        </w:rPr>
        <w:t xml:space="preserve">This is the study that put targeted sequencing of ERCP specimens into the work-up of an indeterminate biliary stricture, raising sensitivity for high-grade dysplasia or cancer from 48% with pathology to 73% alone and 83% combined, with specificity held at 99%. It does not make a negative test reassuring: a quarter of cancers were missed and the negative predictive value is 63%. Sequencing and pathology were run on different specimens, only 38 of 252 strictures were intrahepatic, and the panel does not detect FGFR2 fusions.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Follow-up diagnostic pathology was available for only 66% of patients, which the authors attribute to most biliary malignancies being unresectable or the patients being poor surgical candidates</w:t>
            </w:r>
          </w:p>
          <w:p>
            <w:pPr>
              <w:pStyle w:val="ListParagraph"/>
              <w:numPr>
                <w:ilvl w:val="0"/>
                <w:numId w:val="2"/>
              </w:numPr>
              <w:spacing w:after="45"/>
            </w:pPr>
            <w:r>
              <w:rPr>
                <w:sz w:val="15"/>
                <w:szCs w:val="15"/>
              </w:rPr>
              <w:t xml:space="preserve">A separate bile duct specimen from the one used for pathological evaluation was used for sequencing in order to ensure sufficient DNA, which the authors say may explain incongruent results between the two modalities</w:t>
            </w:r>
          </w:p>
          <w:p>
            <w:pPr>
              <w:pStyle w:val="ListParagraph"/>
              <w:numPr>
                <w:ilvl w:val="0"/>
                <w:numId w:val="2"/>
              </w:numPr>
              <w:spacing w:after="45"/>
            </w:pPr>
            <w:r>
              <w:rPr>
                <w:sz w:val="15"/>
                <w:szCs w:val="15"/>
              </w:rPr>
              <w:t xml:space="preserve">The study does not address the optimal gene panel or the best approach to integrating sequencing into stricture evaluation</w:t>
            </w:r>
          </w:p>
          <w:p>
            <w:pPr>
              <w:pStyle w:val="ListParagraph"/>
              <w:numPr>
                <w:ilvl w:val="0"/>
                <w:numId w:val="2"/>
              </w:numPr>
              <w:spacing w:after="45"/>
            </w:pPr>
            <w:r>
              <w:rPr>
                <w:sz w:val="15"/>
                <w:szCs w:val="15"/>
              </w:rPr>
              <w:t xml:space="preserve">No single modality or combination reached 95% sensitivity without a loss of specificity</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A negative result does not exclude cancer and the paper does not lead with that: there were 37 false negatives (25%) and the negative predictive value is only 63%, so a clinician who stops at a negative BiliSeq is wrong a third of the time</w:t>
            </w:r>
          </w:p>
          <w:p>
            <w:pPr>
              <w:pStyle w:val="ListParagraph"/>
              <w:numPr>
                <w:ilvl w:val="0"/>
                <w:numId w:val="2"/>
              </w:numPr>
              <w:spacing w:after="45"/>
            </w:pPr>
            <w:r>
              <w:rPr>
                <w:sz w:val="15"/>
                <w:szCs w:val="15"/>
              </w:rPr>
              <w:t xml:space="preserve">In 12 of those false-negative cases the same panel found an alteration in the resected tumour, which means the failure was sampling or tumour cellularity below the 3% allele-frequency limit rather than tumour biology, and that failure mode is not quantifiable prospectively</w:t>
            </w:r>
          </w:p>
          <w:p>
            <w:pPr>
              <w:pStyle w:val="ListParagraph"/>
              <w:numPr>
                <w:ilvl w:val="0"/>
                <w:numId w:val="2"/>
              </w:numPr>
              <w:spacing w:after="45"/>
            </w:pPr>
            <w:r>
              <w:rPr>
                <w:sz w:val="15"/>
                <w:szCs w:val="15"/>
              </w:rPr>
              <w:t xml:space="preserve">Specificity of 100% is computed against a reference standard in which brushing cytology and negative biopsies were disallowed as evidence in either direction, and 34% of patients were adjudicated on clinical and radiographic course rather than tissue, a standard that cannot generate a false positive for a molecular test</w:t>
            </w:r>
          </w:p>
          <w:p>
            <w:pPr>
              <w:pStyle w:val="ListParagraph"/>
              <w:numPr>
                <w:ilvl w:val="0"/>
                <w:numId w:val="2"/>
              </w:numPr>
              <w:spacing w:after="45"/>
            </w:pPr>
            <w:r>
              <w:rPr>
                <w:sz w:val="15"/>
                <w:szCs w:val="15"/>
              </w:rPr>
              <w:t xml:space="preserve">The sequencing and the pathology were done on different specimens, so the central 73% against 48% sensitivity comparison is not a head-to-head test on the same material; the authors concede the specimen difference may explain discordance but still draw the comparison</w:t>
            </w:r>
          </w:p>
          <w:p>
            <w:pPr>
              <w:pStyle w:val="ListParagraph"/>
              <w:numPr>
                <w:ilvl w:val="0"/>
                <w:numId w:val="2"/>
              </w:numPr>
              <w:spacing w:after="45"/>
            </w:pPr>
            <w:r>
              <w:rPr>
                <w:sz w:val="15"/>
                <w:szCs w:val="15"/>
              </w:rPr>
              <w:t xml:space="preserve">The assay was run on a purpose-collected brush or biopsy placed directly into DNA lysis buffer in the laboratory that developed it, so nothing here addresses performance on residual CytoLyt or formalin-fixed material, where other groups report assay failure near 11%</w:t>
            </w:r>
          </w:p>
          <w:p>
            <w:pPr>
              <w:pStyle w:val="ListParagraph"/>
              <w:numPr>
                <w:ilvl w:val="0"/>
                <w:numId w:val="2"/>
              </w:numPr>
              <w:spacing w:after="45"/>
            </w:pPr>
            <w:r>
              <w:rPr>
                <w:sz w:val="15"/>
                <w:szCs w:val="15"/>
              </w:rPr>
              <w:t xml:space="preserve">The 28-gene panel does not detect FGFR2 fusions and omits chromatin remodelling genes such as ARID1A, which together occur in up to 20% of intrahepatic cholangiocarcinomas, so the panel misses the alterations that matter most for iCCA treatment while the paper's therapeutic yield is presented as 13%</w:t>
            </w:r>
          </w:p>
          <w:p>
            <w:pPr>
              <w:pStyle w:val="ListParagraph"/>
              <w:numPr>
                <w:ilvl w:val="0"/>
                <w:numId w:val="2"/>
              </w:numPr>
              <w:spacing w:after="45"/>
            </w:pPr>
            <w:r>
              <w:rPr>
                <w:sz w:val="15"/>
                <w:szCs w:val="15"/>
              </w:rPr>
              <w:t xml:space="preserve">The primary sclerosing cholangitis result, where the gain over cytology is largest at 83% against 8%, rests on 12 malignant cases with a confidence interval of 0.51 to 0.98</w:t>
            </w:r>
          </w:p>
          <w:p>
            <w:pPr>
              <w:pStyle w:val="ListParagraph"/>
              <w:numPr>
                <w:ilvl w:val="0"/>
                <w:numId w:val="2"/>
              </w:numPr>
              <w:spacing w:after="45"/>
            </w:pPr>
            <w:r>
              <w:rPr>
                <w:sz w:val="15"/>
                <w:szCs w:val="15"/>
              </w:rPr>
              <w:t xml:space="preserve">Only 38 of 252 strictures were intrahepatic, so the paper that is cited for molecular diagnosis of iCCA mostly studied extrahepatic and distal disease and reports no intrahepatic-specific sensitivity</w:t>
            </w:r>
          </w:p>
          <w:p>
            <w:pPr>
              <w:pStyle w:val="ListParagraph"/>
              <w:numPr>
                <w:ilvl w:val="0"/>
                <w:numId w:val="2"/>
              </w:numPr>
              <w:spacing w:after="45"/>
            </w:pPr>
            <w:r>
              <w:rPr>
                <w:sz w:val="15"/>
                <w:szCs w:val="15"/>
              </w:rPr>
              <w:t xml:space="preserve">The two trastuzumab responses are single cases treated concurrently with gemcitabine-cisplatin and followed for 8 and 12 months, so the shrinkage cannot be attributed to the targeted agent, yet they carry the paper's clinical-utility claim</w:t>
            </w:r>
          </w:p>
          <w:p>
            <w:pPr>
              <w:pStyle w:val="ListParagraph"/>
              <w:numPr>
                <w:ilvl w:val="0"/>
                <w:numId w:val="2"/>
              </w:numPr>
              <w:spacing w:after="45"/>
            </w:pPr>
            <w:r>
              <w:rPr>
                <w:sz w:val="15"/>
                <w:szCs w:val="15"/>
              </w:rPr>
              <w:t xml:space="preserve">Adding CA19-9 raises sensitivity to 95% at the cost of dropping specificity to 68%, which means roughly a third of benign strictures would be called malignant; that combination is presented alongside the others without stating that it is clinically unusable</w:t>
            </w:r>
          </w:p>
          <w:p>
            <w:pPr>
              <w:pStyle w:val="ListParagraph"/>
              <w:numPr>
                <w:ilvl w:val="0"/>
                <w:numId w:val="2"/>
              </w:numPr>
              <w:spacing w:after="45"/>
            </w:pPr>
            <w:r>
              <w:rPr>
                <w:sz w:val="15"/>
                <w:szCs w:val="15"/>
              </w:rPr>
              <w:t xml:space="preserve">The first author declares an honorarium from Foundation Medicine, a commercial sequencing provider, in a paper advocating routine sequencing of biliary specimens</w:t>
            </w:r>
          </w:p>
          <w:p>
            <w:pPr>
              <w:pStyle w:val="ListParagraph"/>
              <w:numPr>
                <w:ilvl w:val="0"/>
                <w:numId w:val="2"/>
              </w:numPr>
              <w:spacing w:after="45"/>
            </w:pPr>
            <w:r>
              <w:rPr>
                <w:sz w:val="15"/>
                <w:szCs w:val="15"/>
              </w:rPr>
              <w:t xml:space="preserve">No linked editorial or comment was found in PubMed, so no independent published appraisal accompanies the accuracy claims</w:t>
            </w:r>
          </w:p>
        </w:tc>
      </w:tr>
    </w:tbl>
    <w:p>
      <w:pPr>
        <w:spacing w:after="0" w:line="276"/>
      </w:pPr>
      <w:r>
        <w:rPr>
          <w:color w:val="5A6069"/>
          <w:sz w:val="14"/>
          <w:szCs w:val="14"/>
        </w:rPr>
        <w:t xml:space="preserve">Funding: Funded by the University of Pittsburgh Institute of Precision Medicine; the first author has received an honorarium from Foundation Medicine</w:t>
      </w:r>
    </w:p>
    <w:p>
      <w:pPr>
        <w:keepNext/>
        <w:spacing w:after="50" w:before="260"/>
      </w:pPr>
      <w:r>
        <w:rPr>
          <w:rFonts w:ascii="Cambria" w:cs="Cambria" w:eastAsia="Cambria" w:hAnsi="Cambria"/>
          <w:b/>
          <w:bCs/>
          <w:color w:val="17365D"/>
          <w:sz w:val="20"/>
          <w:szCs w:val="20"/>
        </w:rPr>
        <w:t xml:space="preserve">BSG CCA 2023</w:t>
      </w:r>
      <w:r>
        <w:rPr>
          <w:b/>
          <w:bCs/>
          <w:color w:val="176A87"/>
          <w:sz w:val="15"/>
          <w:szCs w:val="15"/>
        </w:rPr>
        <w:t xml:space="preserve">   Guideline</w:t>
      </w:r>
      <w:r>
        <w:rPr>
          <w:color w:val="5A6069"/>
          <w:sz w:val="15"/>
          <w:szCs w:val="15"/>
        </w:rPr>
        <w:t xml:space="preserve">   PMID 37770126</w:t>
      </w:r>
    </w:p>
    <w:p>
      <w:pPr>
        <w:spacing w:after="50" w:line="276"/>
      </w:pPr>
      <w:r>
        <w:rPr>
          <w:color w:val="5A6069"/>
          <w:sz w:val="17"/>
          <w:szCs w:val="17"/>
        </w:rPr>
        <w:t xml:space="preserve">British Society of Gastroenterology guidelines for the diagnosis and management of cholangiocarcinoma</w:t>
      </w:r>
    </w:p>
    <w:p>
      <w:pPr>
        <w:spacing w:after="70"/>
      </w:pPr>
      <w:r>
        <w:rPr>
          <w:b/>
          <w:bCs/>
          <w:color w:val="17365D"/>
          <w:sz w:val="16"/>
          <w:szCs w:val="16"/>
        </w:rPr>
        <w:t xml:space="preserve">Bottom line. </w:t>
      </w:r>
      <w:r>
        <w:rPr>
          <w:sz w:val="16"/>
          <w:szCs w:val="16"/>
        </w:rPr>
        <w:t xml:space="preserve">The BSG guidelines are the most operational document in this set for UK practice: 50 GRADE-graded recommendations covering staging imaging, biopsy, high-volume resection, 24 weeks of adjuvant capecitabine, molecular profiling at the earliest opportunity, and iCCA transplantation only inside a national protocol. Its strongest surgical recommendation rests on BILCAP's per-protocol result, it sets no nodal dissection standard while making nodal status decisive, and one recommendation is graded with a category outside the GRADE scheme it declares. The November 2022 search closed before KEYNOTE-966 and the HER2 and futibatinib data.</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authors frame the document as guidance rather than protocol, requiring individual patient-centred decisions</w:t>
            </w:r>
          </w:p>
          <w:p>
            <w:pPr>
              <w:pStyle w:val="ListParagraph"/>
              <w:numPr>
                <w:ilvl w:val="0"/>
                <w:numId w:val="2"/>
              </w:numPr>
              <w:spacing w:after="45"/>
            </w:pPr>
            <w:r>
              <w:rPr>
                <w:sz w:val="15"/>
                <w:szCs w:val="15"/>
              </w:rPr>
              <w:t xml:space="preserve">They state revision will be needed within five years</w:t>
            </w:r>
          </w:p>
          <w:p>
            <w:pPr>
              <w:pStyle w:val="ListParagraph"/>
              <w:numPr>
                <w:ilvl w:val="0"/>
                <w:numId w:val="2"/>
              </w:numPr>
              <w:spacing w:after="45"/>
            </w:pPr>
            <w:r>
              <w:rPr>
                <w:sz w:val="15"/>
                <w:szCs w:val="15"/>
              </w:rPr>
              <w:t xml:space="preserve">They state that the size criteria for transplantation in iCCA need to be monitored and modified to improve recruitment to the national protocol</w:t>
            </w:r>
          </w:p>
          <w:p>
            <w:pPr>
              <w:pStyle w:val="ListParagraph"/>
              <w:numPr>
                <w:ilvl w:val="0"/>
                <w:numId w:val="2"/>
              </w:numPr>
              <w:spacing w:after="45"/>
            </w:pPr>
            <w:r>
              <w:rPr>
                <w:sz w:val="15"/>
                <w:szCs w:val="15"/>
              </w:rPr>
              <w:t xml:space="preserve">Searches were completed in November 2022</w:t>
            </w:r>
          </w:p>
          <w:p>
            <w:pPr>
              <w:pStyle w:val="ListParagraph"/>
              <w:numPr>
                <w:ilvl w:val="0"/>
                <w:numId w:val="2"/>
              </w:numPr>
              <w:spacing w:after="45"/>
            </w:pPr>
            <w:r>
              <w:rPr>
                <w:sz w:val="15"/>
                <w:szCs w:val="15"/>
              </w:rPr>
              <w:t xml:space="preserve">Several recommendations carry an explicit quality of evidence of LOW, including offering surgery when histology cannot exclude malignancy</w:t>
            </w:r>
          </w:p>
          <w:p>
            <w:pPr>
              <w:pStyle w:val="ListParagraph"/>
              <w:numPr>
                <w:ilvl w:val="0"/>
                <w:numId w:val="2"/>
              </w:numPr>
              <w:spacing w:after="45"/>
            </w:pPr>
            <w:r>
              <w:rPr>
                <w:sz w:val="15"/>
                <w:szCs w:val="15"/>
              </w:rPr>
              <w:t xml:space="preserve">Recommendation 46 states that development and funding of clinical trials is key because the pharmacological management of symptoms has not been properly evaluated</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Adjuvant capecitabine is a STRONG recommendation on moderate evidence although BILCAP missed significance on intention-to-treat and showed no benefit in its intrahepatic subgroup, so the document's firmest surgical statement rests on a per-protocol result with ACTICCA-1 still unreported</w:t>
            </w:r>
          </w:p>
          <w:p>
            <w:pPr>
              <w:pStyle w:val="ListParagraph"/>
              <w:numPr>
                <w:ilvl w:val="0"/>
                <w:numId w:val="2"/>
              </w:numPr>
              <w:spacing w:after="45"/>
            </w:pPr>
            <w:r>
              <w:rPr>
                <w:sz w:val="15"/>
                <w:szCs w:val="15"/>
              </w:rPr>
              <w:t xml:space="preserve">Transplantation for iCCA is routed into a national protocol whose size criteria the guideline simultaneously says need modifying to improve recruitment, which concedes the criteria are set too tightly to be tested while offering no alternative threshold</w:t>
            </w:r>
          </w:p>
          <w:p>
            <w:pPr>
              <w:pStyle w:val="ListParagraph"/>
              <w:numPr>
                <w:ilvl w:val="0"/>
                <w:numId w:val="2"/>
              </w:numPr>
              <w:spacing w:after="45"/>
            </w:pPr>
            <w:r>
              <w:rPr>
                <w:sz w:val="15"/>
                <w:szCs w:val="15"/>
              </w:rPr>
              <w:t xml:space="preserve">The two established transplant pathways are left unresolved: neither the very-early cirrhotic tumour nor the locally advanced tumour stable on chemotherapy is given a criterion, so UK practice is directed to a protocol rather than to a decision</w:t>
            </w:r>
          </w:p>
          <w:p>
            <w:pPr>
              <w:pStyle w:val="ListParagraph"/>
              <w:numPr>
                <w:ilvl w:val="0"/>
                <w:numId w:val="2"/>
              </w:numPr>
              <w:spacing w:after="45"/>
            </w:pPr>
            <w:r>
              <w:rPr>
                <w:sz w:val="15"/>
                <w:szCs w:val="15"/>
              </w:rPr>
              <w:t xml:space="preserve">Nothing is said about regional lymphadenectomy or a minimum node yield at resection for iCCA, although nodal status determines both stage and the adjuvant decision Recommendation 37 then makes</w:t>
            </w:r>
          </w:p>
          <w:p>
            <w:pPr>
              <w:pStyle w:val="ListParagraph"/>
              <w:numPr>
                <w:ilvl w:val="0"/>
                <w:numId w:val="2"/>
              </w:numPr>
              <w:spacing w:after="45"/>
            </w:pPr>
            <w:r>
              <w:rPr>
                <w:sz w:val="15"/>
                <w:szCs w:val="15"/>
              </w:rPr>
              <w:t xml:space="preserve">Recommendation 34 is printed with a quality of evidence of STRONG, a category that does not exist in the GRADE scheme the guideline declares it is using, so at least one of 50 graded recommendations cannot be interpreted</w:t>
            </w:r>
          </w:p>
          <w:p>
            <w:pPr>
              <w:pStyle w:val="ListParagraph"/>
              <w:numPr>
                <w:ilvl w:val="0"/>
                <w:numId w:val="2"/>
              </w:numPr>
              <w:spacing w:after="45"/>
            </w:pPr>
            <w:r>
              <w:rPr>
                <w:sz w:val="15"/>
                <w:szCs w:val="15"/>
              </w:rPr>
              <w:t xml:space="preserve">First-line immunotherapy is recommended only conditionally, if approved and available, which makes the central systemic recommendation dependent on local reimbursement rather than on the trial evidence</w:t>
            </w:r>
          </w:p>
          <w:p>
            <w:pPr>
              <w:pStyle w:val="ListParagraph"/>
              <w:numPr>
                <w:ilvl w:val="0"/>
                <w:numId w:val="2"/>
              </w:numPr>
              <w:spacing w:after="45"/>
            </w:pPr>
            <w:r>
              <w:rPr>
                <w:sz w:val="15"/>
                <w:szCs w:val="15"/>
              </w:rPr>
              <w:t xml:space="preserve">The November 2022 search closed before KEYNOTE-966, the HER2 data and futibatinib, so a 50-recommendation document published in 2024 describes a systemic landscape that had already changed</w:t>
            </w:r>
          </w:p>
          <w:p>
            <w:pPr>
              <w:pStyle w:val="ListParagraph"/>
              <w:numPr>
                <w:ilvl w:val="0"/>
                <w:numId w:val="2"/>
              </w:numPr>
              <w:spacing w:after="45"/>
            </w:pPr>
            <w:r>
              <w:rPr>
                <w:sz w:val="15"/>
                <w:szCs w:val="15"/>
              </w:rPr>
              <w:t xml:space="preserve">Molecular profiling at the earliest opportunity is a STRONG recommendation on high evidence, with a companion recommendation to reserve tissue for it before planning immunohistochemistry; no assay failure rate, panel content or turnaround expectation is given, so the recommendation is strong on process and silent on feasibility</w:t>
            </w:r>
          </w:p>
          <w:p>
            <w:pPr>
              <w:pStyle w:val="ListParagraph"/>
              <w:numPr>
                <w:ilvl w:val="0"/>
                <w:numId w:val="2"/>
              </w:numPr>
              <w:spacing w:after="45"/>
            </w:pPr>
            <w:r>
              <w:rPr>
                <w:sz w:val="15"/>
                <w:szCs w:val="15"/>
              </w:rPr>
              <w:t xml:space="preserve">Resection is restricted to high-volume centres with full supporting services as a STRONG recommendation on moderate evidence, with no volume threshold stated, which makes the recommendation unauditable</w:t>
            </w:r>
          </w:p>
          <w:p>
            <w:pPr>
              <w:pStyle w:val="ListParagraph"/>
              <w:numPr>
                <w:ilvl w:val="0"/>
                <w:numId w:val="2"/>
              </w:numPr>
              <w:spacing w:after="45"/>
            </w:pPr>
            <w:r>
              <w:rPr>
                <w:sz w:val="15"/>
                <w:szCs w:val="15"/>
              </w:rPr>
              <w:t xml:space="preserve">FDG-PET/CT is recommended for all nodal and distant staging as STRONG on moderate evidence, with no sensitivity, specificity or change-in-management data supplied in the recommendation text</w:t>
            </w:r>
          </w:p>
          <w:p>
            <w:pPr>
              <w:pStyle w:val="ListParagraph"/>
              <w:numPr>
                <w:ilvl w:val="0"/>
                <w:numId w:val="2"/>
              </w:numPr>
              <w:spacing w:after="45"/>
            </w:pPr>
            <w:r>
              <w:rPr>
                <w:sz w:val="15"/>
                <w:szCs w:val="15"/>
              </w:rPr>
              <w:t xml:space="preserve">Perihilar transplantation under 3 cm is given a MODERATE recommendation on the basis that it gives long-term disease-free survival, a statement of fact about outcomes rather than a comparison with resection, and the 3 cm figure is carried across to the iCCA discussion by proximity rather than by evidence</w:t>
            </w:r>
          </w:p>
          <w:p>
            <w:pPr>
              <w:pStyle w:val="ListParagraph"/>
              <w:numPr>
                <w:ilvl w:val="0"/>
                <w:numId w:val="2"/>
              </w:numPr>
              <w:spacing w:after="45"/>
            </w:pPr>
            <w:r>
              <w:rPr>
                <w:sz w:val="15"/>
                <w:szCs w:val="15"/>
              </w:rPr>
              <w:t xml:space="preserve">No linked editorial or comment was found in PubMed; the only linked item is a 2025 Gut letter naming the Guidelines Development Group (PMID 39160057), so no independent appraisal of the recommendations exists in the citation record</w:t>
            </w:r>
          </w:p>
        </w:tc>
      </w:tr>
    </w:tbl>
    <w:p>
      <w:pPr>
        <w:spacing w:after="0" w:line="276"/>
      </w:pPr>
      <w:r>
        <w:rPr>
          <w:color w:val="5A6069"/>
          <w:sz w:val="14"/>
          <w:szCs w:val="14"/>
        </w:rPr>
        <w:t xml:space="preserve">Funding: The authors declare no specific grant from any public, commercial or not-for-profit funding agency and no competing interests; the guidelines were not commissioned and were externally peer reviewed</w:t>
      </w:r>
    </w:p>
    <w:p>
      <w:pPr>
        <w:keepNext/>
        <w:spacing w:after="50" w:before="260"/>
      </w:pPr>
      <w:r>
        <w:rPr>
          <w:rFonts w:ascii="Cambria" w:cs="Cambria" w:eastAsia="Cambria" w:hAnsi="Cambria"/>
          <w:b/>
          <w:bCs/>
          <w:color w:val="17365D"/>
          <w:sz w:val="20"/>
          <w:szCs w:val="20"/>
        </w:rPr>
        <w:t xml:space="preserve">Cercek HAI phase 2</w:t>
      </w:r>
      <w:r>
        <w:rPr>
          <w:b/>
          <w:bCs/>
          <w:color w:val="176A87"/>
          <w:sz w:val="15"/>
          <w:szCs w:val="15"/>
        </w:rPr>
        <w:t xml:space="preserve">   Prospective trial</w:t>
      </w:r>
      <w:r>
        <w:rPr>
          <w:color w:val="5A6069"/>
          <w:sz w:val="15"/>
          <w:szCs w:val="15"/>
        </w:rPr>
        <w:t xml:space="preserve">   PMID 31670750</w:t>
      </w:r>
    </w:p>
    <w:p>
      <w:pPr>
        <w:spacing w:after="50" w:line="276"/>
      </w:pPr>
      <w:r>
        <w:rPr>
          <w:color w:val="5A6069"/>
          <w:sz w:val="17"/>
          <w:szCs w:val="17"/>
        </w:rPr>
        <w:t xml:space="preserve">Assessment of Hepatic Arterial Infusion of Floxuridine in Combination With Systemic Gemcitabine and Oxaliplatin in Patients With Unresectable Intrahepatic Cholangiocarcinoma: A Phase 2 Clinical Trial</w:t>
      </w:r>
    </w:p>
    <w:p>
      <w:pPr>
        <w:spacing w:after="50"/>
      </w:pPr>
      <w:r>
        <w:rPr>
          <w:b/>
          <w:bCs/>
          <w:color w:val="176A87"/>
          <w:sz w:val="16"/>
          <w:szCs w:val="16"/>
        </w:rPr>
        <w:t xml:space="preserve">Population. </w:t>
      </w:r>
      <w:r>
        <w:rPr>
          <w:sz w:val="16"/>
          <w:szCs w:val="16"/>
        </w:rPr>
        <w:t xml:space="preserve">38 patients with unresectable liver-confined intrahepatic cholangiocarcinoma treated at Memorial Sloan Kettering between 2013 and 2019, from 84 screened and 42 who had a hepatic artery infusion pump placed, plus a 10-patient confirmatory cohort at Washington University; median tumour size 8.3 cm, 66% bilobar, 47% with proven nodal disease</w:t>
      </w:r>
    </w:p>
    <w:p>
      <w:pPr>
        <w:spacing w:after="70"/>
      </w:pPr>
      <w:r>
        <w:rPr>
          <w:b/>
          <w:bCs/>
          <w:color w:val="17365D"/>
          <w:sz w:val="16"/>
          <w:szCs w:val="16"/>
        </w:rPr>
        <w:t xml:space="preserve">Bottom line. </w:t>
      </w:r>
      <w:r>
        <w:rPr>
          <w:sz w:val="16"/>
          <w:szCs w:val="16"/>
        </w:rPr>
        <w:t xml:space="preserve">This single-arm phase 2 trial is the strongest prospective evidence for hepatic arterial infusion floxuridine with systemic gemcitabine-oxaliplatin in liver-confined unresectable iCCA: 58% response, 11.8 months median progression-free survival and 25.0 months median overall survival. It cannot show that the pump adds anything, because the comparison is with historical systemic series and only 38 of 84 screened patients were treated. Four patients became resectable, biliary toxicity was frequent, and 11% to 30% had grade 4 pump or arterial complications depending on the centre.</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As with all single-institution phase 2 trials, there is the possibility of selection bias owing to the small sample size</w:t>
            </w:r>
          </w:p>
          <w:p>
            <w:pPr>
              <w:pStyle w:val="ListParagraph"/>
              <w:numPr>
                <w:ilvl w:val="0"/>
                <w:numId w:val="2"/>
              </w:numPr>
              <w:spacing w:after="45"/>
            </w:pPr>
            <w:r>
              <w:rPr>
                <w:sz w:val="15"/>
                <w:szCs w:val="15"/>
              </w:rPr>
              <w:t xml:space="preserve">The 10-patient confirmation cohort suggests the therapy can be given elsewhere with comparable safety and efficacy, but a larger number of institutions is needed to validate this</w:t>
            </w:r>
          </w:p>
          <w:p>
            <w:pPr>
              <w:pStyle w:val="ListParagraph"/>
              <w:numPr>
                <w:ilvl w:val="0"/>
                <w:numId w:val="2"/>
              </w:numPr>
              <w:spacing w:after="45"/>
            </w:pPr>
            <w:r>
              <w:rPr>
                <w:sz w:val="15"/>
                <w:szCs w:val="15"/>
              </w:rPr>
              <w:t xml:space="preserve">Larger cohorts are necessary to confirm the association between IDH mutations and treatment response</w:t>
            </w:r>
          </w:p>
          <w:p>
            <w:pPr>
              <w:pStyle w:val="ListParagraph"/>
              <w:numPr>
                <w:ilvl w:val="0"/>
                <w:numId w:val="2"/>
              </w:numPr>
              <w:spacing w:after="45"/>
            </w:pPr>
            <w:r>
              <w:rPr>
                <w:sz w:val="15"/>
                <w:szCs w:val="15"/>
              </w:rPr>
              <w:t xml:space="preserve">The authors state that a multicentre randomised study of pump-based hepatic arterial infusion is warranted to determine whether liver-directed therapy belongs in first-line treatment</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primary endpoint is 6-month progression-free survival against a single-arm 80% target, so the trial can only show that the regimen beats a number the investigators chose, not that it beats systemic chemotherapy; the 25-month median survival is set against the 11.7 months of ABC-02, a trial with a different and far more advanced population</w:t>
            </w:r>
          </w:p>
          <w:p>
            <w:pPr>
              <w:pStyle w:val="ListParagraph"/>
              <w:numPr>
                <w:ilvl w:val="0"/>
                <w:numId w:val="2"/>
              </w:numPr>
              <w:spacing w:after="45"/>
            </w:pPr>
            <w:r>
              <w:rPr>
                <w:sz w:val="15"/>
                <w:szCs w:val="15"/>
              </w:rPr>
              <w:t xml:space="preserve">The cohort is doubly selected: 84 screened, 42 taken to the operating room for pump placement, 38 treated, so the reported outcomes describe patients fit enough for laparotomy with liver-confined disease and no ascites, and the 46 who did not reach treatment are not described in the survival analysis</w:t>
            </w:r>
          </w:p>
          <w:p>
            <w:pPr>
              <w:pStyle w:val="ListParagraph"/>
              <w:numPr>
                <w:ilvl w:val="0"/>
                <w:numId w:val="2"/>
              </w:numPr>
              <w:spacing w:after="45"/>
            </w:pPr>
            <w:r>
              <w:rPr>
                <w:sz w:val="15"/>
                <w:szCs w:val="15"/>
              </w:rPr>
              <w:t xml:space="preserve">The 6-month progression-free survival estimate is given with a one-sided 90% confidence interval of 74.8% to infinity, a bound that cannot be used to judge precision and is a consequence of the single-arm design</w:t>
            </w:r>
          </w:p>
          <w:p>
            <w:pPr>
              <w:pStyle w:val="ListParagraph"/>
              <w:numPr>
                <w:ilvl w:val="0"/>
                <w:numId w:val="2"/>
              </w:numPr>
              <w:spacing w:after="45"/>
            </w:pPr>
            <w:r>
              <w:rPr>
                <w:sz w:val="15"/>
                <w:szCs w:val="15"/>
              </w:rPr>
              <w:t xml:space="preserve">Only 4 of 38 patients (11%) became resectable, and the resection figures that make the regimen attractive as a conversion strategy rest on those four cases</w:t>
            </w:r>
          </w:p>
          <w:p>
            <w:pPr>
              <w:pStyle w:val="ListParagraph"/>
              <w:numPr>
                <w:ilvl w:val="0"/>
                <w:numId w:val="2"/>
              </w:numPr>
              <w:spacing w:after="45"/>
            </w:pPr>
            <w:r>
              <w:rPr>
                <w:sz w:val="15"/>
                <w:szCs w:val="15"/>
              </w:rPr>
              <w:t xml:space="preserve">The IDH1/2 survival signal, 90% against 33% 2-year survival at P = 0.01, comes from 33 sequenced patients with no corresponding progression-free survival difference (14.1 against 10.9 months, P = 0.42), and the authors themselves note it may reflect subsequent resection and off-protocol IDH1-directed therapy rather than sensitivity to this regimen</w:t>
            </w:r>
          </w:p>
          <w:p>
            <w:pPr>
              <w:pStyle w:val="ListParagraph"/>
              <w:numPr>
                <w:ilvl w:val="0"/>
                <w:numId w:val="2"/>
              </w:numPr>
              <w:spacing w:after="45"/>
            </w:pPr>
            <w:r>
              <w:rPr>
                <w:sz w:val="15"/>
                <w:szCs w:val="15"/>
              </w:rPr>
              <w:t xml:space="preserve">Dose delivery deteriorated substantially: 71% received the expected floxuridine dose over the first 3 months but only 47% over the next 6, and oxaliplatin was stopped after 8 cycles in 80%, so the regimen that produced these outcomes was not the regimen as written</w:t>
            </w:r>
          </w:p>
          <w:p>
            <w:pPr>
              <w:pStyle w:val="ListParagraph"/>
              <w:numPr>
                <w:ilvl w:val="0"/>
                <w:numId w:val="2"/>
              </w:numPr>
              <w:spacing w:after="45"/>
            </w:pPr>
            <w:r>
              <w:rPr>
                <w:sz w:val="15"/>
                <w:szCs w:val="15"/>
              </w:rPr>
              <w:t xml:space="preserve">Hepatobiliary toxicity was common and under-emphasised in the conclusion: grade 3 ALT in 42%, AST in 34% and bilirubin in 18%, with 11% requiring biliary stents including two for chemotherapy-induced biliary sclerosis</w:t>
            </w:r>
          </w:p>
          <w:p>
            <w:pPr>
              <w:pStyle w:val="ListParagraph"/>
              <w:numPr>
                <w:ilvl w:val="0"/>
                <w:numId w:val="2"/>
              </w:numPr>
              <w:spacing w:after="45"/>
            </w:pPr>
            <w:r>
              <w:rPr>
                <w:sz w:val="15"/>
                <w:szCs w:val="15"/>
              </w:rPr>
              <w:t xml:space="preserve">Grade 4 pump or arterial complications forced withdrawal in 4 of 38 (11%) at the lead centre and the figure was 30% in the 10-patient confirmatory cohort, which argues against the paper's reading that the confirmatory cohort supports broader applicability</w:t>
            </w:r>
          </w:p>
          <w:p>
            <w:pPr>
              <w:pStyle w:val="ListParagraph"/>
              <w:numPr>
                <w:ilvl w:val="0"/>
                <w:numId w:val="2"/>
              </w:numPr>
              <w:spacing w:after="45"/>
            </w:pPr>
            <w:r>
              <w:rPr>
                <w:sz w:val="15"/>
                <w:szCs w:val="15"/>
              </w:rPr>
              <w:t xml:space="preserve">The node-positive comparison, 50% against 60% 2-year survival at P = 0.66, is presented as evidence that nodal disease does not matter, but 18 node-positive patients cannot exclude a clinically important difference</w:t>
            </w:r>
          </w:p>
          <w:p>
            <w:pPr>
              <w:pStyle w:val="ListParagraph"/>
              <w:numPr>
                <w:ilvl w:val="0"/>
                <w:numId w:val="2"/>
              </w:numPr>
              <w:spacing w:after="45"/>
            </w:pPr>
            <w:r>
              <w:rPr>
                <w:sz w:val="15"/>
                <w:szCs w:val="15"/>
              </w:rPr>
              <w:t xml:space="preserve">The trial requires an implanted pump programme with both surgical and medical expertise, so nothing in the design tests whether the approach is deliverable outside two academic centres</w:t>
            </w:r>
          </w:p>
          <w:p>
            <w:pPr>
              <w:pStyle w:val="ListParagraph"/>
              <w:numPr>
                <w:ilvl w:val="0"/>
                <w:numId w:val="2"/>
              </w:numPr>
              <w:spacing w:after="45"/>
            </w:pPr>
            <w:r>
              <w:rPr>
                <w:sz w:val="15"/>
                <w:szCs w:val="15"/>
              </w:rPr>
              <w:t xml:space="preserve">The accompanying JAMA Oncology editorial by Scott and Shroff (PMID 31670748) was titled to say the jury is still out on locoregional treatment in unresectable cholangiocarcinoma; the editorial's full text was not read here and only its title is relied on</w:t>
            </w:r>
          </w:p>
        </w:tc>
      </w:tr>
    </w:tbl>
    <w:p>
      <w:pPr>
        <w:spacing w:after="0" w:line="276"/>
      </w:pPr>
      <w:r>
        <w:rPr>
          <w:color w:val="5A6069"/>
          <w:sz w:val="14"/>
          <w:szCs w:val="14"/>
        </w:rPr>
        <w:t xml:space="preserve">Funding: No sponsor named for the trial itself; funding was obtained by the senior author and the conflict-of-interest statement lists research funding and advisory roles for several investigators with AbbVie, Seattle Genetics, Bayer, Proteus, Roche/Genentech, Boehringer Ingelheim, Eisai and Exelixis among others</w:t>
      </w:r>
    </w:p>
    <w:p>
      <w:pPr>
        <w:keepNext/>
        <w:spacing w:after="50" w:before="260"/>
      </w:pPr>
      <w:r>
        <w:rPr>
          <w:rFonts w:ascii="Cambria" w:cs="Cambria" w:eastAsia="Cambria" w:hAnsi="Cambria"/>
          <w:b/>
          <w:bCs/>
          <w:color w:val="17365D"/>
          <w:sz w:val="20"/>
          <w:szCs w:val="20"/>
        </w:rPr>
        <w:t xml:space="preserve">ClarIDHy</w:t>
      </w:r>
      <w:r>
        <w:rPr>
          <w:b/>
          <w:bCs/>
          <w:color w:val="176A87"/>
          <w:sz w:val="15"/>
          <w:szCs w:val="15"/>
        </w:rPr>
        <w:t xml:space="preserve">   Randomised trial</w:t>
      </w:r>
      <w:r>
        <w:rPr>
          <w:color w:val="5A6069"/>
          <w:sz w:val="15"/>
          <w:szCs w:val="15"/>
        </w:rPr>
        <w:t xml:space="preserve">   PMID 32416072</w:t>
      </w:r>
    </w:p>
    <w:p>
      <w:pPr>
        <w:spacing w:after="50" w:line="276"/>
      </w:pPr>
      <w:r>
        <w:rPr>
          <w:color w:val="5A6069"/>
          <w:sz w:val="17"/>
          <w:szCs w:val="17"/>
        </w:rPr>
        <w:t xml:space="preserve">Ivosidenib in IDH1-mutant, chemotherapy-refractory cholangiocarcinoma (ClarIDHy): a multicentre, randomised, double-blind, placebo-controlled, phase 3 study</w:t>
      </w:r>
    </w:p>
    <w:p>
      <w:pPr>
        <w:spacing w:after="50"/>
      </w:pPr>
      <w:r>
        <w:rPr>
          <w:b/>
          <w:bCs/>
          <w:color w:val="176A87"/>
          <w:sz w:val="16"/>
          <w:szCs w:val="16"/>
        </w:rPr>
        <w:t xml:space="preserve">Population. </w:t>
      </w:r>
      <w:r>
        <w:rPr>
          <w:sz w:val="16"/>
          <w:szCs w:val="16"/>
        </w:rPr>
        <w:t xml:space="preserve">185 patients with advanced IDH1-mutant cholangiocarcinoma that had progressed after chemotherapy, randomised 2:1 at 49 hospitals in six countries between 2017 and 2019 to ivosidenib (124) or placebo (61); 94% had received prior platinum, only 5% had cirrhosis, and IDH1 R132C was the mutation in 70%</w:t>
      </w:r>
    </w:p>
    <w:p>
      <w:pPr>
        <w:spacing w:after="70"/>
      </w:pPr>
      <w:r>
        <w:rPr>
          <w:b/>
          <w:bCs/>
          <w:color w:val="17365D"/>
          <w:sz w:val="16"/>
          <w:szCs w:val="16"/>
        </w:rPr>
        <w:t xml:space="preserve">Bottom line. </w:t>
      </w:r>
      <w:r>
        <w:rPr>
          <w:sz w:val="16"/>
          <w:szCs w:val="16"/>
        </w:rPr>
        <w:t xml:space="preserve">ClarIDHy is the randomised, placebo-controlled trial that established mutant-IDH1 inhibition as a real target in cholangiocarcinoma, with progression-free survival HR 0.37 (0.25-0.54) and a smaller decline in physical functioning. The magnitude is small and the mechanism is stabilisation, not shrinkage: 1.3 months of median progression-free survival and a 2% response rate. Overall survival was not significant as randomised, p = 0.060, and the survival claim depends on a crossover-adjustment model applied to a trial in which 57% of the placebo arm crossed over.</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overall survival difference was not significant, which the authors attribute partly to placebo-to-ivosidenib crossover and to data being immature at 42% of events at the primary analysis</w:t>
            </w:r>
          </w:p>
          <w:p>
            <w:pPr>
              <w:pStyle w:val="ListParagraph"/>
              <w:numPr>
                <w:ilvl w:val="0"/>
                <w:numId w:val="2"/>
              </w:numPr>
              <w:spacing w:after="45"/>
            </w:pPr>
            <w:r>
              <w:rPr>
                <w:sz w:val="15"/>
                <w:szCs w:val="15"/>
              </w:rPr>
              <w:t xml:space="preserve">Limited patient-reported outcome data collection prevented a thorough evaluation of relevant quality-of-life parameters in this population</w:t>
            </w:r>
          </w:p>
          <w:p>
            <w:pPr>
              <w:pStyle w:val="ListParagraph"/>
              <w:numPr>
                <w:ilvl w:val="0"/>
                <w:numId w:val="2"/>
              </w:numPr>
              <w:spacing w:after="45"/>
            </w:pPr>
            <w:r>
              <w:rPr>
                <w:sz w:val="15"/>
                <w:szCs w:val="15"/>
              </w:rPr>
              <w:t xml:space="preserve">The authors state there was no justification for withholding ivosidenib from placebo patients at progression, which is why crossover was built in</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primary endpoint is a 1.3-month difference in median progression-free survival, 2.7 against 1.4 months, in a disease assessed by scans at fixed intervals; the hazard ratio of 0.37 is driven by how quickly the placebo arm progressed rather than by how long the treated arm did not</w:t>
            </w:r>
          </w:p>
          <w:p>
            <w:pPr>
              <w:pStyle w:val="ListParagraph"/>
              <w:numPr>
                <w:ilvl w:val="0"/>
                <w:numId w:val="2"/>
              </w:numPr>
              <w:spacing w:after="45"/>
            </w:pPr>
            <w:r>
              <w:rPr>
                <w:sz w:val="15"/>
                <w:szCs w:val="15"/>
              </w:rPr>
              <w:t xml:space="preserve">The objective response rate is 3 of 124 (2%), so the drug almost never shrinks tumours and the entire benefit is classified as stable disease, an endpoint that depends on the imaging interval and on no tumour growth being detected</w:t>
            </w:r>
          </w:p>
          <w:p>
            <w:pPr>
              <w:pStyle w:val="ListParagraph"/>
              <w:numPr>
                <w:ilvl w:val="0"/>
                <w:numId w:val="2"/>
              </w:numPr>
              <w:spacing w:after="45"/>
            </w:pPr>
            <w:r>
              <w:rPr>
                <w:sz w:val="15"/>
                <w:szCs w:val="15"/>
              </w:rPr>
              <w:t xml:space="preserve">The significant survival figure exists only after rank-preserving structural failure time adjustment, which assumes the treatment effect is the same whenever it is given; the unadjusted intention-to-treat result is HR 0.69 (0.44-1.10), p = 0.060, and the adjusted placebo median of 6.0 months is a modelled quantity, not an observed one</w:t>
            </w:r>
          </w:p>
          <w:p>
            <w:pPr>
              <w:pStyle w:val="ListParagraph"/>
              <w:numPr>
                <w:ilvl w:val="0"/>
                <w:numId w:val="2"/>
              </w:numPr>
              <w:spacing w:after="45"/>
            </w:pPr>
            <w:r>
              <w:rPr>
                <w:sz w:val="15"/>
                <w:szCs w:val="15"/>
              </w:rPr>
              <w:t xml:space="preserve">57% of placebo patients crossed over, so the trial was designed in a way that guaranteed its survival endpoint could not be read directly, and that was known at the design stage</w:t>
            </w:r>
          </w:p>
          <w:p>
            <w:pPr>
              <w:pStyle w:val="ListParagraph"/>
              <w:numPr>
                <w:ilvl w:val="0"/>
                <w:numId w:val="2"/>
              </w:numPr>
              <w:spacing w:after="45"/>
            </w:pPr>
            <w:r>
              <w:rPr>
                <w:sz w:val="15"/>
                <w:szCs w:val="15"/>
              </w:rPr>
              <w:t xml:space="preserve">Quality-of-life change scores at cycle 2 day 1 were available for 62 of 113 ivosidenib and 20 of 52 placebo patients, so the physical-functioning difference of 9.8 points (2.8-16.7) rests on a third of the placebo arm and is open to differential dropout by disease state</w:t>
            </w:r>
          </w:p>
          <w:p>
            <w:pPr>
              <w:pStyle w:val="ListParagraph"/>
              <w:numPr>
                <w:ilvl w:val="0"/>
                <w:numId w:val="2"/>
              </w:numPr>
              <w:spacing w:after="45"/>
            </w:pPr>
            <w:r>
              <w:rPr>
                <w:sz w:val="15"/>
                <w:szCs w:val="15"/>
              </w:rPr>
              <w:t xml:space="preserve">Plasma 2-hydroxyglutarate fell up to 97%, which demonstrates target engagement and not clinical benefit; the paper presents the two together</w:t>
            </w:r>
          </w:p>
          <w:p>
            <w:pPr>
              <w:pStyle w:val="ListParagraph"/>
              <w:numPr>
                <w:ilvl w:val="0"/>
                <w:numId w:val="2"/>
              </w:numPr>
              <w:spacing w:after="45"/>
            </w:pPr>
            <w:r>
              <w:rPr>
                <w:sz w:val="15"/>
                <w:szCs w:val="15"/>
              </w:rPr>
              <w:t xml:space="preserve">Only 9 of 185 patients (5%) had cirrhosis and the population is largely metastatic, so the trial describes a non-cirrhotic chemotherapy-refractory population and says nothing about the cirrhotic or liver-confined patients for whom IDH1 status is now also tested</w:t>
            </w:r>
          </w:p>
          <w:p>
            <w:pPr>
              <w:pStyle w:val="ListParagraph"/>
              <w:numPr>
                <w:ilvl w:val="0"/>
                <w:numId w:val="2"/>
              </w:numPr>
              <w:spacing w:after="45"/>
            </w:pPr>
            <w:r>
              <w:rPr>
                <w:sz w:val="15"/>
                <w:szCs w:val="15"/>
              </w:rPr>
              <w:t xml:space="preserve">Serious adverse events were 30% against 22% and ascites was the commonest grade 3 event in both arms at 7%, which means the main severe event in the trial is a feature of the disease rather than a drug effect, and the safety comparison is correspondingly uninformative</w:t>
            </w:r>
          </w:p>
          <w:p>
            <w:pPr>
              <w:pStyle w:val="ListParagraph"/>
              <w:numPr>
                <w:ilvl w:val="0"/>
                <w:numId w:val="2"/>
              </w:numPr>
              <w:spacing w:after="45"/>
            </w:pPr>
            <w:r>
              <w:rPr>
                <w:sz w:val="15"/>
                <w:szCs w:val="15"/>
              </w:rPr>
              <w:t xml:space="preserve">Agios had a role in design, collection, analysis and interpretation of a trial of its own drug and funded the writing, with no independent statistical oversight described</w:t>
            </w:r>
          </w:p>
          <w:p>
            <w:pPr>
              <w:pStyle w:val="ListParagraph"/>
              <w:numPr>
                <w:ilvl w:val="0"/>
                <w:numId w:val="2"/>
              </w:numPr>
              <w:spacing w:after="45"/>
            </w:pPr>
            <w:r>
              <w:rPr>
                <w:sz w:val="15"/>
                <w:szCs w:val="15"/>
              </w:rPr>
              <w:t xml:space="preserve">The result applies only to the roughly 13% of intrahepatic cholangiocarcinomas with an IDH1 mutation and requires central next-generation sequencing, so the trial's applicability depends on testing infrastructure it does not measure</w:t>
            </w:r>
          </w:p>
          <w:p>
            <w:pPr>
              <w:pStyle w:val="ListParagraph"/>
              <w:numPr>
                <w:ilvl w:val="0"/>
                <w:numId w:val="2"/>
              </w:numPr>
              <w:spacing w:after="45"/>
            </w:pPr>
            <w:r>
              <w:rPr>
                <w:sz w:val="15"/>
                <w:szCs w:val="15"/>
              </w:rPr>
              <w:t xml:space="preserve">The publication has been corrected twice, in September 2020 and January 2024, and the version read does not state what was corrected</w:t>
            </w:r>
          </w:p>
          <w:p>
            <w:pPr>
              <w:pStyle w:val="ListParagraph"/>
              <w:numPr>
                <w:ilvl w:val="0"/>
                <w:numId w:val="2"/>
              </w:numPr>
              <w:spacing w:after="45"/>
            </w:pPr>
            <w:r>
              <w:rPr>
                <w:sz w:val="15"/>
                <w:szCs w:val="15"/>
              </w:rPr>
              <w:t xml:space="preserve">A linked Comment by de la Fouchardiere (PMID 32416071) and linked correspondence by Gervaso, Pellicori and Fazio with the authors' reply (PMID 32758465 and 32758466) exist; all were identified from the citation record and not read here</w:t>
            </w:r>
          </w:p>
        </w:tc>
      </w:tr>
    </w:tbl>
    <w:p>
      <w:pPr>
        <w:spacing w:after="0" w:line="276"/>
      </w:pPr>
      <w:r>
        <w:rPr>
          <w:color w:val="5A6069"/>
          <w:sz w:val="14"/>
          <w:szCs w:val="14"/>
        </w:rPr>
        <w:t xml:space="preserve">Funding: Agios Pharmaceuticals, which had a role in study design, data collection, data analysis and data interpretation and supplied the medical writing; the first and last authors had full data access and final responsibility for publication</w:t>
      </w:r>
    </w:p>
    <w:p>
      <w:pPr>
        <w:keepNext/>
        <w:spacing w:after="50" w:before="260"/>
      </w:pPr>
      <w:r>
        <w:rPr>
          <w:rFonts w:ascii="Cambria" w:cs="Cambria" w:eastAsia="Cambria" w:hAnsi="Cambria"/>
          <w:b/>
          <w:bCs/>
          <w:color w:val="17365D"/>
          <w:sz w:val="20"/>
          <w:szCs w:val="20"/>
        </w:rPr>
        <w:t xml:space="preserve">ClarIDHy final OS</w:t>
      </w:r>
      <w:r>
        <w:rPr>
          <w:b/>
          <w:bCs/>
          <w:color w:val="176A87"/>
          <w:sz w:val="15"/>
          <w:szCs w:val="15"/>
        </w:rPr>
        <w:t xml:space="preserve">   Randomised trial</w:t>
      </w:r>
      <w:r>
        <w:rPr>
          <w:color w:val="5A6069"/>
          <w:sz w:val="15"/>
          <w:szCs w:val="15"/>
        </w:rPr>
        <w:t xml:space="preserve">   PMID 34554208</w:t>
      </w:r>
    </w:p>
    <w:p>
      <w:pPr>
        <w:spacing w:after="50" w:line="276"/>
      </w:pPr>
      <w:r>
        <w:rPr>
          <w:color w:val="5A6069"/>
          <w:sz w:val="17"/>
          <w:szCs w:val="17"/>
        </w:rPr>
        <w:t xml:space="preserve">Final Overall Survival Efficacy Results of Ivosidenib for Patients With Advanced Cholangiocarcinoma With IDH1 Mutation: The Phase 3 Randomized Clinical ClarIDHy Trial</w:t>
      </w:r>
    </w:p>
    <w:p>
      <w:pPr>
        <w:spacing w:after="50"/>
      </w:pPr>
      <w:r>
        <w:rPr>
          <w:b/>
          <w:bCs/>
          <w:color w:val="176A87"/>
          <w:sz w:val="16"/>
          <w:szCs w:val="16"/>
        </w:rPr>
        <w:t xml:space="preserve">Population. </w:t>
      </w:r>
      <w:r>
        <w:rPr>
          <w:sz w:val="16"/>
          <w:szCs w:val="16"/>
        </w:rPr>
        <w:t xml:space="preserve">187 patients with unresectable or metastatic IDH1-mutant cholangiocarcinoma randomised 2:1 at 49 hospitals in six countries between February 2017 and May 2020, 126 ivosidenib and 61 placebo; 171 of 187 (over 90%) had intrahepatic disease, 93% were metastatic, 47% had had two prior lines and 70% carried IDH1 R132C</w:t>
      </w:r>
    </w:p>
    <w:p>
      <w:pPr>
        <w:spacing w:after="70"/>
      </w:pPr>
      <w:r>
        <w:rPr>
          <w:b/>
          <w:bCs/>
          <w:color w:val="17365D"/>
          <w:sz w:val="16"/>
          <w:szCs w:val="16"/>
        </w:rPr>
        <w:t xml:space="preserve">Bottom line. </w:t>
      </w:r>
      <w:r>
        <w:rPr>
          <w:sz w:val="16"/>
          <w:szCs w:val="16"/>
        </w:rPr>
        <w:t xml:space="preserve">This is the final overall survival report of ClarIDHy and the reason ivosidenib is used in IDH1-mutant cholangiocarcinoma: median survival 10.3 against 7.5 months with preserved physical functioning and a tolerable safety profile. The survival endpoint was not met as randomised, HR 0.79 (0.56-1.12), P = .09, and the significant figure requires a crossover-adjustment model in a trial where 70% of controls crossed over. Response was 2%, so nothing here suggests the drug can convert unresectable disease.</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treatment effect estimate on the primary overall survival analysis was very likely confounded by the allowance of crossover, which was built in on the advice of patient advocacy groups and clinicians to support accrual in a rare biomarker-selected population</w:t>
            </w:r>
          </w:p>
          <w:p>
            <w:pPr>
              <w:pStyle w:val="ListParagraph"/>
              <w:numPr>
                <w:ilvl w:val="0"/>
                <w:numId w:val="2"/>
              </w:numPr>
              <w:spacing w:after="45"/>
            </w:pPr>
            <w:r>
              <w:rPr>
                <w:sz w:val="15"/>
                <w:szCs w:val="15"/>
              </w:rPr>
              <w:t xml:space="preserve">Quality-of-life analyses were limited by small sample sizes at day 1 of cycle 2 and cycle 3, partly because of rapid progression and withdrawal</w:t>
            </w:r>
          </w:p>
          <w:p>
            <w:pPr>
              <w:pStyle w:val="ListParagraph"/>
              <w:numPr>
                <w:ilvl w:val="0"/>
                <w:numId w:val="2"/>
              </w:numPr>
              <w:spacing w:after="45"/>
            </w:pPr>
            <w:r>
              <w:rPr>
                <w:sz w:val="15"/>
                <w:szCs w:val="15"/>
              </w:rPr>
              <w:t xml:space="preserve">The comutation analysis was limited by the absence of on-study biopsies, so resistance mechanisms are unknown and are being pursued in separate circulating tumour DNA studies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final intention-to-treat overall survival result is negative, HR 0.79 (0.56-1.12), one-sided P = .09 on 150 events, and the positive claim comes entirely from a rank-preserving structural failure time model that assumes the drug's effect is identical whenever it is given</w:t>
            </w:r>
          </w:p>
          <w:p>
            <w:pPr>
              <w:pStyle w:val="ListParagraph"/>
              <w:numPr>
                <w:ilvl w:val="0"/>
                <w:numId w:val="2"/>
              </w:numPr>
              <w:spacing w:after="45"/>
            </w:pPr>
            <w:r>
              <w:rPr>
                <w:sz w:val="15"/>
                <w:szCs w:val="15"/>
              </w:rPr>
              <w:t xml:space="preserve">The model-derived placebo median of 5.1 months is 2.4 months shorter than the 7.5 months actually observed, so the adjusted comparison replaces measured survival in the control arm with an estimate generated under the assumption being tested</w:t>
            </w:r>
          </w:p>
          <w:p>
            <w:pPr>
              <w:pStyle w:val="ListParagraph"/>
              <w:numPr>
                <w:ilvl w:val="0"/>
                <w:numId w:val="2"/>
              </w:numPr>
              <w:spacing w:after="45"/>
            </w:pPr>
            <w:r>
              <w:rPr>
                <w:sz w:val="15"/>
                <w:szCs w:val="15"/>
              </w:rPr>
              <w:t xml:space="preserve">70% of placebo patients, 43 of 61, crossed over; a design that routes the majority of controls onto the experimental drug cannot answer a survival question, and the paper describes this trade-off as supporting accrual rather than as removing the endpoint</w:t>
            </w:r>
          </w:p>
          <w:p>
            <w:pPr>
              <w:pStyle w:val="ListParagraph"/>
              <w:numPr>
                <w:ilvl w:val="0"/>
                <w:numId w:val="2"/>
              </w:numPr>
              <w:spacing w:after="45"/>
            </w:pPr>
            <w:r>
              <w:rPr>
                <w:sz w:val="15"/>
                <w:szCs w:val="15"/>
              </w:rPr>
              <w:t xml:space="preserve">Objective response was 2%, three partial responses, and the clinical signal is 51% against 28% stable disease, a category whose size depends on the scan interval; median treatment duration was 2.8 against 1.6 months</w:t>
            </w:r>
          </w:p>
          <w:p>
            <w:pPr>
              <w:pStyle w:val="ListParagraph"/>
              <w:numPr>
                <w:ilvl w:val="0"/>
                <w:numId w:val="2"/>
              </w:numPr>
              <w:spacing w:after="45"/>
            </w:pPr>
            <w:r>
              <w:rPr>
                <w:sz w:val="15"/>
                <w:szCs w:val="15"/>
              </w:rPr>
              <w:t xml:space="preserve">The comparator is placebo rather than the second-line standard established by ABC-06, so the trial establishes activity against nothing and not benefit against what a patient would otherwise be offered</w:t>
            </w:r>
          </w:p>
          <w:p>
            <w:pPr>
              <w:pStyle w:val="ListParagraph"/>
              <w:numPr>
                <w:ilvl w:val="0"/>
                <w:numId w:val="2"/>
              </w:numPr>
              <w:spacing w:after="45"/>
            </w:pPr>
            <w:r>
              <w:rPr>
                <w:sz w:val="15"/>
                <w:szCs w:val="15"/>
              </w:rPr>
              <w:t xml:space="preserve">Quality-of-life differences of 11.0 and 12.3 points are reported with P values from timepoints where, in the companion primary publication, fewer than half the placebo patients contributed data; the patients who felt worst progressed and left the study, which biases a between-arm comparison of those who remained</w:t>
            </w:r>
          </w:p>
          <w:p>
            <w:pPr>
              <w:pStyle w:val="ListParagraph"/>
              <w:numPr>
                <w:ilvl w:val="0"/>
                <w:numId w:val="2"/>
              </w:numPr>
              <w:spacing w:after="45"/>
            </w:pPr>
            <w:r>
              <w:rPr>
                <w:sz w:val="15"/>
                <w:szCs w:val="15"/>
              </w:rPr>
              <w:t xml:space="preserve">Baseline ascites was present in 27% and 21% of the arms, so the commonest grade 3 or worse event, ascites in 9% against 7%, is largely a disease event and the safety comparison carries almost no information about the drug</w:t>
            </w:r>
          </w:p>
          <w:p>
            <w:pPr>
              <w:pStyle w:val="ListParagraph"/>
              <w:numPr>
                <w:ilvl w:val="0"/>
                <w:numId w:val="2"/>
              </w:numPr>
              <w:spacing w:after="45"/>
            </w:pPr>
            <w:r>
              <w:rPr>
                <w:sz w:val="15"/>
                <w:szCs w:val="15"/>
              </w:rPr>
              <w:t xml:space="preserve">Protocol deviations are visible in the baseline data, with one ivosidenib patient at ECOG performance status 3 and one placebo patient at 2 against a stated requirement of 0 to 1, and these are not addressed in the analysis</w:t>
            </w:r>
          </w:p>
          <w:p>
            <w:pPr>
              <w:pStyle w:val="ListParagraph"/>
              <w:numPr>
                <w:ilvl w:val="0"/>
                <w:numId w:val="2"/>
              </w:numPr>
              <w:spacing w:after="45"/>
            </w:pPr>
            <w:r>
              <w:rPr>
                <w:sz w:val="15"/>
                <w:szCs w:val="15"/>
              </w:rPr>
              <w:t xml:space="preserve">The 10.3-month median survival is said to compare favourably with the published literature on chemotherapy and other targeted agents, a cross-trial comparison made in place of the randomised comparison the trial could not deliver</w:t>
            </w:r>
          </w:p>
          <w:p>
            <w:pPr>
              <w:pStyle w:val="ListParagraph"/>
              <w:numPr>
                <w:ilvl w:val="0"/>
                <w:numId w:val="2"/>
              </w:numPr>
              <w:spacing w:after="45"/>
            </w:pPr>
            <w:r>
              <w:rPr>
                <w:sz w:val="15"/>
                <w:szCs w:val="15"/>
              </w:rPr>
              <w:t xml:space="preserve">Only 15% of patients remained on ivosidenib for a year, so the benefit as experienced by most patients is a few weeks of radiographic stability</w:t>
            </w:r>
          </w:p>
          <w:p>
            <w:pPr>
              <w:pStyle w:val="ListParagraph"/>
              <w:numPr>
                <w:ilvl w:val="0"/>
                <w:numId w:val="2"/>
              </w:numPr>
              <w:spacing w:after="45"/>
            </w:pPr>
            <w:r>
              <w:rPr>
                <w:sz w:val="15"/>
                <w:szCs w:val="15"/>
              </w:rPr>
              <w:t xml:space="preserve">Agios designed the trial and analysed the data for its own drug, with company employees and stockholders as authors and no independent statistical replication described</w:t>
            </w:r>
          </w:p>
          <w:p>
            <w:pPr>
              <w:pStyle w:val="ListParagraph"/>
              <w:numPr>
                <w:ilvl w:val="0"/>
                <w:numId w:val="2"/>
              </w:numPr>
              <w:spacing w:after="45"/>
            </w:pPr>
            <w:r>
              <w:rPr>
                <w:sz w:val="15"/>
                <w:szCs w:val="15"/>
              </w:rPr>
              <w:t xml:space="preserve">The paper describes its own findings as heralding a paradigm shift in the same paragraph that concedes the primary survival analysis was confounded</w:t>
            </w:r>
          </w:p>
          <w:p>
            <w:pPr>
              <w:pStyle w:val="ListParagraph"/>
              <w:numPr>
                <w:ilvl w:val="0"/>
                <w:numId w:val="2"/>
              </w:numPr>
              <w:spacing w:after="45"/>
            </w:pPr>
            <w:r>
              <w:rPr>
                <w:sz w:val="15"/>
                <w:szCs w:val="15"/>
              </w:rPr>
              <w:t xml:space="preserve">Linked commentary and correspondence on the ClarIDHy primary report (de la Fouchardiere, PMID 32416071; Gervaso, Pellicori and Fazio, PMID 32758465) were paywalled and not read; the cost-effectiveness point attributed to them is second-hand and should be treated as provisional</w:t>
            </w:r>
          </w:p>
        </w:tc>
      </w:tr>
    </w:tbl>
    <w:p>
      <w:pPr>
        <w:spacing w:after="0" w:line="276"/>
      </w:pPr>
      <w:r>
        <w:rPr>
          <w:color w:val="5A6069"/>
          <w:sz w:val="14"/>
          <w:szCs w:val="14"/>
        </w:rPr>
        <w:t xml:space="preserve">Funding: Agios Pharmaceuticals, which designed the study and analysed the data and funded the medical writing; several authors were Agios employees or stockholders and the academic authors declare extensive consultancies and research funding across the industry</w:t>
      </w:r>
    </w:p>
    <w:p>
      <w:pPr>
        <w:keepNext/>
        <w:spacing w:after="50" w:before="260"/>
      </w:pPr>
      <w:r>
        <w:rPr>
          <w:rFonts w:ascii="Cambria" w:cs="Cambria" w:eastAsia="Cambria" w:hAnsi="Cambria"/>
          <w:b/>
          <w:bCs/>
          <w:color w:val="17365D"/>
          <w:sz w:val="20"/>
          <w:szCs w:val="20"/>
        </w:rPr>
        <w:t xml:space="preserve">EASL-ILCA iCCA 2023</w:t>
      </w:r>
      <w:r>
        <w:rPr>
          <w:b/>
          <w:bCs/>
          <w:color w:val="176A87"/>
          <w:sz w:val="15"/>
          <w:szCs w:val="15"/>
        </w:rPr>
        <w:t xml:space="preserve">   Guideline</w:t>
      </w:r>
      <w:r>
        <w:rPr>
          <w:color w:val="5A6069"/>
          <w:sz w:val="15"/>
          <w:szCs w:val="15"/>
        </w:rPr>
        <w:t xml:space="preserve">   PMID 37084797</w:t>
      </w:r>
    </w:p>
    <w:p>
      <w:pPr>
        <w:spacing w:after="50" w:line="276"/>
      </w:pPr>
      <w:r>
        <w:rPr>
          <w:color w:val="5A6069"/>
          <w:sz w:val="17"/>
          <w:szCs w:val="17"/>
        </w:rPr>
        <w:t xml:space="preserve">EASL-ILCA Clinical Practice Guidelines on the management of intrahepatic cholangiocarcinoma</w:t>
      </w:r>
    </w:p>
    <w:p>
      <w:pPr>
        <w:spacing w:after="70"/>
      </w:pPr>
      <w:r>
        <w:rPr>
          <w:b/>
          <w:bCs/>
          <w:color w:val="17365D"/>
          <w:sz w:val="16"/>
          <w:szCs w:val="16"/>
        </w:rPr>
        <w:t xml:space="preserve">Bottom line. </w:t>
      </w:r>
      <w:r>
        <w:rPr>
          <w:sz w:val="16"/>
          <w:szCs w:val="16"/>
        </w:rPr>
        <w:t xml:space="preserve">The first guideline written for intrahepatic cholangiocarcinoma alone, and the source of the positions now quoted in practice: biopsy for diagnosis, MRI and PET for staging, six months of adjuvant oral fluoropyrimidine, gemcitabine-cisplatin with durvalumab first line, and transplantation considered for cirrhotic tumours of 3 cm or less under protocol. Almost all of the surgical and locoregional guidance is level 4 evidence, and the 3 cm transplant ceiling is not a threshold any cited study tested. Where the panel could not agree, it says so, including on vascular involvement and on ablative radiotherapy.</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No limitations section; the panel records its own uncertainty by grading most surgical and locoregional recommendations at Oxford level of evidence 4, that is retrospective single-centre series</w:t>
            </w:r>
          </w:p>
          <w:p>
            <w:pPr>
              <w:pStyle w:val="ListParagraph"/>
              <w:numPr>
                <w:ilvl w:val="0"/>
                <w:numId w:val="2"/>
              </w:numPr>
              <w:spacing w:after="45"/>
            </w:pPr>
            <w:r>
              <w:rPr>
                <w:sz w:val="15"/>
                <w:szCs w:val="15"/>
              </w:rPr>
              <w:t xml:space="preserve">Explicit statements that no recommendation can be provided on resection versus locoregional or systemic treatment when the inferior vena cava, hepatic vein or portal vein is macroscopically involved (88% agreement), on ablative-dose external beam radiotherapy as an alternative to systemic therapy in unresectable liver-limited disease (87%), and on resection to prevent iCCA in hepatolithiasis</w:t>
            </w:r>
          </w:p>
          <w:p>
            <w:pPr>
              <w:pStyle w:val="ListParagraph"/>
              <w:numPr>
                <w:ilvl w:val="0"/>
                <w:numId w:val="2"/>
              </w:numPr>
              <w:spacing w:after="45"/>
            </w:pPr>
            <w:r>
              <w:rPr>
                <w:sz w:val="15"/>
                <w:szCs w:val="15"/>
              </w:rPr>
              <w:t xml:space="preserve">The panel notes BILCAP was negative on intention-to-treat and positive only per protocol, and that the ASCOT intrahepatic subgroup was 58 patients with a hazard ratio of 0.75 (0.30-1.89)</w:t>
            </w:r>
          </w:p>
          <w:p>
            <w:pPr>
              <w:pStyle w:val="ListParagraph"/>
              <w:numPr>
                <w:ilvl w:val="0"/>
                <w:numId w:val="2"/>
              </w:numPr>
              <w:spacing w:after="45"/>
            </w:pPr>
            <w:r>
              <w:rPr>
                <w:sz w:val="15"/>
                <w:szCs w:val="15"/>
              </w:rPr>
              <w:t xml:space="preserve">The biopsy recommendation is stated to be graded strong despite low-quality evidence, on the grounds that a definitive diagnosis has critical clinical relevance</w:t>
            </w:r>
          </w:p>
          <w:p>
            <w:pPr>
              <w:pStyle w:val="ListParagraph"/>
              <w:numPr>
                <w:ilvl w:val="0"/>
                <w:numId w:val="2"/>
              </w:numPr>
              <w:spacing w:after="45"/>
            </w:pPr>
            <w:r>
              <w:rPr>
                <w:sz w:val="15"/>
                <w:szCs w:val="15"/>
              </w:rPr>
              <w:t xml:space="preserve">Each recommendation carries its Delphi agreement percentage, so the panel discloses where agreement was weakest, including 78% for routine FDG-PET and 80% for endoscopic ultrasound nodal sampling</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3 cm transplant threshold is more permissive than the evidence the guideline cites for it: the international series it rests on studied single tumours of 2 cm or less diagnosed on explant, and its only data above 2 cm is a six-patient post hoc subgroup, so the number in the recommendation appears nowhere in the underlying study as a tested threshold</w:t>
            </w:r>
          </w:p>
          <w:p>
            <w:pPr>
              <w:pStyle w:val="ListParagraph"/>
              <w:numPr>
                <w:ilvl w:val="0"/>
                <w:numId w:val="2"/>
              </w:numPr>
              <w:spacing w:after="45"/>
            </w:pPr>
            <w:r>
              <w:rPr>
                <w:sz w:val="15"/>
                <w:szCs w:val="15"/>
              </w:rPr>
              <w:t xml:space="preserve">The same transplant recommendation also requires that the tumour arise in cirrhosis and be early stage, but does not state how a 3 cm iCCA is to be diagnosed before transplantation in a cirrhotic patient, which is precisely what the cited series could not do</w:t>
            </w:r>
          </w:p>
          <w:p>
            <w:pPr>
              <w:pStyle w:val="ListParagraph"/>
              <w:numPr>
                <w:ilvl w:val="0"/>
                <w:numId w:val="2"/>
              </w:numPr>
              <w:spacing w:after="45"/>
            </w:pPr>
            <w:r>
              <w:rPr>
                <w:sz w:val="15"/>
                <w:szCs w:val="15"/>
              </w:rPr>
              <w:t xml:space="preserve">Adjuvant fluoropyrimidine is graded a strong recommendation at level 2 evidence on the strength of an iCCA hazard ratio of 0.65 taken from a subgroup of a trial that failed its primary endpoint; the panel reports the failure in its text and grades the recommendation strong anyway</w:t>
            </w:r>
          </w:p>
          <w:p>
            <w:pPr>
              <w:pStyle w:val="ListParagraph"/>
              <w:numPr>
                <w:ilvl w:val="0"/>
                <w:numId w:val="2"/>
              </w:numPr>
              <w:spacing w:after="45"/>
            </w:pPr>
            <w:r>
              <w:rPr>
                <w:sz w:val="15"/>
                <w:szCs w:val="15"/>
              </w:rPr>
              <w:t xml:space="preserve">Thermal ablation is suggested for a single tumour under 2 cm while transplantation is permitted up to 3 cm, so the guideline sets a more restrictive size limit on the less invasive treatment without explaining the inconsistency</w:t>
            </w:r>
          </w:p>
          <w:p>
            <w:pPr>
              <w:pStyle w:val="ListParagraph"/>
              <w:numPr>
                <w:ilvl w:val="0"/>
                <w:numId w:val="2"/>
              </w:numPr>
              <w:spacing w:after="45"/>
            </w:pPr>
            <w:r>
              <w:rPr>
                <w:sz w:val="15"/>
                <w:szCs w:val="15"/>
              </w:rPr>
              <w:t xml:space="preserve">Delphi agreement is reported but the underlying evidence review was graded by a single panel member before revision, so each level of evidence rests initially on one reader with no stated duplicate assessment or adjudication process</w:t>
            </w:r>
          </w:p>
          <w:p>
            <w:pPr>
              <w:pStyle w:val="ListParagraph"/>
              <w:numPr>
                <w:ilvl w:val="0"/>
                <w:numId w:val="2"/>
              </w:numPr>
              <w:spacing w:after="45"/>
            </w:pPr>
            <w:r>
              <w:rPr>
                <w:sz w:val="15"/>
                <w:szCs w:val="15"/>
              </w:rPr>
              <w:t xml:space="preserve">The guideline requires over 75% agreement for a question to be considered at all, which means questions on which the panel disagreed were dropped rather than recorded as uncertain, and the reader cannot see which questions those were</w:t>
            </w:r>
          </w:p>
          <w:p>
            <w:pPr>
              <w:pStyle w:val="ListParagraph"/>
              <w:numPr>
                <w:ilvl w:val="0"/>
                <w:numId w:val="2"/>
              </w:numPr>
              <w:spacing w:after="45"/>
            </w:pPr>
            <w:r>
              <w:rPr>
                <w:sz w:val="15"/>
                <w:szCs w:val="15"/>
              </w:rPr>
              <w:t xml:space="preserve">Routine FDG-PET for nodal metastases in apparently resectable patients is a strong recommendation carried at 78% agreement, barely above the threshold, and no sensitivity or specificity figures for PET nodal staging in iCCA accompany it</w:t>
            </w:r>
          </w:p>
          <w:p>
            <w:pPr>
              <w:pStyle w:val="ListParagraph"/>
              <w:numPr>
                <w:ilvl w:val="0"/>
                <w:numId w:val="2"/>
              </w:numPr>
              <w:spacing w:after="45"/>
            </w:pPr>
            <w:r>
              <w:rPr>
                <w:sz w:val="15"/>
                <w:szCs w:val="15"/>
              </w:rPr>
              <w:t xml:space="preserve">First-line gemcitabine-cisplatin plus durvalumab is graded level 1 with 100% consensus on a trial that was 86% metastatic with a 1.3-month median survival gain reported at an interim analysis; nothing in the recommendation distinguishes that population from the liver-confined patients the rest of the guideline addresses</w:t>
            </w:r>
          </w:p>
          <w:p>
            <w:pPr>
              <w:pStyle w:val="ListParagraph"/>
              <w:numPr>
                <w:ilvl w:val="0"/>
                <w:numId w:val="2"/>
              </w:numPr>
              <w:spacing w:after="45"/>
            </w:pPr>
            <w:r>
              <w:rPr>
                <w:sz w:val="15"/>
                <w:szCs w:val="15"/>
              </w:rPr>
              <w:t xml:space="preserve">Small duct and large duct subclassification is suggested at level 4 or 5, and no recommendation anywhere in the document is conditioned on that subtype, so the classification is endorsed without being made actionable</w:t>
            </w:r>
          </w:p>
          <w:p>
            <w:pPr>
              <w:pStyle w:val="ListParagraph"/>
              <w:numPr>
                <w:ilvl w:val="0"/>
                <w:numId w:val="2"/>
              </w:numPr>
              <w:spacing w:after="45"/>
            </w:pPr>
            <w:r>
              <w:rPr>
                <w:sz w:val="15"/>
                <w:szCs w:val="15"/>
              </w:rPr>
              <w:t xml:space="preserve">Conflicts of interest are not printed with the guideline but deferred to separate EASL forms, so a reader cannot see the industry relationships of a 34-member panel making recommendations on durvalumab, FGFR inhibitors and ivosidenib</w:t>
            </w:r>
          </w:p>
          <w:p>
            <w:pPr>
              <w:pStyle w:val="ListParagraph"/>
              <w:numPr>
                <w:ilvl w:val="0"/>
                <w:numId w:val="2"/>
              </w:numPr>
              <w:spacing w:after="45"/>
            </w:pPr>
            <w:r>
              <w:rPr>
                <w:sz w:val="15"/>
                <w:szCs w:val="15"/>
              </w:rPr>
              <w:t xml:space="preserve">The document was corrected in September 2023 (J Hepatol 2023;79:1342), with the corrigendum revising the level-of-evidence table, so the grades in the original print differ from the corrected record</w:t>
            </w:r>
          </w:p>
          <w:p>
            <w:pPr>
              <w:pStyle w:val="ListParagraph"/>
              <w:numPr>
                <w:ilvl w:val="0"/>
                <w:numId w:val="2"/>
              </w:numPr>
              <w:spacing w:after="45"/>
            </w:pPr>
            <w:r>
              <w:rPr>
                <w:sz w:val="15"/>
                <w:szCs w:val="15"/>
              </w:rPr>
              <w:t xml:space="preserve">No linked editorial or comment was found in PubMed, so no independent published appraisal of the first iCCA-specific guideline exists in the citation record</w:t>
            </w:r>
          </w:p>
        </w:tc>
      </w:tr>
    </w:tbl>
    <w:p>
      <w:pPr>
        <w:spacing w:after="0" w:line="276"/>
      </w:pPr>
      <w:r>
        <w:rPr>
          <w:color w:val="5A6069"/>
          <w:sz w:val="14"/>
          <w:szCs w:val="14"/>
        </w:rPr>
        <w:t xml:space="preserve">Funding: No funding statement; commissioned by the EASL and ILCA governing boards in 2020, with conflicts of interest not printed in the article but referred to accompanying EASL disclosure forms</w:t>
      </w:r>
    </w:p>
    <w:p>
      <w:pPr>
        <w:keepNext/>
        <w:spacing w:after="50" w:before="260"/>
      </w:pPr>
      <w:r>
        <w:rPr>
          <w:rFonts w:ascii="Cambria" w:cs="Cambria" w:eastAsia="Cambria" w:hAnsi="Cambria"/>
          <w:b/>
          <w:bCs/>
          <w:color w:val="17365D"/>
          <w:sz w:val="20"/>
          <w:szCs w:val="20"/>
        </w:rPr>
        <w:t xml:space="preserve">ESMO BTC 2023 guideline</w:t>
      </w:r>
      <w:r>
        <w:rPr>
          <w:b/>
          <w:bCs/>
          <w:color w:val="176A87"/>
          <w:sz w:val="15"/>
          <w:szCs w:val="15"/>
        </w:rPr>
        <w:t xml:space="preserve">   Guideline</w:t>
      </w:r>
      <w:r>
        <w:rPr>
          <w:color w:val="5A6069"/>
          <w:sz w:val="15"/>
          <w:szCs w:val="15"/>
        </w:rPr>
        <w:t xml:space="preserve">   PMID 36372281</w:t>
      </w:r>
    </w:p>
    <w:p>
      <w:pPr>
        <w:spacing w:after="50" w:line="276"/>
      </w:pPr>
      <w:r>
        <w:rPr>
          <w:color w:val="5A6069"/>
          <w:sz w:val="17"/>
          <w:szCs w:val="17"/>
        </w:rPr>
        <w:t xml:space="preserve">Biliary tract cancer: ESMO Clinical Practice Guideline for diagnosis, treatment and follow-up</w:t>
      </w:r>
    </w:p>
    <w:p>
      <w:pPr>
        <w:spacing w:after="70"/>
      </w:pPr>
      <w:r>
        <w:rPr>
          <w:b/>
          <w:bCs/>
          <w:color w:val="17365D"/>
          <w:sz w:val="16"/>
          <w:szCs w:val="16"/>
        </w:rPr>
        <w:t xml:space="preserve">Bottom line. </w:t>
      </w:r>
      <w:r>
        <w:rPr>
          <w:sz w:val="16"/>
          <w:szCs w:val="16"/>
        </w:rPr>
        <w:t xml:space="preserve">The ESMO guideline is the reference document for systemic management of biliary tract cancer, and it sets the positions clinicians quote: core biopsy and molecular profiling, resection with lymphadenectomy as the only curative option, adjuvant capecitabine, gemcitabine-cisplatin with durvalumab first line, FOLFOX second line, and graded targeted options by alteration. For iCCA surgery it offers very little: most surgical recommendations are level III to V, technique is not addressed, and transplantation for iCCA is not mentioned at all. Its adjuvant recommendation is built on BILCAP's per-protocol rather than intention-to-treat result.</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No limitations section; the guideline records its uncertainty through evidence grades, with most surgical recommendations at level III to V, that is non-randomised or expert-opinion evidence</w:t>
            </w:r>
          </w:p>
          <w:p>
            <w:pPr>
              <w:pStyle w:val="ListParagraph"/>
              <w:numPr>
                <w:ilvl w:val="0"/>
                <w:numId w:val="2"/>
              </w:numPr>
              <w:spacing w:after="45"/>
            </w:pPr>
            <w:r>
              <w:rPr>
                <w:sz w:val="15"/>
                <w:szCs w:val="15"/>
              </w:rPr>
              <w:t xml:space="preserve">Ampullary cancer and mixed hepatocellular-cholangiocarcinoma are explicitly stated to be outside the scope</w:t>
            </w:r>
          </w:p>
          <w:p>
            <w:pPr>
              <w:pStyle w:val="ListParagraph"/>
              <w:numPr>
                <w:ilvl w:val="0"/>
                <w:numId w:val="2"/>
              </w:numPr>
              <w:spacing w:after="45"/>
            </w:pPr>
            <w:r>
              <w:rPr>
                <w:sz w:val="15"/>
                <w:szCs w:val="15"/>
              </w:rPr>
              <w:t xml:space="preserve">External beam radiotherapy or chemoradiotherapy as definitive treatment of locally advanced disease is graded II, D, that is recommended against outside trials, and liver transplantation for perihilar disease III, D</w:t>
            </w:r>
          </w:p>
          <w:p>
            <w:pPr>
              <w:pStyle w:val="ListParagraph"/>
              <w:numPr>
                <w:ilvl w:val="0"/>
                <w:numId w:val="2"/>
              </w:numPr>
              <w:spacing w:after="45"/>
            </w:pPr>
            <w:r>
              <w:rPr>
                <w:sz w:val="15"/>
                <w:szCs w:val="15"/>
              </w:rPr>
              <w:t xml:space="preserve">Several liver-directed recommendations are graded C, meaning insufficient evidence for efficacy or benefit not outweighing risk, including stereotactic radiotherapy and intra-arterial therapy</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guideline makes no recommendation at all on liver transplantation for intrahepatic cholangiocarcinoma; transplantation appears only as a III, D statement about perihilar disease, so the question a transplant surgeon is asked most often is simply absent</w:t>
            </w:r>
          </w:p>
          <w:p>
            <w:pPr>
              <w:pStyle w:val="ListParagraph"/>
              <w:numPr>
                <w:ilvl w:val="0"/>
                <w:numId w:val="2"/>
              </w:numPr>
              <w:spacing w:after="45"/>
            </w:pPr>
            <w:r>
              <w:rPr>
                <w:sz w:val="15"/>
                <w:szCs w:val="15"/>
              </w:rPr>
              <w:t xml:space="preserve">Adjuvant capecitabine is recommended at II, A on BILCAP's per-protocol median of 53 against 36 months and the adjusted per-protocol hazard ratio of 0.75 (0.58-0.97); the intention-to-treat result that the trial actually prespecified, HR 0.81 (0.63-1.04), p = 0.097, is not quoted beside it</w:t>
            </w:r>
          </w:p>
          <w:p>
            <w:pPr>
              <w:pStyle w:val="ListParagraph"/>
              <w:numPr>
                <w:ilvl w:val="0"/>
                <w:numId w:val="2"/>
              </w:numPr>
              <w:spacing w:after="45"/>
            </w:pPr>
            <w:r>
              <w:rPr>
                <w:sz w:val="15"/>
                <w:szCs w:val="15"/>
              </w:rPr>
              <w:t xml:space="preserve">Four anatomically and biologically distinct diseases are managed under one algorithm, with no stratification by subsite for most recommendations and none by aetiology such as liver fluke, hepatolithiasis, primary sclerosing cholangitis or viral hepatitis</w:t>
            </w:r>
          </w:p>
          <w:p>
            <w:pPr>
              <w:pStyle w:val="ListParagraph"/>
              <w:numPr>
                <w:ilvl w:val="0"/>
                <w:numId w:val="2"/>
              </w:numPr>
              <w:spacing w:after="45"/>
            </w:pPr>
            <w:r>
              <w:rPr>
                <w:sz w:val="15"/>
                <w:szCs w:val="15"/>
              </w:rPr>
              <w:t xml:space="preserve">Core biopsy before any non-surgical treatment is recommended at III, A with no guidance on what to do when the biopsy is inconclusive, which in this disease is common, and no acknowledgement that biopsy is constrained in prospective transplant candidates by seeding concerns</w:t>
            </w:r>
          </w:p>
          <w:p>
            <w:pPr>
              <w:pStyle w:val="ListParagraph"/>
              <w:numPr>
                <w:ilvl w:val="0"/>
                <w:numId w:val="2"/>
              </w:numPr>
              <w:spacing w:after="45"/>
            </w:pPr>
            <w:r>
              <w:rPr>
                <w:sz w:val="15"/>
                <w:szCs w:val="15"/>
              </w:rPr>
              <w:t xml:space="preserve">Surgical technique is not addressed anywhere: there is no recommendation on minimally invasive against open resection despite rapidly growing laparoscopic and robotic practice</w:t>
            </w:r>
          </w:p>
          <w:p>
            <w:pPr>
              <w:pStyle w:val="ListParagraph"/>
              <w:numPr>
                <w:ilvl w:val="0"/>
                <w:numId w:val="2"/>
              </w:numPr>
              <w:spacing w:after="45"/>
            </w:pPr>
            <w:r>
              <w:rPr>
                <w:sz w:val="15"/>
                <w:szCs w:val="15"/>
              </w:rPr>
              <w:t xml:space="preserve">The IV, C recommendation to resect laparoscopic port sites at gallbladder cancer re-resection conflicts with published data showing port-site metastases mark peritoneal disease without resection improving survival or recurrence, and the guideline does not engage that evidence</w:t>
            </w:r>
          </w:p>
          <w:p>
            <w:pPr>
              <w:pStyle w:val="ListParagraph"/>
              <w:numPr>
                <w:ilvl w:val="0"/>
                <w:numId w:val="2"/>
              </w:numPr>
              <w:spacing w:after="45"/>
            </w:pPr>
            <w:r>
              <w:rPr>
                <w:sz w:val="15"/>
                <w:szCs w:val="15"/>
              </w:rPr>
              <w:t xml:space="preserve">Hepatic arterial infusion is graded III, C although the phase II data it cites report 39% to 56% response rates against roughly 21% with gemcitabine-cisplatin in the ABC trials, so the grade reflects trial design rather than the effect size the guideline itself reports</w:t>
            </w:r>
          </w:p>
          <w:p>
            <w:pPr>
              <w:pStyle w:val="ListParagraph"/>
              <w:numPr>
                <w:ilvl w:val="0"/>
                <w:numId w:val="2"/>
              </w:numPr>
              <w:spacing w:after="45"/>
            </w:pPr>
            <w:r>
              <w:rPr>
                <w:sz w:val="15"/>
                <w:szCs w:val="15"/>
              </w:rPr>
              <w:t xml:space="preserve">Durvalumab is recommended at I, A with an ESMO-MCBS score of 4 on a TOPAZ-1 hazard ratio of 0.76, while the absolute median survival gain in that trial was 1.3 months at an interim analysis with proportional hazards violated; the magnitude-of-benefit score is not reconciled with the absolute difference</w:t>
            </w:r>
          </w:p>
          <w:p>
            <w:pPr>
              <w:pStyle w:val="ListParagraph"/>
              <w:numPr>
                <w:ilvl w:val="0"/>
                <w:numId w:val="2"/>
              </w:numPr>
              <w:spacing w:after="45"/>
            </w:pPr>
            <w:r>
              <w:rPr>
                <w:sz w:val="15"/>
                <w:szCs w:val="15"/>
              </w:rPr>
              <w:t xml:space="preserve">FGFR inhibitors, pembrolizumab for MSI-high disease and dabrafenib-trametinib are all graded III, A, that is strong recommendations on single-arm evidence, and their response rates of 20-40%, 40.9% and 51% come from trials with no comparator</w:t>
            </w:r>
          </w:p>
          <w:p>
            <w:pPr>
              <w:pStyle w:val="ListParagraph"/>
              <w:numPr>
                <w:ilvl w:val="0"/>
                <w:numId w:val="2"/>
              </w:numPr>
              <w:spacing w:after="45"/>
            </w:pPr>
            <w:r>
              <w:rPr>
                <w:sz w:val="15"/>
                <w:szCs w:val="15"/>
              </w:rPr>
              <w:t xml:space="preserve">Routine hepatoduodenal lymphadenectomy for iCCA is recommended at IV, A, a strong recommendation on the weakest evidence level, with no stated number of nodes, no survival estimate and no acknowledgement that the adjuvant trials on which the guideline relies did not mandate it</w:t>
            </w:r>
          </w:p>
          <w:p>
            <w:pPr>
              <w:pStyle w:val="ListParagraph"/>
              <w:numPr>
                <w:ilvl w:val="0"/>
                <w:numId w:val="2"/>
              </w:numPr>
              <w:spacing w:after="45"/>
            </w:pPr>
            <w:r>
              <w:rPr>
                <w:sz w:val="15"/>
                <w:szCs w:val="15"/>
              </w:rPr>
              <w:t xml:space="preserve">The lead author declares relationships with more than twenty companies including the manufacturers of durvalumab, pemigatinib, ivosidenib and the microsphere and infusion products discussed, while ESMO reports no external funding for the guideline itself</w:t>
            </w:r>
          </w:p>
          <w:p>
            <w:pPr>
              <w:pStyle w:val="ListParagraph"/>
              <w:numPr>
                <w:ilvl w:val="0"/>
                <w:numId w:val="2"/>
              </w:numPr>
              <w:spacing w:after="45"/>
            </w:pPr>
            <w:r>
              <w:rPr>
                <w:sz w:val="15"/>
                <w:szCs w:val="15"/>
              </w:rPr>
              <w:t xml:space="preserve">The guideline was approved for publication in October 2022 and so predates the full ASCOT publication and the HER2 and FGFR approvals that followed, while remaining the parent document for the 2025 interim update</w:t>
            </w:r>
          </w:p>
          <w:p>
            <w:pPr>
              <w:pStyle w:val="ListParagraph"/>
              <w:numPr>
                <w:ilvl w:val="0"/>
                <w:numId w:val="2"/>
              </w:numPr>
              <w:spacing w:after="45"/>
            </w:pPr>
            <w:r>
              <w:rPr>
                <w:sz w:val="15"/>
                <w:szCs w:val="15"/>
              </w:rPr>
              <w:t xml:space="preserve">A surgical-oncology commentary by Maker (Hepatobiliary Surg Nutr 2024;13:516-519, PMID 38911219) discusses these guidelines; it was identified from the citation record and not read here</w:t>
            </w:r>
          </w:p>
        </w:tc>
      </w:tr>
    </w:tbl>
    <w:p>
      <w:pPr>
        <w:spacing w:after="0" w:line="276"/>
      </w:pPr>
      <w:r>
        <w:rPr>
          <w:color w:val="5A6069"/>
          <w:sz w:val="14"/>
          <w:szCs w:val="14"/>
        </w:rPr>
        <w:t xml:space="preserve">Funding: No external funding; production costs covered by ESMO central funds, with editorial and ESMO-MCBS support funded by ESMO; the lead author declares speaker, consultancy and advisory fees from more than twenty companies including AstraZeneca, BTG, Incyte, Roche, Servier, Sirtex, Taiho and Terumo, and research funding from Incyte and Servier</w:t>
      </w:r>
    </w:p>
    <w:p>
      <w:pPr>
        <w:keepNext/>
        <w:spacing w:after="50" w:before="260"/>
      </w:pPr>
      <w:r>
        <w:rPr>
          <w:rFonts w:ascii="Cambria" w:cs="Cambria" w:eastAsia="Cambria" w:hAnsi="Cambria"/>
          <w:b/>
          <w:bCs/>
          <w:color w:val="17365D"/>
          <w:sz w:val="20"/>
          <w:szCs w:val="20"/>
        </w:rPr>
        <w:t xml:space="preserve">ESMO BTC 2024 interim</w:t>
      </w:r>
      <w:r>
        <w:rPr>
          <w:b/>
          <w:bCs/>
          <w:color w:val="176A87"/>
          <w:sz w:val="15"/>
          <w:szCs w:val="15"/>
        </w:rPr>
        <w:t xml:space="preserve">   Guideline</w:t>
      </w:r>
      <w:r>
        <w:rPr>
          <w:color w:val="5A6069"/>
          <w:sz w:val="15"/>
          <w:szCs w:val="15"/>
        </w:rPr>
        <w:t xml:space="preserve">   PMID 39864891</w:t>
      </w:r>
    </w:p>
    <w:p>
      <w:pPr>
        <w:spacing w:after="50" w:line="276"/>
      </w:pPr>
      <w:r>
        <w:rPr>
          <w:color w:val="5A6069"/>
          <w:sz w:val="17"/>
          <w:szCs w:val="17"/>
        </w:rPr>
        <w:t xml:space="preserve">ESMO Clinical Practice Guideline interim update on the management of biliary tract cancer</w:t>
      </w:r>
    </w:p>
    <w:p>
      <w:pPr>
        <w:spacing w:after="70"/>
      </w:pPr>
      <w:r>
        <w:rPr>
          <w:b/>
          <w:bCs/>
          <w:color w:val="17365D"/>
          <w:sz w:val="16"/>
          <w:szCs w:val="16"/>
        </w:rPr>
        <w:t xml:space="preserve">Bottom line. </w:t>
      </w:r>
      <w:r>
        <w:rPr>
          <w:sz w:val="16"/>
          <w:szCs w:val="16"/>
        </w:rPr>
        <w:t xml:space="preserve">This interim update brings the ESMO biliary tract cancer guideline up to date on molecular diagnostics and advanced disease: profile at the start of first-line treatment, add either durvalumab or pembrolizumab to gemcitabine-cisplatin, avoid triplets, and use futibatinib, pemigatinib, HER2-directed agents, NTRK and RET inhibitors by alteration. Nearly all of it is level III evidence graded A, so strong recommendations rest on single-arm and basket-trial data, and the two HER2 recommendations depend on an assay the same document says cannot be specified. It is silent on surgery, adjuvant therapy, staging and transplantation.</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No limitations section; the authors concede there are no standardised criteria for assessing HER2 status in biliary tract cancer and that no specific test can be recommended, with gastric cancer immunohistochemistry criteria suggested as the best available</w:t>
            </w:r>
          </w:p>
          <w:p>
            <w:pPr>
              <w:pStyle w:val="ListParagraph"/>
              <w:numPr>
                <w:ilvl w:val="0"/>
                <w:numId w:val="2"/>
              </w:numPr>
              <w:spacing w:after="45"/>
            </w:pPr>
            <w:r>
              <w:rPr>
                <w:sz w:val="15"/>
                <w:szCs w:val="15"/>
              </w:rPr>
              <w:t xml:space="preserve">They state that no clinical, biochemical or molecular biomarker favours one checkpoint inhibitor over the other</w:t>
            </w:r>
          </w:p>
          <w:p>
            <w:pPr>
              <w:pStyle w:val="ListParagraph"/>
              <w:numPr>
                <w:ilvl w:val="0"/>
                <w:numId w:val="2"/>
              </w:numPr>
              <w:spacing w:after="45"/>
            </w:pPr>
            <w:r>
              <w:rPr>
                <w:sz w:val="15"/>
                <w:szCs w:val="15"/>
              </w:rPr>
              <w:t xml:space="preserve">They note that several recommended agents are approved by the FDA but not the EMA, and that repotrectinib is approved by neither</w:t>
            </w:r>
          </w:p>
          <w:p>
            <w:pPr>
              <w:pStyle w:val="ListParagraph"/>
              <w:numPr>
                <w:ilvl w:val="0"/>
                <w:numId w:val="2"/>
              </w:numPr>
              <w:spacing w:after="45"/>
            </w:pPr>
            <w:r>
              <w:rPr>
                <w:sz w:val="15"/>
                <w:szCs w:val="15"/>
              </w:rPr>
              <w:t xml:space="preserve">The literature was selected by the two expert authors rather than by systematic review</w:t>
            </w:r>
          </w:p>
          <w:p>
            <w:pPr>
              <w:pStyle w:val="ListParagraph"/>
              <w:numPr>
                <w:ilvl w:val="0"/>
                <w:numId w:val="2"/>
              </w:numPr>
              <w:spacing w:after="45"/>
            </w:pPr>
            <w:r>
              <w:rPr>
                <w:sz w:val="15"/>
                <w:szCs w:val="15"/>
              </w:rPr>
              <w:t xml:space="preserve">NTRK and RET fusions are acknowledged to be rare and to have been tested only in basket trials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Almost every recommendation added here is level III, grade A, which means a strong recommendation on single-arm phase II or basket-trial data with no randomised comparator; the grade and the evidence level point in opposite directions throughout</w:t>
            </w:r>
          </w:p>
          <w:p>
            <w:pPr>
              <w:pStyle w:val="ListParagraph"/>
              <w:numPr>
                <w:ilvl w:val="0"/>
                <w:numId w:val="2"/>
              </w:numPr>
              <w:spacing w:after="45"/>
            </w:pPr>
            <w:r>
              <w:rPr>
                <w:sz w:val="15"/>
                <w:szCs w:val="15"/>
              </w:rPr>
              <w:t xml:space="preserve">Two HER2-directed treatments are recommended while the same document states that no HER2 assay can be recommended in this disease, so the recommendations cannot be executed as written and borrowing gastric cancer criteria is offered without validation data in biliary tumours</w:t>
            </w:r>
          </w:p>
          <w:p>
            <w:pPr>
              <w:pStyle w:val="ListParagraph"/>
              <w:numPr>
                <w:ilvl w:val="0"/>
                <w:numId w:val="2"/>
              </w:numPr>
              <w:spacing w:after="45"/>
            </w:pPr>
            <w:r>
              <w:rPr>
                <w:sz w:val="15"/>
                <w:szCs w:val="15"/>
              </w:rPr>
              <w:t xml:space="preserve">Durvalumab and pembrolizumab are declared interchangeable on an indirect comparison of TOPAZ-1 and KEYNOTE-966, which differ in chemotherapy duration (eight cycles capped against treatment to progression), in geography and in population; no randomised comparison exists and the document does not state the limits of that inference</w:t>
            </w:r>
          </w:p>
          <w:p>
            <w:pPr>
              <w:pStyle w:val="ListParagraph"/>
              <w:numPr>
                <w:ilvl w:val="0"/>
                <w:numId w:val="2"/>
              </w:numPr>
              <w:spacing w:after="45"/>
            </w:pPr>
            <w:r>
              <w:rPr>
                <w:sz w:val="15"/>
                <w:szCs w:val="15"/>
              </w:rPr>
              <w:t xml:space="preserve">The whole document was written by two authors with ESMO committee review, so the evidence selection rests on two readers and no search strategy, date range or inclusion criteria are reported</w:t>
            </w:r>
          </w:p>
          <w:p>
            <w:pPr>
              <w:pStyle w:val="ListParagraph"/>
              <w:numPr>
                <w:ilvl w:val="0"/>
                <w:numId w:val="2"/>
              </w:numPr>
              <w:spacing w:after="45"/>
            </w:pPr>
            <w:r>
              <w:rPr>
                <w:sz w:val="15"/>
                <w:szCs w:val="15"/>
              </w:rPr>
              <w:t xml:space="preserve">Molecular profiling is recommended at level I, grade A at the start of first-line therapy for a panel of eight gene targets, without any statement of the expected yield, the assay failure rate or what to do when profiling fails, which in biliary specimens is common</w:t>
            </w:r>
          </w:p>
          <w:p>
            <w:pPr>
              <w:pStyle w:val="ListParagraph"/>
              <w:numPr>
                <w:ilvl w:val="0"/>
                <w:numId w:val="2"/>
              </w:numPr>
              <w:spacing w:after="45"/>
            </w:pPr>
            <w:r>
              <w:rPr>
                <w:sz w:val="15"/>
                <w:szCs w:val="15"/>
              </w:rPr>
              <w:t xml:space="preserve">The futibatinib and pemigatinib recommendations carry ESMO-MCBS scores of 3 and 2 from single-arm trials where the magnitude-of-benefit scale has no comparator to score against</w:t>
            </w:r>
          </w:p>
          <w:p>
            <w:pPr>
              <w:pStyle w:val="ListParagraph"/>
              <w:numPr>
                <w:ilvl w:val="0"/>
                <w:numId w:val="2"/>
              </w:numPr>
              <w:spacing w:after="45"/>
            </w:pPr>
            <w:r>
              <w:rPr>
                <w:sz w:val="15"/>
                <w:szCs w:val="15"/>
              </w:rPr>
              <w:t xml:space="preserve">Hepatic arterial infusion and selective internal radiotherapy are relegated to supplementary material with no graded recommendation, so the liver-directed options that matter most in liver-confined iCCA are effectively removed from the update</w:t>
            </w:r>
          </w:p>
          <w:p>
            <w:pPr>
              <w:pStyle w:val="ListParagraph"/>
              <w:numPr>
                <w:ilvl w:val="0"/>
                <w:numId w:val="2"/>
              </w:numPr>
              <w:spacing w:after="45"/>
            </w:pPr>
            <w:r>
              <w:rPr>
                <w:sz w:val="15"/>
                <w:szCs w:val="15"/>
              </w:rPr>
              <w:t xml:space="preserve">Nothing is added on resection, adjuvant therapy, nodal staging or transplantation, so the update modernises only the systemic half of the parent guideline while being cited as the current ESMO position overall</w:t>
            </w:r>
          </w:p>
          <w:p>
            <w:pPr>
              <w:pStyle w:val="ListParagraph"/>
              <w:numPr>
                <w:ilvl w:val="0"/>
                <w:numId w:val="2"/>
              </w:numPr>
              <w:spacing w:after="45"/>
            </w:pPr>
            <w:r>
              <w:rPr>
                <w:sz w:val="15"/>
                <w:szCs w:val="15"/>
              </w:rPr>
              <w:t xml:space="preserve">The DESTINY-PanTumor02 response rate of 56.3% quoted for trastuzumab deruxtecan comes from an immunohistochemistry 3+ subgroup of a pan-tumour basket trial, and the number of biliary patients behind it is not given in the update</w:t>
            </w:r>
          </w:p>
          <w:p>
            <w:pPr>
              <w:pStyle w:val="ListParagraph"/>
              <w:numPr>
                <w:ilvl w:val="0"/>
                <w:numId w:val="2"/>
              </w:numPr>
              <w:spacing w:after="45"/>
            </w:pPr>
            <w:r>
              <w:rPr>
                <w:sz w:val="15"/>
                <w:szCs w:val="15"/>
              </w:rPr>
              <w:t xml:space="preserve">Triplet chemotherapy is rejected on two negative randomised trials while the one positive Japanese triplet is reported without a recommendation either way, leaving the reader with a geographically split evidence base and no guidance</w:t>
            </w:r>
          </w:p>
          <w:p>
            <w:pPr>
              <w:pStyle w:val="ListParagraph"/>
              <w:numPr>
                <w:ilvl w:val="0"/>
                <w:numId w:val="2"/>
              </w:numPr>
              <w:spacing w:after="45"/>
            </w:pPr>
            <w:r>
              <w:rPr>
                <w:sz w:val="15"/>
                <w:szCs w:val="15"/>
              </w:rPr>
              <w:t xml:space="preserve">Both authors declare advisory and speaker relationships with the manufacturers of the recommended agents, in a document whose entire content is which drug to give</w:t>
            </w:r>
          </w:p>
          <w:p>
            <w:pPr>
              <w:pStyle w:val="ListParagraph"/>
              <w:numPr>
                <w:ilvl w:val="0"/>
                <w:numId w:val="2"/>
              </w:numPr>
              <w:spacing w:after="45"/>
            </w:pPr>
            <w:r>
              <w:rPr>
                <w:sz w:val="15"/>
                <w:szCs w:val="15"/>
              </w:rPr>
              <w:t xml:space="preserve">Small duct intrahepatic cholangiocarcinoma is singled out as enriched for actionable targets, but no recommendation is conditioned on that subtype and no prevalence figures by subtype are given</w:t>
            </w:r>
          </w:p>
          <w:p>
            <w:pPr>
              <w:pStyle w:val="ListParagraph"/>
              <w:numPr>
                <w:ilvl w:val="0"/>
                <w:numId w:val="2"/>
              </w:numPr>
              <w:spacing w:after="45"/>
            </w:pPr>
            <w:r>
              <w:rPr>
                <w:sz w:val="15"/>
                <w:szCs w:val="15"/>
              </w:rPr>
              <w:t xml:space="preserve">No linked editorial or comment was found in PubMed, so no independent published appraisal accompanies the update</w:t>
            </w:r>
          </w:p>
        </w:tc>
      </w:tr>
    </w:tbl>
    <w:p>
      <w:pPr>
        <w:spacing w:after="0" w:line="276"/>
      </w:pPr>
      <w:r>
        <w:rPr>
          <w:color w:val="5A6069"/>
          <w:sz w:val="14"/>
          <w:szCs w:val="14"/>
        </w:rPr>
        <w:t xml:space="preserve">Funding: No external funding; production costs covered by ESMO central funds with editorial support from a medical communications agency funded by ESMO; both authors declare extensive advisory board, speaker and steering-committee fees, including from AbbVie, Amgen, AstraZeneca, Eisai, Incyte, Ipsen, MSD, Roche, Servier, Taiho and Tyra</w:t>
      </w:r>
    </w:p>
    <w:p>
      <w:pPr>
        <w:keepNext/>
        <w:spacing w:after="50" w:before="260"/>
      </w:pPr>
      <w:r>
        <w:rPr>
          <w:rFonts w:ascii="Cambria" w:cs="Cambria" w:eastAsia="Cambria" w:hAnsi="Cambria"/>
          <w:b/>
          <w:bCs/>
          <w:color w:val="17365D"/>
          <w:sz w:val="20"/>
          <w:szCs w:val="20"/>
        </w:rPr>
        <w:t xml:space="preserve">FIGHT-202</w:t>
      </w:r>
      <w:r>
        <w:rPr>
          <w:b/>
          <w:bCs/>
          <w:color w:val="176A87"/>
          <w:sz w:val="15"/>
          <w:szCs w:val="15"/>
        </w:rPr>
        <w:t xml:space="preserve">   Prospective trial</w:t>
      </w:r>
      <w:r>
        <w:rPr>
          <w:color w:val="5A6069"/>
          <w:sz w:val="15"/>
          <w:szCs w:val="15"/>
        </w:rPr>
        <w:t xml:space="preserve">   PMID 32203698</w:t>
      </w:r>
    </w:p>
    <w:p>
      <w:pPr>
        <w:spacing w:after="50" w:line="276"/>
      </w:pPr>
      <w:r>
        <w:rPr>
          <w:color w:val="5A6069"/>
          <w:sz w:val="17"/>
          <w:szCs w:val="17"/>
        </w:rPr>
        <w:t xml:space="preserve">Pemigatinib for previously treated, locally advanced or metastatic cholangiocarcinoma: a multicentre, open-label, phase 2 study</w:t>
      </w:r>
    </w:p>
    <w:p>
      <w:pPr>
        <w:spacing w:after="50"/>
      </w:pPr>
      <w:r>
        <w:rPr>
          <w:b/>
          <w:bCs/>
          <w:color w:val="176A87"/>
          <w:sz w:val="16"/>
          <w:szCs w:val="16"/>
        </w:rPr>
        <w:t xml:space="preserve">Population. </w:t>
      </w:r>
      <w:r>
        <w:rPr>
          <w:sz w:val="16"/>
          <w:szCs w:val="16"/>
        </w:rPr>
        <w:t xml:space="preserve">146 patients with previously treated locally advanced or metastatic cholangiocarcinoma enrolled from 146 sites between 2017 and 2019 into three cohorts by central FGF/FGFR status, 107 with FGFR2 fusions or rearrangements, 20 with other FGF/FGFR alterations and 18 with none; 89% had intrahepatic disease and 1206 patients were centrally prescreened to find the 107</w:t>
      </w:r>
    </w:p>
    <w:p>
      <w:pPr>
        <w:spacing w:after="70"/>
      </w:pPr>
      <w:r>
        <w:rPr>
          <w:b/>
          <w:bCs/>
          <w:color w:val="17365D"/>
          <w:sz w:val="16"/>
          <w:szCs w:val="16"/>
        </w:rPr>
        <w:t xml:space="preserve">Bottom line. </w:t>
      </w:r>
      <w:r>
        <w:rPr>
          <w:sz w:val="16"/>
          <w:szCs w:val="16"/>
        </w:rPr>
        <w:t xml:space="preserve">FIGHT-202 showed that pemigatinib produces centrally confirmed responses in 35.5% of patients with FGFR2-fusion cholangiocarcinoma and none at all in patients without that alteration, which is what made FGFR2 testing mandatory in this disease. It cannot quantify benefit, being single-arm with the comparison made across studies, and the 21.1-month median survival rests on 40 of 107 deaths. Only 9% of 1206 prescreened patients were eligible, across 56 different fusion partners, and 12-month progression-free survival was 29%.</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There is no active comparator group</w:t>
            </w:r>
          </w:p>
          <w:p>
            <w:pPr>
              <w:pStyle w:val="ListParagraph"/>
              <w:numPr>
                <w:ilvl w:val="0"/>
                <w:numId w:val="2"/>
              </w:numPr>
              <w:spacing w:after="45"/>
            </w:pPr>
            <w:r>
              <w:rPr>
                <w:sz w:val="15"/>
                <w:szCs w:val="15"/>
              </w:rPr>
              <w:t xml:space="preserve">The design precludes any assessment of how much the FGFR alterations themselves contribute to the survival results, since FGFR-altered cholangiocarcinoma may have a more favourable natural history</w:t>
            </w:r>
          </w:p>
          <w:p>
            <w:pPr>
              <w:pStyle w:val="ListParagraph"/>
              <w:numPr>
                <w:ilvl w:val="0"/>
                <w:numId w:val="2"/>
              </w:numPr>
              <w:spacing w:after="45"/>
            </w:pPr>
            <w:r>
              <w:rPr>
                <w:sz w:val="15"/>
                <w:szCs w:val="15"/>
              </w:rPr>
              <w:t xml:space="preserve">Including patients with extrahepatic disease could have complicated the analyses, because intrahepatic and extrahepatic tumours have markedly different characteristics</w:t>
            </w:r>
          </w:p>
          <w:p>
            <w:pPr>
              <w:pStyle w:val="ListParagraph"/>
              <w:numPr>
                <w:ilvl w:val="0"/>
                <w:numId w:val="2"/>
              </w:numPr>
              <w:spacing w:after="45"/>
            </w:pPr>
            <w:r>
              <w:rPr>
                <w:sz w:val="15"/>
                <w:szCs w:val="15"/>
              </w:rPr>
              <w:t xml:space="preserve">Response duration and progression-free survival were short in some patients despite the presence of a driver alteration, which the authors attribute to clonal evolution and acquired resistance mutations</w:t>
            </w:r>
          </w:p>
          <w:p>
            <w:pPr>
              <w:pStyle w:val="ListParagraph"/>
              <w:numPr>
                <w:ilvl w:val="0"/>
                <w:numId w:val="2"/>
              </w:numPr>
              <w:spacing w:after="45"/>
            </w:pPr>
            <w:r>
              <w:rPr>
                <w:sz w:val="15"/>
                <w:szCs w:val="15"/>
              </w:rPr>
              <w:t xml:space="preserve">The 9% prevalence figure for FGFR2 alterations comes from patients centrally prescreened for this trial, not from an unselected population</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A single-arm trial cannot measure an effect size, and the comparison that makes the result look decisive, 35.5% against a pooled 9.5% response and 6.9 against 2.6 months progression-free survival with second-line chemotherapy, is drawn from separate literature with different populations</w:t>
            </w:r>
          </w:p>
          <w:p>
            <w:pPr>
              <w:pStyle w:val="ListParagraph"/>
              <w:numPr>
                <w:ilvl w:val="0"/>
                <w:numId w:val="2"/>
              </w:numPr>
              <w:spacing w:after="45"/>
            </w:pPr>
            <w:r>
              <w:rPr>
                <w:sz w:val="15"/>
                <w:szCs w:val="15"/>
              </w:rPr>
              <w:t xml:space="preserve">Overall survival of 21.1 months is reported at 40 of 107 deaths with an upper bound of not estimable; at 37% of events a median survival figure is a provisional number being used as a headline</w:t>
            </w:r>
          </w:p>
          <w:p>
            <w:pPr>
              <w:pStyle w:val="ListParagraph"/>
              <w:numPr>
                <w:ilvl w:val="0"/>
                <w:numId w:val="2"/>
              </w:numPr>
              <w:spacing w:after="45"/>
            </w:pPr>
            <w:r>
              <w:rPr>
                <w:sz w:val="15"/>
                <w:szCs w:val="15"/>
              </w:rPr>
              <w:t xml:space="preserve">The two negative cohorts carry the trial's real information: 0 of 20 with other FGF/FGFR alterations and 0 of 18 with none responded, which means the FGFR2 fusion cohort is a selected subset and the drug has no activity outside it, so the 1206-patient prescreen is the real denominator</w:t>
            </w:r>
          </w:p>
          <w:p>
            <w:pPr>
              <w:pStyle w:val="ListParagraph"/>
              <w:numPr>
                <w:ilvl w:val="0"/>
                <w:numId w:val="2"/>
              </w:numPr>
              <w:spacing w:after="45"/>
            </w:pPr>
            <w:r>
              <w:rPr>
                <w:sz w:val="15"/>
                <w:szCs w:val="15"/>
              </w:rPr>
              <w:t xml:space="preserve">56 distinct fusion partners were observed and 42 occurred in a single patient each, so the biomarker that defines eligibility is a heterogeneous collection and no partner-specific activity can be established from this sample</w:t>
            </w:r>
          </w:p>
          <w:p>
            <w:pPr>
              <w:pStyle w:val="ListParagraph"/>
              <w:numPr>
                <w:ilvl w:val="0"/>
                <w:numId w:val="2"/>
              </w:numPr>
              <w:spacing w:after="45"/>
            </w:pPr>
            <w:r>
              <w:rPr>
                <w:sz w:val="15"/>
                <w:szCs w:val="15"/>
              </w:rPr>
              <w:t xml:space="preserve">Progression-free survival at 12 months is only 29% against a 35.5% response rate, so most responses were lost inside a year; the acquired-resistance explanation is offered from the literature rather than from resistance sequencing in this cohort</w:t>
            </w:r>
          </w:p>
          <w:p>
            <w:pPr>
              <w:pStyle w:val="ListParagraph"/>
              <w:numPr>
                <w:ilvl w:val="0"/>
                <w:numId w:val="2"/>
              </w:numPr>
              <w:spacing w:after="45"/>
            </w:pPr>
            <w:r>
              <w:rPr>
                <w:sz w:val="15"/>
                <w:szCs w:val="15"/>
              </w:rPr>
              <w:t xml:space="preserve">Hyperphosphataemia affected 60% of patients and 64% had a grade 3 or worse event, with 42% requiring dose interruption and 14% reduction, so the dose that produced these responses is not the dose most patients stayed on</w:t>
            </w:r>
          </w:p>
          <w:p>
            <w:pPr>
              <w:pStyle w:val="ListParagraph"/>
              <w:numPr>
                <w:ilvl w:val="0"/>
                <w:numId w:val="2"/>
              </w:numPr>
              <w:spacing w:after="45"/>
            </w:pPr>
            <w:r>
              <w:rPr>
                <w:sz w:val="15"/>
                <w:szCs w:val="15"/>
              </w:rPr>
              <w:t xml:space="preserve">The primary endpoint cohort mixes intrahepatic with extrahepatic, gallbladder and ampullary cases in the overall population of 146 while the responding cohort is 98% intrahepatic, so the anatomical and molecular selections are confounded in the way the paper's own limitation concedes but the conclusion does not reflect</w:t>
            </w:r>
          </w:p>
          <w:p>
            <w:pPr>
              <w:pStyle w:val="ListParagraph"/>
              <w:numPr>
                <w:ilvl w:val="0"/>
                <w:numId w:val="2"/>
              </w:numPr>
              <w:spacing w:after="45"/>
            </w:pPr>
            <w:r>
              <w:rPr>
                <w:sz w:val="15"/>
                <w:szCs w:val="15"/>
              </w:rPr>
              <w:t xml:space="preserve">Incyte designed the trial, compiled and analysed the data and paid for the writing, and the trial supported regulatory approval of Incyte's drug on single-arm data with no independent analysis described</w:t>
            </w:r>
          </w:p>
          <w:p>
            <w:pPr>
              <w:pStyle w:val="ListParagraph"/>
              <w:numPr>
                <w:ilvl w:val="0"/>
                <w:numId w:val="2"/>
              </w:numPr>
              <w:spacing w:after="45"/>
            </w:pPr>
            <w:r>
              <w:rPr>
                <w:sz w:val="15"/>
                <w:szCs w:val="15"/>
              </w:rPr>
              <w:t xml:space="preserve">The population is second-line or later with no information on earlier use; FIGHT-302, the randomised first-line comparison, was only recruiting at publication, so the drug entered practice before any randomised evidence existed</w:t>
            </w:r>
          </w:p>
          <w:p>
            <w:pPr>
              <w:pStyle w:val="ListParagraph"/>
              <w:numPr>
                <w:ilvl w:val="0"/>
                <w:numId w:val="2"/>
              </w:numPr>
              <w:spacing w:after="45"/>
            </w:pPr>
            <w:r>
              <w:rPr>
                <w:sz w:val="15"/>
                <w:szCs w:val="15"/>
              </w:rPr>
              <w:t xml:space="preserve">The publication has since been corrected online, with the corrected version appearing in 2023, and the paper as read does not state what changed</w:t>
            </w:r>
          </w:p>
          <w:p>
            <w:pPr>
              <w:pStyle w:val="ListParagraph"/>
              <w:numPr>
                <w:ilvl w:val="0"/>
                <w:numId w:val="2"/>
              </w:numPr>
              <w:spacing w:after="45"/>
            </w:pPr>
            <w:r>
              <w:rPr>
                <w:sz w:val="15"/>
                <w:szCs w:val="15"/>
              </w:rPr>
              <w:t xml:space="preserve">A linked Comment by Yang and colleagues (Lancet Oncology 2020;21:610-612, PMID 32203699) accompanies the article; it was identified from the citation record and not read here</w:t>
            </w:r>
          </w:p>
        </w:tc>
      </w:tr>
    </w:tbl>
    <w:p>
      <w:pPr>
        <w:spacing w:after="0" w:line="276"/>
      </w:pPr>
      <w:r>
        <w:rPr>
          <w:color w:val="5A6069"/>
          <w:sz w:val="14"/>
          <w:szCs w:val="14"/>
        </w:rPr>
        <w:t xml:space="preserve">Funding: Incyte Corporation, which designed the study with input from two lead investigators, compiled and analysed the data with the corresponding author, interpreted the data with all authors and funded the medical writing; most authors report Incyte grants or consulting fees</w:t>
      </w:r>
    </w:p>
    <w:p>
      <w:pPr>
        <w:keepNext/>
        <w:spacing w:after="50" w:before="260"/>
      </w:pPr>
      <w:r>
        <w:rPr>
          <w:rFonts w:ascii="Cambria" w:cs="Cambria" w:eastAsia="Cambria" w:hAnsi="Cambria"/>
          <w:b/>
          <w:bCs/>
          <w:color w:val="17365D"/>
          <w:sz w:val="20"/>
          <w:szCs w:val="20"/>
        </w:rPr>
        <w:t xml:space="preserve">FIGHT-202 final</w:t>
      </w:r>
      <w:r>
        <w:rPr>
          <w:b/>
          <w:bCs/>
          <w:color w:val="176A87"/>
          <w:sz w:val="15"/>
          <w:szCs w:val="15"/>
        </w:rPr>
        <w:t xml:space="preserve">   Prospective trial</w:t>
      </w:r>
      <w:r>
        <w:rPr>
          <w:color w:val="5A6069"/>
          <w:sz w:val="15"/>
          <w:szCs w:val="15"/>
        </w:rPr>
        <w:t xml:space="preserve">   PMID 38838500</w:t>
      </w:r>
    </w:p>
    <w:p>
      <w:pPr>
        <w:spacing w:after="50" w:line="276"/>
      </w:pPr>
      <w:r>
        <w:rPr>
          <w:color w:val="5A6069"/>
          <w:sz w:val="17"/>
          <w:szCs w:val="17"/>
        </w:rPr>
        <w:t xml:space="preserve">An open-label study of pemigatinib in cholangiocarcinoma: final results from FIGHT-202</w:t>
      </w:r>
    </w:p>
    <w:p>
      <w:pPr>
        <w:spacing w:after="50"/>
      </w:pPr>
      <w:r>
        <w:rPr>
          <w:b/>
          <w:bCs/>
          <w:color w:val="176A87"/>
          <w:sz w:val="16"/>
          <w:szCs w:val="16"/>
        </w:rPr>
        <w:t xml:space="preserve">Population. </w:t>
      </w:r>
      <w:r>
        <w:rPr>
          <w:sz w:val="16"/>
          <w:szCs w:val="16"/>
        </w:rPr>
        <w:t xml:space="preserve">147 patients with previously treated advanced or metastatic cholangiocarcinoma at 146 sites in 12 countries, assigned by central FGF/FGFR status to cohort A with FGFR2 fusions or rearrangements (108), cohort B with other alterations (20) and cohort C with none (17); 90% had intrahepatic disease and 107 of 108 in cohort A were intrahepatic, with median follow-up of 42.9 months in cohort A</w:t>
      </w:r>
    </w:p>
    <w:p>
      <w:pPr>
        <w:spacing w:after="70"/>
      </w:pPr>
      <w:r>
        <w:rPr>
          <w:b/>
          <w:bCs/>
          <w:color w:val="17365D"/>
          <w:sz w:val="16"/>
          <w:szCs w:val="16"/>
        </w:rPr>
        <w:t xml:space="preserve">Bottom line. </w:t>
      </w:r>
      <w:r>
        <w:rPr>
          <w:sz w:val="16"/>
          <w:szCs w:val="16"/>
        </w:rPr>
        <w:t xml:space="preserve">The final FIGHT-202 analysis confirms pemigatinib's activity in FGFR2-fusion cholangiocarcinoma at 42.9 months of follow-up: 37.0% response, 9.1-month median duration of response, 7.0 months progression-free survival and 17.5 months overall survival, with no responses at all outside the FGFR2-fusion cohort. It cannot quantify benefit, being single-arm in a molecular subgroup with a known more favourable natural history, and its durability case rests on comparing responders with non-responders. Two-thirds progressed within a year, every patient had an adverse event and 68.7% had one of grade 3 or worse.</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study design included no active comparator treatment arm</w:t>
            </w:r>
          </w:p>
          <w:p>
            <w:pPr>
              <w:pStyle w:val="ListParagraph"/>
              <w:numPr>
                <w:ilvl w:val="0"/>
                <w:numId w:val="2"/>
              </w:numPr>
              <w:spacing w:after="45"/>
            </w:pPr>
            <w:r>
              <w:rPr>
                <w:sz w:val="15"/>
                <w:szCs w:val="15"/>
              </w:rPr>
              <w:t xml:space="preserve">Small numbers in the patient subgroups limit interpretation of efficacy by demographic and disease characteristics</w:t>
            </w:r>
          </w:p>
          <w:p>
            <w:pPr>
              <w:pStyle w:val="ListParagraph"/>
              <w:numPr>
                <w:ilvl w:val="0"/>
                <w:numId w:val="2"/>
              </w:numPr>
              <w:spacing w:after="45"/>
            </w:pPr>
            <w:r>
              <w:rPr>
                <w:sz w:val="15"/>
                <w:szCs w:val="15"/>
              </w:rPr>
              <w:t xml:space="preserve">The authors refer the reader to the earlier primary report for the trial's other limitations rather than restating them</w:t>
            </w:r>
          </w:p>
          <w:p>
            <w:pPr>
              <w:pStyle w:val="ListParagraph"/>
              <w:numPr>
                <w:ilvl w:val="0"/>
                <w:numId w:val="2"/>
              </w:numPr>
              <w:spacing w:after="45"/>
            </w:pPr>
            <w:r>
              <w:rPr>
                <w:sz w:val="15"/>
                <w:szCs w:val="15"/>
              </w:rPr>
              <w:t xml:space="preserve">They note that routine comprehensive genomic profiling is needed to find patients who might benefit, and that the first-line role of FGFR inhibition remains for FIGHT-302 to establish</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With no comparator, a 37.0% response rate and 17.5-month median survival cannot be separated from the biology of FGFR2-fusion disease, which the paper itself states carries longer survival from diagnosis than FGFR2-wild-type cholangiocarcinoma</w:t>
            </w:r>
          </w:p>
          <w:p>
            <w:pPr>
              <w:pStyle w:val="ListParagraph"/>
              <w:numPr>
                <w:ilvl w:val="0"/>
                <w:numId w:val="2"/>
              </w:numPr>
              <w:spacing w:after="45"/>
            </w:pPr>
            <w:r>
              <w:rPr>
                <w:sz w:val="15"/>
                <w:szCs w:val="15"/>
              </w:rPr>
              <w:t xml:space="preserve">The headline response rate fell from 35.5% in the 2020 primary report to 37.0% here on a differently sized cohort (108 against 107), and the two figures are quoted interchangeably in the literature without noting that the denominator changed</w:t>
            </w:r>
          </w:p>
          <w:p>
            <w:pPr>
              <w:pStyle w:val="ListParagraph"/>
              <w:numPr>
                <w:ilvl w:val="0"/>
                <w:numId w:val="2"/>
              </w:numPr>
              <w:spacing w:after="45"/>
            </w:pPr>
            <w:r>
              <w:rPr>
                <w:sz w:val="15"/>
                <w:szCs w:val="15"/>
              </w:rPr>
              <w:t xml:space="preserve">The 46.1-month median survival in responders against 13.7 months in non-responders is the central durability claim and is a comparison of patients defined by their outcome; responder analyses of this kind cannot establish benefit</w:t>
            </w:r>
          </w:p>
          <w:p>
            <w:pPr>
              <w:pStyle w:val="ListParagraph"/>
              <w:numPr>
                <w:ilvl w:val="0"/>
                <w:numId w:val="2"/>
              </w:numPr>
              <w:spacing w:after="45"/>
            </w:pPr>
            <w:r>
              <w:rPr>
                <w:sz w:val="15"/>
                <w:szCs w:val="15"/>
              </w:rPr>
              <w:t xml:space="preserve">Cohorts B and C are 20 and 17 patients with zero responses, so the clean negative result the paper relies on to define the biomarker is a weak negative that cannot exclude a response rate of 10% or more</w:t>
            </w:r>
          </w:p>
          <w:p>
            <w:pPr>
              <w:pStyle w:val="ListParagraph"/>
              <w:numPr>
                <w:ilvl w:val="0"/>
                <w:numId w:val="2"/>
              </w:numPr>
              <w:spacing w:after="45"/>
            </w:pPr>
            <w:r>
              <w:rPr>
                <w:sz w:val="15"/>
                <w:szCs w:val="15"/>
              </w:rPr>
              <w:t xml:space="preserve">Only 12 of 40 responders (30.0%) responded for 12 months or longer and 12-month progression-free survival was 32.3%, so two-thirds of patients had progressed within a year</w:t>
            </w:r>
          </w:p>
          <w:p>
            <w:pPr>
              <w:pStyle w:val="ListParagraph"/>
              <w:numPr>
                <w:ilvl w:val="0"/>
                <w:numId w:val="2"/>
              </w:numPr>
              <w:spacing w:after="45"/>
            </w:pPr>
            <w:r>
              <w:rPr>
                <w:sz w:val="15"/>
                <w:szCs w:val="15"/>
              </w:rPr>
              <w:t xml:space="preserve">Every patient had a treatment-emergent adverse event, 68.7% grade 3 or worse and 46.3% serious, with dose interruption in 42.2% and discontinuation in 10.2%; this is a demanding drug and the abstract characterises the events as manageable</w:t>
            </w:r>
          </w:p>
          <w:p>
            <w:pPr>
              <w:pStyle w:val="ListParagraph"/>
              <w:numPr>
                <w:ilvl w:val="0"/>
                <w:numId w:val="2"/>
              </w:numPr>
              <w:spacing w:after="45"/>
            </w:pPr>
            <w:r>
              <w:rPr>
                <w:sz w:val="15"/>
                <w:szCs w:val="15"/>
              </w:rPr>
              <w:t xml:space="preserve">Six fatal events (4.1%) occurred, none judged treatment related, with the attribution made by investigators and no independent adjudication described</w:t>
            </w:r>
          </w:p>
          <w:p>
            <w:pPr>
              <w:pStyle w:val="ListParagraph"/>
              <w:numPr>
                <w:ilvl w:val="0"/>
                <w:numId w:val="2"/>
              </w:numPr>
              <w:spacing w:after="45"/>
            </w:pPr>
            <w:r>
              <w:rPr>
                <w:sz w:val="15"/>
                <w:szCs w:val="15"/>
              </w:rPr>
              <w:t xml:space="preserve">The TP53 hazard ratio of 3.33 (1.48-7.52) and PBRM1 hazard ratio of 2.46 (1.24-4.87) are exploratory co-alteration analyses in a 108-patient cohort with no multiplicity adjustment, offered as prognostic findings</w:t>
            </w:r>
          </w:p>
          <w:p>
            <w:pPr>
              <w:pStyle w:val="ListParagraph"/>
              <w:numPr>
                <w:ilvl w:val="0"/>
                <w:numId w:val="2"/>
              </w:numPr>
              <w:spacing w:after="45"/>
            </w:pPr>
            <w:r>
              <w:rPr>
                <w:sz w:val="15"/>
                <w:szCs w:val="15"/>
              </w:rPr>
              <w:t xml:space="preserve">Acquired kinase-domain resistance mutations arose in all patients who responded and then progressed, which means the benefit is intrinsically time-limited, and the paper's conclusion emphasises durability</w:t>
            </w:r>
          </w:p>
          <w:p>
            <w:pPr>
              <w:pStyle w:val="ListParagraph"/>
              <w:numPr>
                <w:ilvl w:val="0"/>
                <w:numId w:val="2"/>
              </w:numPr>
              <w:spacing w:after="45"/>
            </w:pPr>
            <w:r>
              <w:rPr>
                <w:sz w:val="15"/>
                <w:szCs w:val="15"/>
              </w:rPr>
              <w:t xml:space="preserve">Incyte funded the trial, paid for the writing and employs three authors who hold shares, and the paper's own conclusion is that the results further support the regulatory approvals of Incyte's drug based on this single-arm study</w:t>
            </w:r>
          </w:p>
          <w:p>
            <w:pPr>
              <w:pStyle w:val="ListParagraph"/>
              <w:numPr>
                <w:ilvl w:val="0"/>
                <w:numId w:val="2"/>
              </w:numPr>
              <w:spacing w:after="45"/>
            </w:pPr>
            <w:r>
              <w:rPr>
                <w:sz w:val="15"/>
                <w:szCs w:val="15"/>
              </w:rPr>
              <w:t xml:space="preserve">107 of 108 cohort A patients had intrahepatic disease, so despite being titled a cholangiocarcinoma study the result applies to iCCA only, and the second-line-or-later setting means nothing here speaks to perioperative or conversion use</w:t>
            </w:r>
          </w:p>
          <w:p>
            <w:pPr>
              <w:pStyle w:val="ListParagraph"/>
              <w:numPr>
                <w:ilvl w:val="0"/>
                <w:numId w:val="2"/>
              </w:numPr>
              <w:spacing w:after="45"/>
            </w:pPr>
            <w:r>
              <w:rPr>
                <w:sz w:val="15"/>
                <w:szCs w:val="15"/>
              </w:rPr>
              <w:t xml:space="preserve">No linked editorial or comment was found in PubMed for this final analysis, so the only critical reading available is internal to the text</w:t>
            </w:r>
          </w:p>
        </w:tc>
      </w:tr>
    </w:tbl>
    <w:p>
      <w:pPr>
        <w:spacing w:after="0" w:line="276"/>
      </w:pPr>
      <w:r>
        <w:rPr>
          <w:color w:val="5A6069"/>
          <w:sz w:val="14"/>
          <w:szCs w:val="14"/>
        </w:rPr>
        <w:t xml:space="preserve">Funding: Supported by Incyte with no grant number; medical writing was paid for by Incyte and three authors are Incyte employees and shareholders, with the academic authors declaring personal fees and institutional grants across the industry</w:t>
      </w:r>
    </w:p>
    <w:p>
      <w:pPr>
        <w:keepNext/>
        <w:spacing w:after="50" w:before="260"/>
      </w:pPr>
      <w:r>
        <w:rPr>
          <w:rFonts w:ascii="Cambria" w:cs="Cambria" w:eastAsia="Cambria" w:hAnsi="Cambria"/>
          <w:b/>
          <w:bCs/>
          <w:color w:val="17365D"/>
          <w:sz w:val="20"/>
          <w:szCs w:val="20"/>
        </w:rPr>
        <w:t xml:space="preserve">FOENIX-CCA2</w:t>
      </w:r>
      <w:r>
        <w:rPr>
          <w:b/>
          <w:bCs/>
          <w:color w:val="176A87"/>
          <w:sz w:val="15"/>
          <w:szCs w:val="15"/>
        </w:rPr>
        <w:t xml:space="preserve">   Prospective trial</w:t>
      </w:r>
      <w:r>
        <w:rPr>
          <w:color w:val="5A6069"/>
          <w:sz w:val="15"/>
          <w:szCs w:val="15"/>
        </w:rPr>
        <w:t xml:space="preserve">   PMID 36652354</w:t>
      </w:r>
    </w:p>
    <w:p>
      <w:pPr>
        <w:spacing w:after="50" w:line="276"/>
      </w:pPr>
      <w:r>
        <w:rPr>
          <w:color w:val="5A6069"/>
          <w:sz w:val="17"/>
          <w:szCs w:val="17"/>
        </w:rPr>
        <w:t xml:space="preserve">Futibatinib for FGFR2-Rearranged Intrahepatic Cholangiocarcinoma</w:t>
      </w:r>
    </w:p>
    <w:p>
      <w:pPr>
        <w:spacing w:after="50"/>
      </w:pPr>
      <w:r>
        <w:rPr>
          <w:b/>
          <w:bCs/>
          <w:color w:val="176A87"/>
          <w:sz w:val="16"/>
          <w:szCs w:val="16"/>
        </w:rPr>
        <w:t xml:space="preserve">Population. </w:t>
      </w:r>
      <w:r>
        <w:rPr>
          <w:sz w:val="16"/>
          <w:szCs w:val="16"/>
        </w:rPr>
        <w:t xml:space="preserve">103 patients with unresectable or metastatic FGFR2 fusion-positive or rearrangement-positive intrahepatic cholangiocarcinoma, enrolled from 783 screened at 47 sites in 13 countries between April 2018 and November 2019, all previously treated with at least one systemic line including gemcitabine-platinum and 53% with two or more prior lines</w:t>
      </w:r>
    </w:p>
    <w:p>
      <w:pPr>
        <w:spacing w:after="70"/>
      </w:pPr>
      <w:r>
        <w:rPr>
          <w:b/>
          <w:bCs/>
          <w:color w:val="17365D"/>
          <w:sz w:val="16"/>
          <w:szCs w:val="16"/>
        </w:rPr>
        <w:t xml:space="preserve">Bottom line. </w:t>
      </w:r>
      <w:r>
        <w:rPr>
          <w:sz w:val="16"/>
          <w:szCs w:val="16"/>
        </w:rPr>
        <w:t xml:space="preserve">FOENIX-CCA2 established futibatinib as active in FGFR2-rearranged intrahepatic cholangiocarcinoma, with a centrally reviewed response rate of 42%, median progression-free survival of 9.0 months and tolerable toxicity dominated by manageable hyperphosphataemia. It cannot size the benefit, having no comparator, and its 21.7-month median survival is estimated from a 17.1-month median follow-up. Only 14% of responders were still responding at a year, 783 patients were screened to enrol 103, and nothing in the trial speaks to perioperative or conversion use.</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Single-group design and relatively small sample size</w:t>
            </w:r>
          </w:p>
          <w:p>
            <w:pPr>
              <w:pStyle w:val="ListParagraph"/>
              <w:numPr>
                <w:ilvl w:val="0"/>
                <w:numId w:val="2"/>
              </w:numPr>
              <w:spacing w:after="45"/>
            </w:pPr>
            <w:r>
              <w:rPr>
                <w:sz w:val="15"/>
                <w:szCs w:val="15"/>
              </w:rPr>
              <w:t xml:space="preserve">The lack of a comparator group precluded accurate quantification of the treatment effect, because estimates of the natural history of FGFR fusion-positive disease are variable</w:t>
            </w:r>
          </w:p>
          <w:p>
            <w:pPr>
              <w:pStyle w:val="ListParagraph"/>
              <w:numPr>
                <w:ilvl w:val="0"/>
                <w:numId w:val="2"/>
              </w:numPr>
              <w:spacing w:after="45"/>
            </w:pPr>
            <w:r>
              <w:rPr>
                <w:sz w:val="15"/>
                <w:szCs w:val="15"/>
              </w:rPr>
              <w:t xml:space="preserve">The effect of FGFR inhibition on overall survival is still under investigation in three randomised first-line trials, which were enrolling slowly at the time of writing</w:t>
            </w:r>
          </w:p>
          <w:p>
            <w:pPr>
              <w:pStyle w:val="ListParagraph"/>
              <w:numPr>
                <w:ilvl w:val="0"/>
                <w:numId w:val="2"/>
              </w:numPr>
              <w:spacing w:after="45"/>
            </w:pPr>
            <w:r>
              <w:rPr>
                <w:sz w:val="15"/>
                <w:szCs w:val="15"/>
              </w:rPr>
              <w:t xml:space="preserve">Conditional regulatory and reimbursement approval was granted on the basis of single-group data because the cancer is uncommon</w:t>
            </w:r>
          </w:p>
          <w:p>
            <w:pPr>
              <w:pStyle w:val="ListParagraph"/>
              <w:numPr>
                <w:ilvl w:val="0"/>
                <w:numId w:val="2"/>
              </w:numPr>
              <w:spacing w:after="45"/>
            </w:pPr>
            <w:r>
              <w:rPr>
                <w:sz w:val="15"/>
                <w:szCs w:val="15"/>
              </w:rPr>
              <w:t xml:space="preserve">All biomarker and subgroup analyses were exploratory</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No comparator means the 42% response rate cannot be converted into a benefit estimate, and the comparisons the paper offers, 35.5% for pemigatinib and 23.1% for infigratinib, are cross-trial with different eligibility and different central review processes</w:t>
            </w:r>
          </w:p>
          <w:p>
            <w:pPr>
              <w:pStyle w:val="ListParagraph"/>
              <w:numPr>
                <w:ilvl w:val="0"/>
                <w:numId w:val="2"/>
              </w:numPr>
              <w:spacing w:after="45"/>
            </w:pPr>
            <w:r>
              <w:rPr>
                <w:sz w:val="15"/>
                <w:szCs w:val="15"/>
              </w:rPr>
              <w:t xml:space="preserve">Median overall survival of 21.7 months has an upper bound of not reached at a median follow-up of 17.1 months, so the figure most often quoted from this trial is estimated from a follow-up shorter than the median it reports</w:t>
            </w:r>
          </w:p>
          <w:p>
            <w:pPr>
              <w:pStyle w:val="ListParagraph"/>
              <w:numPr>
                <w:ilvl w:val="0"/>
                <w:numId w:val="2"/>
              </w:numPr>
              <w:spacing w:after="45"/>
            </w:pPr>
            <w:r>
              <w:rPr>
                <w:sz w:val="15"/>
                <w:szCs w:val="15"/>
              </w:rPr>
              <w:t xml:space="preserve">Only 6 of 43 responders (14%) responded for 12 months or more, while 72% responded for at least 6 months; the durability claim therefore rests on a 6-month landmark, and the 12-month picture is much weaker than the headline suggests</w:t>
            </w:r>
          </w:p>
          <w:p>
            <w:pPr>
              <w:pStyle w:val="ListParagraph"/>
              <w:numPr>
                <w:ilvl w:val="0"/>
                <w:numId w:val="2"/>
              </w:numPr>
              <w:spacing w:after="45"/>
            </w:pPr>
            <w:r>
              <w:rPr>
                <w:sz w:val="15"/>
                <w:szCs w:val="15"/>
              </w:rPr>
              <w:t xml:space="preserve">Hyperphosphataemia affected 85% of patients with grade 3 in 30%, and dose interruptions occurred in 50% and reductions in 54%, so more than half of patients were not taking 20 mg daily; the response rate is attributed to a dose most patients did not maintain</w:t>
            </w:r>
          </w:p>
          <w:p>
            <w:pPr>
              <w:pStyle w:val="ListParagraph"/>
              <w:numPr>
                <w:ilvl w:val="0"/>
                <w:numId w:val="2"/>
              </w:numPr>
              <w:spacing w:after="45"/>
            </w:pPr>
            <w:r>
              <w:rPr>
                <w:sz w:val="15"/>
                <w:szCs w:val="15"/>
              </w:rPr>
              <w:t xml:space="preserve">The CDKN2A and CDKN2B progression-free survival differences, 4.9 against 9.7 and 4.8 against 11.0 months, are exploratory subgroup comparisons with unadjusted intervals, yet they are the paper's main prognostic claim</w:t>
            </w:r>
          </w:p>
          <w:p>
            <w:pPr>
              <w:pStyle w:val="ListParagraph"/>
              <w:numPr>
                <w:ilvl w:val="0"/>
                <w:numId w:val="2"/>
              </w:numPr>
              <w:spacing w:after="45"/>
            </w:pPr>
            <w:r>
              <w:rPr>
                <w:sz w:val="15"/>
                <w:szCs w:val="15"/>
              </w:rPr>
              <w:t xml:space="preserve">783 patients were screened for 103 enrolled, and the paper notes tissue profiling failure in biliary cancer reaching 26.8%, so eligibility depends on an assay pipeline whose performance determines whether the result is reachable at all</w:t>
            </w:r>
          </w:p>
          <w:p>
            <w:pPr>
              <w:pStyle w:val="ListParagraph"/>
              <w:numPr>
                <w:ilvl w:val="0"/>
                <w:numId w:val="2"/>
              </w:numPr>
              <w:spacing w:after="45"/>
            </w:pPr>
            <w:r>
              <w:rPr>
                <w:sz w:val="15"/>
                <w:szCs w:val="15"/>
              </w:rPr>
              <w:t xml:space="preserve">Circulating tumour DNA detected the alteration in 83 of 95 tested (87%), which is presented as supporting ctDNA profiling although 12 of 95 known-positive patients were missed, a 13% false-negative rate in patients already known to carry the fusion</w:t>
            </w:r>
          </w:p>
          <w:p>
            <w:pPr>
              <w:pStyle w:val="ListParagraph"/>
              <w:numPr>
                <w:ilvl w:val="0"/>
                <w:numId w:val="2"/>
              </w:numPr>
              <w:spacing w:after="45"/>
            </w:pPr>
            <w:r>
              <w:rPr>
                <w:sz w:val="15"/>
                <w:szCs w:val="15"/>
              </w:rPr>
              <w:t xml:space="preserve">The sponsors designed the trial, employ co-authors, funded the writing and hold confidentiality agreements with the authors, and the drug received accelerated approval on exactly these single-arm data</w:t>
            </w:r>
          </w:p>
          <w:p>
            <w:pPr>
              <w:pStyle w:val="ListParagraph"/>
              <w:numPr>
                <w:ilvl w:val="0"/>
                <w:numId w:val="2"/>
              </w:numPr>
              <w:spacing w:after="45"/>
            </w:pPr>
            <w:r>
              <w:rPr>
                <w:sz w:val="15"/>
                <w:szCs w:val="15"/>
              </w:rPr>
              <w:t xml:space="preserve">This is a second-line-or-later population with unresectable or metastatic disease, so the trial provides no evidence for neoadjuvant FGFR inhibition, conversion to resection or any perioperative use, which is where surgeons are now asked about it</w:t>
            </w:r>
          </w:p>
          <w:p>
            <w:pPr>
              <w:pStyle w:val="ListParagraph"/>
              <w:numPr>
                <w:ilvl w:val="0"/>
                <w:numId w:val="2"/>
              </w:numPr>
              <w:spacing w:after="45"/>
            </w:pPr>
            <w:r>
              <w:rPr>
                <w:sz w:val="15"/>
                <w:szCs w:val="15"/>
              </w:rPr>
              <w:t xml:space="preserve">Quality of life is reported as maintained from EORTC QLQ-C30 scores across 9.0 months in a single-arm trial, where stability can equally reflect who remained on study long enough to complete questionnaires</w:t>
            </w:r>
          </w:p>
          <w:p>
            <w:pPr>
              <w:pStyle w:val="ListParagraph"/>
              <w:numPr>
                <w:ilvl w:val="0"/>
                <w:numId w:val="2"/>
              </w:numPr>
              <w:spacing w:after="45"/>
            </w:pPr>
            <w:r>
              <w:rPr>
                <w:sz w:val="15"/>
                <w:szCs w:val="15"/>
              </w:rPr>
              <w:t xml:space="preserve">No linked editorial or comment was found in PubMed, so no independent published appraisal accompanies the approval-supporting data</w:t>
            </w:r>
          </w:p>
        </w:tc>
      </w:tr>
    </w:tbl>
    <w:p>
      <w:pPr>
        <w:spacing w:after="0" w:line="276"/>
      </w:pPr>
      <w:r>
        <w:rPr>
          <w:color w:val="5A6069"/>
          <w:sz w:val="14"/>
          <w:szCs w:val="14"/>
        </w:rPr>
        <w:t xml:space="preserve">Funding: Taiho Oncology and Taiho Pharmaceutical, which designed the study, with sponsor employees as co-authors, sponsor-funded medical writing and editorial assistance, and author confidentiality agreements; one author was part-funded by the NIHR UCLH-UCL Biomedical Research Centre</w:t>
      </w:r>
    </w:p>
    <w:p>
      <w:pPr>
        <w:keepNext/>
        <w:spacing w:after="50" w:before="260"/>
      </w:pPr>
      <w:r>
        <w:rPr>
          <w:rFonts w:ascii="Cambria" w:cs="Cambria" w:eastAsia="Cambria" w:hAnsi="Cambria"/>
          <w:b/>
          <w:bCs/>
          <w:color w:val="17365D"/>
          <w:sz w:val="20"/>
          <w:szCs w:val="20"/>
        </w:rPr>
        <w:t xml:space="preserve">HERIZON-BTC-01</w:t>
      </w:r>
      <w:r>
        <w:rPr>
          <w:b/>
          <w:bCs/>
          <w:color w:val="176A87"/>
          <w:sz w:val="15"/>
          <w:szCs w:val="15"/>
        </w:rPr>
        <w:t xml:space="preserve">   Prospective trial</w:t>
      </w:r>
      <w:r>
        <w:rPr>
          <w:color w:val="5A6069"/>
          <w:sz w:val="15"/>
          <w:szCs w:val="15"/>
        </w:rPr>
        <w:t xml:space="preserve">   PMID 41264278</w:t>
      </w:r>
    </w:p>
    <w:p>
      <w:pPr>
        <w:spacing w:after="50" w:line="276"/>
      </w:pPr>
      <w:r>
        <w:rPr>
          <w:color w:val="5A6069"/>
          <w:sz w:val="17"/>
          <w:szCs w:val="17"/>
        </w:rPr>
        <w:t xml:space="preserve">Zanidatamab in HER2-Positive Metastatic Biliary Tract Cancer: Final Results From HERIZON-BTC-01</w:t>
      </w:r>
    </w:p>
    <w:p>
      <w:pPr>
        <w:spacing w:after="50"/>
      </w:pPr>
      <w:r>
        <w:rPr>
          <w:b/>
          <w:bCs/>
          <w:color w:val="176A87"/>
          <w:sz w:val="16"/>
          <w:szCs w:val="16"/>
        </w:rPr>
        <w:t xml:space="preserve">Population. </w:t>
      </w:r>
      <w:r>
        <w:rPr>
          <w:sz w:val="16"/>
          <w:szCs w:val="16"/>
        </w:rPr>
        <w:t xml:space="preserve">80 patients with ERBB2-amplified locally advanced or metastatic biliary tract cancer previously treated with gemcitabine-based chemotherapy, enrolled between September 2020 and March 2022, 62 with immunohistochemistry 3+ and 18 with 2+ tumours, followed for a median of 33.4 months</w:t>
      </w:r>
    </w:p>
    <w:p>
      <w:pPr>
        <w:spacing w:after="70"/>
      </w:pPr>
      <w:r>
        <w:rPr>
          <w:b/>
          <w:bCs/>
          <w:color w:val="17365D"/>
          <w:sz w:val="16"/>
          <w:szCs w:val="16"/>
        </w:rPr>
        <w:t xml:space="preserve">Bottom line. </w:t>
      </w:r>
      <w:r>
        <w:rPr>
          <w:sz w:val="16"/>
          <w:szCs w:val="16"/>
        </w:rPr>
        <w:t xml:space="preserve">The final HERIZON-BTC-01 analysis shows zanidatamab produces confirmed responses in 41% of HER2-positive biliary tract cancers after chemotherapy, with 52% in immunohistochemistry 3+ disease, a 14.9-month median duration of response and 18.1 months median survival in 3+ patients. Being single-arm with 44% of patients going on to further therapy, it cannot size the survival contribution, and the 2+ cohort of 18 patients shows essentially no activity. No results are reported by anatomical subsite, so the effect in iCCA is unknown.</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subset analyses were post hoc</w:t>
            </w:r>
          </w:p>
          <w:p>
            <w:pPr>
              <w:pStyle w:val="ListParagraph"/>
              <w:numPr>
                <w:ilvl w:val="0"/>
                <w:numId w:val="2"/>
              </w:numPr>
              <w:spacing w:after="45"/>
            </w:pPr>
            <w:r>
              <w:rPr>
                <w:sz w:val="15"/>
                <w:szCs w:val="15"/>
              </w:rPr>
              <w:t xml:space="preserve">Pain scores carry the potential of non-random missing data, with only 59 of 80 patients (74%) completing the item at both time points</w:t>
            </w:r>
          </w:p>
          <w:p>
            <w:pPr>
              <w:pStyle w:val="ListParagraph"/>
              <w:numPr>
                <w:ilvl w:val="0"/>
                <w:numId w:val="2"/>
              </w:numPr>
              <w:spacing w:after="45"/>
            </w:pPr>
            <w:r>
              <w:rPr>
                <w:sz w:val="15"/>
                <w:szCs w:val="15"/>
              </w:rPr>
              <w:t xml:space="preserve">The authors note that full eligibility criteria are in the primary report, this being published as a research letter</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A single-arm trial with no comparator cannot attribute a 15.5-month median survival to the drug, and 35 of 80 patients (44%) received further anticancer therapy after stopping zanidatamab, so the survival curve includes the effect of whatever came next</w:t>
            </w:r>
          </w:p>
          <w:p>
            <w:pPr>
              <w:pStyle w:val="ListParagraph"/>
              <w:numPr>
                <w:ilvl w:val="0"/>
                <w:numId w:val="2"/>
              </w:numPr>
              <w:spacing w:after="45"/>
            </w:pPr>
            <w:r>
              <w:rPr>
                <w:sz w:val="15"/>
                <w:szCs w:val="15"/>
              </w:rPr>
              <w:t xml:space="preserve">The immunohistochemistry 2+ cohort of 18 patients produced one response, 6% (1-27), with median survival of 5.2 months and progression-free survival of 1.7 months; the trial therefore shows the drug does not work in 2+ disease, which is how the ongoing phase 3 nevertheless defines part of its population</w:t>
            </w:r>
          </w:p>
          <w:p>
            <w:pPr>
              <w:pStyle w:val="ListParagraph"/>
              <w:numPr>
                <w:ilvl w:val="0"/>
                <w:numId w:val="2"/>
              </w:numPr>
              <w:spacing w:after="45"/>
            </w:pPr>
            <w:r>
              <w:rPr>
                <w:sz w:val="15"/>
                <w:szCs w:val="15"/>
              </w:rPr>
              <w:t xml:space="preserve">The 52% response rate quoted in practice is a post hoc subgroup confined to 3+ tumours, and the overall confirmed response rate on which approval rests is 41%</w:t>
            </w:r>
          </w:p>
          <w:p>
            <w:pPr>
              <w:pStyle w:val="ListParagraph"/>
              <w:numPr>
                <w:ilvl w:val="0"/>
                <w:numId w:val="2"/>
              </w:numPr>
              <w:spacing w:after="45"/>
            </w:pPr>
            <w:r>
              <w:rPr>
                <w:sz w:val="15"/>
                <w:szCs w:val="15"/>
              </w:rPr>
              <w:t xml:space="preserve">No breakdown by anatomical subsite is reported anywhere, so the effect in intrahepatic cholangiocarcinoma specifically is unknown even though HER2 testing is now done on iCCA</w:t>
            </w:r>
          </w:p>
          <w:p>
            <w:pPr>
              <w:pStyle w:val="ListParagraph"/>
              <w:numPr>
                <w:ilvl w:val="0"/>
                <w:numId w:val="2"/>
              </w:numPr>
              <w:spacing w:after="45"/>
            </w:pPr>
            <w:r>
              <w:rPr>
                <w:sz w:val="15"/>
                <w:szCs w:val="15"/>
              </w:rPr>
              <w:t xml:space="preserve">Pain is the only patient-reported outcome, measured at two time points on a single Brief Pain Inventory item, and the comparison is between responders and progressors rather than between treatments, so it describes what responding to treatment feels like and not what the drug does</w:t>
            </w:r>
          </w:p>
          <w:p>
            <w:pPr>
              <w:pStyle w:val="ListParagraph"/>
              <w:numPr>
                <w:ilvl w:val="0"/>
                <w:numId w:val="2"/>
              </w:numPr>
              <w:spacing w:after="45"/>
            </w:pPr>
            <w:r>
              <w:rPr>
                <w:sz w:val="15"/>
                <w:szCs w:val="15"/>
              </w:rPr>
              <w:t xml:space="preserve">Decreased ejection fraction occurred in 3 of 80 patients (3.8%) at grade 3 on a HER2-directed antibody, with no routine cardiac monitoring protocol or cumulative cardiac follow-up reported in this letter</w:t>
            </w:r>
          </w:p>
          <w:p>
            <w:pPr>
              <w:pStyle w:val="ListParagraph"/>
              <w:numPr>
                <w:ilvl w:val="0"/>
                <w:numId w:val="2"/>
              </w:numPr>
              <w:spacing w:after="45"/>
            </w:pPr>
            <w:r>
              <w:rPr>
                <w:sz w:val="15"/>
                <w:szCs w:val="15"/>
              </w:rPr>
              <w:t xml:space="preserve">The report is a research letter with eligibility given only in outline, so the enrolment criteria behind the final survival figures cannot be checked against this publication</w:t>
            </w:r>
          </w:p>
          <w:p>
            <w:pPr>
              <w:pStyle w:val="ListParagraph"/>
              <w:numPr>
                <w:ilvl w:val="0"/>
                <w:numId w:val="2"/>
              </w:numPr>
              <w:spacing w:after="45"/>
            </w:pPr>
            <w:r>
              <w:rPr>
                <w:sz w:val="15"/>
                <w:szCs w:val="15"/>
              </w:rPr>
              <w:t xml:space="preserve">Three companies funded the trial and were involved in its design, conduct, analysis and manuscript approval, with company employees as authors, and the drug has accelerated US approval on exactly these single-arm data</w:t>
            </w:r>
          </w:p>
          <w:p>
            <w:pPr>
              <w:pStyle w:val="ListParagraph"/>
              <w:numPr>
                <w:ilvl w:val="0"/>
                <w:numId w:val="2"/>
              </w:numPr>
              <w:spacing w:after="45"/>
            </w:pPr>
            <w:r>
              <w:rPr>
                <w:sz w:val="15"/>
                <w:szCs w:val="15"/>
              </w:rPr>
              <w:t xml:space="preserve">The median duration of response of 14.9 months has a confidence interval of 7.4 to 24.0 months in 33 responders, so the durability claim is imprecise at the scale that matters clinically</w:t>
            </w:r>
          </w:p>
          <w:p>
            <w:pPr>
              <w:pStyle w:val="ListParagraph"/>
              <w:numPr>
                <w:ilvl w:val="0"/>
                <w:numId w:val="2"/>
              </w:numPr>
              <w:spacing w:after="45"/>
            </w:pPr>
            <w:r>
              <w:rPr>
                <w:sz w:val="15"/>
                <w:szCs w:val="15"/>
              </w:rPr>
              <w:t xml:space="preserve">ERBB2 amplification was the entry criterion but response tracked immunohistochemistry, not amplification, and the paper does not report how many 2+ patients were amplified, so the selection assay that should be used is left unresolved</w:t>
            </w:r>
          </w:p>
          <w:p>
            <w:pPr>
              <w:pStyle w:val="ListParagraph"/>
              <w:numPr>
                <w:ilvl w:val="0"/>
                <w:numId w:val="2"/>
              </w:numPr>
              <w:spacing w:after="45"/>
            </w:pPr>
            <w:r>
              <w:rPr>
                <w:sz w:val="15"/>
                <w:szCs w:val="15"/>
              </w:rPr>
              <w:t xml:space="preserve">No linked editorial or comment was found in PubMed, so no independent published appraisal accompanies the final analysis</w:t>
            </w:r>
          </w:p>
        </w:tc>
      </w:tr>
    </w:tbl>
    <w:p>
      <w:pPr>
        <w:spacing w:after="0" w:line="276"/>
      </w:pPr>
      <w:r>
        <w:rPr>
          <w:color w:val="5A6069"/>
          <w:sz w:val="14"/>
          <w:szCs w:val="14"/>
        </w:rPr>
        <w:t xml:space="preserve">Funding: Supported by BeOne Medicines, Jazz Pharmaceuticals and Zymeworks; Zymeworks and BeOne were involved in the design and conduct, all three in the collection, management, analysis and interpretation of the data and in the preparation, review and approval of the manuscript, with company employees among the authors</w:t>
      </w:r>
    </w:p>
    <w:p>
      <w:pPr>
        <w:keepNext/>
        <w:spacing w:after="50" w:before="260"/>
      </w:pPr>
      <w:r>
        <w:rPr>
          <w:rFonts w:ascii="Cambria" w:cs="Cambria" w:eastAsia="Cambria" w:hAnsi="Cambria"/>
          <w:b/>
          <w:bCs/>
          <w:color w:val="17365D"/>
          <w:sz w:val="20"/>
          <w:szCs w:val="20"/>
        </w:rPr>
        <w:t xml:space="preserve">Hong proton phase II</w:t>
      </w:r>
      <w:r>
        <w:rPr>
          <w:b/>
          <w:bCs/>
          <w:color w:val="176A87"/>
          <w:sz w:val="15"/>
          <w:szCs w:val="15"/>
        </w:rPr>
        <w:t xml:space="preserve">   Prospective trial</w:t>
      </w:r>
      <w:r>
        <w:rPr>
          <w:color w:val="5A6069"/>
          <w:sz w:val="15"/>
          <w:szCs w:val="15"/>
        </w:rPr>
        <w:t xml:space="preserve">   PMID 26668346</w:t>
      </w:r>
    </w:p>
    <w:p>
      <w:pPr>
        <w:spacing w:after="50" w:line="276"/>
      </w:pPr>
      <w:r>
        <w:rPr>
          <w:color w:val="5A6069"/>
          <w:sz w:val="17"/>
          <w:szCs w:val="17"/>
        </w:rPr>
        <w:t xml:space="preserve">Multi-Institutional Phase II Study of High-Dose Hypofractionated Proton Beam Therapy in Patients With Localized, Unresectable Hepatocellular Carcinoma and Intrahepatic Cholangiocarcinoma</w:t>
      </w:r>
    </w:p>
    <w:p>
      <w:pPr>
        <w:spacing w:after="50"/>
      </w:pPr>
      <w:r>
        <w:rPr>
          <w:b/>
          <w:bCs/>
          <w:color w:val="176A87"/>
          <w:sz w:val="16"/>
          <w:szCs w:val="16"/>
        </w:rPr>
        <w:t xml:space="preserve">Population. </w:t>
      </w:r>
      <w:r>
        <w:rPr>
          <w:sz w:val="16"/>
          <w:szCs w:val="16"/>
        </w:rPr>
        <w:t xml:space="preserve">83 evaluable patients of 92 consented at Massachusetts General Hospital, MD Anderson and the University of Pennsylvania between November 2009 and February 2015, comprising 44 with hepatocellular carcinoma and 39 with intrahepatic cholangiocarcinoma (37 pure plus 2 mixed); the iCCA cohort had a median longest tumour dimension of 6.0 cm (2.2 to 10.9), 89.7% without cirrhosis and 61.5% previously treated with chemotherapy</w:t>
      </w:r>
    </w:p>
    <w:p>
      <w:pPr>
        <w:spacing w:after="70"/>
      </w:pPr>
      <w:r>
        <w:rPr>
          <w:b/>
          <w:bCs/>
          <w:color w:val="17365D"/>
          <w:sz w:val="16"/>
          <w:szCs w:val="16"/>
        </w:rPr>
        <w:t xml:space="preserve">Bottom line. </w:t>
      </w:r>
      <w:r>
        <w:rPr>
          <w:sz w:val="16"/>
          <w:szCs w:val="16"/>
        </w:rPr>
        <w:t xml:space="preserve">This multi-institutional phase 2 trial shows that 15-fraction high-dose proton therapy can be delivered to large liver tumours with 4.8% grade 3 toxicity and almost no decline in liver function, and reports 94.1% 2-year local control and 22.5 months median survival in its 39 iCCA patients. The iCCA cohort had no efficacy hypothesis, no control arm and no central review, so none of that is evidence of a survival benefit. Local failures kept accruing past the two-year landmark, and 54% of iCCA patients developed distant metastases, so local control was not what limited them.</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intrahepatic cholangiocarcinoma cohort was enrolled in parallel with no efficacy hypothesis, only for precision of estimates, so the powered endpoint applies to the hepatocellular cohort</w:t>
            </w:r>
          </w:p>
          <w:p>
            <w:pPr>
              <w:pStyle w:val="ListParagraph"/>
              <w:numPr>
                <w:ilvl w:val="0"/>
                <w:numId w:val="2"/>
              </w:numPr>
              <w:spacing w:after="45"/>
            </w:pPr>
            <w:r>
              <w:rPr>
                <w:sz w:val="15"/>
                <w:szCs w:val="15"/>
              </w:rPr>
              <w:t xml:space="preserve">The authors recognise the limitations of the linear-quadratic model in comparing their 15-fraction schedule with the 6-fraction Princess Margaret schedule, and note the median doses differ substantially in 2-Gy equivalents, 67 Gy against 48 Gy</w:t>
            </w:r>
          </w:p>
          <w:p>
            <w:pPr>
              <w:pStyle w:val="ListParagraph"/>
              <w:numPr>
                <w:ilvl w:val="0"/>
                <w:numId w:val="2"/>
              </w:numPr>
              <w:spacing w:after="45"/>
            </w:pPr>
            <w:r>
              <w:rPr>
                <w:sz w:val="15"/>
                <w:szCs w:val="15"/>
              </w:rPr>
              <w:t xml:space="preserve">They concede that part of the difference in local control may relate to the fractionation schedule used rather than to protons</w:t>
            </w:r>
          </w:p>
          <w:p>
            <w:pPr>
              <w:pStyle w:val="ListParagraph"/>
              <w:numPr>
                <w:ilvl w:val="0"/>
                <w:numId w:val="2"/>
              </w:numPr>
              <w:spacing w:after="45"/>
            </w:pPr>
            <w:r>
              <w:rPr>
                <w:sz w:val="15"/>
                <w:szCs w:val="15"/>
              </w:rPr>
              <w:t xml:space="preserve">They attribute part of the overall survival difference from the Princess Margaret study to the effect of protons versus photons on post-treatment hepatic function, an inference rather than a measurement</w:t>
            </w:r>
          </w:p>
          <w:p>
            <w:pPr>
              <w:pStyle w:val="ListParagraph"/>
              <w:numPr>
                <w:ilvl w:val="0"/>
                <w:numId w:val="2"/>
              </w:numPr>
              <w:spacing w:after="45"/>
            </w:pPr>
            <w:r>
              <w:rPr>
                <w:sz w:val="15"/>
                <w:szCs w:val="15"/>
              </w:rPr>
              <w:t xml:space="preserve">They acknowledge that the comparison with the ABC-02 gemcitabine-cisplatin median of 11.7 months is confounded because only 27% of ABC-02 patients had locally advanced disease</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94.1% 2-year local control figure quoted for iCCA is measured at a landmark the disease then crosses: four further local failures occurred beyond 24 months, for six in 39 patients, while median follow-up among survivors was only 19.5 months, so the headline is a snapshot taken before the failures arrived</w:t>
            </w:r>
          </w:p>
          <w:p>
            <w:pPr>
              <w:pStyle w:val="ListParagraph"/>
              <w:numPr>
                <w:ilvl w:val="0"/>
                <w:numId w:val="2"/>
              </w:numPr>
              <w:spacing w:after="45"/>
            </w:pPr>
            <w:r>
              <w:rPr>
                <w:sz w:val="15"/>
                <w:szCs w:val="15"/>
              </w:rPr>
              <w:t xml:space="preserve">Local control was scored by RECIST 1.0 size criteria with progression determined by the interpreting radiologist and confirmed by the treating physician, with no central review; size criteria systematically overstate control after ablative radiation because treated tumours do not shrink</w:t>
            </w:r>
          </w:p>
          <w:p>
            <w:pPr>
              <w:pStyle w:val="ListParagraph"/>
              <w:numPr>
                <w:ilvl w:val="0"/>
                <w:numId w:val="2"/>
              </w:numPr>
              <w:spacing w:after="45"/>
            </w:pPr>
            <w:r>
              <w:rPr>
                <w:sz w:val="15"/>
                <w:szCs w:val="15"/>
              </w:rPr>
              <w:t xml:space="preserve">Median delivered dose was 58.0 GyE against an intended maximum of 67.5 GyE, and all eight local progressions occurred below 60 GyE, so the trial does not establish the dose its own data imply is needed</w:t>
            </w:r>
          </w:p>
          <w:p>
            <w:pPr>
              <w:pStyle w:val="ListParagraph"/>
              <w:numPr>
                <w:ilvl w:val="0"/>
                <w:numId w:val="2"/>
              </w:numPr>
              <w:spacing w:after="45"/>
            </w:pPr>
            <w:r>
              <w:rPr>
                <w:sz w:val="15"/>
                <w:szCs w:val="15"/>
              </w:rPr>
              <w:t xml:space="preserve">Distant failure dominated in the iCCA cohort, 21 of 39 (53.8%) with metastases and only 8 of 39 (20.5%) alive without progression, which means local control in this histology bought little and the paper's primary measure is the one least relevant to outcome</w:t>
            </w:r>
          </w:p>
          <w:p>
            <w:pPr>
              <w:pStyle w:val="ListParagraph"/>
              <w:numPr>
                <w:ilvl w:val="0"/>
                <w:numId w:val="2"/>
              </w:numPr>
              <w:spacing w:after="45"/>
            </w:pPr>
            <w:r>
              <w:rPr>
                <w:sz w:val="15"/>
                <w:szCs w:val="15"/>
              </w:rPr>
              <w:t xml:space="preserve">The 22-month median survival has a confidence interval of 12.4 to 49.7 months in 39 patients, an interval too wide to compare with any other series, yet it is set against ABC-02's 11.7 months in the discussion</w:t>
            </w:r>
          </w:p>
          <w:p>
            <w:pPr>
              <w:pStyle w:val="ListParagraph"/>
              <w:numPr>
                <w:ilvl w:val="0"/>
                <w:numId w:val="2"/>
              </w:numPr>
              <w:spacing w:after="45"/>
            </w:pPr>
            <w:r>
              <w:rPr>
                <w:sz w:val="15"/>
                <w:szCs w:val="15"/>
              </w:rPr>
              <w:t xml:space="preserve">The vascular thrombosis hazard ratio of 3.615 (1.303-10.025) comes from 11 affected patients, so the only significant prognostic finding rests on a handful of events with an interval spanning nearly an order of magnitude</w:t>
            </w:r>
          </w:p>
          <w:p>
            <w:pPr>
              <w:pStyle w:val="ListParagraph"/>
              <w:numPr>
                <w:ilvl w:val="0"/>
                <w:numId w:val="2"/>
              </w:numPr>
              <w:spacing w:after="45"/>
            </w:pPr>
            <w:r>
              <w:rPr>
                <w:sz w:val="15"/>
                <w:szCs w:val="15"/>
              </w:rPr>
              <w:t xml:space="preserve">Dose was de-escalated as needed to keep mean uninvolved liver dose at or below 24 GyE, so dose was assigned by anatomy; patients with more favourable anatomy received more dose, which confounds the dose-outcome relationship the discussion relies on</w:t>
            </w:r>
          </w:p>
          <w:p>
            <w:pPr>
              <w:pStyle w:val="ListParagraph"/>
              <w:numPr>
                <w:ilvl w:val="0"/>
                <w:numId w:val="2"/>
              </w:numPr>
              <w:spacing w:after="45"/>
            </w:pPr>
            <w:r>
              <w:rPr>
                <w:sz w:val="15"/>
                <w:szCs w:val="15"/>
              </w:rPr>
              <w:t xml:space="preserve">Two of the 39 iCCA patients had mixed hepatocellular-cholangiocarcinoma tumours and are counted in the cohort, a histology excluded from most iCCA series</w:t>
            </w:r>
          </w:p>
          <w:p>
            <w:pPr>
              <w:pStyle w:val="ListParagraph"/>
              <w:numPr>
                <w:ilvl w:val="0"/>
                <w:numId w:val="2"/>
              </w:numPr>
              <w:spacing w:after="45"/>
            </w:pPr>
            <w:r>
              <w:rPr>
                <w:sz w:val="15"/>
                <w:szCs w:val="15"/>
              </w:rPr>
              <w:t xml:space="preserve">Proton therapy was available only at the three participating centres, so nothing in the trial addresses whether the same schedule delivered with photons would give the same result; the randomised answer was deferred to NRG GI-001, which later closed early for poor accrual</w:t>
            </w:r>
          </w:p>
          <w:p>
            <w:pPr>
              <w:pStyle w:val="ListParagraph"/>
              <w:numPr>
                <w:ilvl w:val="0"/>
                <w:numId w:val="2"/>
              </w:numPr>
              <w:spacing w:after="45"/>
            </w:pPr>
            <w:r>
              <w:rPr>
                <w:sz w:val="15"/>
                <w:szCs w:val="15"/>
              </w:rPr>
              <w:t xml:space="preserve">61.5% had received previous chemotherapy with no analysis by prior treatment, so the cohort mixes first-line and salvage radiation</w:t>
            </w:r>
          </w:p>
          <w:p>
            <w:pPr>
              <w:pStyle w:val="ListParagraph"/>
              <w:numPr>
                <w:ilvl w:val="0"/>
                <w:numId w:val="2"/>
              </w:numPr>
              <w:spacing w:after="45"/>
            </w:pPr>
            <w:r>
              <w:rPr>
                <w:sz w:val="15"/>
                <w:szCs w:val="15"/>
              </w:rPr>
              <w:t xml:space="preserve">The 4.8% grade 3 toxicity rate is based on radiation-related events in 83 patients across two histologies, and the iCCA-specific rate is 7.7%, three patients, of which one was liver failure with ascites; a toxicity claim at that denominator cannot exclude a clinically meaningful rate</w:t>
            </w:r>
          </w:p>
          <w:p>
            <w:pPr>
              <w:pStyle w:val="ListParagraph"/>
              <w:numPr>
                <w:ilvl w:val="0"/>
                <w:numId w:val="2"/>
              </w:numPr>
              <w:spacing w:after="45"/>
            </w:pPr>
            <w:r>
              <w:rPr>
                <w:sz w:val="15"/>
                <w:szCs w:val="15"/>
              </w:rPr>
              <w:t xml:space="preserve">No linked editorial or comment was found in PubMed, so no independent published appraisal accompanies the result</w:t>
            </w:r>
          </w:p>
        </w:tc>
      </w:tr>
    </w:tbl>
    <w:p>
      <w:pPr>
        <w:spacing w:after="0" w:line="276"/>
      </w:pPr>
      <w:r>
        <w:rPr>
          <w:color w:val="5A6069"/>
          <w:sz w:val="14"/>
          <w:szCs w:val="14"/>
        </w:rPr>
        <w:t xml:space="preserve">Funding: Supported by National Institutes of Health grant 2P01CA021239-29A1 and in part by a Cancer Clinical Investigator Team Leadership Award from the National Cancer Institute through a supplement to grant P30CA006516; author disclosures are posted online rather than printed</w:t>
      </w:r>
    </w:p>
    <w:p>
      <w:pPr>
        <w:keepNext/>
        <w:spacing w:after="50" w:before="260"/>
      </w:pPr>
      <w:r>
        <w:rPr>
          <w:rFonts w:ascii="Cambria" w:cs="Cambria" w:eastAsia="Cambria" w:hAnsi="Cambria"/>
          <w:b/>
          <w:bCs/>
          <w:color w:val="17365D"/>
          <w:sz w:val="20"/>
          <w:szCs w:val="20"/>
        </w:rPr>
        <w:t xml:space="preserve">ILTS-ILCA 2024 (Liver Transpl)</w:t>
      </w:r>
      <w:r>
        <w:rPr>
          <w:b/>
          <w:bCs/>
          <w:color w:val="176A87"/>
          <w:sz w:val="15"/>
          <w:szCs w:val="15"/>
        </w:rPr>
        <w:t xml:space="preserve">   Consensus statement</w:t>
      </w:r>
      <w:r>
        <w:rPr>
          <w:color w:val="5A6069"/>
          <w:sz w:val="15"/>
          <w:szCs w:val="15"/>
        </w:rPr>
        <w:t xml:space="preserve">   PMID 40014003</w:t>
      </w:r>
    </w:p>
    <w:p>
      <w:pPr>
        <w:spacing w:after="50" w:line="276"/>
      </w:pPr>
      <w:r>
        <w:rPr>
          <w:color w:val="5A6069"/>
          <w:sz w:val="17"/>
          <w:szCs w:val="17"/>
        </w:rPr>
        <w:t xml:space="preserve">The 2024 ILTS-ILCA consensus recommendations for liver transplantation for HCC and intrahepatic cholangiocarcinoma</w:t>
      </w:r>
    </w:p>
    <w:p>
      <w:pPr>
        <w:spacing w:after="50"/>
      </w:pPr>
      <w:r>
        <w:rPr>
          <w:b/>
          <w:bCs/>
          <w:color w:val="176A87"/>
          <w:sz w:val="16"/>
          <w:szCs w:val="16"/>
        </w:rPr>
        <w:t xml:space="preserve">Population. </w:t>
      </w:r>
      <w:r>
        <w:rPr>
          <w:sz w:val="16"/>
          <w:szCs w:val="16"/>
        </w:rPr>
        <w:t xml:space="preserve">120 participants at the Valencia consensus conference, with seven working groups of 6-7 experts and an external jury of 8, producing 54 recommendations; Working Group F covered iCCA and there is no patient cohort</w:t>
      </w:r>
    </w:p>
    <w:p>
      <w:pPr>
        <w:spacing w:after="70"/>
      </w:pPr>
      <w:r>
        <w:rPr>
          <w:b/>
          <w:bCs/>
          <w:color w:val="17365D"/>
          <w:sz w:val="16"/>
          <w:szCs w:val="16"/>
        </w:rPr>
        <w:t xml:space="preserve">Bottom line. </w:t>
      </w:r>
      <w:r>
        <w:rPr>
          <w:sz w:val="16"/>
          <w:szCs w:val="16"/>
        </w:rPr>
        <w:t xml:space="preserve">A 120-participant Delphi consensus that records where transplant oncologists currently agree: cirrhotic iCCA of 3 cm or less after a period of stability may be considered, and everything larger or non-cirrhotic belongs in trials. It establishes agreement, not evidence, since every iCCA statement is graded low or moderate and rests on single-centre retrospective series spanning 25% to 73% 5-year survival. The 3 cm figure is not derived in any cited study, and the document sets no duration for the stability it requires.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Most reports describing outcomes after transplantation for iCCA have been single-centre retrospective studies, which the panel states limits their applicability to a wider population</w:t>
            </w:r>
          </w:p>
          <w:p>
            <w:pPr>
              <w:pStyle w:val="ListParagraph"/>
              <w:numPr>
                <w:ilvl w:val="0"/>
                <w:numId w:val="2"/>
              </w:numPr>
              <w:spacing w:after="45"/>
            </w:pPr>
            <w:r>
              <w:rPr>
                <w:sz w:val="15"/>
                <w:szCs w:val="15"/>
              </w:rPr>
              <w:t xml:space="preserve">Transplantation for large or locally advanced iCCA, and for patients without cirrhosis, was controversial among participants and no agreement was reached for that population</w:t>
            </w:r>
          </w:p>
          <w:p>
            <w:pPr>
              <w:pStyle w:val="ListParagraph"/>
              <w:numPr>
                <w:ilvl w:val="0"/>
                <w:numId w:val="2"/>
              </w:numPr>
              <w:spacing w:after="45"/>
            </w:pPr>
            <w:r>
              <w:rPr>
                <w:sz w:val="15"/>
                <w:szCs w:val="15"/>
              </w:rPr>
              <w:t xml:space="preserve">Limits on tumour size and number for non-cirrhotic patients should be explored in prospective clinical trials</w:t>
            </w:r>
          </w:p>
          <w:p>
            <w:pPr>
              <w:pStyle w:val="ListParagraph"/>
              <w:numPr>
                <w:ilvl w:val="0"/>
                <w:numId w:val="2"/>
              </w:numPr>
              <w:spacing w:after="45"/>
            </w:pPr>
            <w:r>
              <w:rPr>
                <w:sz w:val="15"/>
                <w:szCs w:val="15"/>
              </w:rPr>
              <w:t xml:space="preserve">There is no evidence to support molecular profiling for transplant selection, and no recommendation can be made for liquid biopsy in post-transplant surveillance</w:t>
            </w:r>
          </w:p>
          <w:p>
            <w:pPr>
              <w:pStyle w:val="ListParagraph"/>
              <w:numPr>
                <w:ilvl w:val="0"/>
                <w:numId w:val="2"/>
              </w:numPr>
              <w:spacing w:after="45"/>
            </w:pPr>
            <w:r>
              <w:rPr>
                <w:sz w:val="15"/>
                <w:szCs w:val="15"/>
              </w:rPr>
              <w:t xml:space="preserve">Three recommendations failed the external jury vote because of how the statements were framed and were sent back to the working group leads for editing and clarification</w:t>
            </w:r>
          </w:p>
          <w:p>
            <w:pPr>
              <w:pStyle w:val="ListParagraph"/>
              <w:numPr>
                <w:ilvl w:val="0"/>
                <w:numId w:val="2"/>
              </w:numPr>
              <w:spacing w:after="45"/>
            </w:pPr>
            <w:r>
              <w:rPr>
                <w:sz w:val="15"/>
                <w:szCs w:val="15"/>
              </w:rPr>
              <w:t xml:space="preserve">Data on downstaging outcomes are limited, with most studies small, retrospective and prone to selection bias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3 cm ceiling for cirrhotic patients is graded moderate evidence, but the cirrhotic series it comes from studied single tumours of 2 cm or less and its only data above 2 cm is a six-patient post hoc subgroup; no study cited in the document derived 3 cm prospectively</w:t>
            </w:r>
          </w:p>
          <w:p>
            <w:pPr>
              <w:pStyle w:val="ListParagraph"/>
              <w:numPr>
                <w:ilvl w:val="0"/>
                <w:numId w:val="2"/>
              </w:numPr>
              <w:spacing w:after="45"/>
            </w:pPr>
            <w:r>
              <w:rPr>
                <w:sz w:val="15"/>
                <w:szCs w:val="15"/>
              </w:rPr>
              <w:t xml:space="preserve">The cirrhotic recommendation requires 'a period of observed radiographic stability' without naming a duration, while the non-cirrhotic recommendation specifies at least 6 months; the statement given the stronger grade is the one a centre cannot actually operationalise</w:t>
            </w:r>
          </w:p>
          <w:p>
            <w:pPr>
              <w:pStyle w:val="ListParagraph"/>
              <w:numPr>
                <w:ilvl w:val="0"/>
                <w:numId w:val="2"/>
              </w:numPr>
              <w:spacing w:after="45"/>
            </w:pPr>
            <w:r>
              <w:rPr>
                <w:sz w:val="15"/>
                <w:szCs w:val="15"/>
              </w:rPr>
              <w:t xml:space="preserve">The evidence base is summarised as 25% to 73% 5-year overall survival and 29% to 82% recurrence-free survival, a spread wide enough to include outcomes no better than non-surgical treatment, and that same spread is what supports a moderate-strength recommendation</w:t>
            </w:r>
          </w:p>
          <w:p>
            <w:pPr>
              <w:pStyle w:val="ListParagraph"/>
              <w:numPr>
                <w:ilvl w:val="0"/>
                <w:numId w:val="2"/>
              </w:numPr>
              <w:spacing w:after="45"/>
            </w:pPr>
            <w:r>
              <w:rPr>
                <w:sz w:val="15"/>
                <w:szCs w:val="15"/>
              </w:rPr>
              <w:t xml:space="preserve">An 80% Delphi threshold among 120 participants who chose to attend measures agreement among a self-selected group, not the strength of the underlying data, and the actual vote proportions for the individual iCCA statements are not reported, so a statement carried at 80% reads identically to one carried unanimously</w:t>
            </w:r>
          </w:p>
          <w:p>
            <w:pPr>
              <w:pStyle w:val="ListParagraph"/>
              <w:numPr>
                <w:ilvl w:val="0"/>
                <w:numId w:val="2"/>
              </w:numPr>
              <w:spacing w:after="45"/>
            </w:pPr>
            <w:r>
              <w:rPr>
                <w:sz w:val="15"/>
                <w:szCs w:val="15"/>
              </w:rPr>
              <w:t xml:space="preserve">Working Group F was 6 or 7 experts and its literature review is relegated to a supplemental table, with no search strategy, date range or inclusion criteria stated anywhere in the main document</w:t>
            </w:r>
          </w:p>
          <w:p>
            <w:pPr>
              <w:pStyle w:val="ListParagraph"/>
              <w:numPr>
                <w:ilvl w:val="0"/>
                <w:numId w:val="2"/>
              </w:numPr>
              <w:spacing w:after="45"/>
            </w:pPr>
            <w:r>
              <w:rPr>
                <w:sz w:val="15"/>
                <w:szCs w:val="15"/>
              </w:rPr>
              <w:t xml:space="preserve">Biopsy is made mandatory to confirm iCCA and exclude mixed hepatocellular-cholangiocarcinoma, yet the cirrhotic series that generated the size threshold diagnosed every tumour on the explant, so the selection rule and the diagnostic requirement cannot both be validated against the same data</w:t>
            </w:r>
          </w:p>
          <w:p>
            <w:pPr>
              <w:pStyle w:val="ListParagraph"/>
              <w:numPr>
                <w:ilvl w:val="0"/>
                <w:numId w:val="2"/>
              </w:numPr>
              <w:spacing w:after="45"/>
            </w:pPr>
            <w:r>
              <w:rPr>
                <w:sz w:val="15"/>
                <w:szCs w:val="15"/>
              </w:rPr>
              <w:t xml:space="preserve">Prior checkpoint inhibitor therapy is permitted with a washout of 2 to 3 half-lives, a specific number offered on low evidence with no iCCA transplant series cited that used it</w:t>
            </w:r>
          </w:p>
          <w:p>
            <w:pPr>
              <w:pStyle w:val="ListParagraph"/>
              <w:numPr>
                <w:ilvl w:val="0"/>
                <w:numId w:val="2"/>
              </w:numPr>
              <w:spacing w:after="45"/>
            </w:pPr>
            <w:r>
              <w:rPr>
                <w:sz w:val="15"/>
                <w:szCs w:val="15"/>
              </w:rPr>
              <w:t xml:space="preserve">The statement that LDLT indications for iCCA could cautiously align with DDLT is graded low evidence and moderate strength without any LDLT-for-iCCA series being quantified in the document</w:t>
            </w:r>
          </w:p>
          <w:p>
            <w:pPr>
              <w:pStyle w:val="ListParagraph"/>
              <w:numPr>
                <w:ilvl w:val="0"/>
                <w:numId w:val="2"/>
              </w:numPr>
              <w:spacing w:after="45"/>
            </w:pPr>
            <w:r>
              <w:rPr>
                <w:sz w:val="15"/>
                <w:szCs w:val="15"/>
              </w:rPr>
              <w:t xml:space="preserve">No recommendation is made on exception points or allocation priority, so the recommended pathway asks patients to accumulate a period of observed stability while earning no listing priority, and the expected waitlist dropout under that pathway is not estimated</w:t>
            </w:r>
          </w:p>
          <w:p>
            <w:pPr>
              <w:pStyle w:val="ListParagraph"/>
              <w:numPr>
                <w:ilvl w:val="0"/>
                <w:numId w:val="2"/>
              </w:numPr>
              <w:spacing w:after="45"/>
            </w:pPr>
            <w:r>
              <w:rPr>
                <w:sz w:val="15"/>
                <w:szCs w:val="15"/>
              </w:rPr>
              <w:t xml:space="preserve">Nearly every lead author declares a relationship with AstraZeneca or Roche while the document endorses gemcitabine-based neoadjuvant bridging and permits prior immunotherapy; one co-author reports grants from more than twenty manufacturers, and the conference itself carries no funding statement</w:t>
            </w:r>
          </w:p>
          <w:p>
            <w:pPr>
              <w:pStyle w:val="ListParagraph"/>
              <w:numPr>
                <w:ilvl w:val="0"/>
                <w:numId w:val="2"/>
              </w:numPr>
              <w:spacing w:after="45"/>
            </w:pPr>
            <w:r>
              <w:rPr>
                <w:sz w:val="15"/>
                <w:szCs w:val="15"/>
              </w:rPr>
              <w:t xml:space="preserve">Many statements defer explicitly to centre-specific protocols, which leaves the international practice variation the conference was convened to reduce substantially intact</w:t>
            </w:r>
          </w:p>
          <w:p>
            <w:pPr>
              <w:pStyle w:val="ListParagraph"/>
              <w:numPr>
                <w:ilvl w:val="0"/>
                <w:numId w:val="2"/>
              </w:numPr>
              <w:spacing w:after="45"/>
            </w:pPr>
            <w:r>
              <w:rPr>
                <w:sz w:val="15"/>
                <w:szCs w:val="15"/>
              </w:rPr>
              <w:t xml:space="preserve">No linked editorial or comment was found in PubMed, so no independent published appraisal of these recommendations is available; this was checked in the citation record rather than read</w:t>
            </w:r>
          </w:p>
        </w:tc>
      </w:tr>
    </w:tbl>
    <w:p>
      <w:pPr>
        <w:spacing w:after="0" w:line="276"/>
      </w:pPr>
      <w:r>
        <w:rPr>
          <w:color w:val="5A6069"/>
          <w:sz w:val="14"/>
          <w:szCs w:val="14"/>
        </w:rPr>
        <w:t xml:space="preserve">Funding: No conference funding statement; conflicts of interest are declared individually and are extensive, including Kodali advising AstraZeneca, Sirtex and Genentech and on the Gilead speakers' bureau, Sapisochin consulting for and receiving grants from AstraZeneca and Roche/Genentech with stock in seven companies, and the patient-advocacy co-author receiving grants from more than twenty manufacturers; the remaining authors report no conflicts</w:t>
      </w:r>
    </w:p>
    <w:p>
      <w:pPr>
        <w:keepNext/>
        <w:spacing w:after="50" w:before="260"/>
      </w:pPr>
      <w:r>
        <w:rPr>
          <w:rFonts w:ascii="Cambria" w:cs="Cambria" w:eastAsia="Cambria" w:hAnsi="Cambria"/>
          <w:b/>
          <w:bCs/>
          <w:color w:val="17365D"/>
          <w:sz w:val="20"/>
          <w:szCs w:val="20"/>
        </w:rPr>
        <w:t xml:space="preserve">ILTS-ILCA 2024 consensus</w:t>
      </w:r>
      <w:r>
        <w:rPr>
          <w:b/>
          <w:bCs/>
          <w:color w:val="176A87"/>
          <w:sz w:val="15"/>
          <w:szCs w:val="15"/>
        </w:rPr>
        <w:t xml:space="preserve">   Consensus statement</w:t>
      </w:r>
      <w:r>
        <w:rPr>
          <w:color w:val="5A6069"/>
          <w:sz w:val="15"/>
          <w:szCs w:val="15"/>
        </w:rPr>
        <w:t xml:space="preserve">   PMID 42312290</w:t>
      </w:r>
    </w:p>
    <w:p>
      <w:pPr>
        <w:spacing w:after="50" w:line="276"/>
      </w:pPr>
      <w:r>
        <w:rPr>
          <w:color w:val="5A6069"/>
          <w:sz w:val="17"/>
          <w:szCs w:val="17"/>
        </w:rPr>
        <w:t xml:space="preserve">The 2024 International Liver Transplant Society and International Liver Cancer Association Consensus Recommendations for Liver Transplantation for Liver Cancer</w:t>
      </w:r>
    </w:p>
    <w:p>
      <w:pPr>
        <w:spacing w:after="50"/>
      </w:pPr>
      <w:r>
        <w:rPr>
          <w:b/>
          <w:bCs/>
          <w:color w:val="176A87"/>
          <w:sz w:val="16"/>
          <w:szCs w:val="16"/>
        </w:rPr>
        <w:t xml:space="preserve">Population. </w:t>
      </w:r>
      <w:r>
        <w:rPr>
          <w:sz w:val="16"/>
          <w:szCs w:val="16"/>
        </w:rPr>
        <w:t xml:space="preserve">120 participants at the Valencia consensus conference, seven working groups and an external jury of 8, producing 54 recommendations; Working Group F covered iCCA and there is no patient cohort</w:t>
      </w:r>
    </w:p>
    <w:p>
      <w:pPr>
        <w:spacing w:after="70"/>
      </w:pPr>
      <w:r>
        <w:rPr>
          <w:b/>
          <w:bCs/>
          <w:color w:val="17365D"/>
          <w:sz w:val="16"/>
          <w:szCs w:val="16"/>
        </w:rPr>
        <w:t xml:space="preserve">Bottom line. </w:t>
      </w:r>
      <w:r>
        <w:rPr>
          <w:sz w:val="16"/>
          <w:szCs w:val="16"/>
        </w:rPr>
        <w:t xml:space="preserve">The journal-of-record version of the 2024 ILTS-ILCA consensus, which fixes the currently quoted positions: cirrhotic iCCA of 3 cm or less after observed stability may be transplanted, non-cirrhotic or locally advanced disease only in protocols. It is a record of expert agreement rather than new evidence, with every iCCA statement graded low or moderate and drawn from single-centre retrospective series. It is also the second publication of the same 54 recommendations, so it should not be counted as independent support.</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Most reports describing outcomes after transplantation for iCCA have been single-centre retrospective studies, which the panel states limits their applicability to a wider population</w:t>
            </w:r>
          </w:p>
          <w:p>
            <w:pPr>
              <w:pStyle w:val="ListParagraph"/>
              <w:numPr>
                <w:ilvl w:val="0"/>
                <w:numId w:val="2"/>
              </w:numPr>
              <w:spacing w:after="45"/>
            </w:pPr>
            <w:r>
              <w:rPr>
                <w:sz w:val="15"/>
                <w:szCs w:val="15"/>
              </w:rPr>
              <w:t xml:space="preserve">Transplantation for large or locally advanced iCCA, and in patients without cirrhosis, was controversial and no agreement was reached for that population</w:t>
            </w:r>
          </w:p>
          <w:p>
            <w:pPr>
              <w:pStyle w:val="ListParagraph"/>
              <w:numPr>
                <w:ilvl w:val="0"/>
                <w:numId w:val="2"/>
              </w:numPr>
              <w:spacing w:after="45"/>
            </w:pPr>
            <w:r>
              <w:rPr>
                <w:sz w:val="15"/>
                <w:szCs w:val="15"/>
              </w:rPr>
              <w:t xml:space="preserve">Limits on tumour size and number should be explored in prospective clinical trials rather than set here</w:t>
            </w:r>
          </w:p>
          <w:p>
            <w:pPr>
              <w:pStyle w:val="ListParagraph"/>
              <w:numPr>
                <w:ilvl w:val="0"/>
                <w:numId w:val="2"/>
              </w:numPr>
              <w:spacing w:after="45"/>
            </w:pPr>
            <w:r>
              <w:rPr>
                <w:sz w:val="15"/>
                <w:szCs w:val="15"/>
              </w:rPr>
              <w:t xml:space="preserve">There is no evidence for molecular profiling in transplant selection and circulating tumour DNA is not recommended outside trials</w:t>
            </w:r>
          </w:p>
          <w:p>
            <w:pPr>
              <w:pStyle w:val="ListParagraph"/>
              <w:numPr>
                <w:ilvl w:val="0"/>
                <w:numId w:val="2"/>
              </w:numPr>
              <w:spacing w:after="45"/>
            </w:pPr>
            <w:r>
              <w:rPr>
                <w:sz w:val="15"/>
                <w:szCs w:val="15"/>
              </w:rPr>
              <w:t xml:space="preserve">Three recommendations failed the external jury vote on the framing of the statements and were returned to the working group leads for editing</w:t>
            </w:r>
          </w:p>
          <w:p>
            <w:pPr>
              <w:pStyle w:val="ListParagraph"/>
              <w:numPr>
                <w:ilvl w:val="0"/>
                <w:numId w:val="2"/>
              </w:numPr>
              <w:spacing w:after="45"/>
            </w:pPr>
            <w:r>
              <w:rPr>
                <w:sz w:val="15"/>
                <w:szCs w:val="15"/>
              </w:rPr>
              <w:t xml:space="preserve">Downstaging data are limited, with most studies small, retrospective and prone to selection bias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This is the same February 2024 Valencia conference and the same 54 recommendations already published in Liver Transplantation in 2025; a reader counting guideline support for the 3 cm threshold can easily count it twice, and the duplicate publication is not flagged in the text</w:t>
            </w:r>
          </w:p>
          <w:p>
            <w:pPr>
              <w:pStyle w:val="ListParagraph"/>
              <w:numPr>
                <w:ilvl w:val="0"/>
                <w:numId w:val="2"/>
              </w:numPr>
              <w:spacing w:after="45"/>
            </w:pPr>
            <w:r>
              <w:rPr>
                <w:sz w:val="15"/>
                <w:szCs w:val="15"/>
              </w:rPr>
              <w:t xml:space="preserve">The 3 cm cirrhotic threshold is graded moderate evidence although the series behind it enrolled single tumours of 2 cm or less diagnosed on explant, with only a six-patient post hoc subgroup above 2 cm; the document calls agreement on it broad without reporting the vote</w:t>
            </w:r>
          </w:p>
          <w:p>
            <w:pPr>
              <w:pStyle w:val="ListParagraph"/>
              <w:numPr>
                <w:ilvl w:val="0"/>
                <w:numId w:val="2"/>
              </w:numPr>
              <w:spacing w:after="45"/>
            </w:pPr>
            <w:r>
              <w:rPr>
                <w:sz w:val="15"/>
                <w:szCs w:val="15"/>
              </w:rPr>
              <w:t xml:space="preserve">The cirrhotic statement asks for 'a period of observation showing stability' and names no duration, while the non-cirrhotic statement specifies at least 6 months, so the more strongly graded recommendation is the less actionable one</w:t>
            </w:r>
          </w:p>
          <w:p>
            <w:pPr>
              <w:pStyle w:val="ListParagraph"/>
              <w:numPr>
                <w:ilvl w:val="0"/>
                <w:numId w:val="2"/>
              </w:numPr>
              <w:spacing w:after="45"/>
            </w:pPr>
            <w:r>
              <w:rPr>
                <w:sz w:val="15"/>
                <w:szCs w:val="15"/>
              </w:rPr>
              <w:t xml:space="preserve">A 25-73% range for 5-year overall survival and 29-82% for recurrence-free survival is treated as adequate support for a selection rule; a range that wide cannot distinguish transplantation from the alternatives it is meant to displace</w:t>
            </w:r>
          </w:p>
          <w:p>
            <w:pPr>
              <w:pStyle w:val="ListParagraph"/>
              <w:numPr>
                <w:ilvl w:val="0"/>
                <w:numId w:val="2"/>
              </w:numPr>
              <w:spacing w:after="45"/>
            </w:pPr>
            <w:r>
              <w:rPr>
                <w:sz w:val="15"/>
                <w:szCs w:val="15"/>
              </w:rPr>
              <w:t xml:space="preserve">The 80% Delphi agreement threshold is reported, but not the achieved agreement for any individual iCCA statement, so the reader cannot tell which recommendations were near-unanimous and which barely passed</w:t>
            </w:r>
          </w:p>
          <w:p>
            <w:pPr>
              <w:pStyle w:val="ListParagraph"/>
              <w:numPr>
                <w:ilvl w:val="0"/>
                <w:numId w:val="2"/>
              </w:numPr>
              <w:spacing w:after="45"/>
            </w:pPr>
            <w:r>
              <w:rPr>
                <w:sz w:val="15"/>
                <w:szCs w:val="15"/>
              </w:rPr>
              <w:t xml:space="preserve">Working group F's literature review sits in online supplementary material with no search strategy, dates or inclusion criteria given in the paper, so the evidence selection behind each statement is not inspectable</w:t>
            </w:r>
          </w:p>
          <w:p>
            <w:pPr>
              <w:pStyle w:val="ListParagraph"/>
              <w:numPr>
                <w:ilvl w:val="0"/>
                <w:numId w:val="2"/>
              </w:numPr>
              <w:spacing w:after="45"/>
            </w:pPr>
            <w:r>
              <w:rPr>
                <w:sz w:val="15"/>
                <w:szCs w:val="15"/>
              </w:rPr>
              <w:t xml:space="preserve">Mandatory biopsy to exclude combined hepatocellular-cholangiocarcinoma is recommended on low evidence, while the cirrhotic data supporting the size threshold came entirely from explant diagnoses in patients who were never biopsied</w:t>
            </w:r>
          </w:p>
          <w:p>
            <w:pPr>
              <w:pStyle w:val="ListParagraph"/>
              <w:numPr>
                <w:ilvl w:val="0"/>
                <w:numId w:val="2"/>
              </w:numPr>
              <w:spacing w:after="45"/>
            </w:pPr>
            <w:r>
              <w:rPr>
                <w:sz w:val="15"/>
                <w:szCs w:val="15"/>
              </w:rPr>
              <w:t xml:space="preserve">Prior checkpoint inhibitor therapy is permitted after an adequate washout with no iCCA-specific rejection or graft-loss data cited, and the recommendation to refer such patients is graded low evidence and weak strength yet written as an action</w:t>
            </w:r>
          </w:p>
          <w:p>
            <w:pPr>
              <w:pStyle w:val="ListParagraph"/>
              <w:numPr>
                <w:ilvl w:val="0"/>
                <w:numId w:val="2"/>
              </w:numPr>
              <w:spacing w:after="45"/>
            </w:pPr>
            <w:r>
              <w:rPr>
                <w:sz w:val="15"/>
                <w:szCs w:val="15"/>
              </w:rPr>
              <w:t xml:space="preserve">No recommendation addresses listing priority, exception points or acceptable waitlist dropout, while the document itself notes iCCA is granted no listing priority, so a pathway requiring observed stability has no allocation mechanism behind it</w:t>
            </w:r>
          </w:p>
          <w:p>
            <w:pPr>
              <w:pStyle w:val="ListParagraph"/>
              <w:numPr>
                <w:ilvl w:val="0"/>
                <w:numId w:val="2"/>
              </w:numPr>
              <w:spacing w:after="45"/>
            </w:pPr>
            <w:r>
              <w:rPr>
                <w:sz w:val="15"/>
                <w:szCs w:val="15"/>
              </w:rPr>
              <w:t xml:space="preserve">The claim that tumour markers with cross-sectional imaging identify recurrent iCCA accurately is stated without the sensitivity, specificity or cohort it comes from, and CA19-9 and CEA are nonetheless offered for post-transplant monitoring on low evidence</w:t>
            </w:r>
          </w:p>
          <w:p>
            <w:pPr>
              <w:pStyle w:val="ListParagraph"/>
              <w:numPr>
                <w:ilvl w:val="0"/>
                <w:numId w:val="2"/>
              </w:numPr>
              <w:spacing w:after="45"/>
            </w:pPr>
            <w:r>
              <w:rPr>
                <w:sz w:val="15"/>
                <w:szCs w:val="15"/>
              </w:rPr>
              <w:t xml:space="preserve">Almost every lead author declares AstraZeneca and Roche or Genentech relationships, and the senior transplant author declares consulting, speaking, research collaboration and equity across a dozen companies, while the document endorses neoadjuvant systemic therapy as the gateway to transplantation</w:t>
            </w:r>
          </w:p>
          <w:p>
            <w:pPr>
              <w:pStyle w:val="ListParagraph"/>
              <w:numPr>
                <w:ilvl w:val="0"/>
                <w:numId w:val="2"/>
              </w:numPr>
              <w:spacing w:after="45"/>
            </w:pPr>
            <w:r>
              <w:rPr>
                <w:sz w:val="15"/>
                <w:szCs w:val="15"/>
              </w:rPr>
              <w:t xml:space="preserve">Recommendations defer repeatedly to centre-level protocols, preserving the practice variation the conference was convened to reduce</w:t>
            </w:r>
          </w:p>
          <w:p>
            <w:pPr>
              <w:pStyle w:val="ListParagraph"/>
              <w:numPr>
                <w:ilvl w:val="0"/>
                <w:numId w:val="2"/>
              </w:numPr>
              <w:spacing w:after="45"/>
            </w:pPr>
            <w:r>
              <w:rPr>
                <w:sz w:val="15"/>
                <w:szCs w:val="15"/>
              </w:rPr>
              <w:t xml:space="preserve">No linked editorial or comment was found in PubMed for this version, published online 25 April 2026; this was established from the citation record, not read</w:t>
            </w:r>
          </w:p>
        </w:tc>
      </w:tr>
    </w:tbl>
    <w:p>
      <w:pPr>
        <w:spacing w:after="0" w:line="276"/>
      </w:pPr>
      <w:r>
        <w:rPr>
          <w:color w:val="5A6069"/>
          <w:sz w:val="14"/>
          <w:szCs w:val="14"/>
        </w:rPr>
        <w:t xml:space="preserve">Funding: Individually declared funding and interests, including institutional research funding from MSD, BMS, GSK and Eisai, part funding from NIHR biomedical research centres, Cancer Treatment and Research Trust support, and grants from MSD, Boston Scientific and Bayer; almost all lead authors declare consulting or speaker relationships with AstraZeneca and Roche or Genentech, and Sapisochin additionally declares research collaborations with AstraZeneca, Natera, Roche and Stryker</w:t>
      </w:r>
    </w:p>
    <w:p>
      <w:pPr>
        <w:keepNext/>
        <w:spacing w:after="50" w:before="260"/>
      </w:pPr>
      <w:r>
        <w:rPr>
          <w:rFonts w:ascii="Cambria" w:cs="Cambria" w:eastAsia="Cambria" w:hAnsi="Cambria"/>
          <w:b/>
          <w:bCs/>
          <w:color w:val="17365D"/>
          <w:sz w:val="20"/>
          <w:szCs w:val="20"/>
        </w:rPr>
        <w:t xml:space="preserve">KEYNOTE-966</w:t>
      </w:r>
      <w:r>
        <w:rPr>
          <w:b/>
          <w:bCs/>
          <w:color w:val="176A87"/>
          <w:sz w:val="15"/>
          <w:szCs w:val="15"/>
        </w:rPr>
        <w:t xml:space="preserve">   Randomised trial</w:t>
      </w:r>
      <w:r>
        <w:rPr>
          <w:color w:val="5A6069"/>
          <w:sz w:val="15"/>
          <w:szCs w:val="15"/>
        </w:rPr>
        <w:t xml:space="preserve">   PMID 37075781</w:t>
      </w:r>
    </w:p>
    <w:p>
      <w:pPr>
        <w:spacing w:after="50" w:line="276"/>
      </w:pPr>
      <w:r>
        <w:rPr>
          <w:color w:val="5A6069"/>
          <w:sz w:val="17"/>
          <w:szCs w:val="17"/>
        </w:rPr>
        <w:t xml:space="preserve">Pembrolizumab in combination with gemcitabine and cisplatin compared with gemcitabine and cisplatin alone for patients with advanced biliary tract cancer (KEYNOTE-966): a randomised, double-blind, placebo-controlled, phase 3 trial</w:t>
      </w:r>
    </w:p>
    <w:p>
      <w:pPr>
        <w:spacing w:after="50"/>
      </w:pPr>
      <w:r>
        <w:rPr>
          <w:b/>
          <w:bCs/>
          <w:color w:val="176A87"/>
          <w:sz w:val="16"/>
          <w:szCs w:val="16"/>
        </w:rPr>
        <w:t xml:space="preserve">Population. </w:t>
      </w:r>
      <w:r>
        <w:rPr>
          <w:sz w:val="16"/>
          <w:szCs w:val="16"/>
        </w:rPr>
        <w:t xml:space="preserve">1069 patients randomised from 1564 screened at 175 centres between October 2019 and June 2021 with previously untreated unresectable locally advanced or metastatic biliary tract cancer; 633 (59%) were intrahepatic and 943 (88%) metastatic</w:t>
      </w:r>
    </w:p>
    <w:p>
      <w:pPr>
        <w:spacing w:after="70"/>
      </w:pPr>
      <w:r>
        <w:rPr>
          <w:b/>
          <w:bCs/>
          <w:color w:val="17365D"/>
          <w:sz w:val="16"/>
          <w:szCs w:val="16"/>
        </w:rPr>
        <w:t xml:space="preserve">Bottom line. </w:t>
      </w:r>
      <w:r>
        <w:rPr>
          <w:sz w:val="16"/>
          <w:szCs w:val="16"/>
        </w:rPr>
        <w:t xml:space="preserve">KEYNOTE-966 met its primary endpoint, adding pembrolizumab to gemcitabine-cisplatin for a median survival of 12.7 against 10.9 months, HR 0.83 (0.72-0.95), and it is the larger and longer-followed of the two first-line immunotherapy trials. It does not show tumour-level activity: response rates were identical at 29%, progression-free survival missed its boundary, and quality of life was unchanged. With 88% metastatic disease, a mandatory-biopsy entry criterion that over-selected intrahepatic tumours, and no predictive biomarker, it cannot be read as an iCCA-specific or a liver-confined-disease result.</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Participants with intrahepatic tumours were enrolled disproportionately relative to population frequencies, leaving smaller samples for extrahepatic cholangiocarcinoma and gallbladder cancer and affecting those subgroup analyses</w:t>
            </w:r>
          </w:p>
          <w:p>
            <w:pPr>
              <w:pStyle w:val="ListParagraph"/>
              <w:numPr>
                <w:ilvl w:val="0"/>
                <w:numId w:val="2"/>
              </w:numPr>
              <w:spacing w:after="45"/>
            </w:pPr>
            <w:r>
              <w:rPr>
                <w:sz w:val="15"/>
                <w:szCs w:val="15"/>
              </w:rPr>
              <w:t xml:space="preserve">The requirement for tumour tissue at entry may have contributed to a selection bias towards intrahepatic tumours because they are more accessible for sampling</w:t>
            </w:r>
          </w:p>
          <w:p>
            <w:pPr>
              <w:pStyle w:val="ListParagraph"/>
              <w:numPr>
                <w:ilvl w:val="0"/>
                <w:numId w:val="2"/>
              </w:numPr>
              <w:spacing w:after="45"/>
            </w:pPr>
            <w:r>
              <w:rPr>
                <w:sz w:val="15"/>
                <w:szCs w:val="15"/>
              </w:rPr>
              <w:t xml:space="preserve">Outcomes could not be assessed by microsatellite instability status because only ten participants with known MSI-high tumours were enrolled</w:t>
            </w:r>
          </w:p>
          <w:p>
            <w:pPr>
              <w:pStyle w:val="ListParagraph"/>
              <w:numPr>
                <w:ilvl w:val="0"/>
                <w:numId w:val="2"/>
              </w:numPr>
              <w:spacing w:after="45"/>
            </w:pPr>
            <w:r>
              <w:rPr>
                <w:sz w:val="15"/>
                <w:szCs w:val="15"/>
              </w:rPr>
              <w:t xml:space="preserve">Translational biomarker analyses are still ongoing and a dedicated analysis of the complete patient-reported outcome data is deferred to a future report</w:t>
            </w:r>
          </w:p>
          <w:p>
            <w:pPr>
              <w:pStyle w:val="ListParagraph"/>
              <w:numPr>
                <w:ilvl w:val="0"/>
                <w:numId w:val="2"/>
              </w:numPr>
              <w:spacing w:after="45"/>
            </w:pPr>
            <w:r>
              <w:rPr>
                <w:sz w:val="15"/>
                <w:szCs w:val="15"/>
              </w:rPr>
              <w:t xml:space="preserve">The authors acknowledge the same enrolment bias towards intrahepatic tumours was seen in TOPAZ-1</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absolute gain is 1.8 months of median survival and both supporting efficacy endpoints failed their prespecified boundaries: progression-free survival at HR 0.86 (0.75-1.00), p = 0.023 against a boundary of 0.0125, and objective response at 29% against 29%, p = 0.47</w:t>
            </w:r>
          </w:p>
          <w:p>
            <w:pPr>
              <w:pStyle w:val="ListParagraph"/>
              <w:numPr>
                <w:ilvl w:val="0"/>
                <w:numId w:val="2"/>
              </w:numPr>
              <w:spacing w:after="45"/>
            </w:pPr>
            <w:r>
              <w:rPr>
                <w:sz w:val="15"/>
                <w:szCs w:val="15"/>
              </w:rPr>
              <w:t xml:space="preserve">Identical response rates with a survival difference means the drug is not shrinking tumours; the mechanism offered, longer duration of response in the minority who respond, is an observation in a non-randomised subset of responders</w:t>
            </w:r>
          </w:p>
          <w:p>
            <w:pPr>
              <w:pStyle w:val="ListParagraph"/>
              <w:numPr>
                <w:ilvl w:val="0"/>
                <w:numId w:val="2"/>
              </w:numPr>
              <w:spacing w:after="45"/>
            </w:pPr>
            <w:r>
              <w:rPr>
                <w:sz w:val="15"/>
                <w:szCs w:val="15"/>
              </w:rPr>
              <w:t xml:space="preserve">The progression-free survival confidence interval ends exactly at 1.00 and the endpoint is declared not met, yet the overall survival claim is presented without the caveat that no intermediate endpoint supports it</w:t>
            </w:r>
          </w:p>
          <w:p>
            <w:pPr>
              <w:pStyle w:val="ListParagraph"/>
              <w:numPr>
                <w:ilvl w:val="0"/>
                <w:numId w:val="2"/>
              </w:numPr>
              <w:spacing w:after="45"/>
            </w:pPr>
            <w:r>
              <w:rPr>
                <w:sz w:val="15"/>
                <w:szCs w:val="15"/>
              </w:rPr>
              <w:t xml:space="preserve">The intrahepatic subgroup hazard ratio of 0.76 (0.64-0.91) is the number clinicians quote, but extrahepatic (0.99, 0.73-1.35) and gallbladder (0.96, 0.73-1.26) both cross 1; the trial reports no interaction test and the authors attribute the pattern to underpowering rather than to a site effect, so the subgroup cannot be treated as an iCCA-specific result</w:t>
            </w:r>
          </w:p>
          <w:p>
            <w:pPr>
              <w:pStyle w:val="ListParagraph"/>
              <w:numPr>
                <w:ilvl w:val="0"/>
                <w:numId w:val="2"/>
              </w:numPr>
              <w:spacing w:after="45"/>
            </w:pPr>
            <w:r>
              <w:rPr>
                <w:sz w:val="15"/>
                <w:szCs w:val="15"/>
              </w:rPr>
              <w:t xml:space="preserve">Mandatory tumour tissue at entry selected for accessible, biopsiable tumours, which skews the population towards larger intrahepatic masses and away from the patients whose disease is hardest to sample</w:t>
            </w:r>
          </w:p>
          <w:p>
            <w:pPr>
              <w:pStyle w:val="ListParagraph"/>
              <w:numPr>
                <w:ilvl w:val="0"/>
                <w:numId w:val="2"/>
              </w:numPr>
              <w:spacing w:after="45"/>
            </w:pPr>
            <w:r>
              <w:rPr>
                <w:sz w:val="15"/>
                <w:szCs w:val="15"/>
              </w:rPr>
              <w:t xml:space="preserve">PD-L1 gave no signal at all, HR 0.84 below a combined positive score of 1 and 0.85 at 1 or more, and with only 10 MSI-high patients there is no biomarker to select on, so 22% of patients incur immune-mediated events for a benefit that cannot be predicted</w:t>
            </w:r>
          </w:p>
          <w:p>
            <w:pPr>
              <w:pStyle w:val="ListParagraph"/>
              <w:numPr>
                <w:ilvl w:val="0"/>
                <w:numId w:val="2"/>
              </w:numPr>
              <w:spacing w:after="45"/>
            </w:pPr>
            <w:r>
              <w:rPr>
                <w:sz w:val="15"/>
                <w:szCs w:val="15"/>
              </w:rPr>
              <w:t xml:space="preserve">Treatment-related deaths were higher with pembrolizumab, 8 (2%) against 3 (1%), while all-cause adverse-event deaths were lower, 31 (6%) against 49 (9%); the paper leads with the latter comparison and the attribution of deaths in an unblinded-to-causality assessment is investigator-determined</w:t>
            </w:r>
          </w:p>
          <w:p>
            <w:pPr>
              <w:pStyle w:val="ListParagraph"/>
              <w:numPr>
                <w:ilvl w:val="0"/>
                <w:numId w:val="2"/>
              </w:numPr>
              <w:spacing w:after="45"/>
            </w:pPr>
            <w:r>
              <w:rPr>
                <w:sz w:val="15"/>
                <w:szCs w:val="15"/>
              </w:rPr>
              <w:t xml:space="preserve">Quality of life did not improve: the change in EORTC QLQ-C30 global health status to week 18 was -2.5 in both arms, difference 0.0 (-2.5 to 2.6), so the 1.8-month survival gain comes with no measurable improvement in how patients feel</w:t>
            </w:r>
          </w:p>
          <w:p>
            <w:pPr>
              <w:pStyle w:val="ListParagraph"/>
              <w:numPr>
                <w:ilvl w:val="0"/>
                <w:numId w:val="2"/>
              </w:numPr>
              <w:spacing w:after="45"/>
            </w:pPr>
            <w:r>
              <w:rPr>
                <w:sz w:val="15"/>
                <w:szCs w:val="15"/>
              </w:rPr>
              <w:t xml:space="preserve">Gemcitabine was continued to progression with no cycle cap, unlike TOPAZ-1, so the two immunotherapy trials are not comparable on chemotherapy exposure and the cross-trial equivalence frequently asserted between them is not supported</w:t>
            </w:r>
          </w:p>
          <w:p>
            <w:pPr>
              <w:pStyle w:val="ListParagraph"/>
              <w:numPr>
                <w:ilvl w:val="0"/>
                <w:numId w:val="2"/>
              </w:numPr>
              <w:spacing w:after="45"/>
            </w:pPr>
            <w:r>
              <w:rPr>
                <w:sz w:val="15"/>
                <w:szCs w:val="15"/>
              </w:rPr>
              <w:t xml:space="preserve">495 of 1564 screened patients were not randomised and the reasons are not characterised in the report, so the trial population is a selected 68% of those assessed</w:t>
            </w:r>
          </w:p>
          <w:p>
            <w:pPr>
              <w:pStyle w:val="ListParagraph"/>
              <w:numPr>
                <w:ilvl w:val="0"/>
                <w:numId w:val="2"/>
              </w:numPr>
              <w:spacing w:after="45"/>
            </w:pPr>
            <w:r>
              <w:rPr>
                <w:sz w:val="15"/>
                <w:szCs w:val="15"/>
              </w:rPr>
              <w:t xml:space="preserve">The sponsor's employees are co-authors, the sponsor performed the statistical analysis and held the database, and the sponsor funded medical writing; no independent statistical replication is described</w:t>
            </w:r>
          </w:p>
          <w:p>
            <w:pPr>
              <w:pStyle w:val="ListParagraph"/>
              <w:numPr>
                <w:ilvl w:val="0"/>
                <w:numId w:val="2"/>
              </w:numPr>
              <w:spacing w:after="45"/>
            </w:pPr>
            <w:r>
              <w:rPr>
                <w:sz w:val="15"/>
                <w:szCs w:val="15"/>
              </w:rPr>
              <w:t xml:space="preserve">Crossover was not permitted and post-progression immunotherapy in the control arm is not accounted for, so the overall survival comparison embeds whatever second-line treatment each region happened to provide</w:t>
            </w:r>
          </w:p>
          <w:p>
            <w:pPr>
              <w:pStyle w:val="ListParagraph"/>
              <w:numPr>
                <w:ilvl w:val="0"/>
                <w:numId w:val="2"/>
              </w:numPr>
              <w:spacing w:after="45"/>
            </w:pPr>
            <w:r>
              <w:rPr>
                <w:sz w:val="15"/>
                <w:szCs w:val="15"/>
              </w:rPr>
              <w:t xml:space="preserve">88% of patients had metastatic disease and the trial excluded resectable disease, so it provides no evidence for neoadjuvant, conversion or peri-transplant use of this regimen in liver-confined iCCA</w:t>
            </w:r>
          </w:p>
          <w:p>
            <w:pPr>
              <w:pStyle w:val="ListParagraph"/>
              <w:numPr>
                <w:ilvl w:val="0"/>
                <w:numId w:val="2"/>
              </w:numPr>
              <w:spacing w:after="45"/>
            </w:pPr>
            <w:r>
              <w:rPr>
                <w:sz w:val="15"/>
                <w:szCs w:val="15"/>
              </w:rPr>
              <w:t xml:space="preserve">The linked comment by Slater and Cunningham (Lancet 2023;401:1826-1827, PMID 37075782) is listed as the paper's commentary; its full text was not available, so none of its arguments are represented here</w:t>
            </w:r>
          </w:p>
        </w:tc>
      </w:tr>
    </w:tbl>
    <w:p>
      <w:pPr>
        <w:spacing w:after="0" w:line="276"/>
      </w:pPr>
      <w:r>
        <w:rPr>
          <w:color w:val="5A6069"/>
          <w:sz w:val="14"/>
          <w:szCs w:val="14"/>
        </w:rPr>
        <w:t xml:space="preserve">Funding: Merck Sharp and Dohme, a subsidiary of Merck and Co; authors employed by the funder contributed to design, data analysis, interpretation and writing, and the funder maintained the study database</w:t>
      </w:r>
    </w:p>
    <w:p>
      <w:pPr>
        <w:keepNext/>
        <w:spacing w:after="50" w:before="260"/>
      </w:pPr>
      <w:r>
        <w:rPr>
          <w:rFonts w:ascii="Cambria" w:cs="Cambria" w:eastAsia="Cambria" w:hAnsi="Cambria"/>
          <w:b/>
          <w:bCs/>
          <w:color w:val="17365D"/>
          <w:sz w:val="20"/>
          <w:szCs w:val="20"/>
        </w:rPr>
        <w:t xml:space="preserve">Kiefer TACE 2-centre</w:t>
      </w:r>
      <w:r>
        <w:rPr>
          <w:b/>
          <w:bCs/>
          <w:color w:val="176A87"/>
          <w:sz w:val="15"/>
          <w:szCs w:val="15"/>
        </w:rPr>
        <w:t xml:space="preserve">   cohort</w:t>
      </w:r>
      <w:r>
        <w:rPr>
          <w:color w:val="5A6069"/>
          <w:sz w:val="15"/>
          <w:szCs w:val="15"/>
        </w:rPr>
        <w:t xml:space="preserve">   PMID 21425151</w:t>
      </w:r>
    </w:p>
    <w:p>
      <w:pPr>
        <w:spacing w:after="50" w:line="276"/>
      </w:pPr>
      <w:r>
        <w:rPr>
          <w:color w:val="5A6069"/>
          <w:sz w:val="17"/>
          <w:szCs w:val="17"/>
        </w:rPr>
        <w:t xml:space="preserve">Chemoembolization of intrahepatic cholangiocarcinoma with cisplatinum, doxorubicin, mitomycin C, ethiodol, and polyvinyl alcohol: a 2-center study</w:t>
      </w:r>
    </w:p>
    <w:p>
      <w:pPr>
        <w:spacing w:after="50"/>
      </w:pPr>
      <w:r>
        <w:rPr>
          <w:b/>
          <w:bCs/>
          <w:color w:val="176A87"/>
          <w:sz w:val="16"/>
          <w:szCs w:val="16"/>
        </w:rPr>
        <w:t xml:space="preserve">Population. </w:t>
      </w:r>
      <w:r>
        <w:rPr>
          <w:sz w:val="16"/>
          <w:szCs w:val="16"/>
        </w:rPr>
        <w:t xml:space="preserve">62 patients with unresectable intrahepatic cholangiocarcinoma treated with an identical conventional chemoembolisation protocol at two US centres, 40 at the University of Pennsylvania and 22 at the Medical College of Wisconsin, across 165 procedures; 37 had biopsy-proven cholangiocarcinoma and 25 had intrahepatic adenocarcinoma of unknown primary of pancreaticobiliary type, with a median dominant mass of 7.8 cm</w:t>
      </w:r>
    </w:p>
    <w:p>
      <w:pPr>
        <w:spacing w:after="70"/>
      </w:pPr>
      <w:r>
        <w:rPr>
          <w:b/>
          <w:bCs/>
          <w:color w:val="17365D"/>
          <w:sz w:val="16"/>
          <w:szCs w:val="16"/>
        </w:rPr>
        <w:t xml:space="preserve">Bottom line. </w:t>
      </w:r>
      <w:r>
        <w:rPr>
          <w:sz w:val="16"/>
          <w:szCs w:val="16"/>
        </w:rPr>
        <w:t xml:space="preserve">This two-centre series is the reference safety dataset for conventional chemoembolisation in iCCA: major complications after 5 of 165 procedures, no 30-day disease-specific mortality, a one-day median stay and stable performance status in 82%, with 20 months median survival from diagnosis. It cannot establish efficacy, having no control arm, 40% of patients with adenocarcinoma of unknown primary, 27% without evaluable imaging and a treatment course individualised with surgery, ablation and radiation. Time to progression was 8 months, and the regimen itself predates every current alternative.</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sample size is small because intrahepatic cholangiocarcinoma is less common than the cancers for which chemoembolisation has a more established role</w:t>
            </w:r>
          </w:p>
          <w:p>
            <w:pPr>
              <w:pStyle w:val="ListParagraph"/>
              <w:numPr>
                <w:ilvl w:val="0"/>
                <w:numId w:val="2"/>
              </w:numPr>
              <w:spacing w:after="45"/>
            </w:pPr>
            <w:r>
              <w:rPr>
                <w:sz w:val="15"/>
                <w:szCs w:val="15"/>
              </w:rPr>
              <w:t xml:space="preserve">There may have been biases in referral for treatment, so the results may not represent all patients with unresectable intrahepatic cholangiocarcinoma</w:t>
            </w:r>
          </w:p>
          <w:p>
            <w:pPr>
              <w:pStyle w:val="ListParagraph"/>
              <w:numPr>
                <w:ilvl w:val="0"/>
                <w:numId w:val="2"/>
              </w:numPr>
              <w:spacing w:after="45"/>
            </w:pPr>
            <w:r>
              <w:rPr>
                <w:sz w:val="15"/>
                <w:szCs w:val="15"/>
              </w:rPr>
              <w:t xml:space="preserve">Treatment was customised to each patient, with varying sequences of surgery, ablation, systemic and radiation therapy</w:t>
            </w:r>
          </w:p>
          <w:p>
            <w:pPr>
              <w:pStyle w:val="ListParagraph"/>
              <w:numPr>
                <w:ilvl w:val="0"/>
                <w:numId w:val="2"/>
              </w:numPr>
              <w:spacing w:after="45"/>
            </w:pPr>
            <w:r>
              <w:rPr>
                <w:sz w:val="15"/>
                <w:szCs w:val="15"/>
              </w:rPr>
              <w:t xml:space="preserve">The authors concede that comparison with published systemic therapy series is not possible because those series mixed in Klatskin, ampullary and gallbladder tumours with different prognosis</w:t>
            </w:r>
          </w:p>
          <w:p>
            <w:pPr>
              <w:pStyle w:val="ListParagraph"/>
              <w:numPr>
                <w:ilvl w:val="0"/>
                <w:numId w:val="2"/>
              </w:numPr>
              <w:spacing w:after="45"/>
            </w:pPr>
            <w:r>
              <w:rPr>
                <w:sz w:val="15"/>
                <w:szCs w:val="15"/>
              </w:rPr>
              <w:t xml:space="preserve">They accept that RECIST diameter criteria understate response because chemoembolisation produces necrosis without shrinkage</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40% of the cohort, 25 of 62, had adenocarcinoma of unknown primary rather than proven cholangiocarcinoma, and these patients are kept in the survival analysis on the strength of a non-significant comparison, P = .88, in a sample with no power to show a difference</w:t>
            </w:r>
          </w:p>
          <w:p>
            <w:pPr>
              <w:pStyle w:val="ListParagraph"/>
              <w:numPr>
                <w:ilvl w:val="0"/>
                <w:numId w:val="2"/>
              </w:numPr>
              <w:spacing w:after="45"/>
            </w:pPr>
            <w:r>
              <w:rPr>
                <w:sz w:val="15"/>
                <w:szCs w:val="15"/>
              </w:rPr>
              <w:t xml:space="preserve">17 of 62 patients (27%) had no evaluable imaging follow-up, so the 76% local disease control figure is computed on 45 patients and the missing 17 are the ones most likely to have progressed or died early</w:t>
            </w:r>
          </w:p>
          <w:p>
            <w:pPr>
              <w:pStyle w:val="ListParagraph"/>
              <w:numPr>
                <w:ilvl w:val="0"/>
                <w:numId w:val="2"/>
              </w:numPr>
              <w:spacing w:after="45"/>
            </w:pPr>
            <w:r>
              <w:rPr>
                <w:sz w:val="15"/>
                <w:szCs w:val="15"/>
              </w:rPr>
              <w:t xml:space="preserve">Survival is reported from two different origins, 20 months from diagnosis and 15 months from first chemoembolisation, and the more favourable figure is the one that enters the literature; the gap between them is the lead time before referral</w:t>
            </w:r>
          </w:p>
          <w:p>
            <w:pPr>
              <w:pStyle w:val="ListParagraph"/>
              <w:numPr>
                <w:ilvl w:val="0"/>
                <w:numId w:val="2"/>
              </w:numPr>
              <w:spacing w:after="45"/>
            </w:pPr>
            <w:r>
              <w:rPr>
                <w:sz w:val="15"/>
                <w:szCs w:val="15"/>
              </w:rPr>
              <w:t xml:space="preserve">The 28-month against 16-month survival advantage in patients who also received systemic chemotherapy, HR 1.94 (1.13-3.33), P = .02, is a comparison of 18 fitter patients chosen by their own oncologists against 44 others, and it is reported as a treatment finding</w:t>
            </w:r>
          </w:p>
          <w:p>
            <w:pPr>
              <w:pStyle w:val="ListParagraph"/>
              <w:numPr>
                <w:ilvl w:val="0"/>
                <w:numId w:val="2"/>
              </w:numPr>
              <w:spacing w:after="45"/>
            </w:pPr>
            <w:r>
              <w:rPr>
                <w:sz w:val="15"/>
                <w:szCs w:val="15"/>
              </w:rPr>
              <w:t xml:space="preserve">Local disease control of 76% is 64% stable disease and only 11% partial response, so the headline control figure is mostly absence of measured growth over a short interval</w:t>
            </w:r>
          </w:p>
          <w:p>
            <w:pPr>
              <w:pStyle w:val="ListParagraph"/>
              <w:numPr>
                <w:ilvl w:val="0"/>
                <w:numId w:val="2"/>
              </w:numPr>
              <w:spacing w:after="45"/>
            </w:pPr>
            <w:r>
              <w:rPr>
                <w:sz w:val="15"/>
                <w:szCs w:val="15"/>
              </w:rPr>
              <w:t xml:space="preserve">Median time to progression anywhere was 8 months with 28% progression-free at 12 months, which is the number that bounds the treatment and is not in the paper's conclusion</w:t>
            </w:r>
          </w:p>
          <w:p>
            <w:pPr>
              <w:pStyle w:val="ListParagraph"/>
              <w:numPr>
                <w:ilvl w:val="0"/>
                <w:numId w:val="2"/>
              </w:numPr>
              <w:spacing w:after="45"/>
            </w:pPr>
            <w:r>
              <w:rPr>
                <w:sz w:val="15"/>
                <w:szCs w:val="15"/>
              </w:rPr>
              <w:t xml:space="preserve">Extrahepatic disease at the time of chemoembolisation was not excluded and is reported as non-prognostic at P = .12 in a sample where that interval, 0.35 to 1.20, easily contains a large effect</w:t>
            </w:r>
          </w:p>
          <w:p>
            <w:pPr>
              <w:pStyle w:val="ListParagraph"/>
              <w:numPr>
                <w:ilvl w:val="0"/>
                <w:numId w:val="2"/>
              </w:numPr>
              <w:spacing w:after="45"/>
            </w:pPr>
            <w:r>
              <w:rPr>
                <w:sz w:val="15"/>
                <w:szCs w:val="15"/>
              </w:rPr>
              <w:t xml:space="preserve">11% had a prior hepatectomy and others had ablation or radiation, so the cohort mixes first-line and salvage treatment with no separate analysis</w:t>
            </w:r>
          </w:p>
          <w:p>
            <w:pPr>
              <w:pStyle w:val="ListParagraph"/>
              <w:numPr>
                <w:ilvl w:val="0"/>
                <w:numId w:val="2"/>
              </w:numPr>
              <w:spacing w:after="45"/>
            </w:pPr>
            <w:r>
              <w:rPr>
                <w:sz w:val="15"/>
                <w:szCs w:val="15"/>
              </w:rPr>
              <w:t xml:space="preserve">The two centres contributed 40 and 22 patients with no centre-level comparison of response or survival reported, although an identical protocol is the paper's stated basis for pooling them</w:t>
            </w:r>
          </w:p>
          <w:p>
            <w:pPr>
              <w:pStyle w:val="ListParagraph"/>
              <w:numPr>
                <w:ilvl w:val="0"/>
                <w:numId w:val="2"/>
              </w:numPr>
              <w:spacing w:after="45"/>
            </w:pPr>
            <w:r>
              <w:rPr>
                <w:sz w:val="15"/>
                <w:szCs w:val="15"/>
              </w:rPr>
              <w:t xml:space="preserve">The regimen is historical: an ethiodol and polyvinyl alcohol emulsion of cisplatin, doxorubicin and mitomycin predates drug-eluting beads, yttrium-90 radioembolisation and gemcitabine-cisplatin as first-line standard, and the cohort was treated before FGFR2 or IDH1 testing existed</w:t>
            </w:r>
          </w:p>
          <w:p>
            <w:pPr>
              <w:pStyle w:val="ListParagraph"/>
              <w:numPr>
                <w:ilvl w:val="0"/>
                <w:numId w:val="2"/>
              </w:numPr>
              <w:spacing w:after="45"/>
            </w:pPr>
            <w:r>
              <w:rPr>
                <w:sz w:val="15"/>
                <w:szCs w:val="15"/>
              </w:rPr>
              <w:t xml:space="preserve">The in-text reference numbering for the RECIST and ECOG citations is transposed in the published PDF, so the stated response and performance criteria cannot be traced to their sources from the text as printed</w:t>
            </w:r>
          </w:p>
          <w:p>
            <w:pPr>
              <w:pStyle w:val="ListParagraph"/>
              <w:numPr>
                <w:ilvl w:val="0"/>
                <w:numId w:val="2"/>
              </w:numPr>
              <w:spacing w:after="45"/>
            </w:pPr>
            <w:r>
              <w:rPr>
                <w:sz w:val="15"/>
                <w:szCs w:val="15"/>
              </w:rPr>
              <w:t xml:space="preserve">No linked editorial or comment was found in PubMed, so no independent published appraisal accompanies the series</w:t>
            </w:r>
          </w:p>
        </w:tc>
      </w:tr>
    </w:tbl>
    <w:p>
      <w:pPr>
        <w:spacing w:after="0" w:line="276"/>
      </w:pPr>
      <w:r>
        <w:rPr>
          <w:color w:val="5A6069"/>
          <w:sz w:val="14"/>
          <w:szCs w:val="14"/>
        </w:rPr>
        <w:t xml:space="preserve">Funding: No funding statement; the authors made no disclosures</w:t>
      </w:r>
    </w:p>
    <w:p>
      <w:pPr>
        <w:keepNext/>
        <w:spacing w:after="50" w:before="260"/>
      </w:pPr>
      <w:r>
        <w:rPr>
          <w:rFonts w:ascii="Cambria" w:cs="Cambria" w:eastAsia="Cambria" w:hAnsi="Cambria"/>
          <w:b/>
          <w:bCs/>
          <w:color w:val="17365D"/>
          <w:sz w:val="20"/>
          <w:szCs w:val="20"/>
        </w:rPr>
        <w:t xml:space="preserve">Konstantinidis HAI cohort</w:t>
      </w:r>
      <w:r>
        <w:rPr>
          <w:b/>
          <w:bCs/>
          <w:color w:val="176A87"/>
          <w:sz w:val="15"/>
          <w:szCs w:val="15"/>
        </w:rPr>
        <w:t xml:space="preserve">   cohort</w:t>
      </w:r>
      <w:r>
        <w:rPr>
          <w:color w:val="5A6069"/>
          <w:sz w:val="15"/>
          <w:szCs w:val="15"/>
        </w:rPr>
        <w:t xml:space="preserve">   PMID 26695839</w:t>
      </w:r>
    </w:p>
    <w:p>
      <w:pPr>
        <w:spacing w:after="50" w:line="276"/>
      </w:pPr>
      <w:r>
        <w:rPr>
          <w:color w:val="5A6069"/>
          <w:sz w:val="17"/>
          <w:szCs w:val="17"/>
        </w:rPr>
        <w:t xml:space="preserve">Unresectable intrahepatic cholangiocarcinoma: Systemic plus hepatic arterial infusion chemotherapy is associated with longer survival in comparison with systemic chemotherapy alone</w:t>
      </w:r>
    </w:p>
    <w:p>
      <w:pPr>
        <w:spacing w:after="50"/>
      </w:pPr>
      <w:r>
        <w:rPr>
          <w:b/>
          <w:bCs/>
          <w:color w:val="176A87"/>
          <w:sz w:val="16"/>
          <w:szCs w:val="16"/>
        </w:rPr>
        <w:t xml:space="preserve">Population. </w:t>
      </w:r>
      <w:r>
        <w:rPr>
          <w:sz w:val="16"/>
          <w:szCs w:val="16"/>
        </w:rPr>
        <w:t xml:space="preserve">236 patients with unresectable intrahepatic cholangiocarcinoma and complete data, drawn from 525 biopsy-confirmed cases evaluated at Memorial Sloan Kettering between January 2000 and August 2012; the analysis focuses on the 167 without distant metastases, of whom 104 had liver-confined disease, comparing 93 who had hepatic arterial infusion plus systemic chemotherapy with 74 who had systemic chemotherapy alone</w:t>
      </w:r>
    </w:p>
    <w:p>
      <w:pPr>
        <w:spacing w:after="70"/>
      </w:pPr>
      <w:r>
        <w:rPr>
          <w:b/>
          <w:bCs/>
          <w:color w:val="17365D"/>
          <w:sz w:val="16"/>
          <w:szCs w:val="16"/>
        </w:rPr>
        <w:t xml:space="preserve">Bottom line. </w:t>
      </w:r>
      <w:r>
        <w:rPr>
          <w:sz w:val="16"/>
          <w:szCs w:val="16"/>
        </w:rPr>
        <w:t xml:space="preserve">In 167 patients with unresectable iCCA without distant metastases, adding hepatic arterial infusion floxuridine to systemic chemotherapy was associated with median survival of 30.8 against 18.4 months in liver-confined disease, the largest such series available and the basis for referring these patients to pump centres. It cannot show the pump caused that difference: assignment was by oncologist preference, all infusion patients were surgically staged against 42% of controls, 44 of 93 came from trials, and neither response nor progression-free survival differed significantly. Conversion to resection happened in 3%, with two perioperative deaths among eight.</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study is retrospective and single-institution, the former with obvious implications for selection bias and the latter precluding generalisability pending a multicentre study</w:t>
            </w:r>
          </w:p>
          <w:p>
            <w:pPr>
              <w:pStyle w:val="ListParagraph"/>
              <w:numPr>
                <w:ilvl w:val="0"/>
                <w:numId w:val="2"/>
              </w:numPr>
              <w:spacing w:after="45"/>
            </w:pPr>
            <w:r>
              <w:rPr>
                <w:sz w:val="15"/>
                <w:szCs w:val="15"/>
              </w:rPr>
              <w:t xml:space="preserve">A significant proportion of the hepatic arterial infusion patients, 44 of 93, came from two clinical trials, which the authors say somewhat limits generalisability</w:t>
            </w:r>
          </w:p>
          <w:p>
            <w:pPr>
              <w:pStyle w:val="ListParagraph"/>
              <w:numPr>
                <w:ilvl w:val="0"/>
                <w:numId w:val="2"/>
              </w:numPr>
              <w:spacing w:after="45"/>
            </w:pPr>
            <w:r>
              <w:rPr>
                <w:sz w:val="15"/>
                <w:szCs w:val="15"/>
              </w:rPr>
              <w:t xml:space="preserve">The heterogeneity of systemic regimens, inherent to studies outside controlled trials, is a limitation that must be considered when interpreting the results</w:t>
            </w:r>
          </w:p>
          <w:p>
            <w:pPr>
              <w:pStyle w:val="ListParagraph"/>
              <w:numPr>
                <w:ilvl w:val="0"/>
                <w:numId w:val="2"/>
              </w:numPr>
              <w:spacing w:after="45"/>
            </w:pPr>
            <w:r>
              <w:rPr>
                <w:sz w:val="15"/>
                <w:szCs w:val="15"/>
              </w:rPr>
              <w:t xml:space="preserve">Potential differences in staging may have existed between the groups because not all patients were staged surgically, mitigated only by serial scanning of equivocal radiological findings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Treatment assignment was made by the treating medical oncologist with no matching, no propensity adjustment and no multivariable survival model reported for the main comparison, so a 12.4-month median survival difference is attributed to the pump on the strength of a log-rank P value alone</w:t>
            </w:r>
          </w:p>
          <w:p>
            <w:pPr>
              <w:pStyle w:val="ListParagraph"/>
              <w:numPr>
                <w:ilvl w:val="0"/>
                <w:numId w:val="2"/>
              </w:numPr>
              <w:spacing w:after="45"/>
            </w:pPr>
            <w:r>
              <w:rPr>
                <w:sz w:val="15"/>
                <w:szCs w:val="15"/>
              </w:rPr>
              <w:t xml:space="preserve">All hepatic arterial infusion patients were surgically explored and staged at operation whereas only 42% of the systemic-alone group were, so the groups were staged by different methods and stage migration alone could produce the observed difference</w:t>
            </w:r>
          </w:p>
          <w:p>
            <w:pPr>
              <w:pStyle w:val="ListParagraph"/>
              <w:numPr>
                <w:ilvl w:val="0"/>
                <w:numId w:val="2"/>
              </w:numPr>
              <w:spacing w:after="45"/>
            </w:pPr>
            <w:r>
              <w:rPr>
                <w:sz w:val="15"/>
                <w:szCs w:val="15"/>
              </w:rPr>
              <w:t xml:space="preserve">The control group for the liver-confined comparison is 26 patients, of whom only about 30% received gemcitabine-cisplatin, so the comparator is a mixture of regimens including several no longer used</w:t>
            </w:r>
          </w:p>
          <w:p>
            <w:pPr>
              <w:pStyle w:val="ListParagraph"/>
              <w:numPr>
                <w:ilvl w:val="0"/>
                <w:numId w:val="2"/>
              </w:numPr>
              <w:spacing w:after="45"/>
            </w:pPr>
            <w:r>
              <w:rPr>
                <w:sz w:val="15"/>
                <w:szCs w:val="15"/>
              </w:rPr>
              <w:t xml:space="preserve">The most favourable comparison, 30.8 against 15 months, is made against 9 patients who received a modern doublet, a denominator too small to support the number it generates</w:t>
            </w:r>
          </w:p>
          <w:p>
            <w:pPr>
              <w:pStyle w:val="ListParagraph"/>
              <w:numPr>
                <w:ilvl w:val="0"/>
                <w:numId w:val="2"/>
              </w:numPr>
              <w:spacing w:after="45"/>
            </w:pPr>
            <w:r>
              <w:rPr>
                <w:sz w:val="15"/>
                <w:szCs w:val="15"/>
              </w:rPr>
              <w:t xml:space="preserve">Six patients in the infusion group received hepatic arterial infusion alone because they could not tolerate systemic therapy, so the groups are not even consistent in what they received</w:t>
            </w:r>
          </w:p>
          <w:p>
            <w:pPr>
              <w:pStyle w:val="ListParagraph"/>
              <w:numPr>
                <w:ilvl w:val="0"/>
                <w:numId w:val="2"/>
              </w:numPr>
              <w:spacing w:after="45"/>
            </w:pPr>
            <w:r>
              <w:rPr>
                <w:sz w:val="15"/>
                <w:szCs w:val="15"/>
              </w:rPr>
              <w:t xml:space="preserve">Response data were available for 79 of 93 infusion patients and 18 of 74 systemic-alone patients, so the response comparison of 59% against 39% is drawn from a quarter of the control arm; the text also gives the infusion denominator as 78 in one place and 79 in another</w:t>
            </w:r>
          </w:p>
          <w:p>
            <w:pPr>
              <w:pStyle w:val="ListParagraph"/>
              <w:numPr>
                <w:ilvl w:val="0"/>
                <w:numId w:val="2"/>
              </w:numPr>
              <w:spacing w:after="45"/>
            </w:pPr>
            <w:r>
              <w:rPr>
                <w:sz w:val="15"/>
                <w:szCs w:val="15"/>
              </w:rPr>
              <w:t xml:space="preserve">Progression-free survival, the endpoint least affected by subsequent treatment, showed no significant difference, 12 against 7 months, P = .2, and neither did response, P = .11; only overall survival separated, which is the endpoint most vulnerable to the selection the design cannot control</w:t>
            </w:r>
          </w:p>
          <w:p>
            <w:pPr>
              <w:pStyle w:val="ListParagraph"/>
              <w:numPr>
                <w:ilvl w:val="0"/>
                <w:numId w:val="2"/>
              </w:numPr>
              <w:spacing w:after="45"/>
            </w:pPr>
            <w:r>
              <w:rPr>
                <w:sz w:val="15"/>
                <w:szCs w:val="15"/>
              </w:rPr>
              <w:t xml:space="preserve">No pump complication rate, no biliary toxicity rate and no treatment-related mortality are reported anywhere in this paper, with the reader referred to earlier publications, so the procedural risk cannot be weighed against the survival claim from this source</w:t>
            </w:r>
          </w:p>
          <w:p>
            <w:pPr>
              <w:pStyle w:val="ListParagraph"/>
              <w:numPr>
                <w:ilvl w:val="0"/>
                <w:numId w:val="2"/>
              </w:numPr>
              <w:spacing w:after="45"/>
            </w:pPr>
            <w:r>
              <w:rPr>
                <w:sz w:val="15"/>
                <w:szCs w:val="15"/>
              </w:rPr>
              <w:t xml:space="preserve">Only 8 of 236 patients (3%) converted to resection, of whom 2 died perioperatively and 5 recurred within a year, with negative margins in 5 of 8; the conversion result is presented as encouraging when two of eight patients died of the operation</w:t>
            </w:r>
          </w:p>
          <w:p>
            <w:pPr>
              <w:pStyle w:val="ListParagraph"/>
              <w:numPr>
                <w:ilvl w:val="0"/>
                <w:numId w:val="2"/>
              </w:numPr>
              <w:spacing w:after="45"/>
            </w:pPr>
            <w:r>
              <w:rPr>
                <w:sz w:val="15"/>
                <w:szCs w:val="15"/>
              </w:rPr>
              <w:t xml:space="preserve">44 of 93 infusion patients came from two prospective trials and were therefore subject to trial eligibility criteria, while the comparator group was not, so trial-grade fitness is built into one arm of a retrospective comparison</w:t>
            </w:r>
          </w:p>
          <w:p>
            <w:pPr>
              <w:pStyle w:val="ListParagraph"/>
              <w:numPr>
                <w:ilvl w:val="0"/>
                <w:numId w:val="2"/>
              </w:numPr>
              <w:spacing w:after="45"/>
            </w:pPr>
            <w:r>
              <w:rPr>
                <w:sz w:val="15"/>
                <w:szCs w:val="15"/>
              </w:rPr>
              <w:t xml:space="preserve">The paper asserts that the results represent the best reported treatment results for advanced intrahepatic cholangiocarcinoma, a cross-literature claim from a single-centre retrospective series</w:t>
            </w:r>
          </w:p>
          <w:p>
            <w:pPr>
              <w:pStyle w:val="ListParagraph"/>
              <w:numPr>
                <w:ilvl w:val="0"/>
                <w:numId w:val="2"/>
              </w:numPr>
              <w:spacing w:after="45"/>
            </w:pPr>
            <w:r>
              <w:rPr>
                <w:sz w:val="15"/>
                <w:szCs w:val="15"/>
              </w:rPr>
              <w:t xml:space="preserve">No linked editorial or comment was found in PubMed, so no independent published appraisal accompanies the survival claim</w:t>
            </w:r>
          </w:p>
        </w:tc>
      </w:tr>
    </w:tbl>
    <w:p>
      <w:pPr>
        <w:spacing w:after="0" w:line="276"/>
      </w:pPr>
      <w:r>
        <w:rPr>
          <w:color w:val="5A6069"/>
          <w:sz w:val="14"/>
          <w:szCs w:val="14"/>
        </w:rPr>
        <w:t xml:space="preserve">Funding: Supported by the National Institutes of Health / National Cancer Institute Cancer Center Support grant P30 CA008748; individual authors report personal fees from Baxter, Amgen, Medtronic, Johnson and Johnson, Ipsen and others outside the submitted work</w:t>
      </w:r>
    </w:p>
    <w:p>
      <w:pPr>
        <w:keepNext/>
        <w:spacing w:after="50" w:before="260"/>
      </w:pPr>
      <w:r>
        <w:rPr>
          <w:rFonts w:ascii="Cambria" w:cs="Cambria" w:eastAsia="Cambria" w:hAnsi="Cambria"/>
          <w:b/>
          <w:bCs/>
          <w:color w:val="17365D"/>
          <w:sz w:val="20"/>
          <w:szCs w:val="20"/>
        </w:rPr>
        <w:t xml:space="preserve">LCSGJ iCCA 2022</w:t>
      </w:r>
      <w:r>
        <w:rPr>
          <w:b/>
          <w:bCs/>
          <w:color w:val="176A87"/>
          <w:sz w:val="15"/>
          <w:szCs w:val="15"/>
        </w:rPr>
        <w:t xml:space="preserve">   Guideline</w:t>
      </w:r>
      <w:r>
        <w:rPr>
          <w:color w:val="5A6069"/>
          <w:sz w:val="15"/>
          <w:szCs w:val="15"/>
        </w:rPr>
        <w:t xml:space="preserve">   PMID 35978598</w:t>
      </w:r>
    </w:p>
    <w:p>
      <w:pPr>
        <w:spacing w:after="50" w:line="276"/>
      </w:pPr>
      <w:r>
        <w:rPr>
          <w:color w:val="5A6069"/>
          <w:sz w:val="17"/>
          <w:szCs w:val="17"/>
        </w:rPr>
        <w:t xml:space="preserve">Liver Cancer Study Group of Japan Clinical Practice Guidelines for Intrahepatic Cholangiocarcinoma</w:t>
      </w:r>
    </w:p>
    <w:p>
      <w:pPr>
        <w:spacing w:after="70"/>
      </w:pPr>
      <w:r>
        <w:rPr>
          <w:b/>
          <w:bCs/>
          <w:color w:val="17365D"/>
          <w:sz w:val="16"/>
          <w:szCs w:val="16"/>
        </w:rPr>
        <w:t xml:space="preserve">Bottom line. </w:t>
      </w:r>
      <w:r>
        <w:rPr>
          <w:sz w:val="16"/>
          <w:szCs w:val="16"/>
        </w:rPr>
        <w:t xml:space="preserve">The first Japanese iCCA guideline, and the clearest statement of a hepatic-reserve-driven algorithm: resect a solitary node-negative tumour at any size, treat nodal or multifocal disease with drugs first, and give gemcitabine-cisplatin-S-1 for unresectable disease. It is built on the LCSGJ staging system with a 2 cm T cut-off, which is incompatible with the UICC 8th edition used elsewhere, and its first-line regimen rests on a Japan-only trial with a 0.9-month gain and a drug unavailable in the West. It makes no recommendation on lymph node dissection while conditioning its whole algorithm on nodal status.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authors concede that the 2 cm T-stage cut-off in the LCSGJ staging system needs further validation</w:t>
            </w:r>
          </w:p>
          <w:p>
            <w:pPr>
              <w:pStyle w:val="ListParagraph"/>
              <w:numPr>
                <w:ilvl w:val="0"/>
                <w:numId w:val="2"/>
              </w:numPr>
              <w:spacing w:after="45"/>
            </w:pPr>
            <w:r>
              <w:rPr>
                <w:sz w:val="15"/>
                <w:szCs w:val="15"/>
              </w:rPr>
              <w:t xml:space="preserve">They state there is little evidence on the weight that should be given to major biliary invasion in staging</w:t>
            </w:r>
          </w:p>
          <w:p>
            <w:pPr>
              <w:pStyle w:val="ListParagraph"/>
              <w:numPr>
                <w:ilvl w:val="0"/>
                <w:numId w:val="2"/>
              </w:numPr>
              <w:spacing w:after="45"/>
            </w:pPr>
            <w:r>
              <w:rPr>
                <w:sz w:val="15"/>
                <w:szCs w:val="15"/>
              </w:rPr>
              <w:t xml:space="preserve">The significance of lymph node dissection is stated to be currently unclear, with no recommendation made</w:t>
            </w:r>
          </w:p>
          <w:p>
            <w:pPr>
              <w:pStyle w:val="ListParagraph"/>
              <w:numPr>
                <w:ilvl w:val="0"/>
                <w:numId w:val="2"/>
              </w:numPr>
              <w:spacing w:after="45"/>
            </w:pPr>
            <w:r>
              <w:rPr>
                <w:sz w:val="15"/>
                <w:szCs w:val="15"/>
              </w:rPr>
              <w:t xml:space="preserve">They state there is no high-quality evidence for selecting which patients should receive adjuvant chemotherapy</w:t>
            </w:r>
          </w:p>
          <w:p>
            <w:pPr>
              <w:pStyle w:val="ListParagraph"/>
              <w:numPr>
                <w:ilvl w:val="0"/>
                <w:numId w:val="2"/>
              </w:numPr>
              <w:spacing w:after="45"/>
            </w:pPr>
            <w:r>
              <w:rPr>
                <w:sz w:val="15"/>
                <w:szCs w:val="15"/>
              </w:rPr>
              <w:t xml:space="preserve">Neoadjuvant chemotherapy is recorded as having no evidence of benefit, with no recommendation made</w:t>
            </w:r>
          </w:p>
          <w:p>
            <w:pPr>
              <w:pStyle w:val="ListParagraph"/>
              <w:numPr>
                <w:ilvl w:val="0"/>
                <w:numId w:val="2"/>
              </w:numPr>
              <w:spacing w:after="45"/>
            </w:pPr>
            <w:r>
              <w:rPr>
                <w:sz w:val="15"/>
                <w:szCs w:val="15"/>
              </w:rPr>
              <w:t xml:space="preserve">The literature search closed at the end of 2019</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guideline is framed for Japanese national health insurance, so reimbursement enters the recommendations as if it were evidence: ivosidenib is dismissed as uninsured and adjuvant capecitabine is downgraded in part because it is not reimbursed in Japan rather than on trial data</w:t>
            </w:r>
          </w:p>
          <w:p>
            <w:pPr>
              <w:pStyle w:val="ListParagraph"/>
              <w:numPr>
                <w:ilvl w:val="0"/>
                <w:numId w:val="2"/>
              </w:numPr>
              <w:spacing w:after="45"/>
            </w:pPr>
            <w:r>
              <w:rPr>
                <w:sz w:val="15"/>
                <w:szCs w:val="15"/>
              </w:rPr>
              <w:t xml:space="preserve">The first-line recommendation of gemcitabine-cisplatin-S-1 rests on a single Japan-only phase 3 with a 0.9-month median survival gain and a 90% confidence interval of 0.628 to 0.996 that nearly touches 1, and S-1 is unavailable in North America and Europe, so the top recommendation cannot be acted on outside Asia</w:t>
            </w:r>
          </w:p>
          <w:p>
            <w:pPr>
              <w:pStyle w:val="ListParagraph"/>
              <w:numPr>
                <w:ilvl w:val="0"/>
                <w:numId w:val="2"/>
              </w:numPr>
              <w:spacing w:after="45"/>
            </w:pPr>
            <w:r>
              <w:rPr>
                <w:sz w:val="15"/>
                <w:szCs w:val="15"/>
              </w:rPr>
              <w:t xml:space="preserve">A 90% rather than 95% confidence interval is quoted for the pivotal first-line hazard ratio without comment, which is a lower evidential bar than the rest of the document's recommendations imply</w:t>
            </w:r>
          </w:p>
          <w:p>
            <w:pPr>
              <w:pStyle w:val="ListParagraph"/>
              <w:numPr>
                <w:ilvl w:val="0"/>
                <w:numId w:val="2"/>
              </w:numPr>
              <w:spacing w:after="45"/>
            </w:pPr>
            <w:r>
              <w:rPr>
                <w:sz w:val="15"/>
                <w:szCs w:val="15"/>
              </w:rPr>
              <w:t xml:space="preserve">Hepatectomy for a solitary node-negative tumour is recommended with no restriction on tumour size, while the guideline's own staging system uses 2 cm as a T-stage boundary and its own survival data show 63.4% 5-year survival below 2 cm; the recommendation and the staging contradict each other on whether size matters</w:t>
            </w:r>
          </w:p>
          <w:p>
            <w:pPr>
              <w:pStyle w:val="ListParagraph"/>
              <w:numPr>
                <w:ilvl w:val="0"/>
                <w:numId w:val="2"/>
              </w:numPr>
              <w:spacing w:after="45"/>
            </w:pPr>
            <w:r>
              <w:rPr>
                <w:sz w:val="15"/>
                <w:szCs w:val="15"/>
              </w:rPr>
              <w:t xml:space="preserve">No recommendation is made on lymph node dissection, so a guideline that conditions its entire treatment algorithm on nodal metastasis gives no guidance on how nodal status is to be established</w:t>
            </w:r>
          </w:p>
          <w:p>
            <w:pPr>
              <w:pStyle w:val="ListParagraph"/>
              <w:numPr>
                <w:ilvl w:val="0"/>
                <w:numId w:val="2"/>
              </w:numPr>
              <w:spacing w:after="45"/>
            </w:pPr>
            <w:r>
              <w:rPr>
                <w:sz w:val="15"/>
                <w:szCs w:val="15"/>
              </w:rPr>
              <w:t xml:space="preserve">The staging system used is incompatible with the UICC 8th edition used elsewhere, with a 2 cm rather than 5 cm T cut-off and major biliary invasion retained after UICC dropped periductal invasion, so survival figures and stage groupings in this guideline cannot be compared with international series</w:t>
            </w:r>
          </w:p>
          <w:p>
            <w:pPr>
              <w:pStyle w:val="ListParagraph"/>
              <w:numPr>
                <w:ilvl w:val="0"/>
                <w:numId w:val="2"/>
              </w:numPr>
              <w:spacing w:after="45"/>
            </w:pPr>
            <w:r>
              <w:rPr>
                <w:sz w:val="15"/>
                <w:szCs w:val="15"/>
              </w:rPr>
              <w:t xml:space="preserve">Survival figures by tumour number, 46.8%, 33.6% and 11.1% for one, two and three tumours, are presented as decision thresholds with no cohort, period or source denominators given in the recommendation text</w:t>
            </w:r>
          </w:p>
          <w:p>
            <w:pPr>
              <w:pStyle w:val="ListParagraph"/>
              <w:numPr>
                <w:ilvl w:val="0"/>
                <w:numId w:val="2"/>
              </w:numPr>
              <w:spacing w:after="45"/>
            </w:pPr>
            <w:r>
              <w:rPr>
                <w:sz w:val="15"/>
                <w:szCs w:val="15"/>
              </w:rPr>
              <w:t xml:space="preserve">Conversion-to-resection rates of 36.4% to 53% after chemotherapy are quoted alongside a no-recommendation verdict on neoadjuvant therapy, and the claim that converted patients survive 24.1 months against 25.7 for primarily resectable patients is a comparison of two non-randomised groups presented as reassurance</w:t>
            </w:r>
          </w:p>
          <w:p>
            <w:pPr>
              <w:pStyle w:val="ListParagraph"/>
              <w:numPr>
                <w:ilvl w:val="0"/>
                <w:numId w:val="2"/>
              </w:numPr>
              <w:spacing w:after="45"/>
            </w:pPr>
            <w:r>
              <w:rPr>
                <w:sz w:val="15"/>
                <w:szCs w:val="15"/>
              </w:rPr>
              <w:t xml:space="preserve">Percutaneous ablation is placed last, only when both resection and drug therapy are precluded, while stereotactic radiotherapy for tumours up to 5 cm and particle radiotherapy with no size limit are both weakly recommended; the relative ordering of the local therapies is not justified by any comparative data</w:t>
            </w:r>
          </w:p>
          <w:p>
            <w:pPr>
              <w:pStyle w:val="ListParagraph"/>
              <w:numPr>
                <w:ilvl w:val="0"/>
                <w:numId w:val="2"/>
              </w:numPr>
              <w:spacing w:after="45"/>
            </w:pPr>
            <w:r>
              <w:rPr>
                <w:sz w:val="15"/>
                <w:szCs w:val="15"/>
              </w:rPr>
              <w:t xml:space="preserve">Transplantation is dismissed as generally not indicated with no size-stratified discussion, which puts this guideline directly at odds with the EASL-ILCA and ILTS-ILCA positions on cirrhotic tumours of 2 to 3 cm</w:t>
            </w:r>
          </w:p>
          <w:p>
            <w:pPr>
              <w:pStyle w:val="ListParagraph"/>
              <w:numPr>
                <w:ilvl w:val="0"/>
                <w:numId w:val="2"/>
              </w:numPr>
              <w:spacing w:after="45"/>
            </w:pPr>
            <w:r>
              <w:rPr>
                <w:sz w:val="15"/>
                <w:szCs w:val="15"/>
              </w:rPr>
              <w:t xml:space="preserve">Biopsy is recommended only in unresectable cases, which means resection decisions are made on imaging alone and the small-duct against large-duct subtyping the guideline describes cannot be used preoperatively</w:t>
            </w:r>
          </w:p>
          <w:p>
            <w:pPr>
              <w:pStyle w:val="ListParagraph"/>
              <w:numPr>
                <w:ilvl w:val="0"/>
                <w:numId w:val="2"/>
              </w:numPr>
              <w:spacing w:after="45"/>
            </w:pPr>
            <w:r>
              <w:rPr>
                <w:sz w:val="15"/>
                <w:szCs w:val="15"/>
              </w:rPr>
              <w:t xml:space="preserve">Several authors hold senior editorial positions at the journal that published the guideline, including its editor-in-chief, which is disclosed but not addressed</w:t>
            </w:r>
          </w:p>
          <w:p>
            <w:pPr>
              <w:pStyle w:val="ListParagraph"/>
              <w:numPr>
                <w:ilvl w:val="0"/>
                <w:numId w:val="2"/>
              </w:numPr>
              <w:spacing w:after="45"/>
            </w:pPr>
            <w:r>
              <w:rPr>
                <w:sz w:val="15"/>
                <w:szCs w:val="15"/>
              </w:rPr>
              <w:t xml:space="preserve">No linked editorial or comment was found in PubMed, so no independent published appraisal accompanies the first Japanese iCCA guideline</w:t>
            </w:r>
          </w:p>
        </w:tc>
      </w:tr>
    </w:tbl>
    <w:p>
      <w:pPr>
        <w:spacing w:after="0" w:line="276"/>
      </w:pPr>
      <w:r>
        <w:rPr>
          <w:color w:val="5A6069"/>
          <w:sz w:val="14"/>
          <w:szCs w:val="14"/>
        </w:rPr>
        <w:t xml:space="preserve">Funding: The authors state they have no funding source and no conflicts of interest to declare; several authors hold editorial positions at the publishing journal, including the editor-in-chief, three associate editors and one editorial board member of Liver Cancer</w:t>
      </w:r>
    </w:p>
    <w:p>
      <w:pPr>
        <w:keepNext/>
        <w:spacing w:after="50" w:before="260"/>
      </w:pPr>
      <w:r>
        <w:rPr>
          <w:rFonts w:ascii="Cambria" w:cs="Cambria" w:eastAsia="Cambria" w:hAnsi="Cambria"/>
          <w:b/>
          <w:bCs/>
          <w:color w:val="17365D"/>
          <w:sz w:val="20"/>
          <w:szCs w:val="20"/>
        </w:rPr>
        <w:t xml:space="preserve">Lunsford protocol series</w:t>
      </w:r>
      <w:r>
        <w:rPr>
          <w:b/>
          <w:bCs/>
          <w:color w:val="176A87"/>
          <w:sz w:val="15"/>
          <w:szCs w:val="15"/>
        </w:rPr>
        <w:t xml:space="preserve">   Case series</w:t>
      </w:r>
      <w:r>
        <w:rPr>
          <w:color w:val="5A6069"/>
          <w:sz w:val="15"/>
          <w:szCs w:val="15"/>
        </w:rPr>
        <w:t xml:space="preserve">   PMID 29548617</w:t>
      </w:r>
    </w:p>
    <w:p>
      <w:pPr>
        <w:spacing w:after="50" w:line="276"/>
      </w:pPr>
      <w:r>
        <w:rPr>
          <w:color w:val="5A6069"/>
          <w:sz w:val="17"/>
          <w:szCs w:val="17"/>
        </w:rPr>
        <w:t xml:space="preserve">Liver transplantation for locally advanced intrahepatic cholangiocarcinoma treated with neoadjuvant therapy: a prospective case-series</w:t>
      </w:r>
    </w:p>
    <w:p>
      <w:pPr>
        <w:spacing w:after="50"/>
      </w:pPr>
      <w:r>
        <w:rPr>
          <w:b/>
          <w:bCs/>
          <w:color w:val="176A87"/>
          <w:sz w:val="16"/>
          <w:szCs w:val="16"/>
        </w:rPr>
        <w:t xml:space="preserve">Population. </w:t>
      </w:r>
      <w:r>
        <w:rPr>
          <w:sz w:val="16"/>
          <w:szCs w:val="16"/>
        </w:rPr>
        <w:t xml:space="preserve">6 patients with locally advanced unresectable intrahepatic cholangiocarcinoma transplanted at a single centre, drawn from 12 accepted and listed out of 21 referred between 1 January 2010 and 1 December 2017</w:t>
      </w:r>
    </w:p>
    <w:p>
      <w:pPr>
        <w:spacing w:after="70"/>
      </w:pPr>
      <w:r>
        <w:rPr>
          <w:b/>
          <w:bCs/>
          <w:color w:val="17365D"/>
          <w:sz w:val="16"/>
          <w:szCs w:val="16"/>
        </w:rPr>
        <w:t xml:space="preserve">Bottom line. </w:t>
      </w:r>
      <w:r>
        <w:rPr>
          <w:sz w:val="16"/>
          <w:szCs w:val="16"/>
        </w:rPr>
        <w:t xml:space="preserve">Six highly selected patients with bulky unresectable iCCA who had been radiographically stable for at least six months on chemotherapy survived transplantation well, with one death and three recurrences over a median 36 months. It does not show that transplantation beats continued chemotherapy, because there is no comparator and no intention-to-treat denominator: six of twenty-one referrals reached the operating room, and half the grafts were livers no other centre would take. The six-month stability rule it introduced is tested here only in tumours above 5 cm.</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rarity of iCCA together with the stringent requirement for long-term disease stability meant only nine patients were listed over a six-year period</w:t>
            </w:r>
          </w:p>
          <w:p>
            <w:pPr>
              <w:pStyle w:val="ListParagraph"/>
              <w:numPr>
                <w:ilvl w:val="0"/>
                <w:numId w:val="2"/>
              </w:numPr>
              <w:spacing w:after="45"/>
            </w:pPr>
            <w:r>
              <w:rPr>
                <w:sz w:val="15"/>
                <w:szCs w:val="15"/>
              </w:rPr>
              <w:t xml:space="preserve">No MELD exception was available, so finding organs was difficult and discarded or extended-criteria livers were often used</w:t>
            </w:r>
          </w:p>
          <w:p>
            <w:pPr>
              <w:pStyle w:val="ListParagraph"/>
              <w:numPr>
                <w:ilvl w:val="0"/>
                <w:numId w:val="2"/>
              </w:numPr>
              <w:spacing w:after="45"/>
            </w:pPr>
            <w:r>
              <w:rPr>
                <w:sz w:val="15"/>
                <w:szCs w:val="15"/>
              </w:rPr>
              <w:t xml:space="preserve">Regimens after initial gemcitabine-based therapy were heterogeneous because of the median 26 months between diagnosis and transplantation, reflecting an absence of standard in this setting</w:t>
            </w:r>
          </w:p>
          <w:p>
            <w:pPr>
              <w:pStyle w:val="ListParagraph"/>
              <w:numPr>
                <w:ilvl w:val="0"/>
                <w:numId w:val="2"/>
              </w:numPr>
              <w:spacing w:after="45"/>
            </w:pPr>
            <w:r>
              <w:rPr>
                <w:sz w:val="15"/>
                <w:szCs w:val="15"/>
              </w:rPr>
              <w:t xml:space="preserve">The small sample size limited statistical analysis, and larger prospective studies will be needed to validate the results</w:t>
            </w:r>
          </w:p>
          <w:p>
            <w:pPr>
              <w:pStyle w:val="ListParagraph"/>
              <w:numPr>
                <w:ilvl w:val="0"/>
                <w:numId w:val="2"/>
              </w:numPr>
              <w:spacing w:after="45"/>
            </w:pPr>
            <w:r>
              <w:rPr>
                <w:sz w:val="15"/>
                <w:szCs w:val="15"/>
              </w:rPr>
              <w:t xml:space="preserve">Resectability was determined solely by the surgeon members of the collaborative committee, which the authors state carried potential for bias</w:t>
            </w:r>
          </w:p>
          <w:p>
            <w:pPr>
              <w:pStyle w:val="ListParagraph"/>
              <w:numPr>
                <w:ilvl w:val="0"/>
                <w:numId w:val="2"/>
              </w:numPr>
              <w:spacing w:after="45"/>
            </w:pPr>
            <w:r>
              <w:rPr>
                <w:sz w:val="15"/>
                <w:szCs w:val="15"/>
              </w:rPr>
              <w:t xml:space="preserve">Patients were not randomised and were treated under a centre-approved clinical policy, so the study did not qualify for registration as a clinical trial</w:t>
            </w:r>
          </w:p>
          <w:p>
            <w:pPr>
              <w:pStyle w:val="ListParagraph"/>
              <w:numPr>
                <w:ilvl w:val="0"/>
                <w:numId w:val="2"/>
              </w:numPr>
              <w:spacing w:after="45"/>
            </w:pPr>
            <w:r>
              <w:rPr>
                <w:sz w:val="15"/>
                <w:szCs w:val="15"/>
              </w:rPr>
              <w:t xml:space="preserve">A clear-cut tumour size cut-off for transplant candidacy cannot be drawn from these results and a larger cohort will be needed</w:t>
            </w:r>
          </w:p>
          <w:p>
            <w:pPr>
              <w:pStyle w:val="ListParagraph"/>
              <w:numPr>
                <w:ilvl w:val="0"/>
                <w:numId w:val="2"/>
              </w:numPr>
              <w:spacing w:after="45"/>
            </w:pPr>
            <w:r>
              <w:rPr>
                <w:sz w:val="15"/>
                <w:szCs w:val="15"/>
              </w:rPr>
              <w:t xml:space="preserve">The authors concede that perihilar biopsy and portal lymphadenectomy during the exploratory part of the hepatectomy would be needed to avoid transplanting patients with occult disease, having found two patients with extrahepatic metastases called stable before transplant and one with perihilar fat invasion found only on explant</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Survival is computed only on the six patients who reached transplantation; the nine referrals never accepted and the three listed patients still waiting at censoring are outside the denominator, so the paper reports no intention-to-treat result for the strategy it proposes</w:t>
            </w:r>
          </w:p>
          <w:p>
            <w:pPr>
              <w:pStyle w:val="ListParagraph"/>
              <w:numPr>
                <w:ilvl w:val="0"/>
                <w:numId w:val="2"/>
              </w:numPr>
              <w:spacing w:after="45"/>
            </w:pPr>
            <w:r>
              <w:rPr>
                <w:sz w:val="15"/>
                <w:szCs w:val="15"/>
              </w:rPr>
              <w:t xml:space="preserve">Overall survival of 100% with a 95% confidence interval of 100-100 at 1 year reflects zero deaths among six patients rather than any precision, and the 83.3% figure at 3 and 5 years rests on a single death with an interval of 27.3-97.5</w:t>
            </w:r>
          </w:p>
          <w:p>
            <w:pPr>
              <w:pStyle w:val="ListParagraph"/>
              <w:numPr>
                <w:ilvl w:val="0"/>
                <w:numId w:val="2"/>
              </w:numPr>
              <w:spacing w:after="45"/>
            </w:pPr>
            <w:r>
              <w:rPr>
                <w:sz w:val="15"/>
                <w:szCs w:val="15"/>
              </w:rPr>
              <w:t xml:space="preserve">Recurrence-free survival is identical at 1, 3 and 5 years, 50% (11.1-80.4), because all three recurrences happened by 8.6 months; the 3 and 5-year values add no information beyond the first year</w:t>
            </w:r>
          </w:p>
          <w:p>
            <w:pPr>
              <w:pStyle w:val="ListParagraph"/>
              <w:numPr>
                <w:ilvl w:val="0"/>
                <w:numId w:val="2"/>
              </w:numPr>
              <w:spacing w:after="45"/>
            </w:pPr>
            <w:r>
              <w:rPr>
                <w:sz w:val="15"/>
                <w:szCs w:val="15"/>
              </w:rPr>
              <w:t xml:space="preserve">This is an interim analysis of an ongoing clinical management protocol censored on a date chosen by the investigators, with three of the twelve listed patients still on the waitlist, so the cohort is not closed and the denominator can change with the next cut</w:t>
            </w:r>
          </w:p>
          <w:p>
            <w:pPr>
              <w:pStyle w:val="ListParagraph"/>
              <w:numPr>
                <w:ilvl w:val="0"/>
                <w:numId w:val="2"/>
              </w:numPr>
              <w:spacing w:after="45"/>
            </w:pPr>
            <w:r>
              <w:rPr>
                <w:sz w:val="15"/>
                <w:szCs w:val="15"/>
              </w:rPr>
              <w:t xml:space="preserve">Median pre-transplant cumulative tumour diameter was 14.2 cm and no patient was below 5 cm, so the series contains no information about the small tumours to which its six-month stability rule is now routinely applied</w:t>
            </w:r>
          </w:p>
          <w:p>
            <w:pPr>
              <w:pStyle w:val="ListParagraph"/>
              <w:numPr>
                <w:ilvl w:val="0"/>
                <w:numId w:val="2"/>
              </w:numPr>
              <w:spacing w:after="45"/>
            </w:pPr>
            <w:r>
              <w:rPr>
                <w:sz w:val="15"/>
                <w:szCs w:val="15"/>
              </w:rPr>
              <w:t xml:space="preserve">Two of six recipients had lesions described as stable on pre-transplant imaging, a bony lesion and subcentimetre lung nodules, that turned out to be metastases, meaning a third of the cohort was transplanted with the extrahepatic disease the entry criteria excluded</w:t>
            </w:r>
          </w:p>
          <w:p>
            <w:pPr>
              <w:pStyle w:val="ListParagraph"/>
              <w:numPr>
                <w:ilvl w:val="0"/>
                <w:numId w:val="2"/>
              </w:numPr>
              <w:spacing w:after="45"/>
            </w:pPr>
            <w:r>
              <w:rPr>
                <w:sz w:val="15"/>
                <w:szCs w:val="15"/>
              </w:rPr>
              <w:t xml:space="preserve">The genomic observations are four single patients: FGFR2 alterations in two who did not recur, KRAS in one who did and BAP1 in one who did, and from this the discussion speculates that another 10-20% of patients with favourable genetics might benefit</w:t>
            </w:r>
          </w:p>
          <w:p>
            <w:pPr>
              <w:pStyle w:val="ListParagraph"/>
              <w:numPr>
                <w:ilvl w:val="0"/>
                <w:numId w:val="2"/>
              </w:numPr>
              <w:spacing w:after="45"/>
            </w:pPr>
            <w:r>
              <w:rPr>
                <w:sz w:val="15"/>
                <w:szCs w:val="15"/>
              </w:rPr>
              <w:t xml:space="preserve">Three of the six grafts were extended-criteria orphan livers refused by every other centre and two were domino living-donor grafts, so only one recipient received a standard deceased-donor organ and the approach cannot be reproduced where such grafts are not available</w:t>
            </w:r>
          </w:p>
          <w:p>
            <w:pPr>
              <w:pStyle w:val="ListParagraph"/>
              <w:numPr>
                <w:ilvl w:val="0"/>
                <w:numId w:val="2"/>
              </w:numPr>
              <w:spacing w:after="45"/>
            </w:pPr>
            <w:r>
              <w:rPr>
                <w:sz w:val="15"/>
                <w:szCs w:val="15"/>
              </w:rPr>
              <w:t xml:space="preserve">Entry allowed either biopsy-proven malignancy or a CA19-9 above 100 U/mL, so a patient could be listed without tissue confirmation of cholangiocarcinoma, while the paper's own inclusion list elsewhere states biopsy or cytology confirmation</w:t>
            </w:r>
          </w:p>
          <w:p>
            <w:pPr>
              <w:pStyle w:val="ListParagraph"/>
              <w:numPr>
                <w:ilvl w:val="0"/>
                <w:numId w:val="2"/>
              </w:numPr>
              <w:spacing w:after="45"/>
            </w:pPr>
            <w:r>
              <w:rPr>
                <w:sz w:val="15"/>
                <w:szCs w:val="15"/>
              </w:rPr>
              <w:t xml:space="preserve">Prior liver resection more than six months before listing was permitted, so the six patients mix de novo and post-resection recurrent disease without the paper reporting how many of each</w:t>
            </w:r>
          </w:p>
          <w:p>
            <w:pPr>
              <w:pStyle w:val="ListParagraph"/>
              <w:numPr>
                <w:ilvl w:val="0"/>
                <w:numId w:val="2"/>
              </w:numPr>
              <w:spacing w:after="45"/>
            </w:pPr>
            <w:r>
              <w:rPr>
                <w:sz w:val="15"/>
                <w:szCs w:val="15"/>
              </w:rPr>
              <w:t xml:space="preserve">The only comparator anywhere in the paper is the patients' own median progression-free survival of 8 months on first-line and 3 months on second-line therapy, which is not a survival comparison and cannot separate the effect of transplantation from the effect of selecting patients whose disease had already been stable for six months</w:t>
            </w:r>
          </w:p>
          <w:p>
            <w:pPr>
              <w:pStyle w:val="ListParagraph"/>
              <w:numPr>
                <w:ilvl w:val="0"/>
                <w:numId w:val="2"/>
              </w:numPr>
              <w:spacing w:after="45"/>
            </w:pPr>
            <w:r>
              <w:rPr>
                <w:sz w:val="15"/>
                <w:szCs w:val="15"/>
              </w:rPr>
              <w:t xml:space="preserve">Reported figures disagree between text and table: median postoperative stay is 8.5 days (IQR 6.0-10.0) in the text but 9 days (range 5-18) in Table 1, and median time from diagnosis to transplant is given with an IQR of 17-33 in the abstract but 10-36 in Table 1</w:t>
            </w:r>
          </w:p>
        </w:tc>
      </w:tr>
    </w:tbl>
    <w:p>
      <w:pPr>
        <w:spacing w:after="0" w:line="276"/>
      </w:pPr>
      <w:r>
        <w:rPr>
          <w:color w:val="5A6069"/>
          <w:sz w:val="14"/>
          <w:szCs w:val="14"/>
        </w:rPr>
        <w:t xml:space="preserve">Funding: No external funding; RTS reports support from Celgene, Eli Lilly, Agios, Codiak, Amgen and Halozyme outside the submitted work, and all other authors declare no competing interests</w:t>
      </w:r>
    </w:p>
    <w:p>
      <w:pPr>
        <w:keepNext/>
        <w:spacing w:after="50" w:before="260"/>
      </w:pPr>
      <w:r>
        <w:rPr>
          <w:rFonts w:ascii="Cambria" w:cs="Cambria" w:eastAsia="Cambria" w:hAnsi="Cambria"/>
          <w:b/>
          <w:bCs/>
          <w:color w:val="17365D"/>
          <w:sz w:val="20"/>
          <w:szCs w:val="20"/>
        </w:rPr>
        <w:t xml:space="preserve">MALRIC primary</w:t>
      </w:r>
      <w:r>
        <w:rPr>
          <w:b/>
          <w:bCs/>
          <w:color w:val="176A87"/>
          <w:sz w:val="15"/>
          <w:szCs w:val="15"/>
        </w:rPr>
        <w:t xml:space="preserve">   cohort</w:t>
      </w:r>
      <w:r>
        <w:rPr>
          <w:color w:val="5A6069"/>
          <w:sz w:val="15"/>
          <w:szCs w:val="15"/>
        </w:rPr>
        <w:t xml:space="preserve">   PMID 38261915</w:t>
      </w:r>
    </w:p>
    <w:p>
      <w:pPr>
        <w:spacing w:after="50" w:line="276"/>
      </w:pPr>
      <w:r>
        <w:rPr>
          <w:color w:val="5A6069"/>
          <w:sz w:val="17"/>
          <w:szCs w:val="17"/>
        </w:rPr>
        <w:t xml:space="preserve">Microwave ablation versus liver resection for primary intrahepatic cholangiocarcinoma within Milan criteria: a long-term multicenter cohort study</w:t>
      </w:r>
    </w:p>
    <w:p>
      <w:pPr>
        <w:spacing w:after="50"/>
      </w:pPr>
      <w:r>
        <w:rPr>
          <w:b/>
          <w:bCs/>
          <w:color w:val="176A87"/>
          <w:sz w:val="16"/>
          <w:szCs w:val="16"/>
        </w:rPr>
        <w:t xml:space="preserve">Population. </w:t>
      </w:r>
      <w:r>
        <w:rPr>
          <w:sz w:val="16"/>
          <w:szCs w:val="16"/>
        </w:rPr>
        <w:t xml:space="preserve">944 patients treated with curative intent within Milan criteria, culled from 10,441 iCCA patients at ten Chinese tertiary hospitals between January 2009 and June 2022: 221 percutaneous microwave ablation and 723 liver resection, reduced to 203 versus 588 after one-to-many propensity score matching</w:t>
      </w:r>
    </w:p>
    <w:p>
      <w:pPr>
        <w:spacing w:after="70"/>
      </w:pPr>
      <w:r>
        <w:rPr>
          <w:b/>
          <w:bCs/>
          <w:color w:val="17365D"/>
          <w:sz w:val="16"/>
          <w:szCs w:val="16"/>
        </w:rPr>
        <w:t xml:space="preserve">Bottom line. </w:t>
      </w:r>
      <w:r>
        <w:rPr>
          <w:sz w:val="16"/>
          <w:szCs w:val="16"/>
        </w:rPr>
        <w:t xml:space="preserve">In 944 patients with iCCA inside Milan-equivalent criteria, microwave ablation gave overall survival indistinguishable from resection with much lower procedural cost and morbidity, provided a margin over 5 mm was achieved. It does not show equivalence: the disease-free survival endpoint favoured resection outright, and the equivalence claim depends on a post hoc split at 2017 whose later comparison is underpowered at P = .129. The entry criterion was a single tumour up to 5 cm, so the study cannot be read as support for a 3 cm rule.</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microwave ablation sample is limited relative to the resection group because so few patients receive ablation for iCCA in real-world practice, although the authors note it is nearly three times the largest previous ablation series and quote a power of 0.996</w:t>
            </w:r>
          </w:p>
          <w:p>
            <w:pPr>
              <w:pStyle w:val="ListParagraph"/>
              <w:numPr>
                <w:ilvl w:val="0"/>
                <w:numId w:val="2"/>
              </w:numPr>
              <w:spacing w:after="45"/>
            </w:pPr>
            <w:r>
              <w:rPr>
                <w:sz w:val="15"/>
                <w:szCs w:val="15"/>
              </w:rPr>
              <w:t xml:space="preserve">Ablative and surgical margins were measured by different methods, which the authors accept may introduce bias</w:t>
            </w:r>
          </w:p>
          <w:p>
            <w:pPr>
              <w:pStyle w:val="ListParagraph"/>
              <w:numPr>
                <w:ilvl w:val="0"/>
                <w:numId w:val="2"/>
              </w:numPr>
              <w:spacing w:after="45"/>
            </w:pPr>
            <w:r>
              <w:rPr>
                <w:sz w:val="15"/>
                <w:szCs w:val="15"/>
              </w:rPr>
              <w:t xml:space="preserve">The retrospective design carries potential selection bias</w:t>
            </w:r>
          </w:p>
          <w:p>
            <w:pPr>
              <w:pStyle w:val="ListParagraph"/>
              <w:numPr>
                <w:ilvl w:val="0"/>
                <w:numId w:val="2"/>
              </w:numPr>
              <w:spacing w:after="45"/>
            </w:pPr>
            <w:r>
              <w:rPr>
                <w:sz w:val="15"/>
                <w:szCs w:val="15"/>
              </w:rPr>
              <w:t xml:space="preserve">Unmeasured confounding and residual confounding from measurement error in confounders, including several variables with standardised mean differences above 0.1 after matching</w:t>
            </w:r>
          </w:p>
          <w:p>
            <w:pPr>
              <w:pStyle w:val="ListParagraph"/>
              <w:numPr>
                <w:ilvl w:val="0"/>
                <w:numId w:val="2"/>
              </w:numPr>
              <w:spacing w:after="45"/>
            </w:pPr>
            <w:r>
              <w:rPr>
                <w:sz w:val="15"/>
                <w:szCs w:val="15"/>
              </w:rPr>
              <w:t xml:space="preserve">Stepwise selection in the Cox regression may be subject to estimation bias, and the hazard ratios suffer from built-in selection bias</w:t>
            </w:r>
          </w:p>
          <w:p>
            <w:pPr>
              <w:pStyle w:val="ListParagraph"/>
              <w:numPr>
                <w:ilvl w:val="0"/>
                <w:numId w:val="2"/>
              </w:numPr>
              <w:spacing w:after="45"/>
            </w:pPr>
            <w:r>
              <w:rPr>
                <w:sz w:val="15"/>
                <w:szCs w:val="15"/>
              </w:rPr>
              <w:t xml:space="preserve">The authors state ablation may be unsuitable for patients with hepatolithiasis or GGT above 50 U/L, for left-lobe tumours, for patients under 60, and should be used with caution above 3 cm</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Equivalence is claimed from a non-significant overall survival hazard ratio of 0.96 (95% CI 0.71-1.29); the upper bound allows a 29% higher death hazard with ablation, no non-inferiority margin was prespecified, and a quoted power of 0.996 is a calculation made on the effect that was observed</w:t>
            </w:r>
          </w:p>
          <w:p>
            <w:pPr>
              <w:pStyle w:val="ListParagraph"/>
              <w:numPr>
                <w:ilvl w:val="0"/>
                <w:numId w:val="2"/>
              </w:numPr>
              <w:spacing w:after="45"/>
            </w:pPr>
            <w:r>
              <w:rPr>
                <w:sz w:val="15"/>
                <w:szCs w:val="15"/>
              </w:rPr>
              <w:t xml:space="preserve">The prespecified secondary endpoint went the other way and clearly so: disease-free survival favoured resection, median 1.7 versus 3.6 years, HR 0.63 (0.48-0.83), P = .0010, and this is the result the paper's conclusion sets aside</w:t>
            </w:r>
          </w:p>
          <w:p>
            <w:pPr>
              <w:pStyle w:val="ListParagraph"/>
              <w:numPr>
                <w:ilvl w:val="0"/>
                <w:numId w:val="2"/>
              </w:numPr>
              <w:spacing w:after="45"/>
            </w:pPr>
            <w:r>
              <w:rPr>
                <w:sz w:val="15"/>
                <w:szCs w:val="15"/>
              </w:rPr>
              <w:t xml:space="preserve">The equivalence headline comes from a post hoc split at 2017, chosen because ablation case numbers rose after that year, and even in the later era the point estimate still favours resection, HR 0.74 (0.49-1.12), P = .129; a non-significant difference in a smaller subgroup is not equivalence</w:t>
            </w:r>
          </w:p>
          <w:p>
            <w:pPr>
              <w:pStyle w:val="ListParagraph"/>
              <w:numPr>
                <w:ilvl w:val="0"/>
                <w:numId w:val="2"/>
              </w:numPr>
              <w:spacing w:after="45"/>
            </w:pPr>
            <w:r>
              <w:rPr>
                <w:sz w:val="15"/>
                <w:szCs w:val="15"/>
              </w:rPr>
              <w:t xml:space="preserve">No adjustment for multiplicity is reported anywhere, although the paper runs two era comparisons, four margin strata and at least six clinical subgroups after a primary analysis that had already been performed</w:t>
            </w:r>
          </w:p>
          <w:p>
            <w:pPr>
              <w:pStyle w:val="ListParagraph"/>
              <w:numPr>
                <w:ilvl w:val="0"/>
                <w:numId w:val="2"/>
              </w:numPr>
              <w:spacing w:after="45"/>
            </w:pPr>
            <w:r>
              <w:rPr>
                <w:sz w:val="15"/>
                <w:szCs w:val="15"/>
              </w:rPr>
              <w:t xml:space="preserve">A 5-year disease-free survival of 37.3% is reported for patients treated between 2017 and 2022 in a dataset that closes in June 2022, so that estimate can only be carried by the first year or two of that era and no numbers at risk are given</w:t>
            </w:r>
          </w:p>
          <w:p>
            <w:pPr>
              <w:pStyle w:val="ListParagraph"/>
              <w:numPr>
                <w:ilvl w:val="0"/>
                <w:numId w:val="2"/>
              </w:numPr>
              <w:spacing w:after="45"/>
            </w:pPr>
            <w:r>
              <w:rPr>
                <w:sz w:val="15"/>
                <w:szCs w:val="15"/>
              </w:rPr>
              <w:t xml:space="preserve">The denominator narrows twice without explanation of who was lost: 10,441 screened to 944 treated with curative intent within Milan criteria, then 18 ablation patients who matched no resection were discarded, leaving 203 of 221</w:t>
            </w:r>
          </w:p>
          <w:p>
            <w:pPr>
              <w:pStyle w:val="ListParagraph"/>
              <w:numPr>
                <w:ilvl w:val="0"/>
                <w:numId w:val="2"/>
              </w:numPr>
              <w:spacing w:after="45"/>
            </w:pPr>
            <w:r>
              <w:rPr>
                <w:sz w:val="15"/>
                <w:szCs w:val="15"/>
              </w:rPr>
              <w:t xml:space="preserve">Margin, the mediator credited with 34.5% of the disease-free survival difference, is contrast CT or MR measured 3 to 5 days after ablation in one arm and direct specimen measurement in the other; the mediation model treats two differently defined quantities as one variable</w:t>
            </w:r>
          </w:p>
          <w:p>
            <w:pPr>
              <w:pStyle w:val="ListParagraph"/>
              <w:numPr>
                <w:ilvl w:val="0"/>
                <w:numId w:val="2"/>
              </w:numPr>
              <w:spacing w:after="45"/>
            </w:pPr>
            <w:r>
              <w:rPr>
                <w:sz w:val="15"/>
                <w:szCs w:val="15"/>
              </w:rPr>
              <w:t xml:space="preserve">Conditioning on an ablative margin of 5 mm or more selects the technically successful ablations, because that margin is only known from imaging obtained after the procedure; the resulting parity, HR 0.83 (0.52-1.32) for disease-free survival, is therefore a comparison of successful ablations with all resections</w:t>
            </w:r>
          </w:p>
          <w:p>
            <w:pPr>
              <w:pStyle w:val="ListParagraph"/>
              <w:numPr>
                <w:ilvl w:val="0"/>
                <w:numId w:val="2"/>
              </w:numPr>
              <w:spacing w:after="45"/>
            </w:pPr>
            <w:r>
              <w:rPr>
                <w:sz w:val="15"/>
                <w:szCs w:val="15"/>
              </w:rPr>
              <w:t xml:space="preserve">Perioperative mortality is given as 1.5% versus 2.4% with P &lt; .01, which corresponds to roughly 3 deaths against 17 in the matched arms; no test of those proportions yields P &lt; .01, so the stated significance cannot be reproduced from the numbers printed</w:t>
            </w:r>
          </w:p>
          <w:p>
            <w:pPr>
              <w:pStyle w:val="ListParagraph"/>
              <w:numPr>
                <w:ilvl w:val="0"/>
                <w:numId w:val="2"/>
              </w:numPr>
              <w:spacing w:after="45"/>
            </w:pPr>
            <w:r>
              <w:rPr>
                <w:sz w:val="15"/>
                <w:szCs w:val="15"/>
              </w:rPr>
              <w:t xml:space="preserve">The entry criterion was Milan-equivalent, a single tumour up to 5 cm or up to three each 3 cm or less, not 3 cm; the paper is nonetheless cited for a 3 cm position, and its only 3 cm finding is that 3-5 cm size was an independent disease-free survival risk factor after ablation but not after resection</w:t>
            </w:r>
          </w:p>
          <w:p>
            <w:pPr>
              <w:pStyle w:val="ListParagraph"/>
              <w:numPr>
                <w:ilvl w:val="0"/>
                <w:numId w:val="2"/>
              </w:numPr>
              <w:spacing w:after="45"/>
            </w:pPr>
            <w:r>
              <w:rPr>
                <w:sz w:val="15"/>
                <w:szCs w:val="15"/>
              </w:rPr>
              <w:t xml:space="preserve">Percutaneous ablation yields no specimen and no nodal dissection, so node-negative status in the ablation arm rests on imaging alone in a disease where imaging sensitivity for nodal metastasis is poor, and no pathological node status is available to drive adjuvant decisions</w:t>
            </w:r>
          </w:p>
          <w:p>
            <w:pPr>
              <w:pStyle w:val="ListParagraph"/>
              <w:numPr>
                <w:ilvl w:val="0"/>
                <w:numId w:val="2"/>
              </w:numPr>
              <w:spacing w:after="45"/>
            </w:pPr>
            <w:r>
              <w:rPr>
                <w:sz w:val="15"/>
                <w:szCs w:val="15"/>
              </w:rPr>
              <w:t xml:space="preserve">Treatment was assigned by multidisciplinary team and patient preference, and the ablation arm started with more multiple tumours, more bilobar disease and higher comorbidity scores, so the matched comparison is reconstructing a counterfactual from groups that differed on exactly the axes that determine prognosis</w:t>
            </w:r>
          </w:p>
          <w:p>
            <w:pPr>
              <w:pStyle w:val="ListParagraph"/>
              <w:numPr>
                <w:ilvl w:val="0"/>
                <w:numId w:val="2"/>
              </w:numPr>
              <w:spacing w:after="45"/>
            </w:pPr>
            <w:r>
              <w:rPr>
                <w:sz w:val="15"/>
                <w:szCs w:val="15"/>
              </w:rPr>
              <w:t xml:space="preserve">All ten centres are Chinese tertiary hospitals with high ablation volume in a population where hepatitis B and hepatolithiasis are common, so neither the complication rate nor the margin achievement rate transfers automatically</w:t>
            </w:r>
          </w:p>
          <w:p>
            <w:pPr>
              <w:pStyle w:val="ListParagraph"/>
              <w:numPr>
                <w:ilvl w:val="0"/>
                <w:numId w:val="2"/>
              </w:numPr>
              <w:spacing w:after="45"/>
            </w:pPr>
            <w:r>
              <w:rPr>
                <w:sz w:val="15"/>
                <w:szCs w:val="15"/>
              </w:rPr>
              <w:t xml:space="preserve">No linked editorial or comment was found in PubMed, so no independent published appraisal accompanies the equivalence claim</w:t>
            </w:r>
          </w:p>
        </w:tc>
      </w:tr>
    </w:tbl>
    <w:p>
      <w:pPr>
        <w:spacing w:after="0" w:line="276"/>
      </w:pPr>
      <w:r>
        <w:rPr>
          <w:color w:val="5A6069"/>
          <w:sz w:val="14"/>
          <w:szCs w:val="14"/>
        </w:rPr>
        <w:t xml:space="preserve">Funding: Funded by the National Natural Science Foundation of China (92159305, 81971625, 82030047); the funder had no role in design, collection, analysis, interpretation or writing; no interests to report</w:t>
      </w:r>
    </w:p>
    <w:p>
      <w:pPr>
        <w:keepNext/>
        <w:spacing w:after="50" w:before="260"/>
      </w:pPr>
      <w:r>
        <w:rPr>
          <w:rFonts w:ascii="Cambria" w:cs="Cambria" w:eastAsia="Cambria" w:hAnsi="Cambria"/>
          <w:b/>
          <w:bCs/>
          <w:color w:val="17365D"/>
          <w:sz w:val="20"/>
          <w:szCs w:val="20"/>
        </w:rPr>
        <w:t xml:space="preserve">MALRIC recurrent</w:t>
      </w:r>
      <w:r>
        <w:rPr>
          <w:b/>
          <w:bCs/>
          <w:color w:val="176A87"/>
          <w:sz w:val="15"/>
          <w:szCs w:val="15"/>
        </w:rPr>
        <w:t xml:space="preserve">   cohort</w:t>
      </w:r>
      <w:r>
        <w:rPr>
          <w:color w:val="5A6069"/>
          <w:sz w:val="15"/>
          <w:szCs w:val="15"/>
        </w:rPr>
        <w:t xml:space="preserve">   PMID 41528222</w:t>
      </w:r>
    </w:p>
    <w:p>
      <w:pPr>
        <w:spacing w:after="50" w:line="276"/>
      </w:pPr>
      <w:r>
        <w:rPr>
          <w:color w:val="5A6069"/>
          <w:sz w:val="17"/>
          <w:szCs w:val="17"/>
        </w:rPr>
        <w:t xml:space="preserve">Survival Outcomes of Microwave Ablation Compared with Repeat Liver Resection in the Treatment of Recurrent Intrahepatic Cholangiocarcinoma</w:t>
      </w:r>
    </w:p>
    <w:p>
      <w:pPr>
        <w:spacing w:after="50"/>
      </w:pPr>
      <w:r>
        <w:rPr>
          <w:b/>
          <w:bCs/>
          <w:color w:val="176A87"/>
          <w:sz w:val="16"/>
          <w:szCs w:val="16"/>
        </w:rPr>
        <w:t xml:space="preserve">Population. </w:t>
      </w:r>
      <w:r>
        <w:rPr>
          <w:sz w:val="16"/>
          <w:szCs w:val="16"/>
        </w:rPr>
        <w:t xml:space="preserve">494 patients with a first intrahepatic recurrence of iCCA within Milan-equivalent criteria, selected from 10,441 screened in the MALRIC cohort across ten Chinese tertiary centres from January 2009 to June 2024: 375 microwave ablation and 119 repeat liver resection</w:t>
      </w:r>
    </w:p>
    <w:p>
      <w:pPr>
        <w:spacing w:after="70"/>
      </w:pPr>
      <w:r>
        <w:rPr>
          <w:b/>
          <w:bCs/>
          <w:color w:val="17365D"/>
          <w:sz w:val="16"/>
          <w:szCs w:val="16"/>
        </w:rPr>
        <w:t xml:space="preserve">Bottom line. </w:t>
      </w:r>
      <w:r>
        <w:rPr>
          <w:sz w:val="16"/>
          <w:szCs w:val="16"/>
        </w:rPr>
        <w:t xml:space="preserve">At a first intrahepatic recurrence of iCCA within Milan-equivalent limits, microwave ablation produced overall survival statistically indistinguishable from repeat hepatectomy with a sixth of the major complications and a quarter less cost. It does not establish equivalence: median survival was 4 months shorter, disease-free survival was directionally worse with an upper bound exactly at 1.00, and four prespecified strata favoured repeat resection. Eighteen percent of the cohort was censored for lost follow-up, and the authors themselves call the results exploratory.</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repeat liver resection group remains small because so few patients undergo repeat resection in real-world practice</w:t>
            </w:r>
          </w:p>
          <w:p>
            <w:pPr>
              <w:pStyle w:val="ListParagraph"/>
              <w:numPr>
                <w:ilvl w:val="0"/>
                <w:numId w:val="2"/>
              </w:numPr>
              <w:spacing w:after="45"/>
            </w:pPr>
            <w:r>
              <w:rPr>
                <w:sz w:val="15"/>
                <w:szCs w:val="15"/>
              </w:rPr>
              <w:t xml:space="preserve">Potential selection bias persists because of the design, despite propensity score matching and overlap weighting</w:t>
            </w:r>
          </w:p>
          <w:p>
            <w:pPr>
              <w:pStyle w:val="ListParagraph"/>
              <w:numPr>
                <w:ilvl w:val="0"/>
                <w:numId w:val="2"/>
              </w:numPr>
              <w:spacing w:after="45"/>
            </w:pPr>
            <w:r>
              <w:rPr>
                <w:sz w:val="15"/>
                <w:szCs w:val="15"/>
              </w:rPr>
              <w:t xml:space="preserve">Hepatic function preservation and quality of life, the outcomes most relevant to a minimally invasive treatment, could not be measured</w:t>
            </w:r>
          </w:p>
          <w:p>
            <w:pPr>
              <w:pStyle w:val="ListParagraph"/>
              <w:numPr>
                <w:ilvl w:val="0"/>
                <w:numId w:val="2"/>
              </w:numPr>
              <w:spacing w:after="45"/>
            </w:pPr>
            <w:r>
              <w:rPr>
                <w:sz w:val="15"/>
                <w:szCs w:val="15"/>
              </w:rPr>
              <w:t xml:space="preserve">The 4-month difference in median overall survival is a clinically noteworthy magnitude even though it was not statistically significant, and randomised trials are still required</w:t>
            </w:r>
          </w:p>
          <w:p>
            <w:pPr>
              <w:pStyle w:val="ListParagraph"/>
              <w:numPr>
                <w:ilvl w:val="0"/>
                <w:numId w:val="2"/>
              </w:numPr>
              <w:spacing w:after="45"/>
            </w:pPr>
            <w:r>
              <w:rPr>
                <w:sz w:val="15"/>
                <w:szCs w:val="15"/>
              </w:rPr>
              <w:t xml:space="preserve">Unmeasured and residual confounding from measurement error in confounders, and stepwise selection in the Cox models that may bias the estimates</w:t>
            </w:r>
          </w:p>
          <w:p>
            <w:pPr>
              <w:pStyle w:val="ListParagraph"/>
              <w:numPr>
                <w:ilvl w:val="0"/>
                <w:numId w:val="2"/>
              </w:numPr>
              <w:spacing w:after="45"/>
            </w:pPr>
            <w:r>
              <w:rPr>
                <w:sz w:val="15"/>
                <w:szCs w:val="15"/>
              </w:rPr>
              <w:t xml:space="preserve">The findings should be interpreted as exploratory given the observational design, and further investigation is needed for the large duct subtype, complication-free initial resection, a disease-free interval under one year, and cases where a 5 mm ablative margin is hard to achieve</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Similarity is inferred from three non-significant hazard ratios for overall survival, 0.89 (0.68-1.17), 0.88 (0.67-1.15) and 0.97 (0.73-1.30); no non-inferiority margin was set, so the confidence intervals admit up to a 30% higher death hazard with ablation and the paper's own 4-month median gap sits inside them</w:t>
            </w:r>
          </w:p>
          <w:p>
            <w:pPr>
              <w:pStyle w:val="ListParagraph"/>
              <w:numPr>
                <w:ilvl w:val="0"/>
                <w:numId w:val="2"/>
              </w:numPr>
              <w:spacing w:after="45"/>
            </w:pPr>
            <w:r>
              <w:rPr>
                <w:sz w:val="15"/>
                <w:szCs w:val="15"/>
              </w:rPr>
              <w:t xml:space="preserve">Disease-free survival at HR 0.78 (0.61-1.00), P = .07 has an upper bound touching exactly 1.00 and is reported as similar; in the matched set it is 0.81 (0.62-1.06), so the one endpoint that measures local control is consistently directional against ablation and never excluded</w:t>
            </w:r>
          </w:p>
          <w:p>
            <w:pPr>
              <w:pStyle w:val="ListParagraph"/>
              <w:numPr>
                <w:ilvl w:val="0"/>
                <w:numId w:val="2"/>
              </w:numPr>
              <w:spacing w:after="45"/>
            </w:pPr>
            <w:r>
              <w:rPr>
                <w:sz w:val="15"/>
                <w:szCs w:val="15"/>
              </w:rPr>
              <w:t xml:space="preserve">The paper is presented as a secondary analysis of a prospective cohort yet its own limitations paragraph attributes the selection bias to the retrospective design, so the reader cannot tell which parts of the data were collected prospectively</w:t>
            </w:r>
          </w:p>
          <w:p>
            <w:pPr>
              <w:pStyle w:val="ListParagraph"/>
              <w:numPr>
                <w:ilvl w:val="0"/>
                <w:numId w:val="2"/>
              </w:numPr>
              <w:spacing w:after="45"/>
            </w:pPr>
            <w:r>
              <w:rPr>
                <w:sz w:val="15"/>
                <w:szCs w:val="15"/>
              </w:rPr>
              <w:t xml:space="preserve">18.0% of participants, 89 of 494, were lost to follow-up and censored at last contact, 18.4% in the ablation arm and 16.8% in the resection arm, on top of 42 excluded for lost follow-up at screening; losses of that size in a survival comparison of this margin are not addressed in the analysis</w:t>
            </w:r>
          </w:p>
          <w:p>
            <w:pPr>
              <w:pStyle w:val="ListParagraph"/>
              <w:numPr>
                <w:ilvl w:val="0"/>
                <w:numId w:val="2"/>
              </w:numPr>
              <w:spacing w:after="45"/>
            </w:pPr>
            <w:r>
              <w:rPr>
                <w:sz w:val="15"/>
                <w:szCs w:val="15"/>
              </w:rPr>
              <w:t xml:space="preserve">Four subgroups are reported in which repeat resection beat ablation for disease-free survival, each with a confidence interval that approaches 1 (0.32-0.91, 0.52-0.98, and two at roughly 0.65 with P = .02 and .046), with no multiplicity adjustment stated for the subgroup set</w:t>
            </w:r>
          </w:p>
          <w:p>
            <w:pPr>
              <w:pStyle w:val="ListParagraph"/>
              <w:numPr>
                <w:ilvl w:val="0"/>
                <w:numId w:val="2"/>
              </w:numPr>
              <w:spacing w:after="45"/>
            </w:pPr>
            <w:r>
              <w:rPr>
                <w:sz w:val="15"/>
                <w:szCs w:val="15"/>
              </w:rPr>
              <w:t xml:space="preserve">Treatment was chosen by multidisciplinary team and patient preference and the imbalance was large before weighting, including tumour number with a standardised mean difference of 0.38 and P &lt; .001; the overlap weighting that drives the standardised mean differences towards zero also reweights the population away from the patients clinicians actually had to choose for</w:t>
            </w:r>
          </w:p>
          <w:p>
            <w:pPr>
              <w:pStyle w:val="ListParagraph"/>
              <w:numPr>
                <w:ilvl w:val="0"/>
                <w:numId w:val="2"/>
              </w:numPr>
              <w:spacing w:after="45"/>
            </w:pPr>
            <w:r>
              <w:rPr>
                <w:sz w:val="15"/>
                <w:szCs w:val="15"/>
              </w:rPr>
              <w:t xml:space="preserve">E values of 7.26 and 6.79 are quoted as evidence of robustness to unmeasured confounding, but an E value this high simply reflects a hazard ratio close to 1; it is not evidence that no confounding was present</w:t>
            </w:r>
          </w:p>
          <w:p>
            <w:pPr>
              <w:pStyle w:val="ListParagraph"/>
              <w:numPr>
                <w:ilvl w:val="0"/>
                <w:numId w:val="2"/>
              </w:numPr>
              <w:spacing w:after="45"/>
            </w:pPr>
            <w:r>
              <w:rPr>
                <w:sz w:val="15"/>
                <w:szCs w:val="15"/>
              </w:rPr>
              <w:t xml:space="preserve">Repeat resection carried 31.3% major complications against 5.5% for ablation, yet 119 patients were still selected for it, which implies the resection arm was chosen for fitness and the two arms were never exchangeable on operative candidacy</w:t>
            </w:r>
          </w:p>
          <w:p>
            <w:pPr>
              <w:pStyle w:val="ListParagraph"/>
              <w:numPr>
                <w:ilvl w:val="0"/>
                <w:numId w:val="2"/>
              </w:numPr>
              <w:spacing w:after="45"/>
            </w:pPr>
            <w:r>
              <w:rPr>
                <w:sz w:val="15"/>
                <w:szCs w:val="15"/>
              </w:rPr>
              <w:t xml:space="preserve">The ablation arm has no specimen from the recurrence, so large duct versus small duct subtype, the strongest prognostic factor reported here, is classified from the original resection rather than from the recurrent tumour being treated</w:t>
            </w:r>
          </w:p>
          <w:p>
            <w:pPr>
              <w:pStyle w:val="ListParagraph"/>
              <w:numPr>
                <w:ilvl w:val="0"/>
                <w:numId w:val="2"/>
              </w:numPr>
              <w:spacing w:after="45"/>
            </w:pPr>
            <w:r>
              <w:rPr>
                <w:sz w:val="15"/>
                <w:szCs w:val="15"/>
              </w:rPr>
              <w:t xml:space="preserve">All ten centres are Chinese tertiary hospitals and operators had a median of 10.5 years of independent ablation experience, so a 5.5% major complication rate and the margin achievement behind these results should not be assumed to transfer</w:t>
            </w:r>
          </w:p>
          <w:p>
            <w:pPr>
              <w:pStyle w:val="ListParagraph"/>
              <w:numPr>
                <w:ilvl w:val="0"/>
                <w:numId w:val="2"/>
              </w:numPr>
              <w:spacing w:after="45"/>
            </w:pPr>
            <w:r>
              <w:rPr>
                <w:sz w:val="15"/>
                <w:szCs w:val="15"/>
              </w:rPr>
              <w:t xml:space="preserve">Entry was Milan-equivalent, a single recurrence up to 5 cm or up to three each 3 cm or less, with mean tumour size 2.7 cm; the study therefore says nothing about recurrences beyond those limits, which is the larger share of recurrences in practice</w:t>
            </w:r>
          </w:p>
          <w:p>
            <w:pPr>
              <w:pStyle w:val="ListParagraph"/>
              <w:numPr>
                <w:ilvl w:val="0"/>
                <w:numId w:val="2"/>
              </w:numPr>
              <w:spacing w:after="45"/>
            </w:pPr>
            <w:r>
              <w:rPr>
                <w:sz w:val="15"/>
                <w:szCs w:val="15"/>
              </w:rPr>
              <w:t xml:space="preserve">An accompanying editorial by Georgiades appears in the same Radiology issue (PMID 41528229); it was identified from the citation record and not read, so its arguments are not represented here</w:t>
            </w:r>
          </w:p>
        </w:tc>
      </w:tr>
    </w:tbl>
    <w:p>
      <w:pPr>
        <w:spacing w:after="0" w:line="276"/>
      </w:pPr>
      <w:r>
        <w:rPr>
          <w:color w:val="5A6069"/>
          <w:sz w:val="14"/>
          <w:szCs w:val="14"/>
        </w:rPr>
        <w:t xml:space="preserve">Funding: Supported by the National Natural Science Foundation of China (92159305, 82325027, 82030047) and a China Postdoctoral Science Foundation grant (2023M734302); author conflicts of interest are deferred to ICMJE forms supplied as supplemental material rather than printed</w:t>
      </w:r>
    </w:p>
    <w:p>
      <w:pPr>
        <w:keepNext/>
        <w:spacing w:after="50" w:before="260"/>
      </w:pPr>
      <w:r>
        <w:rPr>
          <w:rFonts w:ascii="Cambria" w:cs="Cambria" w:eastAsia="Cambria" w:hAnsi="Cambria"/>
          <w:b/>
          <w:bCs/>
          <w:color w:val="17365D"/>
          <w:sz w:val="20"/>
          <w:szCs w:val="20"/>
        </w:rPr>
        <w:t xml:space="preserve">MISPHEC</w:t>
      </w:r>
      <w:r>
        <w:rPr>
          <w:b/>
          <w:bCs/>
          <w:color w:val="176A87"/>
          <w:sz w:val="15"/>
          <w:szCs w:val="15"/>
        </w:rPr>
        <w:t xml:space="preserve">   Prospective trial</w:t>
      </w:r>
      <w:r>
        <w:rPr>
          <w:color w:val="5A6069"/>
          <w:sz w:val="15"/>
          <w:szCs w:val="15"/>
        </w:rPr>
        <w:t xml:space="preserve">   PMID 31670746</w:t>
      </w:r>
    </w:p>
    <w:p>
      <w:pPr>
        <w:spacing w:after="50" w:line="276"/>
      </w:pPr>
      <w:r>
        <w:rPr>
          <w:color w:val="5A6069"/>
          <w:sz w:val="17"/>
          <w:szCs w:val="17"/>
        </w:rPr>
        <w:t xml:space="preserve">Radioembolization Plus Chemotherapy for First-line Treatment of Locally Advanced Intrahepatic Cholangiocarcinoma: A Phase 2 Clinical Trial</w:t>
      </w:r>
    </w:p>
    <w:p>
      <w:pPr>
        <w:spacing w:after="50"/>
      </w:pPr>
      <w:r>
        <w:rPr>
          <w:b/>
          <w:bCs/>
          <w:color w:val="176A87"/>
          <w:sz w:val="16"/>
          <w:szCs w:val="16"/>
        </w:rPr>
        <w:t xml:space="preserve">Population. </w:t>
      </w:r>
      <w:r>
        <w:rPr>
          <w:sz w:val="16"/>
          <w:szCs w:val="16"/>
        </w:rPr>
        <w:t xml:space="preserve">41 patients with locally advanced unresectable intrahepatic cholangiocarcinoma forming the intention-to-treat population, from 56 screened at 7 French SIRT-experienced centres between November 2013 and June 2016; 32 were analysable per protocol after 9 major protocol deviations, 27 had disease confined to one hemiliver and 12 had cirrhosis</w:t>
      </w:r>
    </w:p>
    <w:p>
      <w:pPr>
        <w:spacing w:after="70"/>
      </w:pPr>
      <w:r>
        <w:rPr>
          <w:b/>
          <w:bCs/>
          <w:color w:val="17365D"/>
          <w:sz w:val="16"/>
          <w:szCs w:val="16"/>
        </w:rPr>
        <w:t xml:space="preserve">Bottom line. </w:t>
      </w:r>
      <w:r>
        <w:rPr>
          <w:sz w:val="16"/>
          <w:szCs w:val="16"/>
        </w:rPr>
        <w:t xml:space="preserve">MISPHEC is the trial behind using yttrium-90 radioembolisation with first-line cisplatin-gemcitabine to downstage locally advanced iCCA, with a 39% response rate, 22% taken to surgery and 20% resected R0, and 22-month median survival. Being single-arm in a favourable locally advanced population at SIRT-experienced centres, it cannot attribute any of that to the radioembolisation. It does establish one hard finding: hepatic failure in 9 of 12 cirrhotic patients, irreversible in 5, so the combination should not be given in cirrhosis.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single-arm design made interpretation of the results difficult</w:t>
            </w:r>
          </w:p>
          <w:p>
            <w:pPr>
              <w:pStyle w:val="ListParagraph"/>
              <w:numPr>
                <w:ilvl w:val="0"/>
                <w:numId w:val="2"/>
              </w:numPr>
              <w:spacing w:after="45"/>
            </w:pPr>
            <w:r>
              <w:rPr>
                <w:sz w:val="15"/>
                <w:szCs w:val="15"/>
              </w:rPr>
              <w:t xml:space="preserve">Outcomes in locally advanced intrahepatic disease may have been better than in populations of all locally advanced or metastatic biliary tract cancers, so the comparison with those series is not like for like</w:t>
            </w:r>
          </w:p>
          <w:p>
            <w:pPr>
              <w:pStyle w:val="ListParagraph"/>
              <w:numPr>
                <w:ilvl w:val="0"/>
                <w:numId w:val="2"/>
              </w:numPr>
              <w:spacing w:after="45"/>
            </w:pPr>
            <w:r>
              <w:rPr>
                <w:sz w:val="15"/>
                <w:szCs w:val="15"/>
              </w:rPr>
              <w:t xml:space="preserve">The study was performed only in centres experienced with glass microspheres</w:t>
            </w:r>
          </w:p>
          <w:p>
            <w:pPr>
              <w:pStyle w:val="ListParagraph"/>
              <w:numPr>
                <w:ilvl w:val="0"/>
                <w:numId w:val="2"/>
              </w:numPr>
              <w:spacing w:after="45"/>
            </w:pPr>
            <w:r>
              <w:rPr>
                <w:sz w:val="15"/>
                <w:szCs w:val="15"/>
              </w:rPr>
              <w:t xml:space="preserve">SIRT doses were set from label instructions, while accumulating evidence suggests that defining the dose delivered to the tumour rather than a generic dose to the targeted liver might improve results</w:t>
            </w:r>
          </w:p>
          <w:p>
            <w:pPr>
              <w:pStyle w:val="ListParagraph"/>
              <w:numPr>
                <w:ilvl w:val="0"/>
                <w:numId w:val="2"/>
              </w:numPr>
              <w:spacing w:after="45"/>
            </w:pPr>
            <w:r>
              <w:rPr>
                <w:sz w:val="15"/>
                <w:szCs w:val="15"/>
              </w:rPr>
              <w:t xml:space="preserve">No data on molecular alterations were collected, although these might influence outcomes</w:t>
            </w:r>
          </w:p>
          <w:p>
            <w:pPr>
              <w:pStyle w:val="ListParagraph"/>
              <w:numPr>
                <w:ilvl w:val="0"/>
                <w:numId w:val="2"/>
              </w:numPr>
              <w:spacing w:after="45"/>
            </w:pPr>
            <w:r>
              <w:rPr>
                <w:sz w:val="15"/>
                <w:szCs w:val="15"/>
              </w:rPr>
              <w:t xml:space="preserve">The authors advise against SIRT with chemotherapy in patients with cirrhosis after hepatic failure occurred in 9 of 12 such patients, irreversibly in 5</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primary endpoint is a 3-month response rate against a 22% futility threshold, which tests the regimen against a historical number rather than against chemotherapy alone, and the reported 39% is investigator-assessed with central review at 41% on best rather than 3-month response</w:t>
            </w:r>
          </w:p>
          <w:p>
            <w:pPr>
              <w:pStyle w:val="ListParagraph"/>
              <w:numPr>
                <w:ilvl w:val="0"/>
                <w:numId w:val="2"/>
              </w:numPr>
              <w:spacing w:after="45"/>
            </w:pPr>
            <w:r>
              <w:rPr>
                <w:sz w:val="15"/>
                <w:szCs w:val="15"/>
              </w:rPr>
              <w:t xml:space="preserve">Disease control of 98% (40 of 41) and a Choi response of 93% are reported alongside a RECIST response of 39%, so the headline figures depend entirely on which criterion is quoted and the paper quotes the most favourable in its abstract framing</w:t>
            </w:r>
          </w:p>
          <w:p>
            <w:pPr>
              <w:pStyle w:val="ListParagraph"/>
              <w:numPr>
                <w:ilvl w:val="0"/>
                <w:numId w:val="2"/>
              </w:numPr>
              <w:spacing w:after="45"/>
            </w:pPr>
            <w:r>
              <w:rPr>
                <w:sz w:val="15"/>
                <w:szCs w:val="15"/>
              </w:rPr>
              <w:t xml:space="preserve">Nine of 41 patients had major protocol deviations and 4 of 45 were excluded at the planning angiogram, so the 22% downstaging figure is drawn from a cohort selected before, during and after enrolment</w:t>
            </w:r>
          </w:p>
          <w:p>
            <w:pPr>
              <w:pStyle w:val="ListParagraph"/>
              <w:numPr>
                <w:ilvl w:val="0"/>
                <w:numId w:val="2"/>
              </w:numPr>
              <w:spacing w:after="45"/>
            </w:pPr>
            <w:r>
              <w:rPr>
                <w:sz w:val="15"/>
                <w:szCs w:val="15"/>
              </w:rPr>
              <w:t xml:space="preserve">The 22-month median survival has a confidence interval of 14 to 52 months, which the single-arm design cannot narrow and which overlaps almost every published series for this population</w:t>
            </w:r>
          </w:p>
          <w:p>
            <w:pPr>
              <w:pStyle w:val="ListParagraph"/>
              <w:numPr>
                <w:ilvl w:val="0"/>
                <w:numId w:val="2"/>
              </w:numPr>
              <w:spacing w:after="45"/>
            </w:pPr>
            <w:r>
              <w:rPr>
                <w:sz w:val="15"/>
                <w:szCs w:val="15"/>
              </w:rPr>
              <w:t xml:space="preserve">Hepatic failure occurred in 75% of cirrhotic patients and was irreversible in 5, all after whole-liver treatment; a safety signal of that magnitude in 12 patients means the trial cannot define a safe dose in cirrhosis, only that it harmed most of them</w:t>
            </w:r>
          </w:p>
          <w:p>
            <w:pPr>
              <w:pStyle w:val="ListParagraph"/>
              <w:numPr>
                <w:ilvl w:val="0"/>
                <w:numId w:val="2"/>
              </w:numPr>
              <w:spacing w:after="45"/>
            </w:pPr>
            <w:r>
              <w:rPr>
                <w:sz w:val="15"/>
                <w:szCs w:val="15"/>
              </w:rPr>
              <w:t xml:space="preserve">Grade 3 or 4 toxicity occurred in 71% of patients overall, including 5% acute hepatic failure and 7% ascites, which is a severe profile for a treatment whose benefit over chemotherapy alone is unmeasured</w:t>
            </w:r>
          </w:p>
          <w:p>
            <w:pPr>
              <w:pStyle w:val="ListParagraph"/>
              <w:numPr>
                <w:ilvl w:val="0"/>
                <w:numId w:val="2"/>
              </w:numPr>
              <w:spacing w:after="45"/>
            </w:pPr>
            <w:r>
              <w:rPr>
                <w:sz w:val="15"/>
                <w:szCs w:val="15"/>
              </w:rPr>
              <w:t xml:space="preserve">Delivered dose varied by more than an order of magnitude, 18 to 430 Gy to the targeted liver and 64 to 1673 Gy to tumour, so the trial does not describe a reproducible intervention and no dose-response analysis is presented</w:t>
            </w:r>
          </w:p>
          <w:p>
            <w:pPr>
              <w:pStyle w:val="ListParagraph"/>
              <w:numPr>
                <w:ilvl w:val="0"/>
                <w:numId w:val="2"/>
              </w:numPr>
              <w:spacing w:after="45"/>
            </w:pPr>
            <w:r>
              <w:rPr>
                <w:sz w:val="15"/>
                <w:szCs w:val="15"/>
              </w:rPr>
              <w:t xml:space="preserve">The surgical outcomes that most impress, median relapse-free survival not reached and 88.9% post-surgical survival, come from the 8 or 9 patients who were resected, a subgroup defined by having responded</w:t>
            </w:r>
          </w:p>
          <w:p>
            <w:pPr>
              <w:pStyle w:val="ListParagraph"/>
              <w:numPr>
                <w:ilvl w:val="0"/>
                <w:numId w:val="2"/>
              </w:numPr>
              <w:spacing w:after="45"/>
            </w:pPr>
            <w:r>
              <w:rPr>
                <w:sz w:val="15"/>
                <w:szCs w:val="15"/>
              </w:rPr>
              <w:t xml:space="preserve">Two patients were offered liver transplantation after their disease remained unresectable but controlled, and both recurred at 16 and 17 months with a single lung lesion each; these two cases are the paper's only transplant data and are frequently cited as if they were a protocol</w:t>
            </w:r>
          </w:p>
          <w:p>
            <w:pPr>
              <w:pStyle w:val="ListParagraph"/>
              <w:numPr>
                <w:ilvl w:val="0"/>
                <w:numId w:val="2"/>
              </w:numPr>
              <w:spacing w:after="45"/>
            </w:pPr>
            <w:r>
              <w:rPr>
                <w:sz w:val="15"/>
                <w:szCs w:val="15"/>
              </w:rPr>
              <w:t xml:space="preserve">BTG, which manufactures the microspheres, part-funded the trial, the first author declares BTG grants and fees during its conduct, and one author was a BTG employee at publication, while the confirmatory randomised trial SIRCCA was still enrolling</w:t>
            </w:r>
          </w:p>
          <w:p>
            <w:pPr>
              <w:pStyle w:val="ListParagraph"/>
              <w:numPr>
                <w:ilvl w:val="0"/>
                <w:numId w:val="2"/>
              </w:numPr>
              <w:spacing w:after="45"/>
            </w:pPr>
            <w:r>
              <w:rPr>
                <w:sz w:val="15"/>
                <w:szCs w:val="15"/>
              </w:rPr>
              <w:t xml:space="preserve">Low albumin and high carcinoembryonic antigen were the only independent survival predictors, which suggests the outcomes are driven by baseline host and tumour burden rather than by the radioembolisation</w:t>
            </w:r>
          </w:p>
          <w:p>
            <w:pPr>
              <w:pStyle w:val="ListParagraph"/>
              <w:numPr>
                <w:ilvl w:val="0"/>
                <w:numId w:val="2"/>
              </w:numPr>
              <w:spacing w:after="45"/>
            </w:pPr>
            <w:r>
              <w:rPr>
                <w:sz w:val="15"/>
                <w:szCs w:val="15"/>
              </w:rPr>
              <w:t xml:space="preserve">The accompanying JAMA Oncology editorial by Scott and Shroff (PMID 31670748) is titled to say the jury is still out; its full text was not read here and only the title is relied on</w:t>
            </w:r>
          </w:p>
        </w:tc>
      </w:tr>
    </w:tbl>
    <w:p>
      <w:pPr>
        <w:spacing w:after="0" w:line="276"/>
      </w:pPr>
      <w:r>
        <w:rPr>
          <w:color w:val="5A6069"/>
          <w:sz w:val="14"/>
          <w:szCs w:val="14"/>
        </w:rPr>
        <w:t xml:space="preserve">Funding: Partially funded by BTG Corporation, the microsphere manufacturer, and the Ligue Contre le Cancer, with the funders stated to have had no role in design, conduct, analysis or manuscript approval; the first author declares consultancy, grants and personal fees from BTG during the conduct of the study and one author was employed by BTG at publication</w:t>
      </w:r>
    </w:p>
    <w:p>
      <w:pPr>
        <w:keepNext/>
        <w:spacing w:after="50" w:before="260"/>
      </w:pPr>
      <w:r>
        <w:rPr>
          <w:rFonts w:ascii="Cambria" w:cs="Cambria" w:eastAsia="Cambria" w:hAnsi="Cambria"/>
          <w:b/>
          <w:bCs/>
          <w:color w:val="17365D"/>
          <w:sz w:val="20"/>
          <w:szCs w:val="20"/>
        </w:rPr>
        <w:t xml:space="preserve">PRODIGE-12</w:t>
      </w:r>
      <w:r>
        <w:rPr>
          <w:b/>
          <w:bCs/>
          <w:color w:val="176A87"/>
          <w:sz w:val="15"/>
          <w:szCs w:val="15"/>
        </w:rPr>
        <w:t xml:space="preserve">   Randomised trial</w:t>
      </w:r>
      <w:r>
        <w:rPr>
          <w:color w:val="5A6069"/>
          <w:sz w:val="15"/>
          <w:szCs w:val="15"/>
        </w:rPr>
        <w:t xml:space="preserve">   PMID 30707660</w:t>
      </w:r>
    </w:p>
    <w:p>
      <w:pPr>
        <w:spacing w:after="50" w:line="276"/>
      </w:pPr>
      <w:r>
        <w:rPr>
          <w:color w:val="5A6069"/>
          <w:sz w:val="17"/>
          <w:szCs w:val="17"/>
        </w:rPr>
        <w:t xml:space="preserve">Gemcitabine and Oxaliplatin Chemotherapy or Surveillance in Resected Biliary Tract Cancer (PRODIGE 12-ACCORD 18-UNICANCER GI): A Randomized Phase III Study</w:t>
      </w:r>
    </w:p>
    <w:p>
      <w:pPr>
        <w:spacing w:after="50"/>
      </w:pPr>
      <w:r>
        <w:rPr>
          <w:b/>
          <w:bCs/>
          <w:color w:val="176A87"/>
          <w:sz w:val="16"/>
          <w:szCs w:val="16"/>
        </w:rPr>
        <w:t xml:space="preserve">Population. </w:t>
      </w:r>
      <w:r>
        <w:rPr>
          <w:sz w:val="16"/>
          <w:szCs w:val="16"/>
        </w:rPr>
        <w:t xml:space="preserve">196 patients randomised at 33 French centres within 3 months of R0 or R1 resection of biliary tract cancer, 194 analysed by intention to treat after two consent withdrawals; 86 of 194 (44%) were intrahepatic cholangiocarcinoma, 28% distal, 8% perihilar and 20% gallbladder, with 13% R1 and 38% node-positive</w:t>
      </w:r>
    </w:p>
    <w:p>
      <w:pPr>
        <w:spacing w:after="70"/>
      </w:pPr>
      <w:r>
        <w:rPr>
          <w:b/>
          <w:bCs/>
          <w:color w:val="17365D"/>
          <w:sz w:val="16"/>
          <w:szCs w:val="16"/>
        </w:rPr>
        <w:t xml:space="preserve">Bottom line. </w:t>
      </w:r>
      <w:r>
        <w:rPr>
          <w:sz w:val="16"/>
          <w:szCs w:val="16"/>
        </w:rPr>
        <w:t xml:space="preserve">PRODIGE 12 is the negative adjuvant trial that removed gemcitabine-oxaliplatin from consideration after biliary resection: relapse-free survival HR 0.88 (0.62-1.25) with no quality-of-life benefit and overall survival numerically favouring surveillance. It does not establish that adjuvant therapy is useless, because it was powered for an HR of 0.60 in a low-risk population and the survival comparison is confounded by salvage chemotherapy given to 98% of surveillance relapses against 27% after GEMOX. Its 86 intrahepatic patients make it the most iCCA-weighted adjuvant trial available, with a subgroup interval of 0.431 to 1.196 that settles nothing.</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planned hazard ratio of 0.60 was ambitious and the trial may have been underpowered, with only 126 relapse-free survival events</w:t>
            </w:r>
          </w:p>
          <w:p>
            <w:pPr>
              <w:pStyle w:val="ListParagraph"/>
              <w:numPr>
                <w:ilvl w:val="0"/>
                <w:numId w:val="2"/>
              </w:numPr>
              <w:spacing w:after="45"/>
            </w:pPr>
            <w:r>
              <w:rPr>
                <w:sz w:val="15"/>
                <w:szCs w:val="15"/>
              </w:rPr>
              <w:t xml:space="preserve">The median relapse-free survival fell on a plateau where the curves separate most, so the median is less representative of the true difference than the hazard ratio</w:t>
            </w:r>
          </w:p>
          <w:p>
            <w:pPr>
              <w:pStyle w:val="ListParagraph"/>
              <w:numPr>
                <w:ilvl w:val="0"/>
                <w:numId w:val="2"/>
              </w:numPr>
              <w:spacing w:after="45"/>
            </w:pPr>
            <w:r>
              <w:rPr>
                <w:sz w:val="15"/>
                <w:szCs w:val="15"/>
              </w:rPr>
              <w:t xml:space="preserve">No trend toward an overall survival benefit was seen, with a hazard ratio above 1, and the overall survival medians are likewise unrepresentative because of a plateau at the median</w:t>
            </w:r>
          </w:p>
          <w:p>
            <w:pPr>
              <w:pStyle w:val="ListParagraph"/>
              <w:numPr>
                <w:ilvl w:val="0"/>
                <w:numId w:val="2"/>
              </w:numPr>
              <w:spacing w:after="45"/>
            </w:pPr>
            <w:r>
              <w:rPr>
                <w:sz w:val="15"/>
                <w:szCs w:val="15"/>
              </w:rPr>
              <w:t xml:space="preserve">Chemotherapy given after relapse differed between the arms and may partly explain the discrepancy between a relapse-free survival trend and no overall survival benefit, supported by the trend toward lower post-relapse survival in the GEMOX arm</w:t>
            </w:r>
          </w:p>
          <w:p>
            <w:pPr>
              <w:pStyle w:val="ListParagraph"/>
              <w:numPr>
                <w:ilvl w:val="0"/>
                <w:numId w:val="2"/>
              </w:numPr>
              <w:spacing w:after="45"/>
            </w:pPr>
            <w:r>
              <w:rPr>
                <w:sz w:val="15"/>
                <w:szCs w:val="15"/>
              </w:rPr>
              <w:t xml:space="preserve">Other unknown factors might also explain the absence of an overall survival benefit</w:t>
            </w:r>
          </w:p>
          <w:p>
            <w:pPr>
              <w:pStyle w:val="ListParagraph"/>
              <w:numPr>
                <w:ilvl w:val="0"/>
                <w:numId w:val="2"/>
              </w:numPr>
              <w:spacing w:after="45"/>
            </w:pPr>
            <w:r>
              <w:rPr>
                <w:sz w:val="15"/>
                <w:szCs w:val="15"/>
              </w:rPr>
              <w:t xml:space="preserve">The authors treat the apparent harm in the gallbladder subgroup as a possible chance finding in a small group</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This is a negative trial on both co-primary endpoints: relapse-free survival HR 0.88 (0.62-1.25), P = .48, and time to definitive quality-of-life deterioration HR 1.28 (0.73-2.26), P = .39, and overall survival pointed the wrong way at HR 1.08 (0.70-1.66)</w:t>
            </w:r>
          </w:p>
          <w:p>
            <w:pPr>
              <w:pStyle w:val="ListParagraph"/>
              <w:numPr>
                <w:ilvl w:val="0"/>
                <w:numId w:val="2"/>
              </w:numPr>
              <w:spacing w:after="45"/>
            </w:pPr>
            <w:r>
              <w:rPr>
                <w:sz w:val="15"/>
                <w:szCs w:val="15"/>
              </w:rPr>
              <w:t xml:space="preserve">Post-relapse chemotherapy was grossly unbalanced, with 40 of 41 surveillance relapses receiving gemcitabine-based salvage against 9 of 33 after adjuvant GEMOX, so the overall survival comparison is between a group that got effective salvage and a group that largely did not; this is a design consequence of using the same drug class in the adjuvant arm</w:t>
            </w:r>
          </w:p>
          <w:p>
            <w:pPr>
              <w:pStyle w:val="ListParagraph"/>
              <w:numPr>
                <w:ilvl w:val="0"/>
                <w:numId w:val="2"/>
              </w:numPr>
              <w:spacing w:after="45"/>
            </w:pPr>
            <w:r>
              <w:rPr>
                <w:sz w:val="15"/>
                <w:szCs w:val="15"/>
              </w:rPr>
              <w:t xml:space="preserve">The iCCA subgroup of 86 patients, the largest primary site and the one this record is used for, has a relapse-free survival hazard ratio of 0.718 (0.431-1.196) and no overall survival estimate highlighted; the interval is wide enough to contain both a worthwhile benefit and harm</w:t>
            </w:r>
          </w:p>
          <w:p>
            <w:pPr>
              <w:pStyle w:val="ListParagraph"/>
              <w:numPr>
                <w:ilvl w:val="0"/>
                <w:numId w:val="2"/>
              </w:numPr>
              <w:spacing w:after="45"/>
            </w:pPr>
            <w:r>
              <w:rPr>
                <w:sz w:val="15"/>
                <w:szCs w:val="15"/>
              </w:rPr>
              <w:t xml:space="preserve">The gallbladder subgroup of 38 patients shows significant harm on both endpoints, relapse-free HR 2.559 (1.037-6.318) and overall survival HR 3.390 (1.169-9.830), reported without multiplicity adjustment across four primary sites, so it is as likely to be noise as the favourable iCCA point estimate is</w:t>
            </w:r>
          </w:p>
          <w:p>
            <w:pPr>
              <w:pStyle w:val="ListParagraph"/>
              <w:numPr>
                <w:ilvl w:val="0"/>
                <w:numId w:val="2"/>
              </w:numPr>
              <w:spacing w:after="45"/>
            </w:pPr>
            <w:r>
              <w:rPr>
                <w:sz w:val="15"/>
                <w:szCs w:val="15"/>
              </w:rPr>
              <w:t xml:space="preserve">The population is substantially lower risk than BILCAP's, 13% against 38% R1 and 38% against 47% node-positive, so the trial was a test of adjuvant therapy in patients with less residual disease to treat</w:t>
            </w:r>
          </w:p>
          <w:p>
            <w:pPr>
              <w:pStyle w:val="ListParagraph"/>
              <w:numPr>
                <w:ilvl w:val="0"/>
                <w:numId w:val="2"/>
              </w:numPr>
              <w:spacing w:after="45"/>
            </w:pPr>
            <w:r>
              <w:rPr>
                <w:sz w:val="15"/>
                <w:szCs w:val="15"/>
              </w:rPr>
              <w:t xml:space="preserve">Toxicity was severe and asymmetric, grade 3 events in 62% against 18% and grade 3 sensory neuropathy in 18%, with no benefit on either co-primary endpoint, so the trial delivered measurable harm for no measurable gain</w:t>
            </w:r>
          </w:p>
          <w:p>
            <w:pPr>
              <w:pStyle w:val="ListParagraph"/>
              <w:numPr>
                <w:ilvl w:val="0"/>
                <w:numId w:val="2"/>
              </w:numPr>
              <w:spacing w:after="45"/>
            </w:pPr>
            <w:r>
              <w:rPr>
                <w:sz w:val="15"/>
                <w:szCs w:val="15"/>
              </w:rPr>
              <w:t xml:space="preserve">The trial was open-label with surveillance as the comparator, and the quality-of-life co-primary endpoint was collected by questionnaire from unblinded patients who knew whether they were receiving chemotherapy</w:t>
            </w:r>
          </w:p>
          <w:p>
            <w:pPr>
              <w:pStyle w:val="ListParagraph"/>
              <w:numPr>
                <w:ilvl w:val="0"/>
                <w:numId w:val="2"/>
              </w:numPr>
              <w:spacing w:after="45"/>
            </w:pPr>
            <w:r>
              <w:rPr>
                <w:sz w:val="15"/>
                <w:szCs w:val="15"/>
              </w:rPr>
              <w:t xml:space="preserve">Four primary sites with different biology were pooled for feasibility and the trial was minimised but not powered by site, so neither the negative overall result nor any subgroup can be attributed to a particular tumour type</w:t>
            </w:r>
          </w:p>
          <w:p>
            <w:pPr>
              <w:pStyle w:val="ListParagraph"/>
              <w:numPr>
                <w:ilvl w:val="0"/>
                <w:numId w:val="2"/>
              </w:numPr>
              <w:spacing w:after="45"/>
            </w:pPr>
            <w:r>
              <w:rPr>
                <w:sz w:val="15"/>
                <w:szCs w:val="15"/>
              </w:rPr>
              <w:t xml:space="preserve">Multivariable predictors of relapse (R1, node-positive, microvascular invasion, CA 19-9 of 37 U/mL or more) are reported from the trial population as if prognostic findings, with no adjustment for the treatment arm interaction and no validation</w:t>
            </w:r>
          </w:p>
          <w:p>
            <w:pPr>
              <w:pStyle w:val="ListParagraph"/>
              <w:numPr>
                <w:ilvl w:val="0"/>
                <w:numId w:val="2"/>
              </w:numPr>
              <w:spacing w:after="45"/>
            </w:pPr>
            <w:r>
              <w:rPr>
                <w:sz w:val="15"/>
                <w:szCs w:val="15"/>
              </w:rPr>
              <w:t xml:space="preserve">No formal non-inferiority or futility boundary was prespecified, so a trial that cannot exclude an HR of 0.62 is reported as showing no benefit; the correct reading is that the question remains open for GEMOX at smaller effect sizes</w:t>
            </w:r>
          </w:p>
          <w:p>
            <w:pPr>
              <w:pStyle w:val="ListParagraph"/>
              <w:numPr>
                <w:ilvl w:val="0"/>
                <w:numId w:val="2"/>
              </w:numPr>
              <w:spacing w:after="45"/>
            </w:pPr>
            <w:r>
              <w:rPr>
                <w:sz w:val="15"/>
                <w:szCs w:val="15"/>
              </w:rPr>
              <w:t xml:space="preserve">No linked editorial or comment was found in PubMed, and the author disclosures are available only in a separate file at the DOI rather than printed with the paper</w:t>
            </w:r>
          </w:p>
        </w:tc>
      </w:tr>
    </w:tbl>
    <w:p>
      <w:pPr>
        <w:spacing w:after="0" w:line="276"/>
      </w:pPr>
      <w:r>
        <w:rPr>
          <w:color w:val="5A6069"/>
          <w:sz w:val="14"/>
          <w:szCs w:val="14"/>
        </w:rPr>
        <w:t xml:space="preserve">Funding: Supported by Programme Hospitalier de Recherche Clinique (PHRC 2009) and the Ligue Nationale Contre le Cancer, with no industry funding; most authors declare pharmaceutical consultancies in the separately posted disclosure file</w:t>
      </w:r>
    </w:p>
    <w:p>
      <w:pPr>
        <w:keepNext/>
        <w:spacing w:after="50" w:before="260"/>
      </w:pPr>
      <w:r>
        <w:rPr>
          <w:rFonts w:ascii="Cambria" w:cs="Cambria" w:eastAsia="Cambria" w:hAnsi="Cambria"/>
          <w:b/>
          <w:bCs/>
          <w:color w:val="17365D"/>
          <w:sz w:val="20"/>
          <w:szCs w:val="20"/>
        </w:rPr>
        <w:t xml:space="preserve">ROAR</w:t>
      </w:r>
      <w:r>
        <w:rPr>
          <w:b/>
          <w:bCs/>
          <w:color w:val="176A87"/>
          <w:sz w:val="15"/>
          <w:szCs w:val="15"/>
        </w:rPr>
        <w:t xml:space="preserve">   Prospective trial</w:t>
      </w:r>
      <w:r>
        <w:rPr>
          <w:color w:val="5A6069"/>
          <w:sz w:val="15"/>
          <w:szCs w:val="15"/>
        </w:rPr>
        <w:t xml:space="preserve">   PMID 32818466</w:t>
      </w:r>
    </w:p>
    <w:p>
      <w:pPr>
        <w:spacing w:after="50" w:line="276"/>
      </w:pPr>
      <w:r>
        <w:rPr>
          <w:color w:val="5A6069"/>
          <w:sz w:val="17"/>
          <w:szCs w:val="17"/>
        </w:rPr>
        <w:t xml:space="preserve">Dabrafenib plus trametinib in patients with BRAF-V600E-mutated biliary tract cancer (ROAR): a phase 2, open-label, single-arm, multicentre basket trial</w:t>
      </w:r>
    </w:p>
    <w:p>
      <w:pPr>
        <w:spacing w:after="50"/>
      </w:pPr>
      <w:r>
        <w:rPr>
          <w:b/>
          <w:bCs/>
          <w:color w:val="176A87"/>
          <w:sz w:val="16"/>
          <w:szCs w:val="16"/>
        </w:rPr>
        <w:t xml:space="preserve">Population. </w:t>
      </w:r>
      <w:r>
        <w:rPr>
          <w:sz w:val="16"/>
          <w:szCs w:val="16"/>
        </w:rPr>
        <w:t xml:space="preserve">43 patients with BRAF V600E-mutated biliary tract cancer previously treated with gemcitabine-based chemotherapy, enrolled at 19 sites in nine countries between March 2014 and July 2018 from 626 locally prescreened patients in whom 57 BRAF V600E mutations were found; 39 of 43 (91%) had intrahepatic cholangiocarcinoma and the mutation was centrally confirmed in 39 of 43</w:t>
      </w:r>
    </w:p>
    <w:p>
      <w:pPr>
        <w:spacing w:after="70"/>
      </w:pPr>
      <w:r>
        <w:rPr>
          <w:b/>
          <w:bCs/>
          <w:color w:val="17365D"/>
          <w:sz w:val="16"/>
          <w:szCs w:val="16"/>
        </w:rPr>
        <w:t xml:space="preserve">Bottom line. </w:t>
      </w:r>
      <w:r>
        <w:rPr>
          <w:sz w:val="16"/>
          <w:szCs w:val="16"/>
        </w:rPr>
        <w:t xml:space="preserve">ROAR showed that dabrafenib plus trametinib produces responses in roughly half of patients with BRAF V600E biliary tract cancer, a cohort that is 91% intrahepatic, with median progression-free survival of 9 months. It is a single-arm interim analysis with no comparator, an investigator-assessed primary endpoint that central review scored lower, and only 8% of patients progression-free at 24 months. BRAF V600E was found in 9% here only because sites entered patients already known to carry it; in practice the yield is lower, and jaundiced patients were excluded.</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trial is not randomised, which the authors call an obvious limitation, defended on the grounds that a randomised trial in a disease this rare is difficult to design</w:t>
            </w:r>
          </w:p>
          <w:p>
            <w:pPr>
              <w:pStyle w:val="ListParagraph"/>
              <w:numPr>
                <w:ilvl w:val="0"/>
                <w:numId w:val="2"/>
              </w:numPr>
              <w:spacing w:after="45"/>
            </w:pPr>
            <w:r>
              <w:rPr>
                <w:sz w:val="15"/>
                <w:szCs w:val="15"/>
              </w:rPr>
              <w:t xml:space="preserve">The prescreening population probably already contained patients with known BRAF V600E status because several sites test locally, so the 9% mutation rate is higher than published reports</w:t>
            </w:r>
          </w:p>
          <w:p>
            <w:pPr>
              <w:pStyle w:val="ListParagraph"/>
              <w:numPr>
                <w:ilvl w:val="0"/>
                <w:numId w:val="2"/>
              </w:numPr>
              <w:spacing w:after="45"/>
            </w:pPr>
            <w:r>
              <w:rPr>
                <w:sz w:val="15"/>
                <w:szCs w:val="15"/>
              </w:rPr>
              <w:t xml:space="preserve">Central confirmation of histology was not in the protocol, so similar histological subtypes appear under different names in the baseline table according to investigator entry</w:t>
            </w:r>
          </w:p>
          <w:p>
            <w:pPr>
              <w:pStyle w:val="ListParagraph"/>
              <w:numPr>
                <w:ilvl w:val="0"/>
                <w:numId w:val="2"/>
              </w:numPr>
              <w:spacing w:after="45"/>
            </w:pPr>
            <w:r>
              <w:rPr>
                <w:sz w:val="15"/>
                <w:szCs w:val="15"/>
              </w:rPr>
              <w:t xml:space="preserve">The study database was not designed to capture previous or subsequent chemotherapy as regimens, only as individual drugs</w:t>
            </w:r>
          </w:p>
          <w:p>
            <w:pPr>
              <w:pStyle w:val="ListParagraph"/>
              <w:numPr>
                <w:ilvl w:val="0"/>
                <w:numId w:val="2"/>
              </w:numPr>
              <w:spacing w:after="45"/>
            </w:pPr>
            <w:r>
              <w:rPr>
                <w:sz w:val="15"/>
                <w:szCs w:val="15"/>
              </w:rPr>
              <w:t xml:space="preserve">The published figures are interim results from a trial that remained active</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With no control arm, the 51% response rate cannot be turned into a survival benefit, and the comparisons offered in the discussion, ivosidenib 2%, selumetinib 12%, pembrolizumab 6% and FOLFOX median survival of 6 months in ABC-06, are all drawn from other trials with different populations</w:t>
            </w:r>
          </w:p>
          <w:p>
            <w:pPr>
              <w:pStyle w:val="ListParagraph"/>
              <w:numPr>
                <w:ilvl w:val="0"/>
                <w:numId w:val="2"/>
              </w:numPr>
              <w:spacing w:after="45"/>
            </w:pPr>
            <w:r>
              <w:rPr>
                <w:sz w:val="15"/>
                <w:szCs w:val="15"/>
              </w:rPr>
              <w:t xml:space="preserve">The headline response rate is investigator-assessed at 51% while independent central review gave 47% with no complete responses, and the paper leads with the investigator figure</w:t>
            </w:r>
          </w:p>
          <w:p>
            <w:pPr>
              <w:pStyle w:val="ListParagraph"/>
              <w:numPr>
                <w:ilvl w:val="0"/>
                <w:numId w:val="2"/>
              </w:numPr>
              <w:spacing w:after="45"/>
            </w:pPr>
            <w:r>
              <w:rPr>
                <w:sz w:val="15"/>
                <w:szCs w:val="15"/>
              </w:rPr>
              <w:t xml:space="preserve">Durability collapses with time: responses were ongoing in 36% at 12 months and 13% at 24 months, and progression-free survival fell from 63% at 6 months to 8% at 24, so the 9-month median duration of response is the generous reading of a short-lived effect</w:t>
            </w:r>
          </w:p>
          <w:p>
            <w:pPr>
              <w:pStyle w:val="ListParagraph"/>
              <w:numPr>
                <w:ilvl w:val="0"/>
                <w:numId w:val="2"/>
              </w:numPr>
              <w:spacing w:after="45"/>
            </w:pPr>
            <w:r>
              <w:rPr>
                <w:sz w:val="15"/>
                <w:szCs w:val="15"/>
              </w:rPr>
              <w:t xml:space="preserve">Patients with bilirubin above three times normal or untreatable biliary obstruction were excluded, which removes much of real advanced biliary practice and selects for preserved liver function, making the survival figures optimistic for the clinic</w:t>
            </w:r>
          </w:p>
          <w:p>
            <w:pPr>
              <w:pStyle w:val="ListParagraph"/>
              <w:numPr>
                <w:ilvl w:val="0"/>
                <w:numId w:val="2"/>
              </w:numPr>
              <w:spacing w:after="45"/>
            </w:pPr>
            <w:r>
              <w:rPr>
                <w:sz w:val="15"/>
                <w:szCs w:val="15"/>
              </w:rPr>
              <w:t xml:space="preserve">Dose reduction was needed in 35% and interruption in 56%, with a median exposure of 8 months, so the regimen as delivered differs substantially from 150 mg twice daily plus 2 mg daily</w:t>
            </w:r>
          </w:p>
          <w:p>
            <w:pPr>
              <w:pStyle w:val="ListParagraph"/>
              <w:numPr>
                <w:ilvl w:val="0"/>
                <w:numId w:val="2"/>
              </w:numPr>
              <w:spacing w:after="45"/>
            </w:pPr>
            <w:r>
              <w:rPr>
                <w:sz w:val="15"/>
                <w:szCs w:val="15"/>
              </w:rPr>
              <w:t xml:space="preserve">All 16 sequenced tumours had tumour mutational burden below 6 mutations per Mb and the biomarker analyses involved 16 to 19 patients, so the translational component cannot support or refute anything and is reported as if informative</w:t>
            </w:r>
          </w:p>
          <w:p>
            <w:pPr>
              <w:pStyle w:val="ListParagraph"/>
              <w:numPr>
                <w:ilvl w:val="0"/>
                <w:numId w:val="2"/>
              </w:numPr>
              <w:spacing w:after="45"/>
            </w:pPr>
            <w:r>
              <w:rPr>
                <w:sz w:val="15"/>
                <w:szCs w:val="15"/>
              </w:rPr>
              <w:t xml:space="preserve">Two patients (5%) died of sepsis judged unrelated to treatment while on a combination whose commonest treatment-related serious event was pyrexia in 19%; the attribution of those deaths is investigator-determined with no independent adjudication described</w:t>
            </w:r>
          </w:p>
          <w:p>
            <w:pPr>
              <w:pStyle w:val="ListParagraph"/>
              <w:numPr>
                <w:ilvl w:val="0"/>
                <w:numId w:val="2"/>
              </w:numPr>
              <w:spacing w:after="45"/>
            </w:pPr>
            <w:r>
              <w:rPr>
                <w:sz w:val="15"/>
                <w:szCs w:val="15"/>
              </w:rPr>
              <w:t xml:space="preserve">The trial changed sponsor mid-conduct from GlaxoSmithKline to Novartis, with data collection and analysis transferring between two companies and Novartis employees as authors, and no independent analysis is described</w:t>
            </w:r>
          </w:p>
          <w:p>
            <w:pPr>
              <w:pStyle w:val="ListParagraph"/>
              <w:numPr>
                <w:ilvl w:val="0"/>
                <w:numId w:val="2"/>
              </w:numPr>
              <w:spacing w:after="45"/>
            </w:pPr>
            <w:r>
              <w:rPr>
                <w:sz w:val="15"/>
                <w:szCs w:val="15"/>
              </w:rPr>
              <w:t xml:space="preserve">The trial is a basket cohort of 43 patients reported as a standalone result, so the multiplicity across the basket's other cohorts is not accounted for in the confidence interval presented</w:t>
            </w:r>
          </w:p>
          <w:p>
            <w:pPr>
              <w:pStyle w:val="ListParagraph"/>
              <w:numPr>
                <w:ilvl w:val="0"/>
                <w:numId w:val="2"/>
              </w:numPr>
              <w:spacing w:after="45"/>
            </w:pPr>
            <w:r>
              <w:rPr>
                <w:sz w:val="15"/>
                <w:szCs w:val="15"/>
              </w:rPr>
              <w:t xml:space="preserve">One patient who responded went on to cholecystectomy, hepatectomy and lymphadenectomy; a single case is reported in a way that invites reading the regimen as a conversion strategy, which 43 patients cannot support</w:t>
            </w:r>
          </w:p>
          <w:p>
            <w:pPr>
              <w:pStyle w:val="ListParagraph"/>
              <w:numPr>
                <w:ilvl w:val="0"/>
                <w:numId w:val="2"/>
              </w:numPr>
              <w:spacing w:after="45"/>
            </w:pPr>
            <w:r>
              <w:rPr>
                <w:sz w:val="15"/>
                <w:szCs w:val="15"/>
              </w:rPr>
              <w:t xml:space="preserve">Linked correspondence by van Golen and Dekker with the authors' reply (Lancet Oncol 2020;21:e515, PMID 33152306 and 33152307) exists; it was identified from the citation record and not read here</w:t>
            </w:r>
          </w:p>
        </w:tc>
      </w:tr>
    </w:tbl>
    <w:p>
      <w:pPr>
        <w:spacing w:after="0" w:line="276"/>
      </w:pPr>
      <w:r>
        <w:rPr>
          <w:color w:val="5A6069"/>
          <w:sz w:val="14"/>
          <w:szCs w:val="14"/>
        </w:rPr>
        <w:t xml:space="preserve">Funding: GlaxoSmithKline, which originally designed and sponsored the trial and initially performed data collection and analysis, with Novartis Pharmaceuticals as current sponsor and funder of the medical writing; Novartis employees are among the authors</w:t>
      </w:r>
    </w:p>
    <w:p>
      <w:pPr>
        <w:keepNext/>
        <w:spacing w:after="50" w:before="260"/>
      </w:pPr>
      <w:r>
        <w:rPr>
          <w:rFonts w:ascii="Cambria" w:cs="Cambria" w:eastAsia="Cambria" w:hAnsi="Cambria"/>
          <w:b/>
          <w:bCs/>
          <w:color w:val="17365D"/>
          <w:sz w:val="20"/>
          <w:szCs w:val="20"/>
        </w:rPr>
        <w:t xml:space="preserve">Sapisochin review</w:t>
      </w:r>
      <w:r>
        <w:rPr>
          <w:b/>
          <w:bCs/>
          <w:color w:val="176A87"/>
          <w:sz w:val="15"/>
          <w:szCs w:val="15"/>
        </w:rPr>
        <w:t xml:space="preserve">   Review</w:t>
      </w:r>
      <w:r>
        <w:rPr>
          <w:color w:val="5A6069"/>
          <w:sz w:val="15"/>
          <w:szCs w:val="15"/>
        </w:rPr>
        <w:t xml:space="preserve">   PMID 34859465</w:t>
      </w:r>
    </w:p>
    <w:p>
      <w:pPr>
        <w:spacing w:after="50" w:line="276"/>
      </w:pPr>
      <w:r>
        <w:rPr>
          <w:color w:val="5A6069"/>
          <w:sz w:val="17"/>
          <w:szCs w:val="17"/>
        </w:rPr>
        <w:t xml:space="preserve">Liver Transplantation for Intrahepatic Cholangiocarcinoma: Ready for Prime Time?</w:t>
      </w:r>
    </w:p>
    <w:p>
      <w:pPr>
        <w:spacing w:after="70"/>
      </w:pPr>
      <w:r>
        <w:rPr>
          <w:b/>
          <w:bCs/>
          <w:color w:val="17365D"/>
          <w:sz w:val="16"/>
          <w:szCs w:val="16"/>
        </w:rPr>
        <w:t xml:space="preserve">Bottom line. </w:t>
      </w:r>
      <w:r>
        <w:rPr>
          <w:sz w:val="16"/>
          <w:szCs w:val="16"/>
        </w:rPr>
        <w:t xml:space="preserve">A useful tabulation of every published transplant series for iCCA up to 2020, which establishes that outcomes in single tumours of 2 cm or less look better than in larger or multifocal disease and that no comparison with resection is free of selection bias. It does not establish a threshold, a stability requirement or an indication, because every number it reports comes from cohorts defined by explant pathology with no measure of waitlist dropout. Its central recommendations cite the senior author's own 15-patient series and a six-patient case series.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No limitations section; the authors concede within the text that retrospective comparisons of liver resection against transplantation are subject to selection bias and to both unmeasured and residual confounding, given how distinct the two populations are</w:t>
            </w:r>
          </w:p>
          <w:p>
            <w:pPr>
              <w:pStyle w:val="ListParagraph"/>
              <w:numPr>
                <w:ilvl w:val="0"/>
                <w:numId w:val="2"/>
              </w:numPr>
              <w:spacing w:after="45"/>
            </w:pPr>
            <w:r>
              <w:rPr>
                <w:sz w:val="15"/>
                <w:szCs w:val="15"/>
              </w:rPr>
              <w:t xml:space="preserve">They state that a fair comparison between resection and transplantation is unlikely to be possible in any retrospective design, and that a randomised comparison is not feasible</w:t>
            </w:r>
          </w:p>
          <w:p>
            <w:pPr>
              <w:pStyle w:val="ListParagraph"/>
              <w:numPr>
                <w:ilvl w:val="0"/>
                <w:numId w:val="2"/>
              </w:numPr>
              <w:spacing w:after="45"/>
            </w:pPr>
            <w:r>
              <w:rPr>
                <w:sz w:val="15"/>
                <w:szCs w:val="15"/>
              </w:rPr>
              <w:t xml:space="preserve">They list the National Cancer Database analysis's own gaps, including no fibrosis or cirrhosis score, no MELD score, no functional status, no detail on neoadjuvant cycles, no future liver remnant, no tumour number and no operative detail</w:t>
            </w:r>
          </w:p>
          <w:p>
            <w:pPr>
              <w:pStyle w:val="ListParagraph"/>
              <w:numPr>
                <w:ilvl w:val="0"/>
                <w:numId w:val="2"/>
              </w:numPr>
              <w:spacing w:after="45"/>
            </w:pPr>
            <w:r>
              <w:rPr>
                <w:sz w:val="15"/>
                <w:szCs w:val="15"/>
              </w:rPr>
              <w:t xml:space="preserve">They note that the 61.4% neoadjuvant chemotherapy and 42.1% neoadjuvant radiation rates in the transplant arm of that database raise the possibility that some perihilar cholangiocarcinoma or HCC was miscoded as intrahepatic</w:t>
            </w:r>
          </w:p>
          <w:p>
            <w:pPr>
              <w:pStyle w:val="ListParagraph"/>
              <w:numPr>
                <w:ilvl w:val="0"/>
                <w:numId w:val="2"/>
              </w:numPr>
              <w:spacing w:after="45"/>
            </w:pPr>
            <w:r>
              <w:rPr>
                <w:sz w:val="15"/>
                <w:szCs w:val="15"/>
              </w:rPr>
              <w:t xml:space="preserve">They state that pooling intrahepatic with perihilar disease, and patients who did and did not receive neoadjuvant or adjuvant therapy, is a significant limitation on interpreting the data</w:t>
            </w:r>
          </w:p>
          <w:p>
            <w:pPr>
              <w:pStyle w:val="ListParagraph"/>
              <w:numPr>
                <w:ilvl w:val="0"/>
                <w:numId w:val="2"/>
              </w:numPr>
              <w:spacing w:after="45"/>
            </w:pPr>
            <w:r>
              <w:rPr>
                <w:sz w:val="15"/>
                <w:szCs w:val="15"/>
              </w:rPr>
              <w:t xml:space="preserve">They concede that a resectable iCCA should be resected given organ scarcity, and that waitlist outcomes for iCCA and HCC cannot be compared</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A narrative invited review with no stated search strategy, no inclusion criteria for the series it tabulates and no pooling; the tabulated experience spans 1988 to 2020 across changing imaging, pathology definitions and chemotherapy, and the reader cannot tell which series were considered and left out</w:t>
            </w:r>
          </w:p>
          <w:p>
            <w:pPr>
              <w:pStyle w:val="ListParagraph"/>
              <w:numPr>
                <w:ilvl w:val="0"/>
                <w:numId w:val="2"/>
              </w:numPr>
              <w:spacing w:after="45"/>
            </w:pPr>
            <w:r>
              <w:rPr>
                <w:sz w:val="15"/>
                <w:szCs w:val="15"/>
              </w:rPr>
              <w:t xml:space="preserve">Almost all the transplant experience quoted is of iCCA found incidentally or misdiagnosed as HCC, so the survival figures describe populations defined after the operation; dropout before transplantation is absent from every series cited and the review does not quantify it</w:t>
            </w:r>
          </w:p>
          <w:p>
            <w:pPr>
              <w:pStyle w:val="ListParagraph"/>
              <w:numPr>
                <w:ilvl w:val="0"/>
                <w:numId w:val="2"/>
              </w:numPr>
              <w:spacing w:after="45"/>
            </w:pPr>
            <w:r>
              <w:rPr>
                <w:sz w:val="15"/>
                <w:szCs w:val="15"/>
              </w:rPr>
              <w:t xml:space="preserve">Several of the cited series pool pure iCCA with mixed HCC-CCA, which can make survival look favourable when the dominant phenotype is HCC; the review notes this but still carries those survival numbers into its summary tables</w:t>
            </w:r>
          </w:p>
          <w:p>
            <w:pPr>
              <w:pStyle w:val="ListParagraph"/>
              <w:numPr>
                <w:ilvl w:val="0"/>
                <w:numId w:val="2"/>
              </w:numPr>
              <w:spacing w:after="45"/>
            </w:pPr>
            <w:r>
              <w:rPr>
                <w:sz w:val="15"/>
                <w:szCs w:val="15"/>
              </w:rPr>
              <w:t xml:space="preserve">The De Martin comparison that most favours transplantation, 75% versus 36% 5-year recurrence-free survival with HR 0.23 (0.07-0.82), has a confidence interval reaching 0.82 and comes from a retrospective multicentre series with no matching described in the review</w:t>
            </w:r>
          </w:p>
          <w:p>
            <w:pPr>
              <w:pStyle w:val="ListParagraph"/>
              <w:numPr>
                <w:ilvl w:val="0"/>
                <w:numId w:val="2"/>
              </w:numPr>
              <w:spacing w:after="45"/>
            </w:pPr>
            <w:r>
              <w:rPr>
                <w:sz w:val="15"/>
                <w:szCs w:val="15"/>
              </w:rPr>
              <w:t xml:space="preserve">The National Cancer Database propensity-matched comparison the review also cites found 38.8% versus 34.9% 5-year survival, a difference of under four points in 57 pairs, and the review calls this equipoise rather than a null result</w:t>
            </w:r>
          </w:p>
          <w:p>
            <w:pPr>
              <w:pStyle w:val="ListParagraph"/>
              <w:numPr>
                <w:ilvl w:val="0"/>
                <w:numId w:val="2"/>
              </w:numPr>
              <w:spacing w:after="45"/>
            </w:pPr>
            <w:r>
              <w:rPr>
                <w:sz w:val="15"/>
                <w:szCs w:val="15"/>
              </w:rPr>
              <w:t xml:space="preserve">The 2020 meta-analysis figure for single iCCA 2 cm or less, 67% 5-year recurrence-free survival, has a confidence interval of 47-86 and is pooled across studies with different size and histology definitions, so it carries the same heterogeneity the review criticises elsewhere</w:t>
            </w:r>
          </w:p>
          <w:p>
            <w:pPr>
              <w:pStyle w:val="ListParagraph"/>
              <w:numPr>
                <w:ilvl w:val="0"/>
                <w:numId w:val="2"/>
              </w:numPr>
              <w:spacing w:after="45"/>
            </w:pPr>
            <w:r>
              <w:rPr>
                <w:sz w:val="15"/>
                <w:szCs w:val="15"/>
              </w:rPr>
              <w:t xml:space="preserve">The six-month stability requirement the review promotes into its treatment algorithm comes from Lunsford's six transplanted patients with a median cumulative tumour diameter of 14.2 cm; the review applies it to patients without cirrhosis as a general principle on that evidence</w:t>
            </w:r>
          </w:p>
          <w:p>
            <w:pPr>
              <w:pStyle w:val="ListParagraph"/>
              <w:numPr>
                <w:ilvl w:val="0"/>
                <w:numId w:val="2"/>
              </w:numPr>
              <w:spacing w:after="45"/>
            </w:pPr>
            <w:r>
              <w:rPr>
                <w:sz w:val="15"/>
                <w:szCs w:val="15"/>
              </w:rPr>
              <w:t xml:space="preserve">The conditional recommendation for upfront transplantation at 2 cm or less rests on the authors' own 15-patient explant series, and the senior author is an author of that series, so the review's central recommendation is self-citing</w:t>
            </w:r>
          </w:p>
          <w:p>
            <w:pPr>
              <w:pStyle w:val="ListParagraph"/>
              <w:numPr>
                <w:ilvl w:val="0"/>
                <w:numId w:val="2"/>
              </w:numPr>
              <w:spacing w:after="45"/>
            </w:pPr>
            <w:r>
              <w:rPr>
                <w:sz w:val="15"/>
                <w:szCs w:val="15"/>
              </w:rPr>
              <w:t xml:space="preserve">The three prospective trials tabulated (NCT02878473, TESLA NCT04556214, and the Toronto living-donor protocol) had enrolled only a handful of patients between them at the time of writing, which the table does not state, so the pipeline looks more mature than it was</w:t>
            </w:r>
          </w:p>
          <w:p>
            <w:pPr>
              <w:pStyle w:val="ListParagraph"/>
              <w:numPr>
                <w:ilvl w:val="0"/>
                <w:numId w:val="2"/>
              </w:numPr>
              <w:spacing w:after="45"/>
            </w:pPr>
            <w:r>
              <w:rPr>
                <w:sz w:val="15"/>
                <w:szCs w:val="15"/>
              </w:rPr>
              <w:t xml:space="preserve">The senior author discloses consultancy for AstraZeneca, Roche and Novartis and grant support from Bayer and Roche while the review discusses systemic therapy as the gateway to transplantation; two of the three authors have no disclosure recorded at all</w:t>
            </w:r>
          </w:p>
          <w:p>
            <w:pPr>
              <w:pStyle w:val="ListParagraph"/>
              <w:numPr>
                <w:ilvl w:val="0"/>
                <w:numId w:val="2"/>
              </w:numPr>
              <w:spacing w:after="45"/>
            </w:pPr>
            <w:r>
              <w:rPr>
                <w:sz w:val="15"/>
                <w:szCs w:val="15"/>
              </w:rPr>
              <w:t xml:space="preserve">The review was overtaken quickly: TOPAZ-1 is described as ongoing, and the EASL-ILCA guideline with its 3 cm transplant threshold appeared the following year, so the thresholds the review states as current were superseded</w:t>
            </w:r>
          </w:p>
          <w:p>
            <w:pPr>
              <w:pStyle w:val="ListParagraph"/>
              <w:numPr>
                <w:ilvl w:val="0"/>
                <w:numId w:val="2"/>
              </w:numPr>
              <w:spacing w:after="45"/>
            </w:pPr>
            <w:r>
              <w:rPr>
                <w:sz w:val="15"/>
                <w:szCs w:val="15"/>
              </w:rPr>
              <w:t xml:space="preserve">No linked editorial or comment was found in PubMed for this review, so the only critical reading available is internal to the text</w:t>
            </w:r>
          </w:p>
        </w:tc>
      </w:tr>
    </w:tbl>
    <w:p>
      <w:pPr>
        <w:spacing w:after="0" w:line="276"/>
      </w:pPr>
      <w:r>
        <w:rPr>
          <w:color w:val="5A6069"/>
          <w:sz w:val="14"/>
          <w:szCs w:val="14"/>
        </w:rPr>
        <w:t xml:space="preserve">Funding: No funding statement beyond a declaration that the work had not been submitted elsewhere; Sapisochin discloses consultancy for AstraZeneca, Roche and Novartis and grant support from Bayer and Roche, and no disclosure is recorded for the other two authors</w:t>
      </w:r>
    </w:p>
    <w:p>
      <w:pPr>
        <w:keepNext/>
        <w:spacing w:after="50" w:before="260"/>
      </w:pPr>
      <w:r>
        <w:rPr>
          <w:rFonts w:ascii="Cambria" w:cs="Cambria" w:eastAsia="Cambria" w:hAnsi="Cambria"/>
          <w:b/>
          <w:bCs/>
          <w:color w:val="17365D"/>
          <w:sz w:val="20"/>
          <w:szCs w:val="20"/>
        </w:rPr>
        <w:t xml:space="preserve">Sapisochin very early iCCA</w:t>
      </w:r>
      <w:r>
        <w:rPr>
          <w:b/>
          <w:bCs/>
          <w:color w:val="176A87"/>
          <w:sz w:val="15"/>
          <w:szCs w:val="15"/>
        </w:rPr>
        <w:t xml:space="preserve">   cohort</w:t>
      </w:r>
      <w:r>
        <w:rPr>
          <w:color w:val="5A6069"/>
          <w:sz w:val="15"/>
          <w:szCs w:val="15"/>
        </w:rPr>
        <w:t xml:space="preserve">   PMID 27481548</w:t>
      </w:r>
    </w:p>
    <w:p>
      <w:pPr>
        <w:spacing w:after="50" w:line="276"/>
      </w:pPr>
      <w:r>
        <w:rPr>
          <w:color w:val="5A6069"/>
          <w:sz w:val="17"/>
          <w:szCs w:val="17"/>
        </w:rPr>
        <w:t xml:space="preserve">Liver transplantation for "very early" intrahepatic cholangiocarcinoma: International retrospective study supporting a prospective assessment</w:t>
      </w:r>
    </w:p>
    <w:p>
      <w:pPr>
        <w:spacing w:after="50"/>
      </w:pPr>
      <w:r>
        <w:rPr>
          <w:b/>
          <w:bCs/>
          <w:color w:val="176A87"/>
          <w:sz w:val="16"/>
          <w:szCs w:val="16"/>
        </w:rPr>
        <w:t xml:space="preserve">Population. </w:t>
      </w:r>
      <w:r>
        <w:rPr>
          <w:sz w:val="16"/>
          <w:szCs w:val="16"/>
        </w:rPr>
        <w:t xml:space="preserve">15 patients with a single iCCA of 2 cm or less, identified on explant pathology among 81 iCCA found in 25,016 liver transplants performed at 17 centres between January 2000 and December 2013, and compared with 33 patients whose explant iCCA was larger or multifocal</w:t>
      </w:r>
    </w:p>
    <w:p>
      <w:pPr>
        <w:spacing w:after="70"/>
      </w:pPr>
      <w:r>
        <w:rPr>
          <w:b/>
          <w:bCs/>
          <w:color w:val="17365D"/>
          <w:sz w:val="16"/>
          <w:szCs w:val="16"/>
        </w:rPr>
        <w:t xml:space="preserve">Bottom line. </w:t>
      </w:r>
      <w:r>
        <w:rPr>
          <w:sz w:val="16"/>
          <w:szCs w:val="16"/>
        </w:rPr>
        <w:t xml:space="preserve">Fifteen cirrhotic patients whose explant showed a single iCCA of 2 cm or less had 65% 5-year survival and 18% recurrence, enough to justify a prospective trial of transplantation in that narrow group. It does not show that such patients can be identified before transplantation, since every diagnosis was made on the explant, and it tests neither a 3 cm ceiling nor any requirement for a period of disease stability. The comparison group is 33 patients with larger or multifocal explant tumours followed for less than half as long, not a concurrent resection cohort.</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number of patients analysed is still modest, especially in the very early iCCA group of interest, and 47% of those were incidental findings</w:t>
            </w:r>
          </w:p>
          <w:p>
            <w:pPr>
              <w:pStyle w:val="ListParagraph"/>
              <w:numPr>
                <w:ilvl w:val="0"/>
                <w:numId w:val="2"/>
              </w:numPr>
              <w:spacing w:after="45"/>
            </w:pPr>
            <w:r>
              <w:rPr>
                <w:sz w:val="15"/>
                <w:szCs w:val="15"/>
              </w:rPr>
              <w:t xml:space="preserve">The pathological diagnosis of iCCA at the different centres cannot be confirmed because external review was possible in only 70% of cases</w:t>
            </w:r>
          </w:p>
          <w:p>
            <w:pPr>
              <w:pStyle w:val="ListParagraph"/>
              <w:numPr>
                <w:ilvl w:val="0"/>
                <w:numId w:val="2"/>
              </w:numPr>
              <w:spacing w:after="45"/>
            </w:pPr>
            <w:r>
              <w:rPr>
                <w:sz w:val="15"/>
                <w:szCs w:val="15"/>
              </w:rPr>
              <w:t xml:space="preserve">Each centre had its own pathologist analyse the explant because of the retrospective design, which may have led to tumour number and size being understaged</w:t>
            </w:r>
          </w:p>
          <w:p>
            <w:pPr>
              <w:pStyle w:val="ListParagraph"/>
              <w:numPr>
                <w:ilvl w:val="0"/>
                <w:numId w:val="2"/>
              </w:numPr>
              <w:spacing w:after="45"/>
            </w:pPr>
            <w:r>
              <w:rPr>
                <w:sz w:val="15"/>
                <w:szCs w:val="15"/>
              </w:rPr>
              <w:t xml:space="preserve">This is a retrospective study with all the limitations of such a design</w:t>
            </w:r>
          </w:p>
          <w:p>
            <w:pPr>
              <w:pStyle w:val="ListParagraph"/>
              <w:numPr>
                <w:ilvl w:val="0"/>
                <w:numId w:val="2"/>
              </w:numPr>
              <w:spacing w:after="45"/>
            </w:pPr>
            <w:r>
              <w:rPr>
                <w:sz w:val="15"/>
                <w:szCs w:val="15"/>
              </w:rPr>
              <w:t xml:space="preserve">Univariate and multivariate analyses were performed as exploratory analyses only, on variables chosen for clinical significance</w:t>
            </w:r>
          </w:p>
          <w:p>
            <w:pPr>
              <w:pStyle w:val="ListParagraph"/>
              <w:numPr>
                <w:ilvl w:val="0"/>
                <w:numId w:val="2"/>
              </w:numPr>
              <w:spacing w:after="45"/>
            </w:pPr>
            <w:r>
              <w:rPr>
                <w:sz w:val="15"/>
                <w:szCs w:val="15"/>
              </w:rPr>
              <w:t xml:space="preserve">Information on positive lymph nodes and lymphovascular invasion, both recurrence risk factors after resection, was scarce because these patients were not thought to have iCCA and so were not staged for it</w:t>
            </w:r>
          </w:p>
          <w:p>
            <w:pPr>
              <w:pStyle w:val="ListParagraph"/>
              <w:numPr>
                <w:ilvl w:val="0"/>
                <w:numId w:val="2"/>
              </w:numPr>
              <w:spacing w:after="45"/>
            </w:pPr>
            <w:r>
              <w:rPr>
                <w:sz w:val="15"/>
                <w:szCs w:val="15"/>
              </w:rPr>
              <w:t xml:space="preserve">The intermediate category of patients in Supporting Fig. S1 held too few cases to support a robust opinion, and the single 2.1-3 cm result is difficult to interpret because of the small number of patients</w:t>
            </w:r>
          </w:p>
          <w:p>
            <w:pPr>
              <w:pStyle w:val="ListParagraph"/>
              <w:numPr>
                <w:ilvl w:val="0"/>
                <w:numId w:val="2"/>
              </w:numPr>
              <w:spacing w:after="45"/>
            </w:pPr>
            <w:r>
              <w:rPr>
                <w:sz w:val="15"/>
                <w:szCs w:val="15"/>
              </w:rPr>
              <w:t xml:space="preserve">A prospective multicentre clinical trial is needed to confirm the results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study group is defined by the explant, so patients who were listed with an undiagnosed iCCA and then dropped off the waiting list for progression never enter the denominator; the 93%, 84% and 65% survival figures are conditional on having reached transplantation and are not an intention-to-treat estimate for a 2 cm iCCA</w:t>
            </w:r>
          </w:p>
          <w:p>
            <w:pPr>
              <w:pStyle w:val="ListParagraph"/>
              <w:numPr>
                <w:ilvl w:val="0"/>
                <w:numId w:val="2"/>
              </w:numPr>
              <w:spacing w:after="45"/>
            </w:pPr>
            <w:r>
              <w:rPr>
                <w:sz w:val="15"/>
                <w:szCs w:val="15"/>
              </w:rPr>
              <w:t xml:space="preserve">81 iCCA were found in 25,016 transplants and only 48 of those had iCCA alone, of whom 15 were very early; the headline therefore rests on 0.06% of the transplant denominator, and the 33 patients with a concomitant HCC nodule were moved into a separate table rather than analysed with them</w:t>
            </w:r>
          </w:p>
          <w:p>
            <w:pPr>
              <w:pStyle w:val="ListParagraph"/>
              <w:numPr>
                <w:ilvl w:val="0"/>
                <w:numId w:val="2"/>
              </w:numPr>
              <w:spacing w:after="45"/>
            </w:pPr>
            <w:r>
              <w:rPr>
                <w:sz w:val="15"/>
                <w:szCs w:val="15"/>
              </w:rPr>
              <w:t xml:space="preserve">Cumulative recurrence is 18% at both 3 and 5 years in the very early group, which means no recurrence was observed after 3 years in a group of 15 with 2 events in total; no numbers at risk are given at any time point, so the 5-year estimate cannot be judged</w:t>
            </w:r>
          </w:p>
          <w:p>
            <w:pPr>
              <w:pStyle w:val="ListParagraph"/>
              <w:numPr>
                <w:ilvl w:val="0"/>
                <w:numId w:val="2"/>
              </w:numPr>
              <w:spacing w:after="45"/>
            </w:pPr>
            <w:r>
              <w:rPr>
                <w:sz w:val="15"/>
                <w:szCs w:val="15"/>
              </w:rPr>
              <w:t xml:space="preserve">Follow-up was not comparable between the compared groups, 57.3 months (23.4-104.5) for very early versus 24.7 months (12.7-63.4) for advanced, P = 0.04, yet the two survival curves are read against each other as if observation were equivalent</w:t>
            </w:r>
          </w:p>
          <w:p>
            <w:pPr>
              <w:pStyle w:val="ListParagraph"/>
              <w:numPr>
                <w:ilvl w:val="0"/>
                <w:numId w:val="2"/>
              </w:numPr>
              <w:spacing w:after="45"/>
            </w:pPr>
            <w:r>
              <w:rPr>
                <w:sz w:val="15"/>
                <w:szCs w:val="15"/>
              </w:rPr>
              <w:t xml:space="preserve">The multivariable Cox model was fitted on 36 patients with roughly 20 recurrence events across the whole cohort, and the resulting hazard ratios of 4.7 (1.6-13.8) and 6.1 (1.9-20.2) have intervals spanning an order of magnitude, which is a model with more parameters than the event count supports</w:t>
            </w:r>
          </w:p>
          <w:p>
            <w:pPr>
              <w:pStyle w:val="ListParagraph"/>
              <w:numPr>
                <w:ilvl w:val="0"/>
                <w:numId w:val="2"/>
              </w:numPr>
              <w:spacing w:after="45"/>
            </w:pPr>
            <w:r>
              <w:rPr>
                <w:sz w:val="15"/>
                <w:szCs w:val="15"/>
              </w:rPr>
              <w:t xml:space="preserve">Four patients listed beyond the UCSF criteria were kept in the cohort on the stated grounds that the analysis was exploratory, while being out of UCSF criteria was itself a significant univariate predictor of recurrence, HR 4.0 (1.6-10), P = 0.003</w:t>
            </w:r>
          </w:p>
          <w:p>
            <w:pPr>
              <w:pStyle w:val="ListParagraph"/>
              <w:numPr>
                <w:ilvl w:val="0"/>
                <w:numId w:val="2"/>
              </w:numPr>
              <w:spacing w:after="45"/>
            </w:pPr>
            <w:r>
              <w:rPr>
                <w:sz w:val="15"/>
                <w:szCs w:val="15"/>
              </w:rPr>
              <w:t xml:space="preserve">The 2.1-3 cm, not poorly differentiated subgroup that is the paper's only evidence above 2 cm has six patients and was defined after the outcomes were known; its P = 0.03 is a post hoc subgroup comparison, and the 3 cm transplant ceiling later attributed to this paper has no prospective basis in it</w:t>
            </w:r>
          </w:p>
          <w:p>
            <w:pPr>
              <w:pStyle w:val="ListParagraph"/>
              <w:numPr>
                <w:ilvl w:val="0"/>
                <w:numId w:val="2"/>
              </w:numPr>
              <w:spacing w:after="45"/>
            </w:pPr>
            <w:r>
              <w:rPr>
                <w:sz w:val="15"/>
                <w:szCs w:val="15"/>
              </w:rPr>
              <w:t xml:space="preserve">No period of disease stability and no neoadjuvant protocol were required or tested anywhere in the study, so the six-month stability rule that is sometimes cited to this paper is not something it examined</w:t>
            </w:r>
          </w:p>
          <w:p>
            <w:pPr>
              <w:pStyle w:val="ListParagraph"/>
              <w:numPr>
                <w:ilvl w:val="0"/>
                <w:numId w:val="2"/>
              </w:numPr>
              <w:spacing w:after="45"/>
            </w:pPr>
            <w:r>
              <w:rPr>
                <w:sz w:val="15"/>
                <w:szCs w:val="15"/>
              </w:rPr>
              <w:t xml:space="preserve">Mixed hepatocellular-cholangiocarcinoma within the same nodule was an explicit exclusion, so the results cannot be extended to mixed tumours, and the paper's own discussion of mixed HCC-CCA survival is taken from other series</w:t>
            </w:r>
          </w:p>
          <w:p>
            <w:pPr>
              <w:pStyle w:val="ListParagraph"/>
              <w:numPr>
                <w:ilvl w:val="0"/>
                <w:numId w:val="2"/>
              </w:numPr>
              <w:spacing w:after="45"/>
            </w:pPr>
            <w:r>
              <w:rPr>
                <w:sz w:val="15"/>
                <w:szCs w:val="15"/>
              </w:rPr>
              <w:t xml:space="preserve">Bridging transarterial chemoembolisation, ablation or ethanol injection was permitted and is listed as a covariate, so some nodules measured at 2 cm or less on explant may have been larger before treatment; the proportion of very early patients who had bridging therapy is not reported separately</w:t>
            </w:r>
          </w:p>
          <w:p>
            <w:pPr>
              <w:pStyle w:val="ListParagraph"/>
              <w:numPr>
                <w:ilvl w:val="0"/>
                <w:numId w:val="2"/>
              </w:numPr>
              <w:spacing w:after="45"/>
            </w:pPr>
            <w:r>
              <w:rPr>
                <w:sz w:val="15"/>
                <w:szCs w:val="15"/>
              </w:rPr>
              <w:t xml:space="preserve">The resection comparison is to a historical literature range of 15% to 45% 5-year survival rather than to resected patients from the same 17 centres over the same period, so the claim that transplantation is competitive is not tested against a concurrent comparator</w:t>
            </w:r>
          </w:p>
          <w:p>
            <w:pPr>
              <w:pStyle w:val="ListParagraph"/>
              <w:numPr>
                <w:ilvl w:val="0"/>
                <w:numId w:val="2"/>
              </w:numPr>
              <w:spacing w:after="45"/>
            </w:pPr>
            <w:r>
              <w:rPr>
                <w:sz w:val="15"/>
                <w:szCs w:val="15"/>
              </w:rPr>
              <w:t xml:space="preserve">Table 1 gives advanced-group recurrence as 17 of 33 (51.5%) while the Results text gives 18 of 33 (54.5%), both attached to the same P = 0.006, and the discrepancy is not reconciled</w:t>
            </w:r>
          </w:p>
          <w:p>
            <w:pPr>
              <w:pStyle w:val="ListParagraph"/>
              <w:numPr>
                <w:ilvl w:val="0"/>
                <w:numId w:val="2"/>
              </w:numPr>
              <w:spacing w:after="45"/>
            </w:pPr>
            <w:r>
              <w:rPr>
                <w:sz w:val="15"/>
                <w:szCs w:val="15"/>
              </w:rPr>
              <w:t xml:space="preserve">Published correspondence in Hepatology (Gupta and Gupta 2017; Gu, Jeong and Xia 2017) argued the selection criteria need refining, including by aetiology such as HBV-related iCCA; those letters were identified from the citation record and not read in full here</w:t>
            </w:r>
          </w:p>
        </w:tc>
      </w:tr>
    </w:tbl>
    <w:p>
      <w:pPr>
        <w:spacing w:after="0" w:line="276"/>
      </w:pPr>
      <w:r>
        <w:rPr>
          <w:color w:val="5A6069"/>
          <w:sz w:val="14"/>
          <w:szCs w:val="14"/>
        </w:rPr>
        <w:t xml:space="preserve">Funding: Supported by grants from the Instituto de Salud Carlos III (PI14/00962), the Italian Association for Cancer Research and the Swiss National Science Foundation (PP00P3_139021); CIBEREHD supported by the Instituto de Salud Carlos III; Mazzaferro is on the speakers' bureau for BTG</w:t>
      </w:r>
    </w:p>
    <w:p>
      <w:pPr>
        <w:keepNext/>
        <w:spacing w:after="50" w:before="260"/>
      </w:pPr>
      <w:r>
        <w:rPr>
          <w:rFonts w:ascii="Cambria" w:cs="Cambria" w:eastAsia="Cambria" w:hAnsi="Cambria"/>
          <w:b/>
          <w:bCs/>
          <w:color w:val="17365D"/>
          <w:sz w:val="20"/>
          <w:szCs w:val="20"/>
        </w:rPr>
        <w:t xml:space="preserve">Tao dose-response</w:t>
      </w:r>
      <w:r>
        <w:rPr>
          <w:b/>
          <w:bCs/>
          <w:color w:val="176A87"/>
          <w:sz w:val="15"/>
          <w:szCs w:val="15"/>
        </w:rPr>
        <w:t xml:space="preserve">   cohort</w:t>
      </w:r>
      <w:r>
        <w:rPr>
          <w:color w:val="5A6069"/>
          <w:sz w:val="15"/>
          <w:szCs w:val="15"/>
        </w:rPr>
        <w:t xml:space="preserve">   PMID 26503201</w:t>
      </w:r>
    </w:p>
    <w:p>
      <w:pPr>
        <w:spacing w:after="50" w:line="276"/>
      </w:pPr>
      <w:r>
        <w:rPr>
          <w:color w:val="5A6069"/>
          <w:sz w:val="17"/>
          <w:szCs w:val="17"/>
        </w:rPr>
        <w:t xml:space="preserve">Ablative Radiotherapy Doses Lead to a Substantial Prolongation of Survival in Patients With Inoperable Intrahepatic Cholangiocarcinoma: A Retrospective Dose Response Analysis</w:t>
      </w:r>
    </w:p>
    <w:p>
      <w:pPr>
        <w:spacing w:after="50"/>
      </w:pPr>
      <w:r>
        <w:rPr>
          <w:b/>
          <w:bCs/>
          <w:color w:val="176A87"/>
          <w:sz w:val="16"/>
          <w:szCs w:val="16"/>
        </w:rPr>
        <w:t xml:space="preserve">Population. </w:t>
      </w:r>
      <w:r>
        <w:rPr>
          <w:sz w:val="16"/>
          <w:szCs w:val="16"/>
        </w:rPr>
        <w:t xml:space="preserve">79 consecutive patients with inoperable intrahepatic cholangiocarcinoma treated with definitive-intent radiotherapy at a single institution between 2002 and 2014, median tumour size 7.9 cm (2.2 to 17), 59% stage IV, 89% having had chemotherapy first; 19 received a biologic equivalent dose above 80.5 Gy and 60 below it</w:t>
      </w:r>
    </w:p>
    <w:p>
      <w:pPr>
        <w:spacing w:after="70"/>
      </w:pPr>
      <w:r>
        <w:rPr>
          <w:b/>
          <w:bCs/>
          <w:color w:val="17365D"/>
          <w:sz w:val="16"/>
          <w:szCs w:val="16"/>
        </w:rPr>
        <w:t xml:space="preserve">Bottom line. </w:t>
      </w:r>
      <w:r>
        <w:rPr>
          <w:sz w:val="16"/>
          <w:szCs w:val="16"/>
        </w:rPr>
        <w:t xml:space="preserve">This 79-patient single-centre series is the origin of the ablative-dose argument in inoperable iCCA, reporting 3-year survival of 73% above a biologic equivalent dose of 80.5 Gy against 38% below, with dose the only independent predictor of local control and survival. It cannot separate dose from era, technique and target volume: the high-dose patients were treated after 2010 with breath-hold gating and image guidance and had significantly smaller targets. Only 19 patients received the high dose, the threshold is the cohort's own median, and local control still fell to 27% at three years.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study has the limitations inherent to any retrospective design and cannot fully account for biases a randomised study would address</w:t>
            </w:r>
          </w:p>
          <w:p>
            <w:pPr>
              <w:pStyle w:val="ListParagraph"/>
              <w:numPr>
                <w:ilvl w:val="0"/>
                <w:numId w:val="2"/>
              </w:numPr>
              <w:spacing w:after="45"/>
            </w:pPr>
            <w:r>
              <w:rPr>
                <w:sz w:val="15"/>
                <w:szCs w:val="15"/>
              </w:rPr>
              <w:t xml:space="preserve">Selection bias could have favoured patients who received higher radiation doses, although the authors state they found no evidence of it</w:t>
            </w:r>
          </w:p>
          <w:p>
            <w:pPr>
              <w:pStyle w:val="ListParagraph"/>
              <w:numPr>
                <w:ilvl w:val="0"/>
                <w:numId w:val="2"/>
              </w:numPr>
              <w:spacing w:after="45"/>
            </w:pPr>
            <w:r>
              <w:rPr>
                <w:sz w:val="15"/>
                <w:szCs w:val="15"/>
              </w:rPr>
              <w:t xml:space="preserve">Treatment-related toxicity may have been underestimated because it was captured only from the medical record</w:t>
            </w:r>
          </w:p>
          <w:p>
            <w:pPr>
              <w:pStyle w:val="ListParagraph"/>
              <w:numPr>
                <w:ilvl w:val="0"/>
                <w:numId w:val="2"/>
              </w:numPr>
              <w:spacing w:after="45"/>
            </w:pPr>
            <w:r>
              <w:rPr>
                <w:sz w:val="15"/>
                <w:szCs w:val="15"/>
              </w:rPr>
              <w:t xml:space="preserve">The variety of dose and fractionation schedules used, 35 to 100 Gy in 3 to 30 fractions, may be viewed as a limitation, which the authors defend as common in the liver literature</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dose threshold that gives the paper its title, a biologic equivalent dose of 80.5 Gy, is the median of the cohort's own dose distribution, so the comparison is a data-derived split of 19 patients against 60 rather than a prespecified threshold</w:t>
            </w:r>
          </w:p>
          <w:p>
            <w:pPr>
              <w:pStyle w:val="ListParagraph"/>
              <w:numPr>
                <w:ilvl w:val="0"/>
                <w:numId w:val="2"/>
              </w:numPr>
              <w:spacing w:after="45"/>
            </w:pPr>
            <w:r>
              <w:rPr>
                <w:sz w:val="15"/>
                <w:szCs w:val="15"/>
              </w:rPr>
              <w:t xml:space="preserve">Dose is inseparable from era and technique: the high doses arrived after 2010 together with breath-hold gating and daily diagnostic-quality CT guidance, and patients treated after 2010 survived 50 against 24 months, p = .007, which is the same signal reported twice</w:t>
            </w:r>
          </w:p>
          <w:p>
            <w:pPr>
              <w:pStyle w:val="ListParagraph"/>
              <w:numPr>
                <w:ilvl w:val="0"/>
                <w:numId w:val="2"/>
              </w:numPr>
              <w:spacing w:after="45"/>
            </w:pPr>
            <w:r>
              <w:rPr>
                <w:sz w:val="15"/>
                <w:szCs w:val="15"/>
              </w:rPr>
              <w:t xml:space="preserve">The high-dose group had significantly smaller planning target volumes, median 415 against 614 cm3, p = .02, so the patients who got more dose had more favourable anatomy, which is exactly the selection the authors say they found no evidence of</w:t>
            </w:r>
          </w:p>
          <w:p>
            <w:pPr>
              <w:pStyle w:val="ListParagraph"/>
              <w:numPr>
                <w:ilvl w:val="0"/>
                <w:numId w:val="2"/>
              </w:numPr>
              <w:spacing w:after="45"/>
            </w:pPr>
            <w:r>
              <w:rPr>
                <w:sz w:val="15"/>
                <w:szCs w:val="15"/>
              </w:rPr>
              <w:t xml:space="preserve">Survival is reported from diagnosis, median 30 months, in a cohort where 89% had chemotherapy before radiotherapy, so the clock starts before a selection step that removed everyone who progressed during chemotherapy</w:t>
            </w:r>
          </w:p>
          <w:p>
            <w:pPr>
              <w:pStyle w:val="ListParagraph"/>
              <w:numPr>
                <w:ilvl w:val="0"/>
                <w:numId w:val="2"/>
              </w:numPr>
              <w:spacing w:after="45"/>
            </w:pPr>
            <w:r>
              <w:rPr>
                <w:sz w:val="15"/>
                <w:szCs w:val="15"/>
              </w:rPr>
              <w:t xml:space="preserve">Whole-cohort local control falls from 81% at 1 year to 45% at 2 and 27% at 3, and 48% of patients had primary tumour progression with 89% of those inside the high-dose region, so the ablative claim is not supported by the cohort's own failure pattern</w:t>
            </w:r>
          </w:p>
          <w:p>
            <w:pPr>
              <w:pStyle w:val="ListParagraph"/>
              <w:numPr>
                <w:ilvl w:val="0"/>
                <w:numId w:val="2"/>
              </w:numPr>
              <w:spacing w:after="45"/>
            </w:pPr>
            <w:r>
              <w:rPr>
                <w:sz w:val="15"/>
                <w:szCs w:val="15"/>
              </w:rPr>
              <w:t xml:space="preserve">Median progression-free survival is reported as 30 months, the same as median overall survival, which is not coherent with 51% developing new intrahepatic metastases and 41% extrahepatic disease, and the definition reconciling these is not given</w:t>
            </w:r>
          </w:p>
          <w:p>
            <w:pPr>
              <w:pStyle w:val="ListParagraph"/>
              <w:numPr>
                <w:ilvl w:val="0"/>
                <w:numId w:val="2"/>
              </w:numPr>
              <w:spacing w:after="45"/>
            </w:pPr>
            <w:r>
              <w:rPr>
                <w:sz w:val="15"/>
                <w:szCs w:val="15"/>
              </w:rPr>
              <w:t xml:space="preserve">The multivariable hazard ratios for biologic equivalent dose, 0.96 (0.94-0.98) for local control and 0.97 (0.95-0.99) for survival, are per-unit-dose effects fitted to 79 patients with a dose range of 35 to 100 Gy, and tumour size, satellite lesions, performance status and CA 19-9 all came out non-significant, which in a cohort this size means the model had little power to adjust for anything</w:t>
            </w:r>
          </w:p>
          <w:p>
            <w:pPr>
              <w:pStyle w:val="ListParagraph"/>
              <w:numPr>
                <w:ilvl w:val="0"/>
                <w:numId w:val="2"/>
              </w:numPr>
              <w:spacing w:after="45"/>
            </w:pPr>
            <w:r>
              <w:rPr>
                <w:sz w:val="15"/>
                <w:szCs w:val="15"/>
              </w:rPr>
              <w:t xml:space="preserve">Toxicity is reported as no radiation-induced liver disease and no liver failure without tumour progression, a formulation that excludes the deaths most likely to be dose-related: 32 of 36 deaths with a known cause were from intrahepatic progression through biliary or vascular complications, and the paper does not separate those from radiation injury</w:t>
            </w:r>
          </w:p>
          <w:p>
            <w:pPr>
              <w:pStyle w:val="ListParagraph"/>
              <w:numPr>
                <w:ilvl w:val="0"/>
                <w:numId w:val="2"/>
              </w:numPr>
              <w:spacing w:after="45"/>
            </w:pPr>
            <w:r>
              <w:rPr>
                <w:sz w:val="15"/>
                <w:szCs w:val="15"/>
              </w:rPr>
              <w:t xml:space="preserve">9% developed biliary stenosis needing a stent at a median of 10 months and 4 of those 7 also had tumour progression, so biliary toxicity and progression are confounded in exactly the patients where dose matters</w:t>
            </w:r>
          </w:p>
          <w:p>
            <w:pPr>
              <w:pStyle w:val="ListParagraph"/>
              <w:numPr>
                <w:ilvl w:val="0"/>
                <w:numId w:val="2"/>
              </w:numPr>
              <w:spacing w:after="45"/>
            </w:pPr>
            <w:r>
              <w:rPr>
                <w:sz w:val="15"/>
                <w:szCs w:val="15"/>
              </w:rPr>
              <w:t xml:space="preserve">Single biologic equivalent dose conversion with an assumed alpha-beta ratio is used to equate 3-fraction and 30-fraction schedules; the whole dose-response analysis depends on that model and no sensitivity analysis across alpha-beta values is presented</w:t>
            </w:r>
          </w:p>
          <w:p>
            <w:pPr>
              <w:pStyle w:val="ListParagraph"/>
              <w:numPr>
                <w:ilvl w:val="0"/>
                <w:numId w:val="2"/>
              </w:numPr>
              <w:spacing w:after="45"/>
            </w:pPr>
            <w:r>
              <w:rPr>
                <w:sz w:val="15"/>
                <w:szCs w:val="15"/>
              </w:rPr>
              <w:t xml:space="preserve">59% of the cohort was stage IV, so more than half the patients had disease that no amount of local dose could control, and they are included in the survival analysis that supports dose escalation</w:t>
            </w:r>
          </w:p>
          <w:p>
            <w:pPr>
              <w:pStyle w:val="ListParagraph"/>
              <w:numPr>
                <w:ilvl w:val="0"/>
                <w:numId w:val="2"/>
              </w:numPr>
              <w:spacing w:after="45"/>
            </w:pPr>
            <w:r>
              <w:rPr>
                <w:sz w:val="15"/>
                <w:szCs w:val="15"/>
              </w:rPr>
              <w:t xml:space="preserve">Brade and Dawson's accompanying editorial (J Clin Oncol 2016;34:203-4, PMID 26644540) raises whether retrospective dose-response data in a rare cancer should change practice without a randomised trial; it was identified from the citation record and not read here</w:t>
            </w:r>
          </w:p>
        </w:tc>
      </w:tr>
    </w:tbl>
    <w:p>
      <w:pPr>
        <w:spacing w:after="0" w:line="276"/>
      </w:pPr>
      <w:r>
        <w:rPr>
          <w:color w:val="5A6069"/>
          <w:sz w:val="14"/>
          <w:szCs w:val="14"/>
        </w:rPr>
        <w:t xml:space="preserve">Funding: No funding statement in the paper; author disclosures are posted online rather than printed, and the article lists clinical trial information NCT02200042 although the analysis is retrospective</w:t>
      </w:r>
    </w:p>
    <w:p>
      <w:pPr>
        <w:keepNext/>
        <w:spacing w:after="50" w:before="260"/>
      </w:pPr>
      <w:r>
        <w:rPr>
          <w:rFonts w:ascii="Cambria" w:cs="Cambria" w:eastAsia="Cambria" w:hAnsi="Cambria"/>
          <w:b/>
          <w:bCs/>
          <w:color w:val="17365D"/>
          <w:sz w:val="20"/>
          <w:szCs w:val="20"/>
        </w:rPr>
        <w:t xml:space="preserve">TOPAZ-1</w:t>
      </w:r>
      <w:r>
        <w:rPr>
          <w:b/>
          <w:bCs/>
          <w:color w:val="176A87"/>
          <w:sz w:val="15"/>
          <w:szCs w:val="15"/>
        </w:rPr>
        <w:t xml:space="preserve">   Randomised trial</w:t>
      </w:r>
      <w:r>
        <w:rPr>
          <w:color w:val="5A6069"/>
          <w:sz w:val="15"/>
          <w:szCs w:val="15"/>
        </w:rPr>
        <w:t xml:space="preserve">   PMID 38319896</w:t>
      </w:r>
    </w:p>
    <w:p>
      <w:pPr>
        <w:spacing w:after="50" w:line="276"/>
      </w:pPr>
      <w:r>
        <w:rPr>
          <w:color w:val="5A6069"/>
          <w:sz w:val="17"/>
          <w:szCs w:val="17"/>
        </w:rPr>
        <w:t xml:space="preserve">Durvalumab plus Gemcitabine and Cisplatin in Advanced Biliary Tract Cancer</w:t>
      </w:r>
    </w:p>
    <w:p>
      <w:pPr>
        <w:spacing w:after="50"/>
      </w:pPr>
      <w:r>
        <w:rPr>
          <w:b/>
          <w:bCs/>
          <w:color w:val="176A87"/>
          <w:sz w:val="16"/>
          <w:szCs w:val="16"/>
        </w:rPr>
        <w:t xml:space="preserve">Population. </w:t>
      </w:r>
      <w:r>
        <w:rPr>
          <w:sz w:val="16"/>
          <w:szCs w:val="16"/>
        </w:rPr>
        <w:t xml:space="preserve">685 patients randomised from 914 enrolled at 105 sites in 17 countries between April 2019 and December 2020, with previously untreated advanced biliary tract cancer; 383 of 685 (55.9%) had intrahepatic cholangiocarcinoma and 86% had metastatic disease</w:t>
      </w:r>
    </w:p>
    <w:p>
      <w:pPr>
        <w:spacing w:after="70"/>
      </w:pPr>
      <w:r>
        <w:rPr>
          <w:b/>
          <w:bCs/>
          <w:color w:val="17365D"/>
          <w:sz w:val="16"/>
          <w:szCs w:val="16"/>
        </w:rPr>
        <w:t xml:space="preserve">Bottom line. </w:t>
      </w:r>
      <w:r>
        <w:rPr>
          <w:sz w:val="16"/>
          <w:szCs w:val="16"/>
        </w:rPr>
        <w:t xml:space="preserve">TOPAZ-1 is the trial that added immunotherapy to first-line gemcitabine-cisplatin in advanced biliary tract cancer, with a hazard ratio of 0.80 (0.66-0.97) and 24-month survival of 24.9% against 10.4%. The median gain is 1.3 months, the result is an interim analysis at 424 of 496 planned deaths, and the proportional hazards assumption is formally violated, so the single hazard ratio summarises a benefit that begins only after six months. With 86% metastatic disease and no predictive value from PD-L1, it says nothing about liver-confined disease or about which patients should be exposed.</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No limitations section; the authors concede in the discussion that microsatellite instability status was missing for approximately 50% of patients in each group because of insufficient tissue or an unknown result, and that only 5 of 333 evaluable patients were MSI-high, so a statistical conclusion about that subgroup cannot be drawn</w:t>
            </w:r>
          </w:p>
          <w:p>
            <w:pPr>
              <w:pStyle w:val="ListParagraph"/>
              <w:numPr>
                <w:ilvl w:val="0"/>
                <w:numId w:val="2"/>
              </w:numPr>
              <w:spacing w:after="45"/>
            </w:pPr>
            <w:r>
              <w:rPr>
                <w:sz w:val="15"/>
                <w:szCs w:val="15"/>
              </w:rPr>
              <w:t xml:space="preserve">They report that the smoothed hazard function and the log-log plot confirmed a departure from the proportional hazards assumption</w:t>
            </w:r>
          </w:p>
          <w:p>
            <w:pPr>
              <w:pStyle w:val="ListParagraph"/>
              <w:numPr>
                <w:ilvl w:val="0"/>
                <w:numId w:val="2"/>
              </w:numPr>
              <w:spacing w:after="45"/>
            </w:pPr>
            <w:r>
              <w:rPr>
                <w:sz w:val="15"/>
                <w:szCs w:val="15"/>
              </w:rPr>
              <w:t xml:space="preserve">They present the survival result as a prespecified interim analysis rather than a final one</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This is an interim analysis with 424 of the 496 planned deaths, so the reported hazard ratio is the first look that crossed its boundary, and interim estimates at a crossing boundary are systematically larger than the eventual effect</w:t>
            </w:r>
          </w:p>
          <w:p>
            <w:pPr>
              <w:pStyle w:val="ListParagraph"/>
              <w:numPr>
                <w:ilvl w:val="0"/>
                <w:numId w:val="2"/>
              </w:numPr>
              <w:spacing w:after="45"/>
            </w:pPr>
            <w:r>
              <w:rPr>
                <w:sz w:val="15"/>
                <w:szCs w:val="15"/>
              </w:rPr>
              <w:t xml:space="preserve">The absolute difference in median overall survival is 1.3 months, 12.8 against 11.5, which is within the trial's own imaging and follow-up granularity and considerably smaller than the 24-month separation the authors emphasise</w:t>
            </w:r>
          </w:p>
          <w:p>
            <w:pPr>
              <w:pStyle w:val="ListParagraph"/>
              <w:numPr>
                <w:ilvl w:val="0"/>
                <w:numId w:val="2"/>
              </w:numPr>
              <w:spacing w:after="45"/>
            </w:pPr>
            <w:r>
              <w:rPr>
                <w:sz w:val="15"/>
                <w:szCs w:val="15"/>
              </w:rPr>
              <w:t xml:space="preserve">With proportional hazards formally violated, the single hazard ratio of 0.80 that carries the registration claim describes no constant effect: the paper's own split shows 0.91 (0.66-1.26) to 6 months and 0.74 (0.58-0.94) afterwards, so early patients derive nothing</w:t>
            </w:r>
          </w:p>
          <w:p>
            <w:pPr>
              <w:pStyle w:val="ListParagraph"/>
              <w:numPr>
                <w:ilvl w:val="0"/>
                <w:numId w:val="2"/>
              </w:numPr>
              <w:spacing w:after="45"/>
            </w:pPr>
            <w:r>
              <w:rPr>
                <w:sz w:val="15"/>
                <w:szCs w:val="15"/>
              </w:rPr>
              <w:t xml:space="preserve">The 24-month survival estimates that make the result look large, 24.9% against 10.4%, have confidence intervals of 17.9-32.5 and 4.7-18.8 and come from the thinnest part of the curve at an interim cut; no numbers at risk at 24 months are given alongside them</w:t>
            </w:r>
          </w:p>
          <w:p>
            <w:pPr>
              <w:pStyle w:val="ListParagraph"/>
              <w:numPr>
                <w:ilvl w:val="0"/>
                <w:numId w:val="2"/>
              </w:numPr>
              <w:spacing w:after="45"/>
            </w:pPr>
            <w:r>
              <w:rPr>
                <w:sz w:val="15"/>
                <w:szCs w:val="15"/>
              </w:rPr>
              <w:t xml:space="preserve">PD-L1 expression did not predict benefit, 0.79 (0.61-1.00) at tumour area positivity of 1% or more against 0.86 (0.60-1.23) below, so there is no way to spare the 12.7% of patients who had immune-mediated adverse events from an exposure most will not benefit from</w:t>
            </w:r>
          </w:p>
          <w:p>
            <w:pPr>
              <w:pStyle w:val="ListParagraph"/>
              <w:numPr>
                <w:ilvl w:val="0"/>
                <w:numId w:val="2"/>
              </w:numPr>
              <w:spacing w:after="45"/>
            </w:pPr>
            <w:r>
              <w:rPr>
                <w:sz w:val="15"/>
                <w:szCs w:val="15"/>
              </w:rPr>
              <w:t xml:space="preserve">Responses were investigator-assessed with no blinded independent central review, in a trial whose response and progression-free survival results are used to support the primary claim</w:t>
            </w:r>
          </w:p>
          <w:p>
            <w:pPr>
              <w:pStyle w:val="ListParagraph"/>
              <w:numPr>
                <w:ilvl w:val="0"/>
                <w:numId w:val="2"/>
              </w:numPr>
              <w:spacing w:after="45"/>
            </w:pPr>
            <w:r>
              <w:rPr>
                <w:sz w:val="15"/>
                <w:szCs w:val="15"/>
              </w:rPr>
              <w:t xml:space="preserve">Subgroup point estimates differ substantially, 0.73 in Asia against 0.89 in the rest of the world and 0.49 in locally advanced against 0.83 in metastatic disease, with no multiplicity control and no interaction test reported, so the applicability of the headline to a Western, metastatic population is not established by this trial</w:t>
            </w:r>
          </w:p>
          <w:p>
            <w:pPr>
              <w:pStyle w:val="ListParagraph"/>
              <w:numPr>
                <w:ilvl w:val="0"/>
                <w:numId w:val="2"/>
              </w:numPr>
              <w:spacing w:after="45"/>
            </w:pPr>
            <w:r>
              <w:rPr>
                <w:sz w:val="15"/>
                <w:szCs w:val="15"/>
              </w:rPr>
              <w:t xml:space="preserve">86% of patients had metastatic disease and ampullary cancer was excluded, so the trial speaks to palliative treatment of disseminated disease and not to the liver-confined, downstaging or peri-transplant settings where the regimen is now borrowed</w:t>
            </w:r>
          </w:p>
          <w:p>
            <w:pPr>
              <w:pStyle w:val="ListParagraph"/>
              <w:numPr>
                <w:ilvl w:val="0"/>
                <w:numId w:val="2"/>
              </w:numPr>
              <w:spacing w:after="45"/>
            </w:pPr>
            <w:r>
              <w:rPr>
                <w:sz w:val="15"/>
                <w:szCs w:val="15"/>
              </w:rPr>
              <w:t xml:space="preserve">Durvalumab continued as monotherapy until progression while gemcitabine-cisplatin was capped at eight cycles in both arms, so the experimental arm receives indefinite treatment and the control arm receives nothing after cycle 8; part of the tail separation may be maintenance of any kind rather than immunotherapy specifically</w:t>
            </w:r>
          </w:p>
          <w:p>
            <w:pPr>
              <w:pStyle w:val="ListParagraph"/>
              <w:numPr>
                <w:ilvl w:val="0"/>
                <w:numId w:val="2"/>
              </w:numPr>
              <w:spacing w:after="45"/>
            </w:pPr>
            <w:r>
              <w:rPr>
                <w:sz w:val="15"/>
                <w:szCs w:val="15"/>
              </w:rPr>
              <w:t xml:space="preserve">Only 44% of the cohort had an evaluable microsatellite instability result, so the argument that a hypermutated subset is not driving the signal rests on a biomarker measured in fewer than half the patients</w:t>
            </w:r>
          </w:p>
          <w:p>
            <w:pPr>
              <w:pStyle w:val="ListParagraph"/>
              <w:numPr>
                <w:ilvl w:val="0"/>
                <w:numId w:val="2"/>
              </w:numPr>
              <w:spacing w:after="45"/>
            </w:pPr>
            <w:r>
              <w:rPr>
                <w:sz w:val="15"/>
                <w:szCs w:val="15"/>
              </w:rPr>
              <w:t xml:space="preserve">AstraZeneca sponsored the trial, collaborated on the design, collected, analysed and interpreted the data, supplied the drug and paid for the medical writing, and the sponsor vouches for the data alongside the authors; no fully independent analysis is described</w:t>
            </w:r>
          </w:p>
          <w:p>
            <w:pPr>
              <w:pStyle w:val="ListParagraph"/>
              <w:numPr>
                <w:ilvl w:val="0"/>
                <w:numId w:val="2"/>
              </w:numPr>
              <w:spacing w:after="45"/>
            </w:pPr>
            <w:r>
              <w:rPr>
                <w:sz w:val="15"/>
                <w:szCs w:val="15"/>
              </w:rPr>
              <w:t xml:space="preserve">No crossover or post-progression immunotherapy accounting is reported, so what the control arm received after progression, which determines how much of the overall survival difference is attributable to first-line durvalumab, cannot be assessed</w:t>
            </w:r>
          </w:p>
          <w:p>
            <w:pPr>
              <w:pStyle w:val="ListParagraph"/>
              <w:numPr>
                <w:ilvl w:val="0"/>
                <w:numId w:val="2"/>
              </w:numPr>
              <w:spacing w:after="45"/>
            </w:pPr>
            <w:r>
              <w:rPr>
                <w:sz w:val="15"/>
                <w:szCs w:val="15"/>
              </w:rPr>
              <w:t xml:space="preserve">No linked editorial or comment was found in PubMed for this report, so no independent published appraisal accompanies it</w:t>
            </w:r>
          </w:p>
        </w:tc>
      </w:tr>
    </w:tbl>
    <w:p>
      <w:pPr>
        <w:spacing w:after="0" w:line="276"/>
      </w:pPr>
      <w:r>
        <w:rPr>
          <w:color w:val="5A6069"/>
          <w:sz w:val="14"/>
          <w:szCs w:val="14"/>
        </w:rPr>
        <w:t xml:space="preserve">Funding: Funded by AstraZeneca, which sponsored the trial, collaborated on design and on the collection, analysis and interpretation of the data, supplied durvalumab, co-ran the analyses with PHASTAR, and funded the medical writing</w:t>
      </w:r>
    </w:p>
    <w:p>
      <w:pPr>
        <w:pStyle w:val="Heading2"/>
        <w:keepNext/>
        <w:spacing w:after="110" w:before="320"/>
      </w:pPr>
      <w:r>
        <w:rPr>
          <w:rFonts w:ascii="Cambria" w:cs="Cambria" w:eastAsia="Cambria" w:hAnsi="Cambria"/>
          <w:b/>
          <w:bCs/>
          <w:color w:val="17365D"/>
          <w:sz w:val="26"/>
          <w:szCs w:val="26"/>
        </w:rPr>
        <w:t xml:space="preserve">Sources not abstracted in full</w:t>
      </w:r>
    </w:p>
    <w:p>
      <w:pPr>
        <w:spacing w:after="120" w:line="276"/>
      </w:pPr>
      <w:r>
        <w:rPr>
          <w:i/>
          <w:iCs/>
          <w:color w:val="5A6069"/>
          <w:sz w:val="20"/>
          <w:szCs w:val="20"/>
        </w:rPr>
        <w:t xml:space="preserve">These carry no entry above. A guideline or policy document is cited for what it states rather than for a result, and a paper listed here without a PMID could not be retrieved — in either case the roadmap's claim rests on the source as quoted, not on a full-text read of it.</w:t>
      </w:r>
    </w:p>
    <w:p>
      <w:pPr>
        <w:pStyle w:val="ListParagraph"/>
        <w:numPr>
          <w:ilvl w:val="0"/>
          <w:numId w:val="2"/>
        </w:numPr>
        <w:spacing w:after="60" w:line="268"/>
      </w:pPr>
      <w:r>
        <w:rPr>
          <w:color w:val="15181F"/>
          <w:sz w:val="16"/>
          <w:szCs w:val="16"/>
        </w:rPr>
        <w:t xml:space="preserve">HOPE4LIVER one-year update — Ziemlewicz TJ, et al. HOPE4LIVER one-year update. Ann Surg. 2025. 47 patients and 52 tumours; local control 63.4% on the primary assessment versus 90% post hoc. Cited in the roadmap as evidence source [L12]; the pivotal </w:t>
      </w:r>
    </w:p>
    <w:p>
      <w:pPr>
        <w:pStyle w:val="ListParagraph"/>
        <w:numPr>
          <w:ilvl w:val="0"/>
          <w:numId w:val="2"/>
        </w:numPr>
        <w:spacing w:after="60" w:line="268"/>
      </w:pPr>
      <w:r>
        <w:rPr>
          <w:color w:val="15181F"/>
          <w:sz w:val="16"/>
          <w:szCs w:val="16"/>
        </w:rPr>
        <w:t xml:space="preserve">MH iCCA alignment worksheet — Guideline alignment worksheet — Adult intrahepatic cholangiocarcinoma. Memorial Hermann Intrahepatic Cholangiocarcinoma System Roadmap, Draft v0.6, 4 October 2026: 16 areas where the published guidelines can disagree, wi</w:t>
      </w:r>
    </w:p>
    <w:p>
      <w:pPr>
        <w:pStyle w:val="ListParagraph"/>
        <w:numPr>
          <w:ilvl w:val="0"/>
          <w:numId w:val="2"/>
        </w:numPr>
        <w:spacing w:after="60" w:line="268"/>
      </w:pPr>
      <w:r>
        <w:rPr>
          <w:color w:val="15181F"/>
          <w:sz w:val="16"/>
          <w:szCs w:val="16"/>
        </w:rPr>
        <w:t xml:space="preserve">MH iCCA roadmap v0.6 — Memorial Hermann Intrahepatic Cholangiocarcinoma System Roadmap. Multidisciplinary practice guideline and operating pathway, Draft v0.6, 4 October 2026, including the 3 October 2026 liver-directed treatment revision. Pen</w:t>
      </w:r>
    </w:p>
    <w:p>
      <w:pPr>
        <w:pStyle w:val="ListParagraph"/>
        <w:numPr>
          <w:ilvl w:val="0"/>
          <w:numId w:val="2"/>
        </w:numPr>
        <w:spacing w:after="60" w:line="268"/>
      </w:pPr>
      <w:r>
        <w:rPr>
          <w:color w:val="15181F"/>
          <w:sz w:val="16"/>
          <w:szCs w:val="16"/>
        </w:rPr>
        <w:t xml:space="preserve">NCCN BTC v1.2026 — National Comprehensive Cancer Network. Biliary Tract Cancers. NCCN Clinical Practice Guidelines in Oncology. Version 1.2026, 10 March 2026. Original PDF page locations are cited in the roadmap's NCCN decision rows (INTRA</w:t>
      </w:r>
    </w:p>
    <w:p>
      <w:pPr>
        <w:pStyle w:val="ListParagraph"/>
        <w:numPr>
          <w:ilvl w:val="0"/>
          <w:numId w:val="2"/>
        </w:numPr>
        <w:spacing w:after="60" w:line="268"/>
      </w:pPr>
      <w:r>
        <w:rPr>
          <w:color w:val="15181F"/>
          <w:sz w:val="16"/>
          <w:szCs w:val="16"/>
        </w:rPr>
        <w:t xml:space="preserve">OPTN Policy 9 — Organ Procurement and Transplantation Network. Policy 9: Allocation of Livers and Liver-Intestines. U.S. Department of Health and Human Services, HRSA. Policy 9.4.C–E, 9.5.A and 9.5.I; official policy PDF checked 1 Octob</w:t>
      </w:r>
    </w:p>
    <w:p>
      <w:pPr>
        <w:pStyle w:val="ListParagraph"/>
        <w:numPr>
          <w:ilvl w:val="0"/>
          <w:numId w:val="2"/>
        </w:numPr>
        <w:spacing w:after="60" w:line="268"/>
      </w:pPr>
      <w:r>
        <w:rPr>
          <w:color w:val="15181F"/>
          <w:sz w:val="16"/>
          <w:szCs w:val="16"/>
        </w:rPr>
        <w:t xml:space="preserve">OPTN transplant-oncology guidance — Organ Procurement and Transplantation Network, Liver and Intestinal Organ Transplantation Committee. Guidance to Liver Transplant Programs and the National Liver Review Board for: Adult MELD Exceptions for Transplant Onc</w:t>
      </w:r>
    </w:p>
    <w:p>
      <w:r>
        <w:br w:type="page"/>
      </w:r>
    </w:p>
    <w:p>
      <w:pPr>
        <w:pStyle w:val="Heading1"/>
      </w:pPr>
      <w:r>
        <w:t>HAI evidence and pathway revision | 15 October 2026</w:t>
      </w:r>
    </w:p>
    <w:p>
      <w:pPr>
        <w:pStyle w:val="Heading2"/>
      </w:pPr>
      <w:r>
        <w:t>Multicentre phase II evidence</w:t>
      </w:r>
    </w:p>
    <w:p>
      <w:r>
        <w:t>PUMP-2, a three-centre nonrandomized phase II trial, enrolled 50 patients with unresectable liver-confined iCCA: 48 started HAI, partial response was 44%, disease control at six months 84%, and 5/50 (10%) underwent resection. Median OS was 22.3 months; three-year OS 31.5%. The historical comparator does not establish superiority over contemporary chemo-immunotherapy (PMID 41082695).</w:t>
      </w:r>
    </w:p>
    <w:p>
      <w:pPr>
        <w:pStyle w:val="Heading2"/>
      </w:pPr>
      <w:r>
        <w:t>Mature pooled outcomes</w:t>
      </w:r>
    </w:p>
    <w:p>
      <w:r>
        <w:t>The pooled individual-patient analysis of four phase II iCCA trials included 142 HAI-treated patients, with or without resectable regional nodes: median OS 26 months, five-year OS 15%, and 13/142 (9%) resected. Intention-to-treat five-year OS was 14%. This reuses constituent trial patients and must not be counted as independent replication or randomized comparative evidence (PMID 42331230).</w:t>
      </w:r>
    </w:p>
    <w:p>
      <w:pPr>
        <w:pStyle w:val="Heading2"/>
      </w:pPr>
      <w:r>
        <w:t>Regional nodes and transplant separation</w:t>
      </w:r>
    </w:p>
    <w:p>
      <w:r>
        <w:t>For iCCA HAI selection, distinguish resectable regional nodes from distant extrahepatic metastases. Selected regional nodal disease was permitted in prospective HAI evidence; distant spread is outside the proposed liver-confined HAI pathway. This allowance does not extend to transplant eligibility. Document nodal basin, resectability and separate LT assessment (PMIDs 31670750, 42331230).</w:t>
      </w:r>
    </w:p>
    <w:p>
      <w:pPr>
        <w:pStyle w:val="Heading2"/>
      </w:pPr>
      <w:r>
        <w:t>Treatment position</w:t>
      </w:r>
    </w:p>
    <w:p>
      <w:r>
        <w:t>Discuss HAI early for selected unresectable liver-confined iCCA at an experienced programme, with a systemic-treatment plan and a defined reassessment for resection. HAI, Y90 and ablative RT have no established head-to-head hierarchy. HAI is a control/conversion option, not proven standalone cure or a replacement for contemporary chemo-immunotherapy. Keep separate protocol-based transplant review and existing allocation requirements.</w:t>
      </w:r>
    </w:p>
    <w:p>
      <w:pPr>
        <w:pStyle w:val="Heading2"/>
      </w:pPr>
      <w:r>
        <w:t>Programme readiness</w:t>
      </w:r>
    </w:p>
    <w:p>
      <w:r>
        <w:t>Before starting HAI, approve a named HPB surgeon with backup, medical oncologist, trained infusion nurses and pharmacy, nuclear-medicine perfusion assessment, IR rescue access, refill/maintenance coverage, liver-test monitoring and dose-hold rules, biliary-toxicity escalation and an outcomes registry. Reliable repeated visits are essential. Credentialing must cover the whole service, not pump implantation alone (PMIDs 39962001, 36346892).</w:t>
      </w:r>
    </w:p>
    <w:p>
      <w:pPr>
        <w:pStyle w:val="Heading2"/>
      </w:pPr>
      <w:r>
        <w:t>Feasibility and medication safeguards</w:t>
      </w:r>
    </w:p>
    <w:p>
      <w:r>
        <w:t>Avoid concurrent bevacizumab with HAI floxuridine because of increased biliary toxicity (PMID 24154839). Retain the broader no-concurrent-VEGF wording in the existing NCCN CRLM row. Assess hepatic reserve, portal hypertension/portal inflow, arterial anatomy, biliary obstruction or infection, prior liver radiation, operative fitness and reliable refill access. Age under 80 and lecture shunt cutoffs are centre practices, not universal evidence-based thresholds.</w:t>
      </w:r>
    </w:p>
    <w:p>
      <w:pPr>
        <w:pStyle w:val="Heading2"/>
      </w:pPr>
      <w:r>
        <w:t>Additional reference register</w:t>
      </w:r>
    </w:p>
    <w:p>
      <w:r>
        <w:t>Minimum Requirements to Safely Establish and Sustain New Hepatic Arterial Infusion Pump Programs: An International Expert Perspective. PMID 39962001. DOI 10.1245/s10434-025-17009-1.</w:t>
      </w:r>
    </w:p>
    <w:p>
      <w:r>
        <w:t>Hepatic Artery Infusion Pumps: A Surgical Toolkit for Intraoperative Decision-Making and Management of Hepatic Artery Infusion-Specific Complications. PMID 36346892. DOI 10.1097/SLA.0000000000005434.</w:t>
      </w:r>
    </w:p>
    <w:p>
      <w:r>
        <w:t>Liver Transplantation After Hepatic Artery Infusion Pump Therapy: Single-Center Experience and Technical Considerations. PMID 37210451. DOI 10.1245/s10434-023-13652-8.</w:t>
      </w:r>
    </w:p>
    <w:p>
      <w:r>
        <w:t>Hepatic Arterial Infusion Pump Chemotherapy in Patients With Unresectable Intrahepatic Cholangiocarcinoma-PUMP-2 Trial. PMID 41082695. DOI 10.1200/JCO-25-00923.</w:t>
      </w:r>
    </w:p>
    <w:p>
      <w:r>
        <w:t>Hepatic artery infusion pump chemotherapy for unresectable intrahepatic cholangiocarcinoma: Pooled individual patient-level analysis of four clinical trials. PMID 42331230. DOI 10.1016/j.jhep.2026.06.022.</w:t>
      </w:r>
    </w:p>
    <w:p>
      <w:r>
        <w:t>Floxuridine hepatic arterial infusion associated biliary toxicity is increased by concurrent administration of systemic bevacizumab. PMID 24154839. DOI 10.1245/s10434-013-3275-0.</w:t>
      </w:r>
    </w:p>
    <w:p>
      <w:r>
        <w:t>Outmani et al. Dutch PUMP randomized trial, ASCO 2026 abstract LBA3506 PMID not assigned (meeting abstract). DOI 10.1200/JCO.2026.44.17_suppl.LBA3506.</w:t>
      </w:r>
    </w:p>
    <w:p>
      <w:pPr>
        <w:pStyle w:val="Heading1"/>
        <w:widowControl/>
        <w:keepNext/>
      </w:pPr>
      <w:r>
        <w:t xml:space="preserve">References</w:t>
      </w:r>
    </w:p>
    <w:p>
      <w:pPr>
        <w:pStyle w:val="Normal"/>
        <w:widowControl/>
        <w:spacing w:after="120"/>
      </w:pPr>
      <w:r>
        <w:t xml:space="preserve"/>
      </w:r>
      <w:r>
        <w:fldChar w:fldCharType="begin"/>
      </w:r>
      <w:r>
        <w:instrText xml:space="preserve"> ADDIN EN.REFLIST </w:instrText>
      </w:r>
      <w:r>
        <w:fldChar w:fldCharType="separate"/>
      </w:r>
      <w:r>
        <w:t xml:space="preserve">[V12-1] Primrose JN; Fox RP; Palmer DH; et al. Capecitabine compared with observation in resected biliary tract cancer (BILCAP): a randomised, controlled, multicentre, phase 3 study.. The Lancet. Oncology. 2019; 20(5):663-673. </w:t>
      </w:r>
      <w:hyperlink r:id="rId77">
        <w:r>
          <w:rPr>
            <w:color w:val="0563C1"/>
            <w:u w:val="single"/>
          </w:rPr>
          <w:t>Source</w:t>
        </w:r>
      </w:hyperlink>
      <w:r>
        <w:t xml:space="preserve"> | </w:t>
      </w:r>
      <w:hyperlink r:id="rId78">
        <w:r>
          <w:rPr>
            <w:color w:val="0563C1"/>
            <w:u w:val="single"/>
          </w:rPr>
          <w:t>Full-text access</w:t>
        </w:r>
      </w:hyperlink>
    </w:p>
    <w:p>
      <w:pPr>
        <w:pStyle w:val="Normal"/>
        <w:widowControl/>
        <w:spacing w:after="120"/>
      </w:pPr>
      <w:r>
        <w:t xml:space="preserve"/>
      </w:r>
      <w:r>
        <w:t xml:space="preserve">[V12-2] Vogel A; Ducreux M; ESMO Guidelines Committee. Electronic address: clinicalguidelines@esmo.org. ESMO Clinical Practice Guideline interim update on the management of biliary tract cancer.. ESMO open. 2025; 10(1):104003. </w:t>
      </w:r>
      <w:hyperlink r:id="rId79">
        <w:r>
          <w:rPr>
            <w:color w:val="0563C1"/>
            <w:u w:val="single"/>
          </w:rPr>
          <w:t>Source</w:t>
        </w:r>
      </w:hyperlink>
      <w:r>
        <w:t xml:space="preserve"> | </w:t>
      </w:r>
      <w:hyperlink r:id="rId80">
        <w:r>
          <w:rPr>
            <w:color w:val="0563C1"/>
            <w:u w:val="single"/>
          </w:rPr>
          <w:t>Full-text access</w:t>
        </w:r>
      </w:hyperlink>
    </w:p>
    <w:p>
      <w:pPr>
        <w:pStyle w:val="Normal"/>
        <w:widowControl/>
        <w:spacing w:after="120"/>
      </w:pPr>
      <w:r>
        <w:t xml:space="preserve"/>
      </w:r>
      <w:r>
        <w:t xml:space="preserve">[V12-3] Oh DY; Ruth He A; Qin S; et al. Durvalumab plus Gemcitabine and Cisplatin in Advanced Biliary Tract Cancer.. NEJM evidence. 2022; 1(8):EVIDoa2200015. </w:t>
      </w:r>
      <w:hyperlink r:id="rId81">
        <w:r>
          <w:rPr>
            <w:color w:val="0563C1"/>
            <w:u w:val="single"/>
          </w:rPr>
          <w:t>Source</w:t>
        </w:r>
      </w:hyperlink>
      <w:r>
        <w:t xml:space="preserve"> | </w:t>
      </w:r>
      <w:hyperlink r:id="rId82">
        <w:r>
          <w:rPr>
            <w:color w:val="0563C1"/>
            <w:u w:val="single"/>
          </w:rPr>
          <w:t>Full-text access</w:t>
        </w:r>
      </w:hyperlink>
    </w:p>
    <w:p>
      <w:pPr>
        <w:pStyle w:val="Normal"/>
        <w:widowControl/>
        <w:spacing w:after="120"/>
      </w:pPr>
      <w:r>
        <w:t xml:space="preserve"/>
      </w:r>
      <w:r>
        <w:t xml:space="preserve">[V12-4] Shroff RT; Kennedy EB; Alarcon Rozas AE; et al. Treatment of Advanced Biliary Tract Cancer: ASCO Living Guideline, Version 2026.1.0.. Journal of clinical oncology : official journal of the American Society of Clinical Oncology. 2026; :101200JCO2602462. </w:t>
      </w:r>
      <w:hyperlink r:id="rId83">
        <w:r>
          <w:rPr>
            <w:color w:val="0563C1"/>
            <w:u w:val="single"/>
          </w:rPr>
          <w:t>Source</w:t>
        </w:r>
      </w:hyperlink>
      <w:r>
        <w:t xml:space="preserve"> | </w:t>
      </w:r>
      <w:hyperlink r:id="rId84">
        <w:r>
          <w:rPr>
            <w:color w:val="0563C1"/>
            <w:u w:val="single"/>
          </w:rPr>
          <w:t>Full-text access</w:t>
        </w:r>
      </w:hyperlink>
    </w:p>
    <w:p>
      <w:pPr>
        <w:pStyle w:val="Normal"/>
        <w:widowControl/>
        <w:spacing w:after="120"/>
      </w:pPr>
      <w:r>
        <w:t xml:space="preserve"/>
      </w:r>
      <w:r>
        <w:t xml:space="preserve">[V12-5] Kelley RK; Ueno M; Yoo C; et al. Pembrolizumab in combination with gemcitabine and cisplatin compared with gemcitabine and cisplatin alone for patients with advanced biliary tract cancer (KEYNOTE-966): a randomised, double-blind, placebo-controlled, phase 3 trial.. Lancet (London, England). 2023; 401(10391):1853-1865. </w:t>
      </w:r>
      <w:hyperlink r:id="rId85">
        <w:r>
          <w:rPr>
            <w:color w:val="0563C1"/>
            <w:u w:val="single"/>
          </w:rPr>
          <w:t>Source</w:t>
        </w:r>
      </w:hyperlink>
      <w:r>
        <w:t xml:space="preserve"> | </w:t>
      </w:r>
      <w:hyperlink r:id="rId86">
        <w:r>
          <w:rPr>
            <w:color w:val="0563C1"/>
            <w:u w:val="single"/>
          </w:rPr>
          <w:t>Full-text access</w:t>
        </w:r>
      </w:hyperlink>
    </w:p>
    <w:p>
      <w:pPr>
        <w:pStyle w:val="Normal"/>
        <w:widowControl/>
        <w:spacing w:after="120"/>
      </w:pPr>
      <w:r>
        <w:t xml:space="preserve"/>
      </w:r>
      <w:r>
        <w:t xml:space="preserve">[V12-6] Valle J; Wasan H; Palmer DH; et al. Cisplatin plus gemcitabine versus gemcitabine for biliary tract cancer.. The New England journal of medicine. 2010; 362(14):1273-81. </w:t>
      </w:r>
      <w:hyperlink r:id="rId87">
        <w:r>
          <w:rPr>
            <w:color w:val="0563C1"/>
            <w:u w:val="single"/>
          </w:rPr>
          <w:t>Source</w:t>
        </w:r>
      </w:hyperlink>
      <w:r>
        <w:t xml:space="preserve"> | </w:t>
      </w:r>
      <w:hyperlink r:id="rId88">
        <w:r>
          <w:rPr>
            <w:color w:val="0563C1"/>
            <w:u w:val="single"/>
          </w:rPr>
          <w:t>Full-text access</w:t>
        </w:r>
      </w:hyperlink>
    </w:p>
    <w:p>
      <w:pPr>
        <w:pStyle w:val="Normal"/>
        <w:widowControl/>
        <w:spacing w:after="120"/>
      </w:pPr>
      <w:r>
        <w:t xml:space="preserve"/>
      </w:r>
      <w:r>
        <w:t xml:space="preserve">[V12-7] Lamarca A; Palmer DH; Wasan HS; et al. Second-line FOLFOX chemotherapy versus active symptom control for advanced biliary tract cancer (ABC-06): a phase 3, open-label, randomised, controlled trial.. The Lancet. Oncology. 2021; 22(5):690-701. </w:t>
      </w:r>
      <w:hyperlink r:id="rId89">
        <w:r>
          <w:rPr>
            <w:color w:val="0563C1"/>
            <w:u w:val="single"/>
          </w:rPr>
          <w:t>Source</w:t>
        </w:r>
      </w:hyperlink>
      <w:r>
        <w:t xml:space="preserve"> | </w:t>
      </w:r>
      <w:hyperlink r:id="rId90">
        <w:r>
          <w:rPr>
            <w:color w:val="0563C1"/>
            <w:u w:val="single"/>
          </w:rPr>
          <w:t>Full-text access</w:t>
        </w:r>
      </w:hyperlink>
    </w:p>
    <w:p>
      <w:pPr>
        <w:pStyle w:val="Normal"/>
        <w:widowControl/>
        <w:spacing w:after="120"/>
      </w:pPr>
      <w:r>
        <w:t xml:space="preserve"/>
      </w:r>
      <w:r>
        <w:t xml:space="preserve">[V12-8] Vogel A; Saborowski A; Wenzel P; et al. Nanoliposomal irinotecan and fluorouracil plus leucovorin versus fluorouracil plus leucovorin in patients with cholangiocarcinoma and gallbladder carcinoma previously treated with gemcitabine-based therapies (AIO NALIRICC): a multicentre, open-label, randomised, phase 2 trial. The lancet. Gastroenterology &amp; hepatology. 2024; 9(8):734-744. </w:t>
      </w:r>
      <w:hyperlink r:id="rId91">
        <w:r>
          <w:rPr>
            <w:color w:val="0563C1"/>
            <w:u w:val="single"/>
          </w:rPr>
          <w:t>Source</w:t>
        </w:r>
      </w:hyperlink>
      <w:r>
        <w:t xml:space="preserve"> | </w:t>
      </w:r>
      <w:hyperlink r:id="rId92">
        <w:r>
          <w:rPr>
            <w:color w:val="0563C1"/>
            <w:u w:val="single"/>
          </w:rPr>
          <w:t>Full-text access</w:t>
        </w:r>
      </w:hyperlink>
    </w:p>
    <w:p>
      <w:pPr>
        <w:pStyle w:val="Normal"/>
        <w:widowControl/>
        <w:spacing w:after="120"/>
      </w:pPr>
      <w:r>
        <w:t xml:space="preserve"/>
      </w:r>
      <w:r>
        <w:t xml:space="preserve">[V12-9] Vogel A; Sahai V; Hollebecque A; et al. An open-label study of pemigatinib in cholangiocarcinoma: final results from FIGHT-202.. ESMO open. 2024; 9(6):103488. </w:t>
      </w:r>
      <w:hyperlink r:id="rId93">
        <w:r>
          <w:rPr>
            <w:color w:val="0563C1"/>
            <w:u w:val="single"/>
          </w:rPr>
          <w:t>Source</w:t>
        </w:r>
      </w:hyperlink>
      <w:r>
        <w:t xml:space="preserve"> | </w:t>
      </w:r>
      <w:hyperlink r:id="rId94">
        <w:r>
          <w:rPr>
            <w:color w:val="0563C1"/>
            <w:u w:val="single"/>
          </w:rPr>
          <w:t>Full-text access</w:t>
        </w:r>
      </w:hyperlink>
    </w:p>
    <w:p>
      <w:pPr>
        <w:pStyle w:val="Normal"/>
        <w:widowControl/>
        <w:spacing w:after="120"/>
      </w:pPr>
      <w:r>
        <w:t xml:space="preserve"/>
      </w:r>
      <w:r>
        <w:t xml:space="preserve">[V12-10] Goyal L; Meric-Bernstam F; Hollebecque A; et al. Futibatinib for FGFR2-Rearranged Intrahepatic Cholangiocarcinoma.. The New England journal of medicine. 2023; 388(3):228-239. </w:t>
      </w:r>
      <w:hyperlink r:id="rId95">
        <w:r>
          <w:rPr>
            <w:color w:val="0563C1"/>
            <w:u w:val="single"/>
          </w:rPr>
          <w:t>Source</w:t>
        </w:r>
      </w:hyperlink>
      <w:r>
        <w:t xml:space="preserve"> | </w:t>
      </w:r>
      <w:hyperlink r:id="rId96">
        <w:r>
          <w:rPr>
            <w:color w:val="0563C1"/>
            <w:u w:val="single"/>
          </w:rPr>
          <w:t>Full-text access</w:t>
        </w:r>
      </w:hyperlink>
    </w:p>
    <w:p>
      <w:pPr>
        <w:pStyle w:val="Normal"/>
        <w:widowControl/>
        <w:spacing w:after="120"/>
      </w:pPr>
      <w:r>
        <w:t xml:space="preserve"/>
      </w:r>
      <w:r>
        <w:t xml:space="preserve">[V12-11] Zhu AX; Macarulla T; Javle MM; et al. Final Overall Survival Efficacy Results of Ivosidenib for Patients With Advanced Cholangiocarcinoma With IDH1 Mutation: The Phase 3 Randomized Clinical ClarIDHy Trial.. JAMA oncology. 2021; 7(11):1669-1677. </w:t>
      </w:r>
      <w:hyperlink r:id="rId97">
        <w:r>
          <w:rPr>
            <w:color w:val="0563C1"/>
            <w:u w:val="single"/>
          </w:rPr>
          <w:t>Source</w:t>
        </w:r>
      </w:hyperlink>
      <w:r>
        <w:t xml:space="preserve"> | </w:t>
      </w:r>
      <w:hyperlink r:id="rId98">
        <w:r>
          <w:rPr>
            <w:color w:val="0563C1"/>
            <w:u w:val="single"/>
          </w:rPr>
          <w:t>Full-text access</w:t>
        </w:r>
      </w:hyperlink>
    </w:p>
    <w:p>
      <w:pPr>
        <w:pStyle w:val="Normal"/>
        <w:widowControl/>
        <w:spacing w:after="120"/>
      </w:pPr>
      <w:r>
        <w:t xml:space="preserve"/>
      </w:r>
      <w:r>
        <w:t xml:space="preserve">[V12-12] Subbiah V; Lassen U; Élez E; et al. Dabrafenib plus trametinib in patients with BRAF(V600E)-mutated biliary tract cancer (ROAR): a phase 2, open-label, single-arm, multicentre basket trial.. The Lancet. Oncology. 2020; 21(9):1234-1243. </w:t>
      </w:r>
      <w:hyperlink r:id="rId99">
        <w:r>
          <w:rPr>
            <w:color w:val="0563C1"/>
            <w:u w:val="single"/>
          </w:rPr>
          <w:t>Source</w:t>
        </w:r>
      </w:hyperlink>
      <w:r>
        <w:t xml:space="preserve"> | </w:t>
      </w:r>
      <w:hyperlink r:id="rId100">
        <w:r>
          <w:rPr>
            <w:color w:val="0563C1"/>
            <w:u w:val="single"/>
          </w:rPr>
          <w:t>Full-text access</w:t>
        </w:r>
      </w:hyperlink>
    </w:p>
    <w:p>
      <w:pPr>
        <w:pStyle w:val="Normal"/>
        <w:widowControl/>
        <w:spacing w:after="120"/>
      </w:pPr>
      <w:r>
        <w:t xml:space="preserve"/>
      </w:r>
      <w:r>
        <w:t xml:space="preserve">[V12-13] US Food and Drug Administration. FDA grants accelerated approval to zanidatamab hrii for previously treated unresectable or metastatic HER2 positive biliary tract cancer. FDA approval announcement. 2024. </w:t>
      </w:r>
      <w:hyperlink r:id="rId101">
        <w:r>
          <w:rPr>
            <w:color w:val="0563C1"/>
            <w:u w:val="single"/>
          </w:rPr>
          <w:t>Source</w:t>
        </w:r>
      </w:hyperlink>
      <w:r>
        <w:t xml:space="preserve"> | Local PDF not available in this update</w:t>
      </w:r>
    </w:p>
    <w:p>
      <w:pPr>
        <w:pStyle w:val="Normal"/>
        <w:widowControl/>
        <w:spacing w:after="120"/>
      </w:pPr>
      <w:r>
        <w:t xml:space="preserve"/>
      </w:r>
      <w:r>
        <w:t xml:space="preserve">[V12-14] US Food and Drug Administration. FDA approves zenocutuzumab zbco for advanced unresectable or metastatic cholangiocarcinoma. FDA approval announcement. 2026. </w:t>
      </w:r>
      <w:hyperlink r:id="rId102">
        <w:r>
          <w:rPr>
            <w:color w:val="0563C1"/>
            <w:u w:val="single"/>
          </w:rPr>
          <w:t>Source</w:t>
        </w:r>
      </w:hyperlink>
      <w:r>
        <w:t xml:space="preserve"> | Local PDF not available in this update</w:t>
      </w:r>
    </w:p>
    <w:p>
      <w:pPr>
        <w:pStyle w:val="Normal"/>
        <w:widowControl/>
        <w:spacing w:after="120"/>
      </w:pPr>
      <w:r>
        <w:t xml:space="preserve"/>
      </w:r>
      <w:r>
        <w:t xml:space="preserve">[V12-15] Kobayashi S; Terashima T; Shiba S; et al. Multicenter retrospective analysis of systemic chemotherapy for unresectable combined hepatocellular and cholangiocarcinoma.. Cancer science. 2018; 109(8):2549-2557. </w:t>
      </w:r>
      <w:hyperlink r:id="rId103">
        <w:r>
          <w:rPr>
            <w:color w:val="0563C1"/>
            <w:u w:val="single"/>
          </w:rPr>
          <w:t>Source</w:t>
        </w:r>
      </w:hyperlink>
      <w:r>
        <w:t xml:space="preserve"> | </w:t>
      </w:r>
      <w:hyperlink r:id="rId104">
        <w:r>
          <w:rPr>
            <w:color w:val="0563C1"/>
            <w:u w:val="single"/>
          </w:rPr>
          <w:t>Full-text access</w:t>
        </w:r>
      </w:hyperlink>
      <w:r>
        <w:fldChar w:fldCharType="end"/>
      </w:r>
    </w:p>
    <w:p>
      <w:pPr>
        <w:pStyle w:val="Heading1"/>
        <w:widowControl/>
        <w:keepNext/>
      </w:pPr>
      <w:r>
        <w:t xml:space="preserve">V12 revision note</w:t>
      </w:r>
    </w:p>
    <w:p>
      <w:pPr>
        <w:pStyle w:val="Normal"/>
        <w:widowControl/>
        <w:spacing w:after="120"/>
      </w:pPr>
      <w:r>
        <w:t xml:space="preserve">2026-10-25 04:38 CDT. Problem and correction: Add/update the tumor-specific systemic matrix and full-text appraisals with point-of-use source/PDF links. Preserve ordinary balanced LRT treatment of RASER/LEGACY and existing surgical context. Systemic disease control is not proof of transplant benefit. Preserve the route-specific histology, liver-only status, unresectability and observation gates. A cHCC-CCA component changes the evidence base; use expert pathology review.</w:t>
      </w:r>
    </w:p>
    <w:p>
      <w:pPr>
        <w:pStyle w:val="Normal"/>
        <w:widowControl/>
        <w:spacing w:after="120"/>
      </w:pPr>
      <w:r>
        <w:t xml:space="preserve">Review scope: all pages of the 14 newly supplied main PDFs were read; separately linked supplements and every older retained reference were not reread. Existing formatting and prior material are retained. New clinical proposals remain OPEN. Live EndNote field structures and document-specific XML/RIS exports are included; native Word/EndNote CWYW execution has not been verified.</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5A6069"/>
        <w:sz w:val="15"/>
        <w:szCs w:val="15"/>
      </w:rPr>
      <w:t xml:space="preserve">Memorial Hermann iCCA system roadmap V12 · Batch 09, 15 October 2026 · draft, not ratified	</w:t>
    </w:r>
    <w:r>
      <w:rPr>
        <w:sz w:val="15"/>
        <w:szCs w:val="15"/>
      </w:rPr>
      <w:t xml:space="preserve"/>
    </w:r>
    <w:r>
      <w:rPr>
        <w:color w:val="5A6069"/>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lvl w:ilvl="1" w15:tentative="1">
      <w:start w:val="1"/>
      <w:numFmt w:val="bullet"/>
      <w:lvlText w:val="–"/>
      <w:lvlJc w:val="left"/>
      <w:pPr>
        <w:ind w:left="720" w:hanging="200"/>
      </w:pPr>
    </w:lvl>
  </w:abstractNum>
  <w:abstractNum w:abstractNumId="3"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abstractNum w:abstractNumId="4">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3">
    <w:abstractNumId w:val="4"/>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5181F"/>
        <w:sz w:val="20"/>
        <w:szCs w:val="20"/>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mbria" w:cs="Cambria" w:eastAsia="Cambria" w:hAnsi="Cambria"/>
      <w:b/>
      <w:bCs/>
      <w:color w:val="17365D"/>
      <w:sz w:val="32"/>
      <w:szCs w:val="32"/>
    </w:rPr>
  </w:style>
  <w:style w:type="paragraph" w:styleId="Heading2">
    <w:name w:val="Heading 2"/>
    <w:basedOn w:val="Normal"/>
    <w:next w:val="Normal"/>
    <w:qFormat/>
    <w:rPr>
      <w:rFonts w:ascii="Cambria" w:cs="Cambria" w:eastAsia="Cambria" w:hAnsi="Cambria"/>
      <w:b/>
      <w:bCs/>
      <w:color w:val="17365D"/>
      <w:sz w:val="26"/>
      <w:szCs w:val="26"/>
    </w:rPr>
  </w:style>
  <w:style w:type="paragraph" w:styleId="Heading3">
    <w:name w:val="Heading 3"/>
    <w:basedOn w:val="Normal"/>
    <w:next w:val="Normal"/>
    <w:qFormat/>
    <w:rPr>
      <w:rFonts w:ascii="Cambria" w:cs="Cambria" w:eastAsia="Cambria" w:hAnsi="Cambria"/>
      <w:b/>
      <w:bCs/>
      <w:color w:val="17365D"/>
      <w:sz w:val="22"/>
      <w:szCs w:val="22"/>
    </w:rPr>
  </w:style>
  <w:style w:type="paragraph" w:styleId="Heading4">
    <w:name w:val="Heading 4"/>
    <w:basedOn w:val="Normal"/>
    <w:next w:val="Normal"/>
    <w:qFormat/>
    <w:rPr>
      <w:rFonts w:ascii="Calibri" w:cs="Calibri" w:eastAsia="Calibri" w:hAnsi="Calibri"/>
      <w:b/>
      <w:bCs/>
      <w:color w:val="176A87"/>
      <w:sz w:val="20"/>
      <w:szCs w:val="20"/>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customStyle="1" w:styleId="Heading1">
    <w:name w:val="heading 1"/>
    <w:pPr>
      <w:keepNext/>
    </w:pPr>
    <w:rPr>
      <w:rFonts w:ascii="Arial" w:hAnsi="Arial"/>
      <w:b/>
      <w:sz w:val="36"/>
    </w:rPr>
  </w:style>
  <w:style w:type="paragraph" w:customStyle="1" w:styleId="Heading2">
    <w:name w:val="heading 2"/>
    <w:pPr>
      <w:keepNext/>
    </w:pPr>
    <w:rPr>
      <w:rFonts w:ascii="Arial" w:hAnsi="Arial"/>
      <w:b/>
      <w:sz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 Id="rId9" Type="http://schemas.openxmlformats.org/officeDocument/2006/relationships/hyperlink" Target="https://doi.org/10.1016/S1470-2045(18)30915-X" TargetMode="External"/><Relationship Id="rId10" Type="http://schemas.openxmlformats.org/officeDocument/2006/relationships/hyperlink" Target="https://libkey.io/libraries/480/10.1016/S1470-2045(18)30915-X" TargetMode="External"/><Relationship Id="rId11" Type="http://schemas.openxmlformats.org/officeDocument/2006/relationships/hyperlink" Target="https://doi.org/10.1016/j.esmoop.2024.104003" TargetMode="External"/><Relationship Id="rId12" Type="http://schemas.openxmlformats.org/officeDocument/2006/relationships/hyperlink" Target="https://libkey.io/libraries/480/10.1016/j.esmoop.2024.104003" TargetMode="External"/><Relationship Id="rId13" Type="http://schemas.openxmlformats.org/officeDocument/2006/relationships/hyperlink" Target="https://doi.org/10.1056/EVIDoa2200015" TargetMode="External"/><Relationship Id="rId14" Type="http://schemas.openxmlformats.org/officeDocument/2006/relationships/hyperlink" Target="https://libkey.io/libraries/480/10.1056/EVIDoa2200015" TargetMode="External"/><Relationship Id="rId15" Type="http://schemas.openxmlformats.org/officeDocument/2006/relationships/hyperlink" Target="https://doi.org/10.1016/j.esmoop.2024.104003" TargetMode="External"/><Relationship Id="rId16" Type="http://schemas.openxmlformats.org/officeDocument/2006/relationships/hyperlink" Target="https://libkey.io/libraries/480/10.1016/j.esmoop.2024.104003" TargetMode="External"/><Relationship Id="rId17" Type="http://schemas.openxmlformats.org/officeDocument/2006/relationships/hyperlink" Target="https://doi.org/10.1200/JCO-26-02462" TargetMode="External"/><Relationship Id="rId18" Type="http://schemas.openxmlformats.org/officeDocument/2006/relationships/hyperlink" Target="https://libkey.io/libraries/480/10.1200/JCO-26-02462" TargetMode="External"/><Relationship Id="rId19" Type="http://schemas.openxmlformats.org/officeDocument/2006/relationships/hyperlink" Target="https://doi.org/10.1016/S0140-6736(23)00727-4" TargetMode="External"/><Relationship Id="rId20" Type="http://schemas.openxmlformats.org/officeDocument/2006/relationships/hyperlink" Target="https://libkey.io/libraries/480/10.1016/S0140-6736(23)00727-4" TargetMode="External"/><Relationship Id="rId21" Type="http://schemas.openxmlformats.org/officeDocument/2006/relationships/hyperlink" Target="https://doi.org/10.1016/j.esmoop.2024.104003" TargetMode="External"/><Relationship Id="rId22" Type="http://schemas.openxmlformats.org/officeDocument/2006/relationships/hyperlink" Target="https://libkey.io/libraries/480/10.1016/j.esmoop.2024.104003" TargetMode="External"/><Relationship Id="rId23" Type="http://schemas.openxmlformats.org/officeDocument/2006/relationships/hyperlink" Target="https://doi.org/10.1200/JCO-26-02462" TargetMode="External"/><Relationship Id="rId24" Type="http://schemas.openxmlformats.org/officeDocument/2006/relationships/hyperlink" Target="https://libkey.io/libraries/480/10.1200/JCO-26-02462" TargetMode="External"/><Relationship Id="rId25" Type="http://schemas.openxmlformats.org/officeDocument/2006/relationships/hyperlink" Target="https://doi.org/10.1056/NEJMoa0908721" TargetMode="External"/><Relationship Id="rId26" Type="http://schemas.openxmlformats.org/officeDocument/2006/relationships/hyperlink" Target="https://libkey.io/libraries/480/10.1056/NEJMoa0908721" TargetMode="External"/><Relationship Id="rId27" Type="http://schemas.openxmlformats.org/officeDocument/2006/relationships/hyperlink" Target="https://doi.org/10.1016/j.esmoop.2024.104003" TargetMode="External"/><Relationship Id="rId28" Type="http://schemas.openxmlformats.org/officeDocument/2006/relationships/hyperlink" Target="https://libkey.io/libraries/480/10.1016/j.esmoop.2024.104003" TargetMode="External"/><Relationship Id="rId29" Type="http://schemas.openxmlformats.org/officeDocument/2006/relationships/hyperlink" Target="https://doi.org/10.1200/JCO-26-02462" TargetMode="External"/><Relationship Id="rId30" Type="http://schemas.openxmlformats.org/officeDocument/2006/relationships/hyperlink" Target="https://libkey.io/libraries/480/10.1200/JCO-26-02462" TargetMode="External"/><Relationship Id="rId31" Type="http://schemas.openxmlformats.org/officeDocument/2006/relationships/hyperlink" Target="https://doi.org/10.1016/S1470-2045(21)00027-9" TargetMode="External"/><Relationship Id="rId32" Type="http://schemas.openxmlformats.org/officeDocument/2006/relationships/hyperlink" Target="https://libkey.io/libraries/480/10.1016/S1470-2045(21)00027-9" TargetMode="External"/><Relationship Id="rId33" Type="http://schemas.openxmlformats.org/officeDocument/2006/relationships/hyperlink" Target="https://doi.org/10.1200/JCO-26-02462" TargetMode="External"/><Relationship Id="rId34" Type="http://schemas.openxmlformats.org/officeDocument/2006/relationships/hyperlink" Target="https://libkey.io/libraries/480/10.1200/JCO-26-02462" TargetMode="External"/><Relationship Id="rId35" Type="http://schemas.openxmlformats.org/officeDocument/2006/relationships/hyperlink" Target="https://doi.org/10.1016/j.esmoop.2024.104003" TargetMode="External"/><Relationship Id="rId36" Type="http://schemas.openxmlformats.org/officeDocument/2006/relationships/hyperlink" Target="https://libkey.io/libraries/480/10.1016/j.esmoop.2024.104003" TargetMode="External"/><Relationship Id="rId37" Type="http://schemas.openxmlformats.org/officeDocument/2006/relationships/hyperlink" Target="https://doi.org/10.1016/S2468-1253(24)00119-5" TargetMode="External"/><Relationship Id="rId38" Type="http://schemas.openxmlformats.org/officeDocument/2006/relationships/hyperlink" Target="https://libkey.io/libraries/480/10.1016/S2468-1253(24)00119-5" TargetMode="External"/><Relationship Id="rId39" Type="http://schemas.openxmlformats.org/officeDocument/2006/relationships/hyperlink" Target="https://doi.org/10.1200/JCO-26-02462" TargetMode="External"/><Relationship Id="rId40" Type="http://schemas.openxmlformats.org/officeDocument/2006/relationships/hyperlink" Target="https://libkey.io/libraries/480/10.1200/JCO-26-02462" TargetMode="External"/><Relationship Id="rId41" Type="http://schemas.openxmlformats.org/officeDocument/2006/relationships/hyperlink" Target="https://doi.org/10.1016/j.esmoop.2024.103488" TargetMode="External"/><Relationship Id="rId42" Type="http://schemas.openxmlformats.org/officeDocument/2006/relationships/hyperlink" Target="https://libkey.io/libraries/480/10.1016/j.esmoop.2024.103488" TargetMode="External"/><Relationship Id="rId43" Type="http://schemas.openxmlformats.org/officeDocument/2006/relationships/hyperlink" Target="https://doi.org/10.1056/NEJMoa2206834" TargetMode="External"/><Relationship Id="rId44" Type="http://schemas.openxmlformats.org/officeDocument/2006/relationships/hyperlink" Target="https://libkey.io/libraries/480/10.1056/NEJMoa2206834" TargetMode="External"/><Relationship Id="rId45" Type="http://schemas.openxmlformats.org/officeDocument/2006/relationships/hyperlink" Target="https://doi.org/10.1200/JCO-26-02462" TargetMode="External"/><Relationship Id="rId46" Type="http://schemas.openxmlformats.org/officeDocument/2006/relationships/hyperlink" Target="https://libkey.io/libraries/480/10.1200/JCO-26-02462" TargetMode="External"/><Relationship Id="rId47" Type="http://schemas.openxmlformats.org/officeDocument/2006/relationships/hyperlink" Target="https://doi.org/10.1001/jamaoncol.2021.3836" TargetMode="External"/><Relationship Id="rId48" Type="http://schemas.openxmlformats.org/officeDocument/2006/relationships/hyperlink" Target="https://libkey.io/libraries/480/10.1001/jamaoncol.2021.3836" TargetMode="External"/><Relationship Id="rId49" Type="http://schemas.openxmlformats.org/officeDocument/2006/relationships/hyperlink" Target="https://doi.org/10.1016/j.esmoop.2024.104003" TargetMode="External"/><Relationship Id="rId50" Type="http://schemas.openxmlformats.org/officeDocument/2006/relationships/hyperlink" Target="https://libkey.io/libraries/480/10.1016/j.esmoop.2024.104003" TargetMode="External"/><Relationship Id="rId51" Type="http://schemas.openxmlformats.org/officeDocument/2006/relationships/hyperlink" Target="https://doi.org/10.1200/JCO-26-02462" TargetMode="External"/><Relationship Id="rId52" Type="http://schemas.openxmlformats.org/officeDocument/2006/relationships/hyperlink" Target="https://libkey.io/libraries/480/10.1200/JCO-26-02462" TargetMode="External"/><Relationship Id="rId53" Type="http://schemas.openxmlformats.org/officeDocument/2006/relationships/hyperlink" Target="https://doi.org/10.1016/S1470-2045(20)30321-1" TargetMode="External"/><Relationship Id="rId54" Type="http://schemas.openxmlformats.org/officeDocument/2006/relationships/hyperlink" Target="https://libkey.io/libraries/480/10.1016/S1470-2045(20)30321-1" TargetMode="External"/><Relationship Id="rId55" Type="http://schemas.openxmlformats.org/officeDocument/2006/relationships/hyperlink" Target="https://doi.org/10.1016/j.esmoop.2024.104003" TargetMode="External"/><Relationship Id="rId56" Type="http://schemas.openxmlformats.org/officeDocument/2006/relationships/hyperlink" Target="https://libkey.io/libraries/480/10.1016/j.esmoop.2024.104003" TargetMode="External"/><Relationship Id="rId57" Type="http://schemas.openxmlformats.org/officeDocument/2006/relationships/hyperlink" Target="https://doi.org/10.1200/JCO-26-02462" TargetMode="External"/><Relationship Id="rId58" Type="http://schemas.openxmlformats.org/officeDocument/2006/relationships/hyperlink" Target="https://libkey.io/libraries/480/10.1200/JCO-26-02462" TargetMode="External"/><Relationship Id="rId59" Type="http://schemas.openxmlformats.org/officeDocument/2006/relationships/hyperlink" Target="https://www.fda.gov/drugs/resources-information-approved-drugs/fda-grants-accelerated-approval-zanidatamab-hrii-previously-treated-unresectable-or-metastatic-her2" TargetMode="External"/><Relationship Id="rId60" Type="http://schemas.openxmlformats.org/officeDocument/2006/relationships/hyperlink" Target="https://doi.org/10.1016/j.esmoop.2024.104003" TargetMode="External"/><Relationship Id="rId61" Type="http://schemas.openxmlformats.org/officeDocument/2006/relationships/hyperlink" Target="https://libkey.io/libraries/480/10.1016/j.esmoop.2024.104003" TargetMode="External"/><Relationship Id="rId62" Type="http://schemas.openxmlformats.org/officeDocument/2006/relationships/hyperlink" Target="https://doi.org/10.1200/JCO-26-02462" TargetMode="External"/><Relationship Id="rId63" Type="http://schemas.openxmlformats.org/officeDocument/2006/relationships/hyperlink" Target="https://libkey.io/libraries/480/10.1200/JCO-26-02462" TargetMode="External"/><Relationship Id="rId64" Type="http://schemas.openxmlformats.org/officeDocument/2006/relationships/hyperlink" Target="https://www.fda.gov/drugs/resources-information-approved-drugs/fda-approves-zenocutuzumab-zbco-advanced-unresectable-or-metastatic-cholangiocarcinoma" TargetMode="External"/><Relationship Id="rId65" Type="http://schemas.openxmlformats.org/officeDocument/2006/relationships/hyperlink" Target="https://doi.org/10.1200/JCO-26-02462" TargetMode="External"/><Relationship Id="rId66" Type="http://schemas.openxmlformats.org/officeDocument/2006/relationships/hyperlink" Target="https://libkey.io/libraries/480/10.1200/JCO-26-02462" TargetMode="External"/><Relationship Id="rId67" Type="http://schemas.openxmlformats.org/officeDocument/2006/relationships/hyperlink" Target="https://doi.org/10.1200/JCO-26-02462" TargetMode="External"/><Relationship Id="rId68" Type="http://schemas.openxmlformats.org/officeDocument/2006/relationships/hyperlink" Target="https://libkey.io/libraries/480/10.1200/JCO-26-02462" TargetMode="External"/><Relationship Id="rId69" Type="http://schemas.openxmlformats.org/officeDocument/2006/relationships/hyperlink" Target="https://doi.org/10.1016/j.esmoop.2024.104003" TargetMode="External"/><Relationship Id="rId70" Type="http://schemas.openxmlformats.org/officeDocument/2006/relationships/hyperlink" Target="https://libkey.io/libraries/480/10.1016/j.esmoop.2024.104003" TargetMode="External"/><Relationship Id="rId71" Type="http://schemas.openxmlformats.org/officeDocument/2006/relationships/hyperlink" Target="https://doi.org/10.1200/JCO-26-02462" TargetMode="External"/><Relationship Id="rId72" Type="http://schemas.openxmlformats.org/officeDocument/2006/relationships/hyperlink" Target="https://libkey.io/libraries/480/10.1200/JCO-26-02462" TargetMode="External"/><Relationship Id="rId73" Type="http://schemas.openxmlformats.org/officeDocument/2006/relationships/hyperlink" Target="https://doi.org/10.1016/S2468-1253(24)00119-5" TargetMode="External"/><Relationship Id="rId74" Type="http://schemas.openxmlformats.org/officeDocument/2006/relationships/hyperlink" Target="https://libkey.io/libraries/480/10.1016/S2468-1253(24)00119-5" TargetMode="External"/><Relationship Id="rId75" Type="http://schemas.openxmlformats.org/officeDocument/2006/relationships/hyperlink" Target="https://doi.org/10.1111/cas.13656" TargetMode="External"/><Relationship Id="rId76" Type="http://schemas.openxmlformats.org/officeDocument/2006/relationships/hyperlink" Target="https://libkey.io/libraries/480/10.1111/cas.13656" TargetMode="External"/><Relationship Id="rId77" Type="http://schemas.openxmlformats.org/officeDocument/2006/relationships/hyperlink" Target="https://doi.org/10.1016/S1470-2045(18)30915-X" TargetMode="External"/><Relationship Id="rId78" Type="http://schemas.openxmlformats.org/officeDocument/2006/relationships/hyperlink" Target="https://libkey.io/libraries/480/10.1016/S1470-2045(18)30915-X" TargetMode="External"/><Relationship Id="rId79" Type="http://schemas.openxmlformats.org/officeDocument/2006/relationships/hyperlink" Target="https://doi.org/10.1016/j.esmoop.2024.104003" TargetMode="External"/><Relationship Id="rId80" Type="http://schemas.openxmlformats.org/officeDocument/2006/relationships/hyperlink" Target="https://libkey.io/libraries/480/10.1016/j.esmoop.2024.104003" TargetMode="External"/><Relationship Id="rId81" Type="http://schemas.openxmlformats.org/officeDocument/2006/relationships/hyperlink" Target="https://doi.org/10.1056/EVIDoa2200015" TargetMode="External"/><Relationship Id="rId82" Type="http://schemas.openxmlformats.org/officeDocument/2006/relationships/hyperlink" Target="https://libkey.io/libraries/480/10.1056/EVIDoa2200015" TargetMode="External"/><Relationship Id="rId83" Type="http://schemas.openxmlformats.org/officeDocument/2006/relationships/hyperlink" Target="https://doi.org/10.1200/JCO-26-02462" TargetMode="External"/><Relationship Id="rId84" Type="http://schemas.openxmlformats.org/officeDocument/2006/relationships/hyperlink" Target="https://libkey.io/libraries/480/10.1200/JCO-26-02462" TargetMode="External"/><Relationship Id="rId85" Type="http://schemas.openxmlformats.org/officeDocument/2006/relationships/hyperlink" Target="https://doi.org/10.1016/S0140-6736(23)00727-4" TargetMode="External"/><Relationship Id="rId86" Type="http://schemas.openxmlformats.org/officeDocument/2006/relationships/hyperlink" Target="https://libkey.io/libraries/480/10.1016/S0140-6736(23)00727-4" TargetMode="External"/><Relationship Id="rId87" Type="http://schemas.openxmlformats.org/officeDocument/2006/relationships/hyperlink" Target="https://doi.org/10.1056/NEJMoa0908721" TargetMode="External"/><Relationship Id="rId88" Type="http://schemas.openxmlformats.org/officeDocument/2006/relationships/hyperlink" Target="https://libkey.io/libraries/480/10.1056/NEJMoa0908721" TargetMode="External"/><Relationship Id="rId89" Type="http://schemas.openxmlformats.org/officeDocument/2006/relationships/hyperlink" Target="https://doi.org/10.1016/S1470-2045(21)00027-9" TargetMode="External"/><Relationship Id="rId90" Type="http://schemas.openxmlformats.org/officeDocument/2006/relationships/hyperlink" Target="https://libkey.io/libraries/480/10.1016/S1470-2045(21)00027-9" TargetMode="External"/><Relationship Id="rId91" Type="http://schemas.openxmlformats.org/officeDocument/2006/relationships/hyperlink" Target="https://doi.org/10.1016/S2468-1253(24)00119-5" TargetMode="External"/><Relationship Id="rId92" Type="http://schemas.openxmlformats.org/officeDocument/2006/relationships/hyperlink" Target="https://libkey.io/libraries/480/10.1016/S2468-1253(24)00119-5" TargetMode="External"/><Relationship Id="rId93" Type="http://schemas.openxmlformats.org/officeDocument/2006/relationships/hyperlink" Target="https://doi.org/10.1016/j.esmoop.2024.103488" TargetMode="External"/><Relationship Id="rId94" Type="http://schemas.openxmlformats.org/officeDocument/2006/relationships/hyperlink" Target="https://libkey.io/libraries/480/10.1016/j.esmoop.2024.103488" TargetMode="External"/><Relationship Id="rId95" Type="http://schemas.openxmlformats.org/officeDocument/2006/relationships/hyperlink" Target="https://doi.org/10.1056/NEJMoa2206834" TargetMode="External"/><Relationship Id="rId96" Type="http://schemas.openxmlformats.org/officeDocument/2006/relationships/hyperlink" Target="https://libkey.io/libraries/480/10.1056/NEJMoa2206834" TargetMode="External"/><Relationship Id="rId97" Type="http://schemas.openxmlformats.org/officeDocument/2006/relationships/hyperlink" Target="https://doi.org/10.1001/jamaoncol.2021.3836" TargetMode="External"/><Relationship Id="rId98" Type="http://schemas.openxmlformats.org/officeDocument/2006/relationships/hyperlink" Target="https://libkey.io/libraries/480/10.1001/jamaoncol.2021.3836" TargetMode="External"/><Relationship Id="rId99" Type="http://schemas.openxmlformats.org/officeDocument/2006/relationships/hyperlink" Target="https://doi.org/10.1016/S1470-2045(20)30321-1" TargetMode="External"/><Relationship Id="rId100" Type="http://schemas.openxmlformats.org/officeDocument/2006/relationships/hyperlink" Target="https://libkey.io/libraries/480/10.1016/S1470-2045(20)30321-1" TargetMode="External"/><Relationship Id="rId101" Type="http://schemas.openxmlformats.org/officeDocument/2006/relationships/hyperlink" Target="https://www.fda.gov/drugs/resources-information-approved-drugs/fda-grants-accelerated-approval-zanidatamab-hrii-previously-treated-unresectable-or-metastatic-her2" TargetMode="External"/><Relationship Id="rId102" Type="http://schemas.openxmlformats.org/officeDocument/2006/relationships/hyperlink" Target="https://www.fda.gov/drugs/resources-information-approved-drugs/fda-approves-zenocutuzumab-zbco-advanced-unresectable-or-metastatic-cholangiocarcinoma" TargetMode="External"/><Relationship Id="rId103" Type="http://schemas.openxmlformats.org/officeDocument/2006/relationships/hyperlink" Target="https://doi.org/10.1111/cas.13656" TargetMode="External"/><Relationship Id="rId104" Type="http://schemas.openxmlformats.org/officeDocument/2006/relationships/hyperlink" Target="https://libkey.io/libraries/480/10.1111/cas.13656"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Memorial Hermann iCCA system roadmap v0.7</dc:title>
  <dc:subject>Intrahepatic cholangiocarcinoma</dc:subject>
  <dc:creator>Memorial Hermann / UTHealth Houston tumour roadmap programme</dc:creator>
  <dc:description>Draft under development. Not ratified clinical policy.</dc:description>
  <cp:lastModifiedBy>Un-named</cp:lastModifiedBy>
  <cp:revision>1</cp:revision>
  <dcterms:created xsi:type="dcterms:W3CDTF">2026-10-10T04:29:16.208Z</dcterms:created>
  <dcterms:modified xsi:type="dcterms:W3CDTF">2026-10-25T09:38:08Z</dcterms:modified>
</cp:coreProperties>
</file>

<file path=docProps/custom.xml><?xml version="1.0" encoding="utf-8"?>
<Properties xmlns="http://schemas.openxmlformats.org/officeDocument/2006/custom-properties" xmlns:vt="http://schemas.openxmlformats.org/officeDocument/2006/docPropsVTypes"/>
</file>